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Future</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深圳市惠程电气股份有限公司</w:t>
      </w:r>
      <w:bookmarkEnd w:id="3"/>
      <w:bookmarkEnd w:id="4"/>
      <w:bookmarkEnd w:id="5"/>
    </w:p>
    <w:p>
      <w:pPr>
        <w:pStyle w:val="Style10"/>
        <w:keepNext/>
        <w:keepLines/>
        <w:widowControl w:val="0"/>
        <w:shd w:val="clear" w:color="auto" w:fill="auto"/>
        <w:bidi w:val="0"/>
        <w:spacing w:before="0" w:after="60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6"/>
      <w:bookmarkEnd w:id="7"/>
      <w:bookmarkEnd w:id="8"/>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958" w:right="1104" w:bottom="2958"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公司负责人徐海啸、主管会计工作负责人徐海啸及会计机构负责人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王烨声明：保证年度报告中财务报告的真实、准确、完整。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本报告所涉公司未来计划等前瞻性陈述，不构成公司对任何投资者及相关 人士的实质承诺，敬请广大投资者注意投资风险。</w:t>
      </w:r>
    </w:p>
    <w:p>
      <w:pPr>
        <w:pStyle w:val="Style16"/>
        <w:keepNext w:val="0"/>
        <w:keepLines w:val="0"/>
        <w:widowControl w:val="0"/>
        <w:shd w:val="clear" w:color="auto" w:fill="auto"/>
        <w:bidi w:val="0"/>
        <w:spacing w:before="0"/>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中公司未来发展的展望部分描 述了公司未来经营中可能面临的风险以及</w:t>
      </w:r>
      <w:r>
        <w:rPr>
          <w:rFonts w:ascii="Times New Roman" w:eastAsia="Times New Roman" w:hAnsi="Times New Roman" w:cs="Times New Roman"/>
          <w:color w:val="000000"/>
          <w:spacing w:val="0"/>
          <w:w w:val="100"/>
          <w:position w:val="0"/>
        </w:rPr>
        <w:t>2017</w:t>
      </w:r>
      <w:r>
        <w:rPr>
          <w:color w:val="000000"/>
          <w:spacing w:val="0"/>
          <w:w w:val="100"/>
          <w:position w:val="0"/>
        </w:rPr>
        <w:t>年度经营计划，敬请广大投资者 注意查阅。</w:t>
      </w:r>
    </w:p>
    <w:p>
      <w:pPr>
        <w:pStyle w:val="Style16"/>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8"/>
        <w:keepNext/>
        <w:keepLines/>
        <w:widowControl w:val="0"/>
        <w:shd w:val="clear" w:color="auto" w:fill="auto"/>
        <w:bidi w:val="0"/>
        <w:spacing w:before="1460" w:after="152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0"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1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98"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259"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31</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12"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88"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92"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553"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42"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46" w:tooltip="Current Document">
        <w:r>
          <w:rPr>
            <w:color w:val="000000"/>
            <w:spacing w:val="0"/>
            <w:w w:val="100"/>
            <w:position w:val="0"/>
            <w:sz w:val="22"/>
            <w:szCs w:val="22"/>
          </w:rPr>
          <w:t>第^一节 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9"/>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1665"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181</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130"/>
        <w:gridCol w:w="566"/>
        <w:gridCol w:w="58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公司、本公司、深圳惠程、惠程本部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深圳市惠程电气股份有限公司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中驰惠程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中驰惠程企业管理有限公司，原名中驰极速体育文化发展有限公司，本公 司控股股东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中源信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共青城中源信投资管理合伙企业（有限合伙），中驰惠程一致行动人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北京信中利投资股份有限公司，中驰惠程母公司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华宝信托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华宝信托有限责任公司，系华宝信托有限责任公司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号单一资金信托 计划、大地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号之受托人，中驰惠程一致行动人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深圳市惠程电气股份有限公司董事会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深圳市惠程电气股份有限公司监事会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香港惠程有限公司，本公司全资子公司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惠程智能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深圳市惠程智能电力设备有限公司，原名深圳市惠程高能能源科技有限公 司，本公司全资子公司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北京中汇联银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中汇联银投资管理（北京）有限公司，本公司全资子公司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喀什中汇联银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喀什中汇联银创业投资有限公司，本公司全资子公司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中汇联鑫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中汇联鑫股权投资管理（深圳）合伙企业（有限合伙），本公司与子公司喀 什中汇联银共同投资设立的合伙企业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永耀惠程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宁波永耀惠程电力科技有限公司，本公司控股子公司</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北京中汇同盈咨询服务有限公司，曾用名北京思泰德酒店管理有限公司、 北京鼎同源科技有限公司，北京中汇联银全资控股子公司，本公司间接控 股子公司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中行置盛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中行置盛投资（北京）有限公司，北京中汇联银全资控股子公司，本公司 间接控股子公司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中融建银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中融建银投资（北京）有限公司，北京中汇联银全资控股子公司，本公司 间接控股子公司</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豪琛投资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豪琛投资管理（上海）有限公司，北京中汇联银全资控股子公司，本公司 间接控股子公司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鹏胤投资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鹏胤投资管理（上海）有限公司，北京中汇联银全资控股子公司，本公司 间接控股子公司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武汉纳思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武汉纳思系统技术有限公司，原喀什中汇联银参股公司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产业并购基金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北京信中利赞信股权投资中心（有限合伙），本公司参股企业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金喜凯德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北京金喜凯德科技有限公司，原本公司参股公司</w:t>
            </w:r>
          </w:p>
        </w:tc>
      </w:tr>
    </w:tbl>
    <w:p>
      <w:pPr>
        <w:spacing w:lineRule="exact" w:line="1"/>
        <w:rPr>
          <w:sz w:val="2"/>
          <w:szCs w:val="2"/>
        </w:rPr>
      </w:pPr>
      <w:r>
        <w:br w:type="page"/>
      </w:r>
    </w:p>
    <w:tbl>
      <w:tblPr>
        <w:tblOverlap w:val="never"/>
        <w:jc w:val="center"/>
        <w:tblLayout w:type="fixed"/>
      </w:tblPr>
      <w:tblGrid>
        <w:gridCol w:w="3130"/>
        <w:gridCol w:w="566"/>
        <w:gridCol w:w="589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深圳证监局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中登公司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中国证券登记结算有限责任公司深圳分公司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上会会计师事务所（特殊普通合伙），本公司所聘年审会计师事务所</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经公司第五届董事会第十七次会议、第五届监事会第七次会议、公司</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年第五次临时股东大会审议通过的《深圳市惠程电气股份有限公司限制性 股票与股票期权激励计划（草案）》</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年第二期股权激励计划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经公司第五届董事会第十八次会议、第五届监事会第八次会议、公司</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年第六次临时股东大会审议通过的《深圳市惠程电气股份有限公司第二期 限制性股票与股票期权激励计划（草案）》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年两期股权激励计划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年第一期股权激励计划与</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年第二期股权激励计划的合并简称</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经公司第五届董事会第二十九次会议、第五届监事会第十七次会议、公司</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年第三次临时股东大会审议通过的《深圳市惠程电气股份有限公司</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年限制性股票激励计划》</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《股票上市规则》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《深圳证券交易所股票上市规则》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《规范运作指引》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《深圳证券交易所中小企业板上市公司规范运作指引》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报告期、本年、本期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5"/>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bookmarkStart w:id="25" w:name="bookmark25"/>
      <w:r>
        <w:rPr>
          <w:color w:val="000000"/>
          <w:spacing w:val="0"/>
          <w:w w:val="100"/>
          <w:position w:val="0"/>
        </w:rPr>
        <w:t>一</w:t>
      </w:r>
      <w:bookmarkEnd w:id="24"/>
      <w:r>
        <w:rPr>
          <w:color w:val="000000"/>
          <w:spacing w:val="0"/>
          <w:w w:val="100"/>
          <w:position w:val="0"/>
        </w:rPr>
        <w:t>、公司信息</w:t>
      </w:r>
      <w:bookmarkEnd w:id="22"/>
      <w:bookmarkEnd w:id="23"/>
      <w:bookmarkEnd w:id="25"/>
      <w:bookmarkEnd w:id="2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47"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深圳惠程</w:t>
              <w:tab/>
              <w:t>股票代码</w:t>
              <w:tab/>
            </w:r>
            <w:r>
              <w:rPr>
                <w:color w:val="000000"/>
                <w:spacing w:val="0"/>
                <w:w w:val="100"/>
                <w:position w:val="0"/>
              </w:rPr>
              <w:t>002168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深圳惠程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Hifuture Electric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Hifuture</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深圳市坪山新区大工业区兰景路以东、锦绣路以南惠程科技工业厂区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深圳市坪山新区大工业区兰景路以东、锦绣路以南惠程科技工业厂区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518118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hifuture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szhc @hifuture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、联系人和联系方式</w:t>
      </w:r>
      <w:bookmarkEnd w:id="26"/>
      <w:bookmarkEnd w:id="27"/>
      <w:bookmarkEnd w:id="2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温秋萍</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深圳市坪山新区大工业区兰景路以东、 锦绣路以南惠程科技工业厂区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深圳市坪山新区大工业区兰景路以东、 锦绣路以南惠程科技工业厂区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0755-82763639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0755-82767767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0755-82767036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0755-82767036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"mailto:fangli@hifuture.com" </w:instrText>
            </w:r>
            <w:r>
              <w:fldChar w:fldCharType="separate"/>
            </w:r>
            <w:r>
              <w:rPr>
                <w:color w:val="000000"/>
                <w:spacing w:val="0"/>
                <w:w w:val="100"/>
                <w:position w:val="0"/>
              </w:rPr>
              <w:t>fangli@hifuture.com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wenqiuping @hifuture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三</w:t>
      </w:r>
      <w:bookmarkEnd w:id="32"/>
      <w:r>
        <w:rPr>
          <w:color w:val="000000"/>
          <w:spacing w:val="0"/>
          <w:w w:val="100"/>
          <w:position w:val="0"/>
        </w:rPr>
        <w:t>、信息披露及备置地点</w:t>
      </w:r>
      <w:bookmarkEnd w:id="30"/>
      <w:bookmarkEnd w:id="31"/>
      <w:bookmarkEnd w:id="3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深圳市惠程电气股份有限公司证券部办公室</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四</w:t>
      </w:r>
      <w:bookmarkEnd w:id="36"/>
      <w:r>
        <w:rPr>
          <w:color w:val="000000"/>
          <w:spacing w:val="0"/>
          <w:w w:val="100"/>
          <w:position w:val="0"/>
        </w:rPr>
        <w:t>、注册变更情况</w:t>
      </w:r>
      <w:bookmarkEnd w:id="34"/>
      <w:bookmarkEnd w:id="35"/>
      <w:bookmarkEnd w:id="37"/>
    </w:p>
    <w:tbl>
      <w:tblPr>
        <w:tblOverlap w:val="never"/>
        <w:jc w:val="center"/>
        <w:tblLayout w:type="fixed"/>
      </w:tblPr>
      <w:tblGrid>
        <w:gridCol w:w="2558"/>
        <w:gridCol w:w="702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914403007152119019</w:t>
            </w:r>
          </w:p>
        </w:tc>
      </w:tr>
      <w:tr>
        <w:trPr>
          <w:trHeight w:val="524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 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日，公司经营范围为"电缆分支箱、环网柜等相关电力配网设备、电力电 缆附件等高分子绝缘材料及相关制品的生产；高分子绝缘材料，电工器材的购销；经营进 口业务；自有产品的售后服务”；</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日，公司经营范围增加“高低压电器、高低压成套开关设备、箱式变电站、 电力自动化产品、跌落式熔断器、柱上开关、柱上断路器、管母线等相关电力配网设备的 生产、销售及施工服务；聚酰亚胺纤维、纳米纤维、薄膜、树脂及复合材料的综合研究开 发及相关材料购销”；</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日，公司经营范围增加“股权投资、资产管理、投资咨询；物业投资、物 业经营、物业管理”；</w:t>
            </w:r>
          </w:p>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日，公司经营范围增加“智能配电、新能源汽车充电桩产业链、工业自 动化及控制、信息与安防监控系统、智能二次设备、电力网络信息安全系统技术开发、产 品研制及工程集成；电网与工控安全”；</w:t>
            </w:r>
          </w:p>
          <w:p>
            <w:pPr>
              <w:pStyle w:val="Style2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日，公司经营范围增加“电动汽车充电设备设计研发、生产、销售；新 能源汽车充电设施运营；新能源汽车充换电站规划设计、建设；离网、并网光伏电站的建 设和运营；储能系统设备研发制造及运营；动力电池回收；汽车租赁（不含金融租赁）； 有形动产设备租赁服务”。</w:t>
            </w:r>
          </w:p>
        </w:tc>
      </w:tr>
      <w:tr>
        <w:trPr>
          <w:trHeight w:val="11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 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日，公司控股股东兼实际控制人为吕晓义、何平、任金生。</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日，公司控股股东兼实际控制人为何平、任金生。</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日至今，公司控股股东为中驰惠程，实际控制人为汪超涌、李亦非。</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五</w:t>
      </w:r>
      <w:bookmarkEnd w:id="40"/>
      <w:r>
        <w:rPr>
          <w:color w:val="000000"/>
          <w:spacing w:val="0"/>
          <w:w w:val="100"/>
          <w:position w:val="0"/>
        </w:rPr>
        <w:t>、其他有关资料</w:t>
      </w:r>
      <w:bookmarkEnd w:id="38"/>
      <w:bookmarkEnd w:id="39"/>
      <w:bookmarkEnd w:id="4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上会会计师事务所（特殊普通合伙）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上海市威海路</w:t>
            </w:r>
            <w:r>
              <w:rPr>
                <w:color w:val="000000"/>
                <w:spacing w:val="0"/>
                <w:w w:val="100"/>
                <w:position w:val="0"/>
                <w:sz w:val="18"/>
                <w:szCs w:val="18"/>
              </w:rPr>
              <w:t>755</w:t>
            </w:r>
            <w:r>
              <w:rPr>
                <w:rFonts w:ascii="SimSun" w:eastAsia="SimSun" w:hAnsi="SimSun" w:cs="SimSun"/>
                <w:color w:val="000000"/>
                <w:spacing w:val="0"/>
                <w:w w:val="100"/>
                <w:position w:val="0"/>
                <w:sz w:val="17"/>
                <w:szCs w:val="17"/>
              </w:rPr>
              <w:t>号文新报业大厦</w:t>
            </w:r>
            <w:r>
              <w:rPr>
                <w:color w:val="000000"/>
                <w:spacing w:val="0"/>
                <w:w w:val="100"/>
                <w:position w:val="0"/>
                <w:sz w:val="18"/>
                <w:szCs w:val="18"/>
              </w:rPr>
              <w:t>25</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刘冬祥、李则华</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2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六</w:t>
      </w:r>
      <w:bookmarkEnd w:id="44"/>
      <w:r>
        <w:rPr>
          <w:color w:val="000000"/>
          <w:spacing w:val="0"/>
          <w:w w:val="100"/>
          <w:position w:val="0"/>
        </w:rPr>
        <w:t>、主要会计数据和财务指标</w:t>
      </w:r>
      <w:bookmarkEnd w:id="42"/>
      <w:bookmarkEnd w:id="43"/>
      <w:bookmarkEnd w:id="45"/>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150"/>
        <w:gridCol w:w="1320"/>
        <w:gridCol w:w="1315"/>
        <w:gridCol w:w="1315"/>
        <w:gridCol w:w="970"/>
        <w:gridCol w:w="1315"/>
        <w:gridCol w:w="133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本年比上年 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288,618,425.48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209,370,332.34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209,370,332.34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313,200,970.58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313,200,970.58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 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75,912,490.21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128,331,538.12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135,358,464.49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-88,852,296.24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-84,675,562.98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除非经常性损益的净利润</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39,723,846.33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26,708,461.83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26,708,461.83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-91,339,214.65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-91,339,214.65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 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-646,210.28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2,863,725.58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2,863,725.58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57,850,330.69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57,850,330.69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本年末比上 年末增减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调整后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2,042,288,378.46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1,387,554,348.21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1,431,627,393.32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1,588,365,748.10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1,612,199,448.78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1,354,350,780.81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1,160,617,682.91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1,200,627,416.12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1,043,574,328.05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1,064,457,994.33</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会计政策变更的原因及会计差错更正的情况</w:t>
      </w:r>
    </w:p>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根据本公司第五届董事会第二十九次会议决议，本公司自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日起对投资性房地产由成本法进行后续计量转换为 采用公允价值模式进行后续计量。</w:t>
      </w:r>
    </w:p>
    <w:p>
      <w:pPr>
        <w:pStyle w:val="Style25"/>
        <w:keepNext/>
        <w:keepLines/>
        <w:widowControl w:val="0"/>
        <w:shd w:val="clear" w:color="auto" w:fill="auto"/>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七</w:t>
      </w:r>
      <w:bookmarkEnd w:id="48"/>
      <w:r>
        <w:rPr>
          <w:color w:val="000000"/>
          <w:spacing w:val="0"/>
          <w:w w:val="100"/>
          <w:position w:val="0"/>
        </w:rPr>
        <w:t>、境内外会计准则下会计数据差异</w:t>
      </w:r>
      <w:bookmarkEnd w:id="46"/>
      <w:bookmarkEnd w:id="47"/>
      <w:bookmarkEnd w:id="49"/>
    </w:p>
    <w:p>
      <w:pPr>
        <w:pStyle w:val="Style33"/>
        <w:keepNext/>
        <w:keepLines/>
        <w:widowControl w:val="0"/>
        <w:shd w:val="clear" w:color="auto" w:fill="auto"/>
        <w:tabs>
          <w:tab w:pos="368" w:val="left"/>
        </w:tabs>
        <w:bidi w:val="0"/>
        <w:spacing w:before="0" w:after="38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同时按照国际会计准则与按照中国会计准则披露的财务报告中净利润和净资产差异情况</w:t>
      </w:r>
      <w:bookmarkEnd w:id="50"/>
      <w:bookmarkEnd w:id="51"/>
      <w:bookmarkEnd w:id="5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同时按照境外会计准则与按照中国会计准则披露的财务报告中净利润和净资产差异情况</w:t>
      </w:r>
      <w:bookmarkEnd w:id="54"/>
      <w:bookmarkEnd w:id="55"/>
      <w:bookmarkEnd w:id="5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5"/>
        <w:keepNext/>
        <w:keepLines/>
        <w:widowControl w:val="0"/>
        <w:shd w:val="clear" w:color="auto" w:fill="auto"/>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八</w:t>
      </w:r>
      <w:bookmarkEnd w:id="60"/>
      <w:r>
        <w:rPr>
          <w:color w:val="000000"/>
          <w:spacing w:val="0"/>
          <w:w w:val="100"/>
          <w:position w:val="0"/>
        </w:rPr>
        <w:t>、分季度主要财务指标</w:t>
      </w:r>
      <w:bookmarkEnd w:id="58"/>
      <w:bookmarkEnd w:id="59"/>
      <w:bookmarkEnd w:id="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66"/>
        <w:gridCol w:w="1762"/>
        <w:gridCol w:w="1762"/>
        <w:gridCol w:w="176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39,001,043.08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68,332,439.66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74,508,294.56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106,776,648.18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-17,702,402.22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-3,319,190.73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25,400,370.73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71,533,712.43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-17,687,864.00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-8,439,701.86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-2,319,375.76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68,170,787.96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12,748,789.93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-6,929,263.30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13,030,406.62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-19,496,143.53</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九</w:t>
      </w:r>
      <w:bookmarkEnd w:id="64"/>
      <w:r>
        <w:rPr>
          <w:color w:val="000000"/>
          <w:spacing w:val="0"/>
          <w:w w:val="100"/>
          <w:position w:val="0"/>
        </w:rPr>
        <w:t>、非经常性损益项目及金额</w:t>
      </w:r>
      <w:bookmarkEnd w:id="62"/>
      <w:bookmarkEnd w:id="63"/>
      <w:bookmarkEnd w:id="65"/>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350"/>
        <w:gridCol w:w="1541"/>
        <w:gridCol w:w="1536"/>
        <w:gridCol w:w="1541"/>
        <w:gridCol w:w="174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28,477,759.46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60,144,474.29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-4,990,538.48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主要系报告期内处置</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公司闲置房产及金喜</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凯德股权所致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326,493.93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7,621,921.92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11,172,699.15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-352,966.93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41,183,900.95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6,244,972.54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主要系报告期内惠程 智能、惠程本部证券 投资亏损所致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16,819,549.37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8,266,972.20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4,913,803.83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报告期内公司所持投 资性房地产市价升值 所致</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-758,213.02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-269,248.40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-8,201,526.17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主要系违约金、滞纳 金及无法支付的应付 账款所致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8,323,978.93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7,451,315.13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557,958.10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846,703.17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1,917,801.10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36,188,643.88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108,650,002.66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6,663,651.67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4"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04"/>
        <w:gridCol w:w="2155"/>
        <w:gridCol w:w="52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惠程本部、惠程智能股权投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103,992,271.55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公司为了产业升级参与的基金投资业务与公司理财业务均属于经 常性业务，未来将持续进行，收益持续且稳定；符合经常性损益与 主营业务相关且持续稳定的特性。</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北京中汇联银、中汇联鑫、 喀什中汇联银证券、股权、 理财投资收益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15,702,308.42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北京中汇联银、中汇联鑫、喀什中汇联银作为公司设立的专门投资 业务平台，主要从事投资类业务；证券、股权、理财投资系三家子 公司经常性发生的业务，具有持续性；符合经常性损益与主营业务 相关且持续稳定的特性。</w:t>
            </w:r>
          </w:p>
        </w:tc>
      </w:tr>
    </w:tbl>
    <w:p>
      <w:pPr>
        <w:sectPr>
          <w:footnotePr>
            <w:pos w:val="pageBottom"/>
            <w:numFmt w:val="decimal"/>
            <w:numRestart w:val="continuous"/>
          </w:footnotePr>
          <w:pgSz w:w="11900" w:h="16840"/>
          <w:pgMar w:top="1393" w:right="1114" w:bottom="1580" w:left="1071" w:header="0" w:footer="3" w:gutter="0"/>
          <w:cols w:space="720"/>
          <w:noEndnote/>
          <w:rtlGutter w:val="0"/>
          <w:docGrid w:linePitch="360"/>
        </w:sectPr>
      </w:pPr>
    </w:p>
    <w:p>
      <w:pPr>
        <w:pStyle w:val="Style10"/>
        <w:keepNext/>
        <w:keepLines/>
        <w:widowControl w:val="0"/>
        <w:shd w:val="clear" w:color="auto" w:fill="auto"/>
        <w:bidi w:val="0"/>
        <w:spacing w:before="540" w:after="580" w:line="240" w:lineRule="auto"/>
        <w:ind w:left="0" w:right="0" w:firstLine="0"/>
        <w:jc w:val="center"/>
      </w:pPr>
      <w:bookmarkStart w:id="66" w:name="bookmark66"/>
      <w:bookmarkStart w:id="67" w:name="bookmark67"/>
      <w:bookmarkStart w:id="68" w:name="bookmark68"/>
      <w:r>
        <w:rPr>
          <w:color w:val="000000"/>
          <w:spacing w:val="0"/>
          <w:w w:val="100"/>
          <w:position w:val="0"/>
        </w:rPr>
        <w:t>第三节公司业务概要</w:t>
      </w:r>
      <w:bookmarkEnd w:id="66"/>
      <w:bookmarkEnd w:id="67"/>
      <w:bookmarkEnd w:id="68"/>
    </w:p>
    <w:p>
      <w:pPr>
        <w:pStyle w:val="Style25"/>
        <w:keepNext/>
        <w:keepLines/>
        <w:widowControl w:val="0"/>
        <w:shd w:val="clear" w:color="auto" w:fill="auto"/>
        <w:tabs>
          <w:tab w:pos="480" w:val="left"/>
        </w:tabs>
        <w:bidi w:val="0"/>
        <w:spacing w:before="0" w:after="260" w:line="240" w:lineRule="auto"/>
        <w:ind w:left="0" w:right="0" w:firstLine="0"/>
        <w:jc w:val="left"/>
      </w:pPr>
      <w:bookmarkStart w:id="69" w:name="bookmark69"/>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w:t>
        <w:tab/>
        <w:t>报告期内公司从事的主要业务</w:t>
      </w:r>
      <w:bookmarkEnd w:id="70"/>
      <w:bookmarkEnd w:id="71"/>
      <w:bookmarkEnd w:id="73"/>
      <w:bookmarkEnd w:id="69"/>
    </w:p>
    <w:p>
      <w:pPr>
        <w:pStyle w:val="Style29"/>
        <w:keepNext w:val="0"/>
        <w:keepLines w:val="0"/>
        <w:widowControl w:val="0"/>
        <w:shd w:val="clear" w:color="auto" w:fill="auto"/>
        <w:bidi w:val="0"/>
        <w:spacing w:before="0" w:line="311" w:lineRule="exact"/>
        <w:ind w:left="0" w:right="0" w:firstLine="0"/>
        <w:jc w:val="left"/>
      </w:pPr>
      <w:r>
        <w:rPr>
          <w:color w:val="000000"/>
          <w:spacing w:val="0"/>
          <w:w w:val="100"/>
          <w:position w:val="0"/>
        </w:rPr>
        <w:t>公司是否需要遵守特殊行业的披露要求否</w:t>
      </w:r>
    </w:p>
    <w:p>
      <w:pPr>
        <w:pStyle w:val="Style29"/>
        <w:keepNext w:val="0"/>
        <w:keepLines w:val="0"/>
        <w:widowControl w:val="0"/>
        <w:shd w:val="clear" w:color="auto" w:fill="auto"/>
        <w:tabs>
          <w:tab w:pos="686" w:val="left"/>
        </w:tabs>
        <w:bidi w:val="0"/>
        <w:spacing w:before="0" w:after="0" w:line="311" w:lineRule="exact"/>
        <w:ind w:left="0" w:right="0"/>
        <w:jc w:val="both"/>
      </w:pPr>
      <w:bookmarkStart w:id="74" w:name="bookmark74"/>
      <w:r>
        <w:rPr>
          <w:rFonts w:ascii="Times New Roman" w:eastAsia="Times New Roman" w:hAnsi="Times New Roman" w:cs="Times New Roman"/>
          <w:b/>
          <w:bCs/>
          <w:color w:val="000000"/>
          <w:spacing w:val="0"/>
          <w:w w:val="100"/>
          <w:position w:val="0"/>
          <w:sz w:val="18"/>
          <w:szCs w:val="18"/>
        </w:rPr>
        <w:t>1</w:t>
      </w:r>
      <w:bookmarkEnd w:id="74"/>
      <w:r>
        <w:rPr>
          <w:b/>
          <w:bCs/>
          <w:color w:val="000000"/>
          <w:spacing w:val="0"/>
          <w:w w:val="100"/>
          <w:position w:val="0"/>
        </w:rPr>
        <w:t>、</w:t>
        <w:tab/>
        <w:t>主要业务及经营模式</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报告期，公司以电气设备业务和投资业务为主营业务，坚持产业经营与资本运营协同发展的经营发展方向。</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公司电气业务以新型高分子电气绝缘材料技术为特色核心优势，致力于提供专业配网装备及综合解决方案，专业从事高 可靠、全密闭、全绝缘、小型化新一代电气装备的研发、生产、销售、安装及配网综合解决方案。产品包括成套开关设备、 全密闭绝缘中低压电缆分接箱、电缆对接箱、硅橡胶电缆附件、可分离连接器、外置母线连接器、避雷器、电气接点防护罩 等硅橡胶绝缘制品、</w:t>
      </w:r>
      <w:r>
        <w:rPr>
          <w:rFonts w:ascii="Times New Roman" w:eastAsia="Times New Roman" w:hAnsi="Times New Roman" w:cs="Times New Roman"/>
          <w:color w:val="000000"/>
          <w:spacing w:val="0"/>
          <w:w w:val="100"/>
          <w:position w:val="0"/>
          <w:sz w:val="18"/>
          <w:szCs w:val="18"/>
        </w:rPr>
        <w:t>APG</w:t>
      </w:r>
      <w:r>
        <w:rPr>
          <w:color w:val="000000"/>
          <w:spacing w:val="0"/>
          <w:w w:val="100"/>
          <w:position w:val="0"/>
        </w:rPr>
        <w:t>环氧树脂产品、管型母线、</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电气设备箱体等。</w:t>
      </w:r>
    </w:p>
    <w:p>
      <w:pPr>
        <w:pStyle w:val="Style29"/>
        <w:keepNext w:val="0"/>
        <w:keepLines w:val="0"/>
        <w:widowControl w:val="0"/>
        <w:shd w:val="clear" w:color="auto" w:fill="auto"/>
        <w:bidi w:val="0"/>
        <w:spacing w:before="0" w:after="100" w:line="311" w:lineRule="exact"/>
        <w:ind w:left="0" w:right="0"/>
        <w:jc w:val="both"/>
      </w:pPr>
      <w:r>
        <w:rPr>
          <w:color w:val="000000"/>
          <w:spacing w:val="0"/>
          <w:w w:val="100"/>
          <w:position w:val="0"/>
        </w:rPr>
        <w:t>公司投资业务主要涵盖以资金管理和运用为主的理财产品投资、证券投资和股权投资；为提升公司盈利能力，积极探索 和尝试以投资业务推动公司完善产业布局，公司参与设立“北京信中利赞信股权投资中心（有限合伙）”，在报告期内取得 了较好的投资收益。</w:t>
      </w:r>
    </w:p>
    <w:p>
      <w:pPr>
        <w:pStyle w:val="Style29"/>
        <w:keepNext w:val="0"/>
        <w:keepLines w:val="0"/>
        <w:widowControl w:val="0"/>
        <w:shd w:val="clear" w:color="auto" w:fill="auto"/>
        <w:tabs>
          <w:tab w:pos="700" w:val="left"/>
        </w:tabs>
        <w:bidi w:val="0"/>
        <w:spacing w:before="0" w:after="0" w:line="360" w:lineRule="auto"/>
        <w:ind w:left="0" w:right="0"/>
        <w:jc w:val="both"/>
      </w:pPr>
      <w:bookmarkStart w:id="75" w:name="bookmark75"/>
      <w:r>
        <w:rPr>
          <w:rFonts w:ascii="Times New Roman" w:eastAsia="Times New Roman" w:hAnsi="Times New Roman" w:cs="Times New Roman"/>
          <w:b/>
          <w:bCs/>
          <w:color w:val="000000"/>
          <w:spacing w:val="0"/>
          <w:w w:val="100"/>
          <w:position w:val="0"/>
          <w:sz w:val="18"/>
          <w:szCs w:val="18"/>
        </w:rPr>
        <w:t>2</w:t>
      </w:r>
      <w:bookmarkEnd w:id="75"/>
      <w:r>
        <w:rPr>
          <w:b/>
          <w:bCs/>
          <w:color w:val="000000"/>
          <w:spacing w:val="0"/>
          <w:w w:val="100"/>
          <w:position w:val="0"/>
        </w:rPr>
        <w:t>、</w:t>
        <w:tab/>
        <w:t>行业发展情况</w:t>
      </w:r>
    </w:p>
    <w:p>
      <w:pPr>
        <w:pStyle w:val="Style29"/>
        <w:keepNext w:val="0"/>
        <w:keepLines w:val="0"/>
        <w:widowControl w:val="0"/>
        <w:shd w:val="clear" w:color="auto" w:fill="auto"/>
        <w:bidi w:val="0"/>
        <w:spacing w:before="0" w:after="0" w:line="311" w:lineRule="exact"/>
        <w:ind w:left="0" w:right="0"/>
        <w:jc w:val="both"/>
      </w:pPr>
      <w:r>
        <w:rPr>
          <w:b/>
          <w:bCs/>
          <w:color w:val="000000"/>
          <w:spacing w:val="0"/>
          <w:w w:val="100"/>
          <w:position w:val="0"/>
        </w:rPr>
        <w:t>电气行业：</w:t>
      </w:r>
      <w:r>
        <w:rPr>
          <w:color w:val="000000"/>
          <w:spacing w:val="0"/>
          <w:w w:val="100"/>
          <w:position w:val="0"/>
        </w:rPr>
        <w:t>公司所处的输配电设备制造产业与电力工业密切相关，是国民经济发展重要的装备工业，担负着为国民经济、 国防事业以及人民生活电气化提供所需的各种各样的电气设备的重任。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月，国家能源局制定的《关于印发配电网建 设改造行动计划（</w:t>
      </w:r>
      <w:r>
        <w:rPr>
          <w:rFonts w:ascii="Times New Roman" w:eastAsia="Times New Roman" w:hAnsi="Times New Roman" w:cs="Times New Roman"/>
          <w:color w:val="000000"/>
          <w:spacing w:val="0"/>
          <w:w w:val="100"/>
          <w:position w:val="0"/>
          <w:sz w:val="18"/>
          <w:szCs w:val="18"/>
        </w:rPr>
        <w:t>2015~2020</w:t>
      </w:r>
      <w:r>
        <w:rPr>
          <w:color w:val="000000"/>
          <w:spacing w:val="0"/>
          <w:w w:val="100"/>
          <w:position w:val="0"/>
        </w:rPr>
        <w:t>年）》重磅推出，明确</w:t>
      </w:r>
      <w:r>
        <w:rPr>
          <w:rFonts w:ascii="Times New Roman" w:eastAsia="Times New Roman" w:hAnsi="Times New Roman" w:cs="Times New Roman"/>
          <w:color w:val="000000"/>
          <w:spacing w:val="0"/>
          <w:w w:val="100"/>
          <w:position w:val="0"/>
          <w:sz w:val="18"/>
          <w:szCs w:val="18"/>
        </w:rPr>
        <w:t>2015~2020</w:t>
      </w:r>
      <w:r>
        <w:rPr>
          <w:color w:val="000000"/>
          <w:spacing w:val="0"/>
          <w:w w:val="100"/>
          <w:position w:val="0"/>
        </w:rPr>
        <w:t>年国家计划配电网建设改造投资不低于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万亿元，电网建设规 划投资将率先带动配电网设备市场需求。预计未来较长的一段时间内，配电网建设依然将会保持稳步增长。公司将立足输配 电设备制造主业，通过内生外延式协同发展，布局发展高端装备，新能源等战略性新型产业，积极实践产业升级、转型，为 公司产品和服务注入互联网基因和高科技含量，推动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惠程制造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'向智能化、网络化的发展。</w:t>
      </w:r>
    </w:p>
    <w:p>
      <w:pPr>
        <w:pStyle w:val="Style29"/>
        <w:keepNext w:val="0"/>
        <w:keepLines w:val="0"/>
        <w:widowControl w:val="0"/>
        <w:shd w:val="clear" w:color="auto" w:fill="auto"/>
        <w:bidi w:val="0"/>
        <w:spacing w:before="0" w:after="380" w:line="311" w:lineRule="exact"/>
        <w:ind w:left="0" w:right="0"/>
        <w:jc w:val="both"/>
      </w:pPr>
      <w:r>
        <w:rPr>
          <w:b/>
          <w:bCs/>
          <w:color w:val="000000"/>
          <w:spacing w:val="0"/>
          <w:w w:val="100"/>
          <w:position w:val="0"/>
        </w:rPr>
        <w:t>投资行业：</w:t>
      </w:r>
      <w:r>
        <w:rPr>
          <w:color w:val="000000"/>
          <w:spacing w:val="0"/>
          <w:w w:val="100"/>
          <w:position w:val="0"/>
        </w:rPr>
        <w:t>报告期内，尽管中国资本市场投资整体趋于理性，但是国内可投资本量仍呈现持续增长的态势，股权投资市 场尤其活跃。根据第三方股权投研机构清科集团的统计，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年中国股权投资者市场募资总额超过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万亿元，新增基金数量 </w:t>
      </w:r>
      <w:r>
        <w:rPr>
          <w:rFonts w:ascii="Times New Roman" w:eastAsia="Times New Roman" w:hAnsi="Times New Roman" w:cs="Times New Roman"/>
          <w:color w:val="000000"/>
          <w:spacing w:val="0"/>
          <w:w w:val="100"/>
          <w:position w:val="0"/>
          <w:sz w:val="18"/>
          <w:szCs w:val="18"/>
        </w:rPr>
        <w:t>2,438</w:t>
      </w:r>
      <w:r>
        <w:rPr>
          <w:color w:val="000000"/>
          <w:spacing w:val="0"/>
          <w:w w:val="100"/>
          <w:position w:val="0"/>
        </w:rPr>
        <w:t>支，新募基金总金额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万亿元，同比上年增长</w:t>
      </w:r>
      <w:r>
        <w:rPr>
          <w:rFonts w:ascii="Times New Roman" w:eastAsia="Times New Roman" w:hAnsi="Times New Roman" w:cs="Times New Roman"/>
          <w:color w:val="000000"/>
          <w:spacing w:val="0"/>
          <w:w w:val="100"/>
          <w:position w:val="0"/>
          <w:sz w:val="18"/>
          <w:szCs w:val="18"/>
        </w:rPr>
        <w:t>73.4%</w:t>
      </w:r>
      <w:r>
        <w:rPr>
          <w:color w:val="000000"/>
          <w:spacing w:val="0"/>
          <w:w w:val="100"/>
          <w:position w:val="0"/>
        </w:rPr>
        <w:t>。其中，以并购投资为代表的投资手段在行业中的整体比例不断 攀升，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年中国并购市场共完成交易</w:t>
      </w:r>
      <w:r>
        <w:rPr>
          <w:rFonts w:ascii="Times New Roman" w:eastAsia="Times New Roman" w:hAnsi="Times New Roman" w:cs="Times New Roman"/>
          <w:color w:val="000000"/>
          <w:spacing w:val="0"/>
          <w:w w:val="100"/>
          <w:position w:val="0"/>
          <w:sz w:val="18"/>
          <w:szCs w:val="18"/>
        </w:rPr>
        <w:t>3,105</w:t>
      </w:r>
      <w:r>
        <w:rPr>
          <w:color w:val="000000"/>
          <w:spacing w:val="0"/>
          <w:w w:val="100"/>
          <w:position w:val="0"/>
        </w:rPr>
        <w:t>起，同比增长</w:t>
      </w:r>
      <w:r>
        <w:rPr>
          <w:rFonts w:ascii="Times New Roman" w:eastAsia="Times New Roman" w:hAnsi="Times New Roman" w:cs="Times New Roman"/>
          <w:color w:val="000000"/>
          <w:spacing w:val="0"/>
          <w:w w:val="100"/>
          <w:position w:val="0"/>
          <w:sz w:val="18"/>
          <w:szCs w:val="18"/>
        </w:rPr>
        <w:t>15.3%</w:t>
      </w:r>
      <w:r>
        <w:rPr>
          <w:color w:val="000000"/>
          <w:spacing w:val="0"/>
          <w:w w:val="100"/>
          <w:position w:val="0"/>
        </w:rPr>
        <w:t>；披露金额的并购案例共计</w:t>
      </w:r>
      <w:r>
        <w:rPr>
          <w:rFonts w:ascii="Times New Roman" w:eastAsia="Times New Roman" w:hAnsi="Times New Roman" w:cs="Times New Roman"/>
          <w:color w:val="000000"/>
          <w:spacing w:val="0"/>
          <w:w w:val="100"/>
          <w:position w:val="0"/>
          <w:sz w:val="18"/>
          <w:szCs w:val="18"/>
        </w:rPr>
        <w:t>2,469</w:t>
      </w:r>
      <w:r>
        <w:rPr>
          <w:color w:val="000000"/>
          <w:spacing w:val="0"/>
          <w:w w:val="100"/>
          <w:position w:val="0"/>
        </w:rPr>
        <w:t>起，共涉及交易金额</w:t>
      </w:r>
      <w:r>
        <w:rPr>
          <w:rFonts w:ascii="Times New Roman" w:eastAsia="Times New Roman" w:hAnsi="Times New Roman" w:cs="Times New Roman"/>
          <w:color w:val="000000"/>
          <w:spacing w:val="0"/>
          <w:w w:val="100"/>
          <w:position w:val="0"/>
          <w:sz w:val="18"/>
          <w:szCs w:val="18"/>
        </w:rPr>
        <w:t xml:space="preserve">18,435.53 </w:t>
      </w:r>
      <w:r>
        <w:rPr>
          <w:color w:val="000000"/>
          <w:spacing w:val="0"/>
          <w:w w:val="100"/>
          <w:position w:val="0"/>
        </w:rPr>
        <w:t>亿元，同比上升</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。在股权投资行业，退出渠道也是投资者关注的重要指标之一。纵观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和上市公司并购重 组仍是最为主要的退出渠道，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年下半年</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审核提速、证监会发布《关于修改</w:t>
      </w:r>
      <w:r>
        <w:rPr>
          <w:color w:val="000000"/>
          <w:spacing w:val="0"/>
          <w:w w:val="100"/>
          <w:position w:val="0"/>
          <w:sz w:val="18"/>
          <w:szCs w:val="18"/>
        </w:rPr>
        <w:t>〈</w:t>
      </w:r>
      <w:r>
        <w:rPr>
          <w:color w:val="000000"/>
          <w:spacing w:val="0"/>
          <w:w w:val="100"/>
          <w:position w:val="0"/>
        </w:rPr>
        <w:t>上市公司重大资产重组管理办法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决定》等，均对股权投资行业构成利好。</w:t>
      </w:r>
    </w:p>
    <w:p>
      <w:pPr>
        <w:pStyle w:val="Style25"/>
        <w:keepNext/>
        <w:keepLines/>
        <w:widowControl w:val="0"/>
        <w:shd w:val="clear" w:color="auto" w:fill="auto"/>
        <w:tabs>
          <w:tab w:pos="480" w:val="left"/>
        </w:tabs>
        <w:bidi w:val="0"/>
        <w:spacing w:before="0" w:after="38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w:t>
        <w:tab/>
        <w:t>主要资产重大变化情况</w:t>
      </w:r>
      <w:bookmarkEnd w:id="76"/>
      <w:bookmarkEnd w:id="77"/>
      <w:bookmarkEnd w:id="79"/>
    </w:p>
    <w:p>
      <w:pPr>
        <w:pStyle w:val="Style33"/>
        <w:keepNext/>
        <w:keepLines/>
        <w:widowControl w:val="0"/>
        <w:shd w:val="clear" w:color="auto" w:fill="auto"/>
        <w:bidi w:val="0"/>
        <w:spacing w:before="0" w:after="32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2165"/>
        <w:gridCol w:w="7550"/>
      </w:tblGrid>
      <w:tr>
        <w:trPr>
          <w:trHeight w:val="73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208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50" w:val="left"/>
              </w:tabs>
              <w:bidi w:val="0"/>
              <w:spacing w:before="0" w:after="0" w:line="326"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日，子公司北京中汇联银在上海设立全资孙公司豪琛投资、鹏胤投资；</w:t>
            </w:r>
          </w:p>
          <w:p>
            <w:pPr>
              <w:pStyle w:val="Style22"/>
              <w:keepNext w:val="0"/>
              <w:keepLines w:val="0"/>
              <w:widowControl w:val="0"/>
              <w:shd w:val="clear" w:color="auto" w:fill="auto"/>
              <w:tabs>
                <w:tab w:pos="192" w:val="left"/>
              </w:tabs>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日，公司与子公司喀什中汇联银合作投资设立中汇联鑫，分别持有中汇联鑫</w:t>
            </w:r>
            <w:r>
              <w:rPr>
                <w:color w:val="000000"/>
                <w:spacing w:val="0"/>
                <w:w w:val="100"/>
                <w:position w:val="0"/>
                <w:sz w:val="18"/>
                <w:szCs w:val="18"/>
              </w:rPr>
              <w:t xml:space="preserve">50% </w:t>
            </w:r>
            <w:r>
              <w:rPr>
                <w:rFonts w:ascii="SimSun" w:eastAsia="SimSun" w:hAnsi="SimSun" w:cs="SimSun"/>
                <w:color w:val="000000"/>
                <w:spacing w:val="0"/>
                <w:w w:val="100"/>
                <w:position w:val="0"/>
                <w:sz w:val="17"/>
                <w:szCs w:val="17"/>
              </w:rPr>
              <w:t>合伙份额；</w:t>
            </w:r>
          </w:p>
          <w:p>
            <w:pPr>
              <w:pStyle w:val="Style22"/>
              <w:keepNext w:val="0"/>
              <w:keepLines w:val="0"/>
              <w:widowControl w:val="0"/>
              <w:shd w:val="clear" w:color="auto" w:fill="auto"/>
              <w:tabs>
                <w:tab w:pos="259" w:val="left"/>
              </w:tabs>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日，公司将持有的金喜凯德</w:t>
            </w:r>
            <w:r>
              <w:rPr>
                <w:color w:val="000000"/>
                <w:spacing w:val="0"/>
                <w:w w:val="100"/>
                <w:position w:val="0"/>
                <w:sz w:val="18"/>
                <w:szCs w:val="18"/>
              </w:rPr>
              <w:t>30%</w:t>
            </w:r>
            <w:r>
              <w:rPr>
                <w:rFonts w:ascii="SimSun" w:eastAsia="SimSun" w:hAnsi="SimSun" w:cs="SimSun"/>
                <w:color w:val="000000"/>
                <w:spacing w:val="0"/>
                <w:w w:val="100"/>
                <w:position w:val="0"/>
                <w:sz w:val="17"/>
                <w:szCs w:val="17"/>
              </w:rPr>
              <w:t>股权全部转让给金喜凯德其他股东闫新红；</w:t>
            </w:r>
          </w:p>
          <w:p>
            <w:pPr>
              <w:pStyle w:val="Style22"/>
              <w:keepNext w:val="0"/>
              <w:keepLines w:val="0"/>
              <w:widowControl w:val="0"/>
              <w:shd w:val="clear" w:color="auto" w:fill="auto"/>
              <w:tabs>
                <w:tab w:pos="269" w:val="left"/>
              </w:tabs>
              <w:bidi w:val="0"/>
              <w:spacing w:before="0" w:after="0" w:line="32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日，子公司北京中汇联银受让获得中汇同盈</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日，公司与北京信中利股权投资管理有限公司、中航信托股份有限公司合作</w:t>
            </w:r>
          </w:p>
        </w:tc>
      </w:tr>
    </w:tbl>
    <w:tbl>
      <w:tblPr>
        <w:tblOverlap w:val="never"/>
        <w:jc w:val="center"/>
        <w:tblLayout w:type="fixed"/>
      </w:tblPr>
      <w:tblGrid>
        <w:gridCol w:w="2165"/>
        <w:gridCol w:w="7550"/>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7"/>
                <w:szCs w:val="17"/>
              </w:rPr>
              <w:t>设立产业并购基金，分别持有产业并购基金</w:t>
            </w:r>
            <w:r>
              <w:rPr>
                <w:color w:val="000000"/>
                <w:spacing w:val="0"/>
                <w:w w:val="100"/>
                <w:position w:val="0"/>
                <w:sz w:val="18"/>
                <w:szCs w:val="18"/>
              </w:rPr>
              <w:t>32.22%</w:t>
            </w:r>
            <w:r>
              <w:rPr>
                <w:rFonts w:ascii="SimSun" w:eastAsia="SimSun" w:hAnsi="SimSun" w:cs="SimSun"/>
                <w:color w:val="000000"/>
                <w:spacing w:val="0"/>
                <w:w w:val="100"/>
                <w:position w:val="0"/>
                <w:sz w:val="17"/>
                <w:szCs w:val="17"/>
              </w:rPr>
              <w:t>、</w:t>
            </w:r>
            <w:r>
              <w:rPr>
                <w:color w:val="000000"/>
                <w:spacing w:val="0"/>
                <w:w w:val="100"/>
                <w:position w:val="0"/>
                <w:sz w:val="18"/>
                <w:szCs w:val="18"/>
              </w:rPr>
              <w:t>1.11%</w:t>
            </w:r>
            <w:r>
              <w:rPr>
                <w:rFonts w:ascii="SimSun" w:eastAsia="SimSun" w:hAnsi="SimSun" w:cs="SimSun"/>
                <w:color w:val="000000"/>
                <w:spacing w:val="0"/>
                <w:w w:val="100"/>
                <w:position w:val="0"/>
                <w:sz w:val="17"/>
                <w:szCs w:val="17"/>
              </w:rPr>
              <w:t>、</w:t>
            </w:r>
            <w:r>
              <w:rPr>
                <w:color w:val="000000"/>
                <w:spacing w:val="0"/>
                <w:w w:val="100"/>
                <w:position w:val="0"/>
                <w:sz w:val="18"/>
                <w:szCs w:val="18"/>
              </w:rPr>
              <w:t>66.67%</w:t>
            </w:r>
            <w:r>
              <w:rPr>
                <w:rFonts w:ascii="SimSun" w:eastAsia="SimSun" w:hAnsi="SimSun" w:cs="SimSun"/>
                <w:color w:val="000000"/>
                <w:spacing w:val="0"/>
                <w:w w:val="100"/>
                <w:position w:val="0"/>
                <w:sz w:val="17"/>
                <w:szCs w:val="17"/>
              </w:rPr>
              <w:t>合伙份额；</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日，公司与宁波永耀信息科技有限公司、武汉纳思合作设立永耀惠程，分别 持有永耀惠程</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35%</w:t>
            </w:r>
            <w:r>
              <w:rPr>
                <w:rFonts w:ascii="SimSun" w:eastAsia="SimSun" w:hAnsi="SimSun" w:cs="SimSun"/>
                <w:color w:val="000000"/>
                <w:spacing w:val="0"/>
                <w:w w:val="100"/>
                <w:position w:val="0"/>
                <w:sz w:val="17"/>
                <w:szCs w:val="17"/>
              </w:rPr>
              <w:t>、</w:t>
            </w:r>
            <w:r>
              <w:rPr>
                <w:color w:val="000000"/>
                <w:spacing w:val="0"/>
                <w:w w:val="100"/>
                <w:position w:val="0"/>
                <w:sz w:val="18"/>
                <w:szCs w:val="18"/>
              </w:rPr>
              <w:t>25%</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较年初数减少</w:t>
            </w:r>
            <w:r>
              <w:rPr>
                <w:color w:val="000000"/>
                <w:spacing w:val="0"/>
                <w:w w:val="100"/>
                <w:position w:val="0"/>
                <w:sz w:val="18"/>
                <w:szCs w:val="18"/>
              </w:rPr>
              <w:t>1,252.97</w:t>
            </w:r>
            <w:r>
              <w:rPr>
                <w:rFonts w:ascii="SimSun" w:eastAsia="SimSun" w:hAnsi="SimSun" w:cs="SimSun"/>
                <w:color w:val="000000"/>
                <w:spacing w:val="0"/>
                <w:w w:val="100"/>
                <w:position w:val="0"/>
                <w:sz w:val="17"/>
                <w:szCs w:val="17"/>
              </w:rPr>
              <w:t>万元系报告期内处置公司闲置房产所致。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较年初数减少</w:t>
            </w:r>
            <w:r>
              <w:rPr>
                <w:color w:val="000000"/>
                <w:spacing w:val="0"/>
                <w:w w:val="100"/>
                <w:position w:val="0"/>
                <w:sz w:val="18"/>
                <w:szCs w:val="18"/>
              </w:rPr>
              <w:t>122.98</w:t>
            </w:r>
            <w:r>
              <w:rPr>
                <w:rFonts w:ascii="SimSun" w:eastAsia="SimSun" w:hAnsi="SimSun" w:cs="SimSun"/>
                <w:color w:val="000000"/>
                <w:spacing w:val="0"/>
                <w:w w:val="100"/>
                <w:position w:val="0"/>
                <w:sz w:val="17"/>
                <w:szCs w:val="17"/>
              </w:rPr>
              <w:t>万元系正常摊销所致。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较年初数减少</w:t>
            </w:r>
            <w:r>
              <w:rPr>
                <w:color w:val="000000"/>
                <w:spacing w:val="0"/>
                <w:w w:val="100"/>
                <w:position w:val="0"/>
                <w:sz w:val="18"/>
                <w:szCs w:val="18"/>
              </w:rPr>
              <w:t>8,106.59</w:t>
            </w:r>
            <w:r>
              <w:rPr>
                <w:rFonts w:ascii="SimSun" w:eastAsia="SimSun" w:hAnsi="SimSun" w:cs="SimSun"/>
                <w:color w:val="000000"/>
                <w:spacing w:val="0"/>
                <w:w w:val="100"/>
                <w:position w:val="0"/>
                <w:sz w:val="17"/>
                <w:szCs w:val="17"/>
              </w:rPr>
              <w:t>万元系公司购买的房产达到验收标准后转入投资性房地产所致。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较年初数增加</w:t>
            </w:r>
            <w:r>
              <w:rPr>
                <w:color w:val="000000"/>
                <w:spacing w:val="0"/>
                <w:w w:val="100"/>
                <w:position w:val="0"/>
                <w:sz w:val="18"/>
                <w:szCs w:val="18"/>
              </w:rPr>
              <w:t>727.54</w:t>
            </w:r>
            <w:r>
              <w:rPr>
                <w:rFonts w:ascii="SimSun" w:eastAsia="SimSun" w:hAnsi="SimSun" w:cs="SimSun"/>
                <w:color w:val="000000"/>
                <w:spacing w:val="0"/>
                <w:w w:val="100"/>
                <w:position w:val="0"/>
                <w:sz w:val="17"/>
                <w:szCs w:val="17"/>
              </w:rPr>
              <w:t>万元，主要系处置闲置房产，部分销售款尚未回收所致。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较年初数增加</w:t>
            </w:r>
            <w:r>
              <w:rPr>
                <w:color w:val="000000"/>
                <w:spacing w:val="0"/>
                <w:w w:val="100"/>
                <w:position w:val="0"/>
                <w:sz w:val="18"/>
                <w:szCs w:val="18"/>
              </w:rPr>
              <w:t>36.00</w:t>
            </w:r>
            <w:r>
              <w:rPr>
                <w:rFonts w:ascii="SimSun" w:eastAsia="SimSun" w:hAnsi="SimSun" w:cs="SimSun"/>
                <w:color w:val="000000"/>
                <w:spacing w:val="0"/>
                <w:w w:val="100"/>
                <w:position w:val="0"/>
                <w:sz w:val="17"/>
                <w:szCs w:val="17"/>
              </w:rPr>
              <w:t>万元，主要系新增外购孙公司中汇同盈所致。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 计入当期损益的金融资产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9,937.18</w:t>
            </w:r>
            <w:r>
              <w:rPr>
                <w:rFonts w:ascii="SimSun" w:eastAsia="SimSun" w:hAnsi="SimSun" w:cs="SimSun"/>
                <w:color w:val="000000"/>
                <w:spacing w:val="0"/>
                <w:w w:val="100"/>
                <w:position w:val="0"/>
                <w:sz w:val="17"/>
                <w:szCs w:val="17"/>
              </w:rPr>
              <w:t>万元，主要系期末持有证券投资所致。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1,775.62</w:t>
            </w:r>
            <w:r>
              <w:rPr>
                <w:rFonts w:ascii="SimSun" w:eastAsia="SimSun" w:hAnsi="SimSun" w:cs="SimSun"/>
                <w:color w:val="000000"/>
                <w:spacing w:val="0"/>
                <w:w w:val="100"/>
                <w:position w:val="0"/>
                <w:sz w:val="17"/>
                <w:szCs w:val="17"/>
              </w:rPr>
              <w:t>万元，主要系本年主营业务收入增加所致。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4,175.88</w:t>
            </w:r>
            <w:r>
              <w:rPr>
                <w:rFonts w:ascii="SimSun" w:eastAsia="SimSun" w:hAnsi="SimSun" w:cs="SimSun"/>
                <w:color w:val="000000"/>
                <w:spacing w:val="0"/>
                <w:w w:val="100"/>
                <w:position w:val="0"/>
                <w:sz w:val="17"/>
                <w:szCs w:val="17"/>
              </w:rPr>
              <w:t>万元，主要系本期理财产品申购金额的增加，以及年末已行权期权完成股本 登记款项尚未结算至公司账户所致。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20,942.49</w:t>
            </w:r>
            <w:r>
              <w:rPr>
                <w:rFonts w:ascii="SimSun" w:eastAsia="SimSun" w:hAnsi="SimSun" w:cs="SimSun"/>
                <w:color w:val="000000"/>
                <w:spacing w:val="0"/>
                <w:w w:val="100"/>
                <w:position w:val="0"/>
                <w:sz w:val="17"/>
                <w:szCs w:val="17"/>
              </w:rPr>
              <w:t>万元，主要系本年新增外购投资性房地产及在建工程转入所致。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较年初增加</w:t>
            </w:r>
            <w:r>
              <w:rPr>
                <w:color w:val="000000"/>
                <w:spacing w:val="0"/>
                <w:w w:val="100"/>
                <w:position w:val="0"/>
                <w:sz w:val="18"/>
                <w:szCs w:val="18"/>
              </w:rPr>
              <w:t>712.90</w:t>
            </w:r>
            <w:r>
              <w:rPr>
                <w:rFonts w:ascii="SimSun" w:eastAsia="SimSun" w:hAnsi="SimSun" w:cs="SimSun"/>
                <w:color w:val="000000"/>
                <w:spacing w:val="0"/>
                <w:w w:val="100"/>
                <w:position w:val="0"/>
                <w:sz w:val="17"/>
                <w:szCs w:val="17"/>
              </w:rPr>
              <w:t>万元，主要系本年股权激励产生可抵消暂时性差异所致。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较年初数减少</w:t>
            </w:r>
            <w:r>
              <w:rPr>
                <w:color w:val="000000"/>
                <w:spacing w:val="0"/>
                <w:w w:val="100"/>
                <w:position w:val="0"/>
                <w:sz w:val="18"/>
                <w:szCs w:val="18"/>
              </w:rPr>
              <w:t>3,821.48</w:t>
            </w:r>
            <w:r>
              <w:rPr>
                <w:rFonts w:ascii="SimSun" w:eastAsia="SimSun" w:hAnsi="SimSun" w:cs="SimSun"/>
                <w:color w:val="000000"/>
                <w:spacing w:val="0"/>
                <w:w w:val="100"/>
                <w:position w:val="0"/>
                <w:sz w:val="17"/>
                <w:szCs w:val="17"/>
              </w:rPr>
              <w:t>万元，主要系报告期内取得相应购房发票后转入相应资产科目所致。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bookmarkEnd w:id="84"/>
      <w:bookmarkEnd w:id="85"/>
      <w:bookmarkEnd w:id="87"/>
    </w:p>
    <w:p>
      <w:pPr>
        <w:pStyle w:val="Style25"/>
        <w:keepNext/>
        <w:keepLines/>
        <w:widowControl w:val="0"/>
        <w:shd w:val="clear" w:color="auto" w:fill="auto"/>
        <w:bidi w:val="0"/>
        <w:spacing w:before="0" w:after="24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、核心竞争力分析</w:t>
      </w:r>
      <w:bookmarkEnd w:id="88"/>
      <w:bookmarkEnd w:id="89"/>
      <w:bookmarkEnd w:id="91"/>
    </w:p>
    <w:p>
      <w:pPr>
        <w:pStyle w:val="Style29"/>
        <w:keepNext w:val="0"/>
        <w:keepLines w:val="0"/>
        <w:widowControl w:val="0"/>
        <w:shd w:val="clear" w:color="auto" w:fill="auto"/>
        <w:bidi w:val="0"/>
        <w:spacing w:before="0" w:line="315" w:lineRule="exact"/>
        <w:ind w:left="0" w:right="0" w:firstLine="0"/>
        <w:jc w:val="both"/>
      </w:pPr>
      <w:r>
        <w:rPr>
          <w:color w:val="000000"/>
          <w:spacing w:val="0"/>
          <w:w w:val="100"/>
          <w:position w:val="0"/>
        </w:rPr>
        <w:t>公司是否需要遵守特殊行业的披露要求否</w:t>
      </w:r>
    </w:p>
    <w:p>
      <w:pPr>
        <w:pStyle w:val="Style29"/>
        <w:keepNext w:val="0"/>
        <w:keepLines w:val="0"/>
        <w:widowControl w:val="0"/>
        <w:shd w:val="clear" w:color="auto" w:fill="auto"/>
        <w:tabs>
          <w:tab w:pos="653" w:val="left"/>
        </w:tabs>
        <w:bidi w:val="0"/>
        <w:spacing w:before="0" w:line="310" w:lineRule="exact"/>
        <w:ind w:left="0" w:right="0"/>
        <w:jc w:val="both"/>
      </w:pPr>
      <w:bookmarkStart w:id="92" w:name="bookmark92"/>
      <w:r>
        <w:rPr>
          <w:rFonts w:ascii="Times New Roman" w:eastAsia="Times New Roman" w:hAnsi="Times New Roman" w:cs="Times New Roman"/>
          <w:b/>
          <w:bCs/>
          <w:color w:val="000000"/>
          <w:spacing w:val="0"/>
          <w:w w:val="100"/>
          <w:position w:val="0"/>
          <w:sz w:val="18"/>
          <w:szCs w:val="18"/>
        </w:rPr>
        <w:t>1</w:t>
      </w:r>
      <w:bookmarkEnd w:id="92"/>
      <w:r>
        <w:rPr>
          <w:b/>
          <w:bCs/>
          <w:color w:val="000000"/>
          <w:spacing w:val="0"/>
          <w:w w:val="100"/>
          <w:position w:val="0"/>
        </w:rPr>
        <w:t>、</w:t>
        <w:tab/>
        <w:t>技术竞争优势：</w:t>
      </w:r>
      <w:r>
        <w:rPr>
          <w:color w:val="000000"/>
          <w:spacing w:val="0"/>
          <w:w w:val="100"/>
          <w:position w:val="0"/>
        </w:rPr>
        <w:t>公司在材料科学和电气科学相结合方面处于国内优势地位，在人才、设备与技术方面具有一定的竞 争优势，公司的产品研发思路注重细分领域差异化竞争，公司技术领先性主要体现在绝缘材料在电力行业的前瞻性研究和应 用，通过不断创新构建的产品一直深受国家电网和南方电网用户好评。</w:t>
      </w:r>
    </w:p>
    <w:p>
      <w:pPr>
        <w:pStyle w:val="Style29"/>
        <w:keepNext w:val="0"/>
        <w:keepLines w:val="0"/>
        <w:widowControl w:val="0"/>
        <w:shd w:val="clear" w:color="auto" w:fill="auto"/>
        <w:tabs>
          <w:tab w:pos="658" w:val="left"/>
        </w:tabs>
        <w:bidi w:val="0"/>
        <w:spacing w:before="0" w:line="319" w:lineRule="exact"/>
        <w:ind w:left="0" w:right="0"/>
        <w:jc w:val="both"/>
      </w:pPr>
      <w:bookmarkStart w:id="93" w:name="bookmark93"/>
      <w:r>
        <w:rPr>
          <w:rFonts w:ascii="Times New Roman" w:eastAsia="Times New Roman" w:hAnsi="Times New Roman" w:cs="Times New Roman"/>
          <w:b/>
          <w:bCs/>
          <w:color w:val="000000"/>
          <w:spacing w:val="0"/>
          <w:w w:val="100"/>
          <w:position w:val="0"/>
          <w:sz w:val="18"/>
          <w:szCs w:val="18"/>
        </w:rPr>
        <w:t>2</w:t>
      </w:r>
      <w:bookmarkEnd w:id="93"/>
      <w:r>
        <w:rPr>
          <w:b/>
          <w:bCs/>
          <w:color w:val="000000"/>
          <w:spacing w:val="0"/>
          <w:w w:val="100"/>
          <w:position w:val="0"/>
        </w:rPr>
        <w:t>、</w:t>
        <w:tab/>
        <w:t>行业市场优势：</w:t>
      </w:r>
      <w:r>
        <w:rPr>
          <w:color w:val="000000"/>
          <w:spacing w:val="0"/>
          <w:w w:val="100"/>
          <w:position w:val="0"/>
        </w:rPr>
        <w:t>公司已经建立起一支稳定且高水准的营销团队，对行业营销体系具有深刻理解，在国内电力市场拥 有广泛的市场基础和市场资源。公司营销网络覆盖中国大部分省市地区，一方面有利于巩固传统市场地区的业务，另一方面 为今后其他市场领域开拓奠定基础。</w:t>
      </w:r>
    </w:p>
    <w:p>
      <w:pPr>
        <w:pStyle w:val="Style29"/>
        <w:keepNext w:val="0"/>
        <w:keepLines w:val="0"/>
        <w:widowControl w:val="0"/>
        <w:shd w:val="clear" w:color="auto" w:fill="auto"/>
        <w:tabs>
          <w:tab w:pos="644" w:val="left"/>
        </w:tabs>
        <w:bidi w:val="0"/>
        <w:spacing w:before="0" w:line="319" w:lineRule="exact"/>
        <w:ind w:left="0" w:right="0"/>
        <w:jc w:val="both"/>
      </w:pPr>
      <w:bookmarkStart w:id="94" w:name="bookmark94"/>
      <w:r>
        <w:rPr>
          <w:rFonts w:ascii="Times New Roman" w:eastAsia="Times New Roman" w:hAnsi="Times New Roman" w:cs="Times New Roman"/>
          <w:b/>
          <w:bCs/>
          <w:color w:val="000000"/>
          <w:spacing w:val="0"/>
          <w:w w:val="100"/>
          <w:position w:val="0"/>
          <w:sz w:val="18"/>
          <w:szCs w:val="18"/>
        </w:rPr>
        <w:t>3</w:t>
      </w:r>
      <w:bookmarkEnd w:id="94"/>
      <w:r>
        <w:rPr>
          <w:b/>
          <w:bCs/>
          <w:color w:val="000000"/>
          <w:spacing w:val="0"/>
          <w:w w:val="100"/>
          <w:position w:val="0"/>
        </w:rPr>
        <w:t>、</w:t>
        <w:tab/>
        <w:t>专业管理优势：</w:t>
      </w:r>
      <w:r>
        <w:rPr>
          <w:color w:val="000000"/>
          <w:spacing w:val="0"/>
          <w:w w:val="100"/>
          <w:position w:val="0"/>
        </w:rPr>
        <w:t>公司不断完善内部管理体系、提升内部运营效率。公司专业管理团队在把握行业发展趋势、严格产 品质量控制、提高精细化管理水平、形成企业凝聚力方面积累了专业的经验和领导管理能力，有力地推动了公司产品和服务 的升级及市场领域的拓展。</w:t>
      </w:r>
    </w:p>
    <w:p>
      <w:pPr>
        <w:pStyle w:val="Style29"/>
        <w:keepNext w:val="0"/>
        <w:keepLines w:val="0"/>
        <w:widowControl w:val="0"/>
        <w:shd w:val="clear" w:color="auto" w:fill="auto"/>
        <w:tabs>
          <w:tab w:pos="663" w:val="left"/>
        </w:tabs>
        <w:bidi w:val="0"/>
        <w:spacing w:before="0" w:line="315" w:lineRule="exact"/>
        <w:ind w:left="0" w:right="0"/>
        <w:jc w:val="both"/>
      </w:pPr>
      <w:bookmarkStart w:id="95" w:name="bookmark95"/>
      <w:r>
        <w:rPr>
          <w:rFonts w:ascii="Times New Roman" w:eastAsia="Times New Roman" w:hAnsi="Times New Roman" w:cs="Times New Roman"/>
          <w:b/>
          <w:bCs/>
          <w:color w:val="000000"/>
          <w:spacing w:val="0"/>
          <w:w w:val="100"/>
          <w:position w:val="0"/>
          <w:sz w:val="18"/>
          <w:szCs w:val="18"/>
        </w:rPr>
        <w:t>4</w:t>
      </w:r>
      <w:bookmarkEnd w:id="95"/>
      <w:r>
        <w:rPr>
          <w:b/>
          <w:bCs/>
          <w:color w:val="000000"/>
          <w:spacing w:val="0"/>
          <w:w w:val="100"/>
          <w:position w:val="0"/>
        </w:rPr>
        <w:t>、</w:t>
        <w:tab/>
        <w:t>专业院所和高校支持：</w:t>
      </w:r>
      <w:r>
        <w:rPr>
          <w:color w:val="000000"/>
          <w:spacing w:val="0"/>
          <w:w w:val="100"/>
          <w:position w:val="0"/>
        </w:rPr>
        <w:t>公司与湖北电力勘探设计院、华北电力大学能源互联网研究中心建立了战略合作关系。公司 与专业院所在配网、发电、自供电、市政等工程建设相关领域针对市场开拓、技术服务、资本运作及工程项目管理等方面展 开深入合作；借助华北电力大学能源互联网研究中心在能源互联网方面前瞻性科研实力，公司在把握产业发展方向、技术储 备、产品研发、专业人才培养方面具备较强竞争力。</w:t>
      </w:r>
    </w:p>
    <w:p>
      <w:pPr>
        <w:pStyle w:val="Style29"/>
        <w:keepNext w:val="0"/>
        <w:keepLines w:val="0"/>
        <w:widowControl w:val="0"/>
        <w:shd w:val="clear" w:color="auto" w:fill="auto"/>
        <w:tabs>
          <w:tab w:pos="663" w:val="left"/>
        </w:tabs>
        <w:bidi w:val="0"/>
        <w:spacing w:before="0" w:line="314" w:lineRule="exact"/>
        <w:ind w:left="0" w:right="0"/>
        <w:jc w:val="both"/>
      </w:pPr>
      <w:bookmarkStart w:id="96" w:name="bookmark96"/>
      <w:r>
        <w:rPr>
          <w:rFonts w:ascii="Times New Roman" w:eastAsia="Times New Roman" w:hAnsi="Times New Roman" w:cs="Times New Roman"/>
          <w:b/>
          <w:bCs/>
          <w:color w:val="000000"/>
          <w:spacing w:val="0"/>
          <w:w w:val="100"/>
          <w:position w:val="0"/>
          <w:sz w:val="18"/>
          <w:szCs w:val="18"/>
        </w:rPr>
        <w:t>5</w:t>
      </w:r>
      <w:bookmarkEnd w:id="96"/>
      <w:r>
        <w:rPr>
          <w:b/>
          <w:bCs/>
          <w:color w:val="000000"/>
          <w:spacing w:val="0"/>
          <w:w w:val="100"/>
          <w:position w:val="0"/>
        </w:rPr>
        <w:t>、</w:t>
        <w:tab/>
        <w:t>股东背景优势：</w:t>
      </w:r>
      <w:r>
        <w:rPr>
          <w:color w:val="000000"/>
          <w:spacing w:val="0"/>
          <w:w w:val="100"/>
          <w:position w:val="0"/>
        </w:rPr>
        <w:t>公司控股股东母公司信中利作为国内私募股权投资管理领域的领先企业，长期致力于创业投资基金 管理、创业投资及孵化、企业投资增值服务等领域，为投资企业提供全资本链条的服务，在产业运营及资本运作方面拥有极 为丰富的理论积累和实践经验，能够为公司并购重组和产业升级、转型提供资金、信息、技术、人才等各方面支持。</w:t>
      </w:r>
    </w:p>
    <w:p>
      <w:pPr>
        <w:pStyle w:val="Style10"/>
        <w:keepNext/>
        <w:keepLines/>
        <w:widowControl w:val="0"/>
        <w:shd w:val="clear" w:color="auto" w:fill="auto"/>
        <w:bidi w:val="0"/>
        <w:spacing w:before="0" w:after="560" w:line="240" w:lineRule="auto"/>
        <w:ind w:left="0" w:right="0" w:firstLine="0"/>
        <w:jc w:val="center"/>
      </w:pPr>
      <w:bookmarkStart w:id="97" w:name="bookmark97"/>
      <w:bookmarkStart w:id="98" w:name="bookmark98"/>
      <w:bookmarkStart w:id="99" w:name="bookmark99"/>
      <w:r>
        <w:rPr>
          <w:color w:val="000000"/>
          <w:spacing w:val="0"/>
          <w:w w:val="100"/>
          <w:position w:val="0"/>
        </w:rPr>
        <w:t>第四节经营情况讨论与分析</w:t>
      </w:r>
      <w:bookmarkEnd w:id="97"/>
      <w:bookmarkEnd w:id="98"/>
      <w:bookmarkEnd w:id="99"/>
    </w:p>
    <w:p>
      <w:pPr>
        <w:pStyle w:val="Style25"/>
        <w:keepNext/>
        <w:keepLines/>
        <w:widowControl w:val="0"/>
        <w:shd w:val="clear" w:color="auto" w:fill="auto"/>
        <w:tabs>
          <w:tab w:pos="592" w:val="left"/>
        </w:tabs>
        <w:bidi w:val="0"/>
        <w:spacing w:before="0" w:after="260" w:line="240" w:lineRule="auto"/>
        <w:ind w:left="0" w:right="0" w:firstLine="0"/>
        <w:jc w:val="left"/>
      </w:pPr>
      <w:bookmarkStart w:id="100" w:name="bookmark100"/>
      <w:bookmarkStart w:id="101" w:name="bookmark101"/>
      <w:bookmarkStart w:id="102" w:name="bookmark102"/>
      <w:bookmarkStart w:id="103" w:name="bookmark103"/>
      <w:bookmarkStart w:id="104" w:name="bookmark104"/>
      <w:r>
        <w:rPr>
          <w:color w:val="000000"/>
          <w:spacing w:val="0"/>
          <w:w w:val="100"/>
          <w:position w:val="0"/>
        </w:rPr>
        <w:t>一</w:t>
      </w:r>
      <w:bookmarkEnd w:id="103"/>
      <w:r>
        <w:rPr>
          <w:color w:val="000000"/>
          <w:spacing w:val="0"/>
          <w:w w:val="100"/>
          <w:position w:val="0"/>
        </w:rPr>
        <w:t>、</w:t>
        <w:tab/>
        <w:t>概述</w:t>
      </w:r>
      <w:bookmarkEnd w:id="101"/>
      <w:bookmarkEnd w:id="102"/>
      <w:bookmarkEnd w:id="104"/>
      <w:bookmarkEnd w:id="100"/>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sz w:val="18"/>
          <w:szCs w:val="18"/>
        </w:rPr>
        <w:t>2016</w:t>
      </w:r>
      <w:r>
        <w:rPr>
          <w:color w:val="000000"/>
          <w:spacing w:val="0"/>
          <w:w w:val="100"/>
          <w:position w:val="0"/>
        </w:rPr>
        <w:t>年公司控股股东变更为中驰惠程，实际控制人变更为汪超涌先生和李亦非女士。公司完成了董事会、监事会调整， 补充了高级管理人员，顺利实现控制权过渡和交接。</w:t>
      </w:r>
      <w:r>
        <w:rPr>
          <w:color w:val="000000"/>
          <w:spacing w:val="0"/>
          <w:w w:val="100"/>
          <w:position w:val="0"/>
          <w:sz w:val="18"/>
          <w:szCs w:val="18"/>
        </w:rPr>
        <w:t>2016</w:t>
      </w:r>
      <w:r>
        <w:rPr>
          <w:color w:val="000000"/>
          <w:spacing w:val="0"/>
          <w:w w:val="100"/>
          <w:position w:val="0"/>
        </w:rPr>
        <w:t>年是公司积极布局、谋求发展的重要年度，在董事会的领导下，公 司紧抓市场机遇，一方面整合优势资源，落实年度经营计划，积极开展多渠道营销，实现电气业务全面提升；另一方面围绕 公司所处行业和主营业务，不断调查、研究、论证，明确公司发展方向和思路，为企业快速发展奠定良好基础。</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报告期公司主要工作：</w:t>
      </w:r>
    </w:p>
    <w:p>
      <w:pPr>
        <w:pStyle w:val="Style29"/>
        <w:keepNext w:val="0"/>
        <w:keepLines w:val="0"/>
        <w:widowControl w:val="0"/>
        <w:shd w:val="clear" w:color="auto" w:fill="auto"/>
        <w:tabs>
          <w:tab w:pos="695" w:val="left"/>
        </w:tabs>
        <w:bidi w:val="0"/>
        <w:spacing w:before="0" w:after="0" w:line="313" w:lineRule="exact"/>
        <w:ind w:left="0" w:right="0"/>
        <w:jc w:val="left"/>
      </w:pPr>
      <w:bookmarkStart w:id="105" w:name="bookmark105"/>
      <w:r>
        <w:rPr>
          <w:b/>
          <w:bCs/>
          <w:color w:val="000000"/>
          <w:spacing w:val="0"/>
          <w:w w:val="100"/>
          <w:position w:val="0"/>
        </w:rPr>
        <w:t>1</w:t>
      </w:r>
      <w:bookmarkEnd w:id="105"/>
      <w:r>
        <w:rPr>
          <w:b/>
          <w:bCs/>
          <w:color w:val="000000"/>
          <w:spacing w:val="0"/>
          <w:w w:val="100"/>
          <w:position w:val="0"/>
        </w:rPr>
        <w:t>、</w:t>
        <w:tab/>
        <w:t>积极开拓国内电力市场，实现电气业务全面回升</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公司建立以市场为中心的营销保障体系，整合行业优势资源，不断完善多层次营销体系建设。通过认真分析市场竞争情 况，锁定重点客户，不断深度挖掘客户需求，努力提升销售业绩。报告期，公司电气业务实现销售收入</w:t>
      </w:r>
      <w:r>
        <w:rPr>
          <w:color w:val="000000"/>
          <w:spacing w:val="0"/>
          <w:w w:val="100"/>
          <w:position w:val="0"/>
          <w:sz w:val="18"/>
          <w:szCs w:val="18"/>
        </w:rPr>
        <w:t>2.59</w:t>
      </w:r>
      <w:r>
        <w:rPr>
          <w:color w:val="000000"/>
          <w:spacing w:val="0"/>
          <w:w w:val="100"/>
          <w:position w:val="0"/>
        </w:rPr>
        <w:t xml:space="preserve">亿元，同比增长 </w:t>
      </w:r>
      <w:r>
        <w:rPr>
          <w:color w:val="000000"/>
          <w:spacing w:val="0"/>
          <w:w w:val="100"/>
          <w:position w:val="0"/>
          <w:sz w:val="18"/>
          <w:szCs w:val="18"/>
        </w:rPr>
        <w:t xml:space="preserve">35. </w:t>
      </w:r>
      <w:r>
        <w:rPr>
          <w:color w:val="000000"/>
          <w:spacing w:val="0"/>
          <w:w w:val="100"/>
          <w:position w:val="0"/>
          <w:sz w:val="18"/>
          <w:szCs w:val="18"/>
        </w:rPr>
        <w:t>68%</w:t>
      </w:r>
      <w:r>
        <w:rPr>
          <w:color w:val="000000"/>
          <w:spacing w:val="0"/>
          <w:w w:val="100"/>
          <w:position w:val="0"/>
        </w:rPr>
        <w:t>，电气业务利润实现扭亏为盈，实现定单数量、定单金额、定单毛利率全面回升，发展势头良好。</w:t>
      </w:r>
    </w:p>
    <w:p>
      <w:pPr>
        <w:pStyle w:val="Style29"/>
        <w:keepNext w:val="0"/>
        <w:keepLines w:val="0"/>
        <w:widowControl w:val="0"/>
        <w:shd w:val="clear" w:color="auto" w:fill="auto"/>
        <w:tabs>
          <w:tab w:pos="705" w:val="left"/>
        </w:tabs>
        <w:bidi w:val="0"/>
        <w:spacing w:before="0" w:after="0" w:line="313" w:lineRule="exact"/>
        <w:ind w:left="0" w:right="0"/>
        <w:jc w:val="left"/>
      </w:pPr>
      <w:bookmarkStart w:id="106" w:name="bookmark106"/>
      <w:r>
        <w:rPr>
          <w:b/>
          <w:bCs/>
          <w:color w:val="000000"/>
          <w:spacing w:val="0"/>
          <w:w w:val="100"/>
          <w:position w:val="0"/>
        </w:rPr>
        <w:t>2</w:t>
      </w:r>
      <w:bookmarkEnd w:id="106"/>
      <w:r>
        <w:rPr>
          <w:b/>
          <w:bCs/>
          <w:color w:val="000000"/>
          <w:spacing w:val="0"/>
          <w:w w:val="100"/>
          <w:position w:val="0"/>
        </w:rPr>
        <w:t>、</w:t>
        <w:tab/>
        <w:t>整合行业优势资源、创新营销模式，明确业务拓展方向</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报告期，公司与湖北电力勘探设计院、华北电力大学能源互联网研究中心建立了战略合作关系。公司与专业院所在配网、 发电、自供电、市政等工程建设相关领域针对市场开拓、技术服务、资本运作及工程项目管理等方面展开深入合作；华北电 力大学能源互联网研究中心在能源互联网方面前瞻性科研实力雄厚，将与公司在把握产业发展方向、技术储备、产品研发、 专业人才培养方面进行资源共享。公司与宁波永耀信息科技有限公司、武汉纳思合作设立子公司永耀惠程，专注于输配电产 品的销售。此项举措在充分运作行业资源、创新营销模式、巩固区域客户、扩大销售等方面意义重大。通过与专业院所和高 校的合作，公司确定了以现有电气业务、高端制造为切入点，向新能源行业延伸的发展方向，报告期内公司开发的新产品新 能源汽车充电桩设备目前已经通过第三方检测并取得相应资质。</w:t>
      </w:r>
    </w:p>
    <w:p>
      <w:pPr>
        <w:pStyle w:val="Style29"/>
        <w:keepNext w:val="0"/>
        <w:keepLines w:val="0"/>
        <w:widowControl w:val="0"/>
        <w:shd w:val="clear" w:color="auto" w:fill="auto"/>
        <w:tabs>
          <w:tab w:pos="705" w:val="left"/>
        </w:tabs>
        <w:bidi w:val="0"/>
        <w:spacing w:before="0" w:after="0" w:line="313" w:lineRule="exact"/>
        <w:ind w:left="0" w:right="0"/>
        <w:jc w:val="both"/>
      </w:pPr>
      <w:bookmarkStart w:id="107" w:name="bookmark107"/>
      <w:r>
        <w:rPr>
          <w:b/>
          <w:bCs/>
          <w:color w:val="000000"/>
          <w:spacing w:val="0"/>
          <w:w w:val="100"/>
          <w:position w:val="0"/>
        </w:rPr>
        <w:t>3</w:t>
      </w:r>
      <w:bookmarkEnd w:id="107"/>
      <w:r>
        <w:rPr>
          <w:b/>
          <w:bCs/>
          <w:color w:val="000000"/>
          <w:spacing w:val="0"/>
          <w:w w:val="100"/>
          <w:position w:val="0"/>
        </w:rPr>
        <w:t>、</w:t>
        <w:tab/>
        <w:t>产业并购基金成绩斐然，资本运营与产业升级形成良性互动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2015</w:t>
      </w:r>
      <w:r>
        <w:rPr>
          <w:color w:val="000000"/>
          <w:spacing w:val="0"/>
          <w:w w:val="100"/>
          <w:position w:val="0"/>
        </w:rPr>
        <w:t>年公司投资业务以证券投资为主要方向</w:t>
      </w:r>
      <w:r>
        <w:rPr>
          <w:color w:val="000000"/>
          <w:spacing w:val="0"/>
          <w:w w:val="100"/>
          <w:position w:val="0"/>
          <w:sz w:val="18"/>
          <w:szCs w:val="18"/>
        </w:rPr>
        <w:t>，2016</w:t>
      </w:r>
      <w:r>
        <w:rPr>
          <w:color w:val="000000"/>
          <w:spacing w:val="0"/>
          <w:w w:val="100"/>
          <w:position w:val="0"/>
        </w:rPr>
        <w:t>年公司积极调整投资思路，响应国家号召脱虚向实，投资业务进一步 围绕公司产业升级、转型，完善产业布局，提升盈利能力，公司参与发起设立了产业并购基金。通过专业化、市场化的投资 运作，基金已经完成四次对外投资，成功为上市公司寻找到符合上市公司发展战略、业绩稳定、与公司现有业务具有协同效 应的优质标的，同时公司获取了较好的投资收益。</w:t>
      </w:r>
    </w:p>
    <w:p>
      <w:pPr>
        <w:pStyle w:val="Style29"/>
        <w:keepNext w:val="0"/>
        <w:keepLines w:val="0"/>
        <w:widowControl w:val="0"/>
        <w:shd w:val="clear" w:color="auto" w:fill="auto"/>
        <w:tabs>
          <w:tab w:pos="709" w:val="left"/>
        </w:tabs>
        <w:bidi w:val="0"/>
        <w:spacing w:before="0" w:after="0" w:line="313" w:lineRule="exact"/>
        <w:ind w:left="0" w:right="0"/>
        <w:jc w:val="both"/>
      </w:pPr>
      <w:bookmarkStart w:id="108" w:name="bookmark108"/>
      <w:r>
        <w:rPr>
          <w:b/>
          <w:bCs/>
          <w:color w:val="000000"/>
          <w:spacing w:val="0"/>
          <w:w w:val="100"/>
          <w:position w:val="0"/>
        </w:rPr>
        <w:t>4</w:t>
      </w:r>
      <w:bookmarkEnd w:id="108"/>
      <w:r>
        <w:rPr>
          <w:b/>
          <w:bCs/>
          <w:color w:val="000000"/>
          <w:spacing w:val="0"/>
          <w:w w:val="100"/>
          <w:position w:val="0"/>
        </w:rPr>
        <w:t>、</w:t>
        <w:tab/>
        <w:t>持续实施员工激励，进一步提升团队凝聚力</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公司董事会根据法律法规的规定，制定并实施了</w:t>
      </w:r>
      <w:r>
        <w:rPr>
          <w:color w:val="000000"/>
          <w:spacing w:val="0"/>
          <w:w w:val="100"/>
          <w:position w:val="0"/>
          <w:sz w:val="18"/>
          <w:szCs w:val="18"/>
        </w:rPr>
        <w:t>2016</w:t>
      </w:r>
      <w:r>
        <w:rPr>
          <w:color w:val="000000"/>
          <w:spacing w:val="0"/>
          <w:w w:val="100"/>
          <w:position w:val="0"/>
        </w:rPr>
        <w:t>年股权激励计划，本次激励计划的实施，是公司持续建全中长期激 励约束机制，形成良好均衡的价值分配体系的有力举措，有效调动了公司中高层业务骨干的积极性和创造性，有效地将股东 利益、公司利益和员工利益结合在一起，使各方共同关注公司的长远发展。</w:t>
      </w:r>
    </w:p>
    <w:p>
      <w:pPr>
        <w:pStyle w:val="Style25"/>
        <w:keepNext/>
        <w:keepLines/>
        <w:widowControl w:val="0"/>
        <w:shd w:val="clear" w:color="auto" w:fill="auto"/>
        <w:tabs>
          <w:tab w:pos="592" w:val="left"/>
        </w:tabs>
        <w:bidi w:val="0"/>
        <w:spacing w:before="0" w:after="38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二</w:t>
      </w:r>
      <w:bookmarkEnd w:id="111"/>
      <w:r>
        <w:rPr>
          <w:color w:val="000000"/>
          <w:spacing w:val="0"/>
          <w:w w:val="100"/>
          <w:position w:val="0"/>
        </w:rPr>
        <w:t>、</w:t>
        <w:tab/>
        <w:t>主营业务分析</w:t>
      </w:r>
      <w:bookmarkEnd w:id="109"/>
      <w:bookmarkEnd w:id="110"/>
      <w:bookmarkEnd w:id="112"/>
    </w:p>
    <w:p>
      <w:pPr>
        <w:pStyle w:val="Style33"/>
        <w:keepNext/>
        <w:keepLines/>
        <w:widowControl w:val="0"/>
        <w:shd w:val="clear" w:color="auto" w:fill="auto"/>
        <w:bidi w:val="0"/>
        <w:spacing w:before="0" w:after="26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、概述</w:t>
      </w:r>
      <w:bookmarkEnd w:id="113"/>
      <w:bookmarkEnd w:id="114"/>
      <w:bookmarkEnd w:id="116"/>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28,861.84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37.85%</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6,733.17</w:t>
      </w:r>
      <w:r>
        <w:rPr>
          <w:color w:val="000000"/>
          <w:spacing w:val="0"/>
          <w:w w:val="100"/>
          <w:position w:val="0"/>
        </w:rPr>
        <w:t xml:space="preserve">万元，归属于上市公司股东的净利润为 </w:t>
      </w:r>
      <w:r>
        <w:rPr>
          <w:rFonts w:ascii="Times New Roman" w:eastAsia="Times New Roman" w:hAnsi="Times New Roman" w:cs="Times New Roman"/>
          <w:color w:val="000000"/>
          <w:spacing w:val="0"/>
          <w:w w:val="100"/>
          <w:position w:val="0"/>
          <w:sz w:val="18"/>
          <w:szCs w:val="18"/>
        </w:rPr>
        <w:t xml:space="preserve">7,591.25 </w:t>
      </w:r>
      <w:r>
        <w:rPr>
          <w:color w:val="000000"/>
          <w:spacing w:val="0"/>
          <w:w w:val="100"/>
          <w:position w:val="0"/>
        </w:rPr>
        <w:t>万元。</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报告期内，公司通过参与发起设立产业并购基金、进行证券投资以及综合运用营运资金进行理财产品投资，共计取得收</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益 </w:t>
      </w:r>
      <w:r>
        <w:rPr>
          <w:rFonts w:ascii="Times New Roman" w:eastAsia="Times New Roman" w:hAnsi="Times New Roman" w:cs="Times New Roman"/>
          <w:color w:val="000000"/>
          <w:spacing w:val="0"/>
          <w:w w:val="100"/>
          <w:position w:val="0"/>
          <w:sz w:val="18"/>
          <w:szCs w:val="18"/>
        </w:rPr>
        <w:t>11,969.46</w:t>
      </w:r>
      <w:r>
        <w:rPr>
          <w:color w:val="000000"/>
          <w:spacing w:val="0"/>
          <w:w w:val="100"/>
          <w:position w:val="0"/>
        </w:rPr>
        <w:t>万元。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报告期内，公司主业电气业务扭亏为盈，实现主营业务收入</w:t>
      </w:r>
      <w:r>
        <w:rPr>
          <w:rFonts w:ascii="Times New Roman" w:eastAsia="Times New Roman" w:hAnsi="Times New Roman" w:cs="Times New Roman"/>
          <w:color w:val="000000"/>
          <w:spacing w:val="0"/>
          <w:w w:val="100"/>
          <w:position w:val="0"/>
          <w:sz w:val="18"/>
          <w:szCs w:val="18"/>
        </w:rPr>
        <w:t>25,944.15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35.68%</w:t>
      </w:r>
      <w:r>
        <w:rPr>
          <w:color w:val="000000"/>
          <w:spacing w:val="0"/>
          <w:w w:val="100"/>
          <w:position w:val="0"/>
        </w:rPr>
        <w:t>。</w:t>
      </w:r>
    </w:p>
    <w:tbl>
      <w:tblPr>
        <w:tblOverlap w:val="never"/>
        <w:jc w:val="center"/>
        <w:tblLayout w:type="fixed"/>
      </w:tblPr>
      <w:tblGrid>
        <w:gridCol w:w="1296"/>
        <w:gridCol w:w="1469"/>
        <w:gridCol w:w="1536"/>
        <w:gridCol w:w="1426"/>
        <w:gridCol w:w="395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28,861.84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20,937.03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主要系本年度订单增加及出售投资性房地产所致</w:t>
            </w:r>
          </w:p>
        </w:tc>
      </w:tr>
    </w:tbl>
    <w:p>
      <w:pPr>
        <w:spacing w:lineRule="exact" w:line="1"/>
        <w:rPr>
          <w:sz w:val="2"/>
          <w:szCs w:val="2"/>
        </w:rPr>
      </w:pPr>
      <w:r>
        <w:br w:type="page"/>
      </w:r>
    </w:p>
    <w:tbl>
      <w:tblPr>
        <w:tblOverlap w:val="never"/>
        <w:jc w:val="center"/>
        <w:tblLayout w:type="fixed"/>
      </w:tblPr>
      <w:tblGrid>
        <w:gridCol w:w="1296"/>
        <w:gridCol w:w="1469"/>
        <w:gridCol w:w="1536"/>
        <w:gridCol w:w="1426"/>
        <w:gridCol w:w="395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17,682.97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主要系营业收入增长及本期降本增效所致</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主要系新增广告宣传费所致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12,067.51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主要系确认股权激励费用所致</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主要系本年结构性存款利息增加所致</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主要系上年度剥离新材料业务子公司后本年研发 支出减少所致</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经营活动产生的 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主要系报告期内处置闲置房产税费支出增加所致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、收入与成本</w:t>
      </w:r>
      <w:bookmarkEnd w:id="117"/>
      <w:bookmarkEnd w:id="118"/>
      <w:bookmarkEnd w:id="120"/>
    </w:p>
    <w:p>
      <w:pPr>
        <w:pStyle w:val="Style33"/>
        <w:keepNext/>
        <w:keepLines/>
        <w:widowControl w:val="0"/>
        <w:numPr>
          <w:ilvl w:val="0"/>
          <w:numId w:val="1"/>
        </w:numPr>
        <w:shd w:val="clear" w:color="auto" w:fill="auto"/>
        <w:bidi w:val="0"/>
        <w:spacing w:before="0" w:after="340" w:line="240" w:lineRule="auto"/>
        <w:ind w:left="0" w:right="0" w:firstLine="0"/>
        <w:jc w:val="left"/>
      </w:pPr>
      <w:bookmarkStart w:id="117" w:name="bookmark117"/>
      <w:bookmarkStart w:id="118" w:name="bookmark118"/>
      <w:bookmarkStart w:id="121" w:name="bookmark121"/>
      <w:bookmarkStart w:id="122" w:name="bookmark122"/>
      <w:bookmarkEnd w:id="121"/>
      <w:r>
        <w:rPr>
          <w:color w:val="000000"/>
          <w:spacing w:val="0"/>
          <w:w w:val="100"/>
          <w:position w:val="0"/>
        </w:rPr>
        <w:t>营业收入构成</w:t>
      </w:r>
      <w:bookmarkEnd w:id="117"/>
      <w:bookmarkEnd w:id="118"/>
      <w:bookmarkEnd w:id="1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502"/>
        <w:gridCol w:w="1618"/>
        <w:gridCol w:w="1613"/>
        <w:gridCol w:w="1618"/>
        <w:gridCol w:w="162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288,618,425.48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209,370,332.34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259,441,546.48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191,213,218.36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)化工行业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11,779,553.70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29,176,879.00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6,377,560.28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52,844,218.05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66,923,992.10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40,604,391.62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29,200,024.50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11,776,704.51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12,855,813.97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29,217,201.91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18,809,492.43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绝缘母线和管母线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8,914,774.53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7,163,280.69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100,187,152.60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45,625,429.48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聚酰亚胺树脂产品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(特种工程塑料)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726,328.53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11,050,233.72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其他电气设备及附件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15,897,103.26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10,638,176.64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29,176,879.00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6,377,560.28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13,843,014.94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23,826,870.02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87,266,467.29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35,538,171.93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37,079,185.79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25,772,806.39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w:t>
            </w:r>
          </w:p>
        </w:tc>
      </w:tr>
    </w:tbl>
    <w:p>
      <w:pPr>
        <w:spacing w:lineRule="exact" w:line="1"/>
        <w:rPr>
          <w:sz w:val="2"/>
          <w:szCs w:val="2"/>
        </w:rPr>
      </w:pPr>
      <w:r>
        <w:br w:type="page"/>
      </w:r>
    </w:p>
    <w:tbl>
      <w:tblPr>
        <w:tblOverlap w:val="never"/>
        <w:jc w:val="center"/>
        <w:tblLayout w:type="fixed"/>
      </w:tblPr>
      <w:tblGrid>
        <w:gridCol w:w="1738"/>
        <w:gridCol w:w="1502"/>
        <w:gridCol w:w="1618"/>
        <w:gridCol w:w="1613"/>
        <w:gridCol w:w="1618"/>
        <w:gridCol w:w="162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327,962.24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13,239,250.27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82,710,458.15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78,509,786.81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西南及西北地区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34,421,440.42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22,307,796.47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3,793,017.65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3,798,090.17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29,176,879.00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6,377,560.28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w:t>
            </w:r>
          </w:p>
        </w:tc>
      </w:tr>
    </w:tbl>
    <w:p>
      <w:pPr>
        <w:widowControl w:val="0"/>
        <w:spacing w:after="319" w:line="1" w:lineRule="exact"/>
      </w:pPr>
    </w:p>
    <w:p>
      <w:pPr>
        <w:pStyle w:val="Style33"/>
        <w:keepNext/>
        <w:keepLines/>
        <w:widowControl w:val="0"/>
        <w:numPr>
          <w:ilvl w:val="0"/>
          <w:numId w:val="1"/>
        </w:numPr>
        <w:shd w:val="clear" w:color="auto" w:fill="auto"/>
        <w:bidi w:val="0"/>
        <w:spacing w:before="0" w:after="380" w:line="240" w:lineRule="auto"/>
        <w:ind w:left="0" w:right="0" w:firstLine="140"/>
        <w:jc w:val="left"/>
      </w:pPr>
      <w:bookmarkStart w:id="123" w:name="bookmark123"/>
      <w:bookmarkStart w:id="124" w:name="bookmark124"/>
      <w:bookmarkStart w:id="125" w:name="bookmark125"/>
      <w:bookmarkStart w:id="126" w:name="bookmark126"/>
      <w:bookmarkEnd w:id="12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421"/>
        <w:gridCol w:w="1416"/>
        <w:gridCol w:w="974"/>
        <w:gridCol w:w="1382"/>
        <w:gridCol w:w="1469"/>
        <w:gridCol w:w="131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259,441,546.48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164,346,451.69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29,176,879.00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12,483,248.35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52,844,218.05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30,645,550.42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40,604,391.62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30,772,162.25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11,776,704.51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8,247,550.83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29,217,201.91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16,921,192.79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绝缘母线和管母线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8,914,774.53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7,368,347.35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100,187,152.60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60,582,136.36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其他电气设备及附件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15,897,103.26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9,809,511.69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29,176,879.00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12,483,248.35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13,843,014.94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10,584,950.80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87,266,467.29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47,598,469.38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37,079,185.79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24,145,067.19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327,962.24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216,769.45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82,710,458.15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58,692,825.13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西南及西北地区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34,421,440.42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20,997,898.15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3,793,017.65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2,110,471.59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29,176,879.00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12,483,248.35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358.57%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bl>
    <w:p>
      <w:pPr>
        <w:pStyle w:val="Style29"/>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14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7"/>
      <w:bookmarkEnd w:id="128"/>
      <w:bookmarkEnd w:id="130"/>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27"/>
        <w:gridCol w:w="1618"/>
        <w:gridCol w:w="1613"/>
        <w:gridCol w:w="1618"/>
        <w:gridCol w:w="1613"/>
        <w:gridCol w:w="162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r>
              <w:rPr>
                <w:color w:val="000000"/>
                <w:spacing w:val="0"/>
                <w:w w:val="100"/>
                <w:position w:val="0"/>
                <w:sz w:val="18"/>
                <w:szCs w:val="18"/>
              </w:rPr>
              <w:t>/</w:t>
            </w:r>
            <w:r>
              <w:rPr>
                <w:rFonts w:ascii="SimSun" w:eastAsia="SimSun" w:hAnsi="SimSun" w:cs="SimSun"/>
                <w:color w:val="000000"/>
                <w:spacing w:val="0"/>
                <w:w w:val="100"/>
                <w:position w:val="0"/>
                <w:sz w:val="17"/>
                <w:szCs w:val="17"/>
              </w:rPr>
              <w:t>套</w:t>
            </w:r>
            <w:r>
              <w:rPr>
                <w:color w:val="000000"/>
                <w:spacing w:val="0"/>
                <w:w w:val="100"/>
                <w:position w:val="0"/>
                <w:sz w:val="18"/>
                <w:szCs w:val="18"/>
              </w:rPr>
              <w:t>/</w:t>
            </w:r>
            <w:r>
              <w:rPr>
                <w:rFonts w:ascii="SimSun" w:eastAsia="SimSun" w:hAnsi="SimSun" w:cs="SimSun"/>
                <w:color w:val="000000"/>
                <w:spacing w:val="0"/>
                <w:w w:val="100"/>
                <w:position w:val="0"/>
                <w:sz w:val="17"/>
                <w:szCs w:val="17"/>
              </w:rPr>
              <w:t>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r>
              <w:rPr>
                <w:color w:val="000000"/>
                <w:spacing w:val="0"/>
                <w:w w:val="100"/>
                <w:position w:val="0"/>
                <w:sz w:val="18"/>
                <w:szCs w:val="18"/>
              </w:rPr>
              <w:t>/</w:t>
            </w:r>
            <w:r>
              <w:rPr>
                <w:rFonts w:ascii="SimSun" w:eastAsia="SimSun" w:hAnsi="SimSun" w:cs="SimSun"/>
                <w:color w:val="000000"/>
                <w:spacing w:val="0"/>
                <w:w w:val="100"/>
                <w:position w:val="0"/>
                <w:sz w:val="17"/>
                <w:szCs w:val="17"/>
              </w:rPr>
              <w:t>套</w:t>
            </w:r>
            <w:r>
              <w:rPr>
                <w:color w:val="000000"/>
                <w:spacing w:val="0"/>
                <w:w w:val="100"/>
                <w:position w:val="0"/>
                <w:sz w:val="18"/>
                <w:szCs w:val="18"/>
              </w:rPr>
              <w:t>/</w:t>
            </w:r>
            <w:r>
              <w:rPr>
                <w:rFonts w:ascii="SimSun" w:eastAsia="SimSun" w:hAnsi="SimSun" w:cs="SimSun"/>
                <w:color w:val="000000"/>
                <w:spacing w:val="0"/>
                <w:w w:val="100"/>
                <w:position w:val="0"/>
                <w:sz w:val="17"/>
                <w:szCs w:val="17"/>
              </w:rPr>
              <w:t>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r>
              <w:rPr>
                <w:color w:val="000000"/>
                <w:spacing w:val="0"/>
                <w:w w:val="100"/>
                <w:position w:val="0"/>
                <w:sz w:val="18"/>
                <w:szCs w:val="18"/>
              </w:rPr>
              <w:t>/</w:t>
            </w:r>
            <w:r>
              <w:rPr>
                <w:rFonts w:ascii="SimSun" w:eastAsia="SimSun" w:hAnsi="SimSun" w:cs="SimSun"/>
                <w:color w:val="000000"/>
                <w:spacing w:val="0"/>
                <w:w w:val="100"/>
                <w:position w:val="0"/>
                <w:sz w:val="17"/>
                <w:szCs w:val="17"/>
              </w:rPr>
              <w:t>套</w:t>
            </w:r>
            <w:r>
              <w:rPr>
                <w:color w:val="000000"/>
                <w:spacing w:val="0"/>
                <w:w w:val="100"/>
                <w:position w:val="0"/>
                <w:sz w:val="18"/>
                <w:szCs w:val="18"/>
              </w:rPr>
              <w:t>/</w:t>
            </w:r>
            <w:r>
              <w:rPr>
                <w:rFonts w:ascii="SimSun" w:eastAsia="SimSun" w:hAnsi="SimSun" w:cs="SimSun"/>
                <w:color w:val="000000"/>
                <w:spacing w:val="0"/>
                <w:w w:val="100"/>
                <w:position w:val="0"/>
                <w:sz w:val="17"/>
                <w:szCs w:val="17"/>
              </w:rPr>
              <w:t>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年销售量、生产量同比上升</w:t>
      </w:r>
      <w:r>
        <w:rPr>
          <w:rFonts w:ascii="Times New Roman" w:eastAsia="Times New Roman" w:hAnsi="Times New Roman" w:cs="Times New Roman"/>
          <w:color w:val="000000"/>
          <w:spacing w:val="0"/>
          <w:w w:val="100"/>
          <w:position w:val="0"/>
          <w:sz w:val="18"/>
          <w:szCs w:val="18"/>
        </w:rPr>
        <w:t>119.83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128.79%</w:t>
      </w:r>
      <w:r>
        <w:rPr>
          <w:color w:val="000000"/>
          <w:spacing w:val="0"/>
          <w:w w:val="100"/>
          <w:position w:val="0"/>
        </w:rPr>
        <w:t>，主要原因系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年中标金额上升、订单增加所致。</w:t>
      </w:r>
    </w:p>
    <w:p>
      <w:pPr>
        <w:pStyle w:val="Style33"/>
        <w:keepNext/>
        <w:keepLines/>
        <w:widowControl w:val="0"/>
        <w:shd w:val="clear" w:color="auto" w:fill="auto"/>
        <w:tabs>
          <w:tab w:pos="493" w:val="left"/>
        </w:tabs>
        <w:bidi w:val="0"/>
        <w:spacing w:before="0" w:after="26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1"/>
      <w:bookmarkEnd w:id="132"/>
      <w:bookmarkEnd w:id="134"/>
    </w:p>
    <w:p>
      <w:pPr>
        <w:pStyle w:val="Style29"/>
        <w:keepNext w:val="0"/>
        <w:keepLines w:val="0"/>
        <w:widowControl w:val="0"/>
        <w:shd w:val="clear" w:color="auto" w:fill="auto"/>
        <w:bidi w:val="0"/>
        <w:spacing w:before="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月，国家电网山东电力公司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年第一批电网物资招标项目，</w:t>
      </w:r>
      <w:r>
        <w:rPr>
          <w:rFonts w:ascii="Times New Roman" w:eastAsia="Times New Roman" w:hAnsi="Times New Roman" w:cs="Times New Roman"/>
          <w:color w:val="000000"/>
          <w:spacing w:val="0"/>
          <w:w w:val="100"/>
          <w:position w:val="0"/>
          <w:sz w:val="18"/>
          <w:szCs w:val="18"/>
        </w:rPr>
        <w:t>JP</w:t>
      </w:r>
      <w:r>
        <w:rPr>
          <w:color w:val="000000"/>
          <w:spacing w:val="0"/>
          <w:w w:val="100"/>
          <w:position w:val="0"/>
        </w:rPr>
        <w:t>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电缆附件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环网柜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箱式开闭所产品中标金 额共</w:t>
      </w:r>
      <w:r>
        <w:rPr>
          <w:rFonts w:ascii="Times New Roman" w:eastAsia="Times New Roman" w:hAnsi="Times New Roman" w:cs="Times New Roman"/>
          <w:color w:val="000000"/>
          <w:spacing w:val="0"/>
          <w:w w:val="100"/>
          <w:position w:val="0"/>
          <w:sz w:val="18"/>
          <w:szCs w:val="18"/>
        </w:rPr>
        <w:t>2,499.15</w:t>
      </w:r>
      <w:r>
        <w:rPr>
          <w:color w:val="000000"/>
          <w:spacing w:val="0"/>
          <w:w w:val="100"/>
          <w:position w:val="0"/>
        </w:rPr>
        <w:t>万元，报告期末合同执行进度为</w:t>
      </w:r>
      <w:r>
        <w:rPr>
          <w:rFonts w:ascii="Times New Roman" w:eastAsia="Times New Roman" w:hAnsi="Times New Roman" w:cs="Times New Roman"/>
          <w:color w:val="000000"/>
          <w:spacing w:val="0"/>
          <w:w w:val="100"/>
          <w:position w:val="0"/>
          <w:sz w:val="18"/>
          <w:szCs w:val="18"/>
        </w:rPr>
        <w:t>47.13%</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jc w:val="left"/>
      </w:pPr>
      <w:bookmarkStart w:id="135" w:name="bookmark135"/>
      <w:r>
        <w:rPr>
          <w:rFonts w:ascii="Times New Roman" w:eastAsia="Times New Roman" w:hAnsi="Times New Roman" w:cs="Times New Roman"/>
          <w:color w:val="000000"/>
          <w:spacing w:val="0"/>
          <w:w w:val="100"/>
          <w:position w:val="0"/>
          <w:sz w:val="18"/>
          <w:szCs w:val="18"/>
        </w:rPr>
        <w:t>2</w:t>
      </w:r>
      <w:bookmarkEnd w:id="13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月，贵州电网有限责任公司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年第一批二级物资（一次设备）集中采购专项招标项目，</w:t>
      </w:r>
      <w:r>
        <w:rPr>
          <w:rFonts w:ascii="Times New Roman" w:eastAsia="Times New Roman" w:hAnsi="Times New Roman" w:cs="Times New Roman"/>
          <w:color w:val="000000"/>
          <w:spacing w:val="0"/>
          <w:w w:val="100"/>
          <w:position w:val="0"/>
          <w:sz w:val="18"/>
          <w:szCs w:val="18"/>
        </w:rPr>
        <w:t>10k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柱上真空断 路器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ZW2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柱上真空断路器自动化成套设备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ZW2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柱上真空断路器自动化成套设备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ZW3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型）</w:t>
      </w:r>
      <w:r>
        <w:rPr>
          <w:color w:val="000000"/>
          <w:spacing w:val="0"/>
          <w:w w:val="100"/>
          <w:position w:val="0"/>
          <w:sz w:val="18"/>
          <w:szCs w:val="18"/>
        </w:rPr>
        <w:t>（</w:t>
      </w:r>
      <w:r>
        <w:rPr>
          <w:color w:val="000000"/>
          <w:spacing w:val="0"/>
          <w:w w:val="100"/>
          <w:position w:val="0"/>
        </w:rPr>
        <w:t>弹操 机构</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柱上真空负荷开关自动化成套设备</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户外开关箱</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SF6</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户外开关箱（不锈钢型、</w:t>
      </w:r>
      <w:r>
        <w:rPr>
          <w:rFonts w:ascii="Times New Roman" w:eastAsia="Times New Roman" w:hAnsi="Times New Roman" w:cs="Times New Roman"/>
          <w:color w:val="000000"/>
          <w:spacing w:val="0"/>
          <w:w w:val="100"/>
          <w:position w:val="0"/>
          <w:sz w:val="18"/>
          <w:szCs w:val="18"/>
        </w:rPr>
        <w:t>SF6</w:t>
      </w:r>
      <w:r>
        <w:rPr>
          <w:color w:val="000000"/>
          <w:spacing w:val="0"/>
          <w:w w:val="100"/>
          <w:position w:val="0"/>
        </w:rPr>
        <w:t xml:space="preserve">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配变低压综合配电箱</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配变低压综合配电箱（不锈钢型）系列产品中标金额共</w:t>
      </w:r>
      <w:r>
        <w:rPr>
          <w:rFonts w:ascii="Times New Roman" w:eastAsia="Times New Roman" w:hAnsi="Times New Roman" w:cs="Times New Roman"/>
          <w:color w:val="000000"/>
          <w:spacing w:val="0"/>
          <w:w w:val="100"/>
          <w:position w:val="0"/>
          <w:sz w:val="18"/>
          <w:szCs w:val="18"/>
        </w:rPr>
        <w:t>2,954</w:t>
      </w:r>
      <w:r>
        <w:rPr>
          <w:color w:val="000000"/>
          <w:spacing w:val="0"/>
          <w:w w:val="100"/>
          <w:position w:val="0"/>
        </w:rPr>
        <w:t>万元，报告期末合同执行进度 为</w:t>
      </w:r>
      <w:r>
        <w:rPr>
          <w:rFonts w:ascii="Times New Roman" w:eastAsia="Times New Roman" w:hAnsi="Times New Roman" w:cs="Times New Roman"/>
          <w:color w:val="000000"/>
          <w:spacing w:val="0"/>
          <w:w w:val="100"/>
          <w:position w:val="0"/>
          <w:sz w:val="18"/>
          <w:szCs w:val="18"/>
        </w:rPr>
        <w:t>88.63%</w:t>
      </w:r>
      <w:r>
        <w:rPr>
          <w:color w:val="000000"/>
          <w:spacing w:val="0"/>
          <w:w w:val="100"/>
          <w:position w:val="0"/>
        </w:rPr>
        <w:t>。</w:t>
      </w:r>
    </w:p>
    <w:p>
      <w:pPr>
        <w:pStyle w:val="Style29"/>
        <w:keepNext w:val="0"/>
        <w:keepLines w:val="0"/>
        <w:widowControl w:val="0"/>
        <w:shd w:val="clear" w:color="auto" w:fill="auto"/>
        <w:tabs>
          <w:tab w:pos="704" w:val="left"/>
        </w:tabs>
        <w:bidi w:val="0"/>
        <w:spacing w:before="0" w:after="360" w:line="311" w:lineRule="exact"/>
        <w:ind w:left="0" w:right="0"/>
        <w:jc w:val="left"/>
      </w:pPr>
      <w:bookmarkStart w:id="136" w:name="bookmark136"/>
      <w:r>
        <w:rPr>
          <w:rFonts w:ascii="Times New Roman" w:eastAsia="Times New Roman" w:hAnsi="Times New Roman" w:cs="Times New Roman"/>
          <w:color w:val="000000"/>
          <w:spacing w:val="0"/>
          <w:w w:val="100"/>
          <w:position w:val="0"/>
          <w:sz w:val="18"/>
          <w:szCs w:val="18"/>
        </w:rPr>
        <w:t>3</w:t>
      </w:r>
      <w:bookmarkEnd w:id="1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月，广东电网有限责任公司</w:t>
      </w:r>
      <w:r>
        <w:rPr>
          <w:rFonts w:ascii="Times New Roman" w:eastAsia="Times New Roman" w:hAnsi="Times New Roman" w:cs="Times New Roman"/>
          <w:color w:val="000000"/>
          <w:spacing w:val="0"/>
          <w:w w:val="100"/>
          <w:position w:val="0"/>
          <w:sz w:val="18"/>
          <w:szCs w:val="18"/>
        </w:rPr>
        <w:t>2016-2017</w:t>
      </w:r>
      <w:r>
        <w:rPr>
          <w:color w:val="000000"/>
          <w:spacing w:val="0"/>
          <w:w w:val="100"/>
          <w:position w:val="0"/>
        </w:rPr>
        <w:t>年配网设备材料（配电箱、熔断器、隔离开关、避雷器等）框架招标 项目，变压器配电箱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不锈钢、</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w:t>
      </w:r>
      <w:r>
        <w:rPr>
          <w:color w:val="000000"/>
          <w:spacing w:val="0"/>
          <w:w w:val="100"/>
          <w:position w:val="0"/>
        </w:rPr>
        <w:t>中产品标金额共</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万元，报告期末合同执行进度为</w:t>
      </w:r>
      <w:r>
        <w:rPr>
          <w:rFonts w:ascii="Times New Roman" w:eastAsia="Times New Roman" w:hAnsi="Times New Roman" w:cs="Times New Roman"/>
          <w:color w:val="000000"/>
          <w:spacing w:val="0"/>
          <w:w w:val="100"/>
          <w:position w:val="0"/>
          <w:sz w:val="18"/>
          <w:szCs w:val="18"/>
        </w:rPr>
        <w:t>7.86%</w:t>
      </w:r>
      <w:r>
        <w:rPr>
          <w:color w:val="000000"/>
          <w:spacing w:val="0"/>
          <w:w w:val="100"/>
          <w:position w:val="0"/>
        </w:rPr>
        <w:t>。</w:t>
      </w:r>
    </w:p>
    <w:p>
      <w:pPr>
        <w:pStyle w:val="Style33"/>
        <w:keepNext/>
        <w:keepLines/>
        <w:widowControl w:val="0"/>
        <w:shd w:val="clear" w:color="auto" w:fill="auto"/>
        <w:tabs>
          <w:tab w:pos="493" w:val="left"/>
        </w:tabs>
        <w:bidi w:val="0"/>
        <w:spacing w:before="0" w:after="2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7"/>
      <w:bookmarkEnd w:id="138"/>
      <w:bookmarkEnd w:id="140"/>
    </w:p>
    <w:p>
      <w:pPr>
        <w:pStyle w:val="Style2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282"/>
        <w:gridCol w:w="1416"/>
        <w:gridCol w:w="1416"/>
        <w:gridCol w:w="1277"/>
        <w:gridCol w:w="141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164,346,451.69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122,210,666.66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12,097,202.85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12,483,248.35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2,722,219.65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358.57%</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282"/>
        <w:gridCol w:w="1416"/>
        <w:gridCol w:w="1416"/>
        <w:gridCol w:w="1277"/>
        <w:gridCol w:w="141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30,645,550.42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33,985,545.38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30,772,162.25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21,026,248.84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8,247,550.83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10,053,004.40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16,921,192.79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11,432,329.66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绝缘母线和管母线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7,368,347.35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7,565,388.40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60,582,136.36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28,495,766.58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聚酰亚胺树脂产品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（特种工程塑料）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623,292.84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11,472,803.17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其他电气设备及附件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9,809,511.69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9,653,490.24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12,483,248.35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2,722,219.65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358.57%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说明：无。</w:t>
      </w:r>
    </w:p>
    <w:p>
      <w:pPr>
        <w:pStyle w:val="Style33"/>
        <w:keepNext/>
        <w:keepLines/>
        <w:widowControl w:val="0"/>
        <w:shd w:val="clear" w:color="auto" w:fill="auto"/>
        <w:bidi w:val="0"/>
        <w:spacing w:before="0" w:after="3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1"/>
      <w:bookmarkEnd w:id="142"/>
      <w:bookmarkEnd w:id="144"/>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326" w:lineRule="exact"/>
        <w:ind w:left="0" w:right="0" w:firstLine="320"/>
        <w:jc w:val="left"/>
      </w:pPr>
      <w:r>
        <w:rPr>
          <w:color w:val="000000"/>
          <w:spacing w:val="0"/>
          <w:w w:val="100"/>
          <w:position w:val="0"/>
        </w:rPr>
        <w:t>经公司总裁办公会批准：</w:t>
      </w:r>
    </w:p>
    <w:p>
      <w:pPr>
        <w:pStyle w:val="Style29"/>
        <w:keepNext w:val="0"/>
        <w:keepLines w:val="0"/>
        <w:widowControl w:val="0"/>
        <w:shd w:val="clear" w:color="auto" w:fill="auto"/>
        <w:tabs>
          <w:tab w:pos="704" w:val="left"/>
        </w:tabs>
        <w:bidi w:val="0"/>
        <w:spacing w:before="0" w:after="0" w:line="326" w:lineRule="exact"/>
        <w:ind w:left="0" w:right="0"/>
        <w:jc w:val="both"/>
      </w:pPr>
      <w:bookmarkStart w:id="145" w:name="bookmark145"/>
      <w:r>
        <w:rPr>
          <w:rFonts w:ascii="Times New Roman" w:eastAsia="Times New Roman" w:hAnsi="Times New Roman" w:cs="Times New Roman"/>
          <w:color w:val="000000"/>
          <w:spacing w:val="0"/>
          <w:w w:val="100"/>
          <w:position w:val="0"/>
          <w:sz w:val="18"/>
          <w:szCs w:val="18"/>
        </w:rPr>
        <w:t>1</w:t>
      </w:r>
      <w:bookmarkEnd w:id="14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日与子公司喀什中汇联银共同投资设立合伙企业中汇联鑫，于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日与武汉纳思、宁波 永耀信息科技有限公司共同发起设立子公司永耀惠程。</w:t>
      </w:r>
    </w:p>
    <w:p>
      <w:pPr>
        <w:pStyle w:val="Style29"/>
        <w:keepNext w:val="0"/>
        <w:keepLines w:val="0"/>
        <w:widowControl w:val="0"/>
        <w:shd w:val="clear" w:color="auto" w:fill="auto"/>
        <w:tabs>
          <w:tab w:pos="704" w:val="left"/>
        </w:tabs>
        <w:bidi w:val="0"/>
        <w:spacing w:before="0" w:after="0" w:line="331" w:lineRule="exact"/>
        <w:ind w:left="0" w:right="0"/>
        <w:jc w:val="both"/>
        <w:rPr>
          <w:sz w:val="19"/>
          <w:szCs w:val="19"/>
        </w:rPr>
      </w:pPr>
      <w:bookmarkStart w:id="146" w:name="bookmark146"/>
      <w:r>
        <w:rPr>
          <w:rFonts w:ascii="Times New Roman" w:eastAsia="Times New Roman" w:hAnsi="Times New Roman" w:cs="Times New Roman"/>
          <w:color w:val="000000"/>
          <w:spacing w:val="0"/>
          <w:w w:val="100"/>
          <w:position w:val="0"/>
          <w:sz w:val="18"/>
          <w:szCs w:val="18"/>
        </w:rPr>
        <w:t>2</w:t>
      </w:r>
      <w:bookmarkEnd w:id="146"/>
      <w:r>
        <w:rPr>
          <w:color w:val="000000"/>
          <w:spacing w:val="0"/>
          <w:w w:val="100"/>
          <w:position w:val="0"/>
          <w:sz w:val="17"/>
          <w:szCs w:val="17"/>
        </w:rPr>
        <w:t>、</w:t>
        <w:tab/>
        <w:t>子公司北京中汇联银于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日在上海发起设立全资孙公司豪琛投资、鹏胤投资，于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日以受让股 权的方式取得孙公司中汇同盈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w:t>
      </w:r>
      <w:r>
        <w:rPr>
          <w:color w:val="000000"/>
          <w:spacing w:val="0"/>
          <w:w w:val="100"/>
          <w:position w:val="0"/>
          <w:sz w:val="19"/>
          <w:szCs w:val="19"/>
        </w:rPr>
        <w:t>。</w:t>
      </w:r>
    </w:p>
    <w:p>
      <w:pPr>
        <w:pStyle w:val="Style29"/>
        <w:keepNext w:val="0"/>
        <w:keepLines w:val="0"/>
        <w:widowControl w:val="0"/>
        <w:shd w:val="clear" w:color="auto" w:fill="auto"/>
        <w:bidi w:val="0"/>
        <w:spacing w:before="0" w:after="380" w:line="326" w:lineRule="exact"/>
        <w:ind w:left="0" w:right="0"/>
        <w:jc w:val="both"/>
      </w:pPr>
      <w:r>
        <w:rPr>
          <w:color w:val="000000"/>
          <w:spacing w:val="0"/>
          <w:w w:val="100"/>
          <w:position w:val="0"/>
        </w:rPr>
        <w:t>公司将以上新成立的合伙企业、子公司、孙公司纳入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年年度财务报表合并范围。</w:t>
      </w:r>
    </w:p>
    <w:p>
      <w:pPr>
        <w:pStyle w:val="Style33"/>
        <w:keepNext/>
        <w:keepLines/>
        <w:widowControl w:val="0"/>
        <w:shd w:val="clear" w:color="auto" w:fill="auto"/>
        <w:tabs>
          <w:tab w:pos="515" w:val="left"/>
        </w:tabs>
        <w:bidi w:val="0"/>
        <w:spacing w:before="0" w:after="38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29"/>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报告期内，公司电气业务除了销售原有中低压电气设备、</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电气设备箱体电缆附件、管型母线等产品外，公司还积 极创新业务模式，成功研发了新能源汽车充电设备产品。目前该产品已通过第三方检测并取得相应资质，相应的生产线正在 建造中。公司管理团队看好新能源汽车产业及其相关产业链，预计正式投产后会对公司经营及业绩产生积极影响。</w:t>
      </w:r>
    </w:p>
    <w:p>
      <w:pPr>
        <w:pStyle w:val="Style33"/>
        <w:keepNext/>
        <w:keepLines/>
        <w:widowControl w:val="0"/>
        <w:shd w:val="clear" w:color="auto" w:fill="auto"/>
        <w:tabs>
          <w:tab w:pos="515"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112"/>
        <w:gridCol w:w="447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125,828,849.41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21"/>
        <w:gridCol w:w="3346"/>
        <w:gridCol w:w="235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66,427,887.21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23.02%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35,178,799.15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12.19%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9,338,841.38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7,618,364.41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7,264,957.26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125,828,849.41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43.61%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141"/>
        <w:gridCol w:w="457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40,648,929.26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55"/>
        <w:gridCol w:w="3211"/>
        <w:gridCol w:w="235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11,727,731.59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10,559,274.55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7,259,658.12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6,396,025.70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4,706,239.30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40,648,929.26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pPr>
            <w:r>
              <w:rPr>
                <w:color w:val="000000"/>
                <w:spacing w:val="0"/>
                <w:w w:val="100"/>
                <w:position w:val="0"/>
              </w:rPr>
              <w:t>24.82%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4"/>
        <w:gridCol w:w="1656"/>
        <w:gridCol w:w="1656"/>
        <w:gridCol w:w="1478"/>
        <w:gridCol w:w="297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49,406,002.36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47,439,473.03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系新增广告宣传费所致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120,675,096.54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81,978,681.32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系股权激励费用确认所致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-3,517,421.37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-1,171,518.79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系本年结构性存款利息收入增加所致</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846"/>
        <w:gridCol w:w="2410"/>
        <w:gridCol w:w="2261"/>
        <w:gridCol w:w="216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4,456.83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31,320.10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占营业收入的比重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公司研发投入情况</w:t>
      </w:r>
    </w:p>
    <w:tbl>
      <w:tblPr>
        <w:tblOverlap w:val="never"/>
        <w:jc w:val="center"/>
        <w:tblLayout w:type="fixed"/>
      </w:tblPr>
      <w:tblGrid>
        <w:gridCol w:w="2875"/>
        <w:gridCol w:w="2410"/>
        <w:gridCol w:w="2266"/>
        <w:gridCol w:w="216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9,990,729.58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12,801,343.79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65"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年公司营业收入同比增长</w:t>
      </w:r>
      <w:r>
        <w:rPr>
          <w:rFonts w:ascii="Times New Roman" w:eastAsia="Times New Roman" w:hAnsi="Times New Roman" w:cs="Times New Roman"/>
          <w:color w:val="000000"/>
          <w:spacing w:val="0"/>
          <w:w w:val="100"/>
          <w:position w:val="0"/>
          <w:sz w:val="18"/>
          <w:szCs w:val="18"/>
        </w:rPr>
        <w:t>37.85%</w:t>
      </w:r>
      <w:r>
        <w:rPr>
          <w:color w:val="000000"/>
          <w:spacing w:val="0"/>
          <w:w w:val="100"/>
          <w:position w:val="0"/>
        </w:rPr>
        <w:t>，同时上年度剥离新材料业务子公司后本年研发支出减少所致。 研发投入资本化率大幅变动的原因及其合理性说明</w:t>
      </w:r>
    </w:p>
    <w:p>
      <w:pPr>
        <w:pStyle w:val="Style29"/>
        <w:keepNext w:val="0"/>
        <w:keepLines w:val="0"/>
        <w:widowControl w:val="0"/>
        <w:shd w:val="clear" w:color="auto" w:fill="auto"/>
        <w:bidi w:val="0"/>
        <w:spacing w:before="0" w:after="22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299,385,367.78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288,550,846.44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300,031,578.06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285,687,120.86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-646,210.28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2,863,725.58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3,406,455,286.44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5,161,778,448.08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4,103,207,196.33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5,244,457,718.82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-696,751,909.89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-82,679,270.74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380,426,554.82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144,934,000.00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228,806.17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58,459,655.39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380,197,748.65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86,474,344.61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-316,884,648.69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6,516,341.30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-4,962.92%</w:t>
            </w:r>
          </w:p>
        </w:tc>
      </w:tr>
    </w:tbl>
    <w:p>
      <w:pPr>
        <w:pStyle w:val="Style29"/>
        <w:keepNext w:val="0"/>
        <w:keepLines w:val="0"/>
        <w:widowControl w:val="0"/>
        <w:shd w:val="clear" w:color="auto" w:fill="auto"/>
        <w:bidi w:val="0"/>
        <w:spacing w:before="0" w:after="140" w:line="318"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09" w:val="left"/>
        </w:tabs>
        <w:bidi w:val="0"/>
        <w:spacing w:before="0" w:after="0" w:line="317" w:lineRule="exact"/>
        <w:ind w:left="0" w:right="0"/>
        <w:jc w:val="both"/>
      </w:pPr>
      <w:bookmarkStart w:id="167" w:name="bookmark167"/>
      <w:r>
        <w:rPr>
          <w:rFonts w:ascii="Times New Roman" w:eastAsia="Times New Roman" w:hAnsi="Times New Roman" w:cs="Times New Roman"/>
          <w:color w:val="000000"/>
          <w:spacing w:val="0"/>
          <w:w w:val="100"/>
          <w:position w:val="0"/>
          <w:sz w:val="18"/>
          <w:szCs w:val="18"/>
        </w:rPr>
        <w:t>1</w:t>
      </w:r>
      <w:bookmarkEnd w:id="167"/>
      <w:r>
        <w:rPr>
          <w:color w:val="000000"/>
          <w:spacing w:val="0"/>
          <w:w w:val="100"/>
          <w:position w:val="0"/>
        </w:rPr>
        <w:t>、</w:t>
        <w:tab/>
        <w:t>经营活动现金流入、现金流出同比有所增幅的主要原因为本期公司订单增加，收入有所上升，对应的销售收款及采 购业务支出均有不同程度的增加，经营活动现金流量净额减少主要系处置公司闲置房产税费支出增加所致。</w:t>
      </w:r>
    </w:p>
    <w:p>
      <w:pPr>
        <w:pStyle w:val="Style29"/>
        <w:keepNext w:val="0"/>
        <w:keepLines w:val="0"/>
        <w:widowControl w:val="0"/>
        <w:shd w:val="clear" w:color="auto" w:fill="auto"/>
        <w:tabs>
          <w:tab w:pos="714" w:val="left"/>
        </w:tabs>
        <w:bidi w:val="0"/>
        <w:spacing w:before="0" w:after="0" w:line="319" w:lineRule="exact"/>
        <w:ind w:left="0" w:right="0"/>
        <w:jc w:val="both"/>
      </w:pPr>
      <w:bookmarkStart w:id="168" w:name="bookmark168"/>
      <w:r>
        <w:rPr>
          <w:rFonts w:ascii="Times New Roman" w:eastAsia="Times New Roman" w:hAnsi="Times New Roman" w:cs="Times New Roman"/>
          <w:color w:val="000000"/>
          <w:spacing w:val="0"/>
          <w:w w:val="100"/>
          <w:position w:val="0"/>
          <w:sz w:val="18"/>
          <w:szCs w:val="18"/>
        </w:rPr>
        <w:t>2</w:t>
      </w:r>
      <w:bookmarkEnd w:id="168"/>
      <w:r>
        <w:rPr>
          <w:color w:val="000000"/>
          <w:spacing w:val="0"/>
          <w:w w:val="100"/>
          <w:position w:val="0"/>
        </w:rPr>
        <w:t>、</w:t>
        <w:tab/>
        <w:t>投资活动现金流入、现金流出同比大幅降低的主要原因是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年公司的投资以短期理财为主，资金周转速度较快；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年公司投资以中长期为主，资金周转速度下降，资金可循环投资次数减少。</w:t>
      </w:r>
    </w:p>
    <w:p>
      <w:pPr>
        <w:pStyle w:val="Style29"/>
        <w:keepNext w:val="0"/>
        <w:keepLines w:val="0"/>
        <w:widowControl w:val="0"/>
        <w:shd w:val="clear" w:color="auto" w:fill="auto"/>
        <w:tabs>
          <w:tab w:pos="718" w:val="left"/>
        </w:tabs>
        <w:bidi w:val="0"/>
        <w:spacing w:before="0" w:after="0" w:line="319" w:lineRule="exact"/>
        <w:ind w:left="0" w:right="0"/>
        <w:jc w:val="both"/>
      </w:pPr>
      <w:bookmarkStart w:id="169" w:name="bookmark169"/>
      <w:r>
        <w:rPr>
          <w:rFonts w:ascii="Times New Roman" w:eastAsia="Times New Roman" w:hAnsi="Times New Roman" w:cs="Times New Roman"/>
          <w:color w:val="000000"/>
          <w:spacing w:val="0"/>
          <w:w w:val="100"/>
          <w:position w:val="0"/>
          <w:sz w:val="18"/>
          <w:szCs w:val="18"/>
        </w:rPr>
        <w:t>3</w:t>
      </w:r>
      <w:bookmarkEnd w:id="169"/>
      <w:r>
        <w:rPr>
          <w:color w:val="000000"/>
          <w:spacing w:val="0"/>
          <w:w w:val="100"/>
          <w:position w:val="0"/>
        </w:rPr>
        <w:t>、</w:t>
        <w:tab/>
        <w:t>筹资活动产生的现金流入、现金流量净额同比大幅增长的主要原因为本期公司推出</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年股权激励计划，收到激励 对象投资款，筹资活动现金流出大幅减少主要原因是银行贷款未到偿还期，尚无需归还本金。</w:t>
      </w:r>
    </w:p>
    <w:p>
      <w:pPr>
        <w:pStyle w:val="Style29"/>
        <w:keepNext w:val="0"/>
        <w:keepLines w:val="0"/>
        <w:widowControl w:val="0"/>
        <w:shd w:val="clear" w:color="auto" w:fill="auto"/>
        <w:bidi w:val="0"/>
        <w:spacing w:before="0" w:after="140" w:line="318"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因本期存在投资性房地产市值增长所产生的公允价值变动损益及联营企业权益法下核算确认的投资收益，该部分增加净 利润，而不产生相应现金流，导致净利润与经营活动现金流量存在较大差异。</w:t>
      </w:r>
    </w:p>
    <w:p>
      <w:pPr>
        <w:pStyle w:val="Style25"/>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三</w:t>
      </w:r>
      <w:bookmarkEnd w:id="172"/>
      <w:r>
        <w:rPr>
          <w:color w:val="000000"/>
          <w:spacing w:val="0"/>
          <w:w w:val="100"/>
          <w:position w:val="0"/>
        </w:rPr>
        <w:t>、非主营业务分析</w:t>
      </w:r>
      <w:bookmarkEnd w:id="170"/>
      <w:bookmarkEnd w:id="171"/>
      <w:bookmarkEnd w:id="17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1320"/>
        <w:gridCol w:w="1416"/>
        <w:gridCol w:w="3826"/>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-352,966.93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报告期内惠程智能、惠程本部证券投资亏损所致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不具有可持续性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16,554,271.76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报告期内公司所持投资性房地产市价升值所致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不具有可持续性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7,414,529.45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报告期内坏账减值、存货减值以及坏账核销所致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不具有可持续性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14,486,718.27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报告期内闲置房产处置、政府补助、应付账款核 销所致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不具有可持续性</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1,330,000.93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报告期内违约金、滞纳金及其他事项所致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不具有可持续性</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四</w:t>
      </w:r>
      <w:bookmarkEnd w:id="176"/>
      <w:r>
        <w:rPr>
          <w:color w:val="000000"/>
          <w:spacing w:val="0"/>
          <w:w w:val="100"/>
          <w:position w:val="0"/>
        </w:rPr>
        <w:t>、资产及负债状况分析</w:t>
      </w:r>
      <w:bookmarkEnd w:id="174"/>
      <w:bookmarkEnd w:id="175"/>
      <w:bookmarkEnd w:id="177"/>
    </w:p>
    <w:p>
      <w:pPr>
        <w:pStyle w:val="Style33"/>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277"/>
        <w:gridCol w:w="845"/>
        <w:gridCol w:w="1282"/>
        <w:gridCol w:w="941"/>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67,402,733.52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406,626,084.56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系本年现金支付产业并购基金投资款 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115,088,573.05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97,332,332.67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系本年主营业务收入增加所致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66,351,928.70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50,247,545.69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264,912,386.01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55,487,500.00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系本年新增外购投资性房地产及在建 工程转入所致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684,619,923.83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109,093.66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系本年投资产业并购基金所致</w:t>
            </w:r>
          </w:p>
        </w:tc>
      </w:tr>
    </w:tbl>
    <w:p>
      <w:pPr>
        <w:spacing w:lineRule="exact" w:line="1"/>
        <w:rPr>
          <w:sz w:val="2"/>
          <w:szCs w:val="2"/>
        </w:rPr>
      </w:pPr>
      <w:r>
        <w:br w:type="page"/>
      </w:r>
    </w:p>
    <w:tbl>
      <w:tblPr>
        <w:tblOverlap w:val="never"/>
        <w:jc w:val="center"/>
        <w:tblLayout w:type="fixed"/>
      </w:tblPr>
      <w:tblGrid>
        <w:gridCol w:w="1598"/>
        <w:gridCol w:w="1277"/>
        <w:gridCol w:w="845"/>
        <w:gridCol w:w="1282"/>
        <w:gridCol w:w="941"/>
        <w:gridCol w:w="806"/>
        <w:gridCol w:w="29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104,839,944.05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117,369,604.13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系本年处置闲置房产所致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903,218.56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81,969,140.00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系本期在建工程验收转入投资性房地 产所致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53,650,554.82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系本期新增银行流动贷款所致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 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99,371,765.40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系期末持有证券投资所致</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585,168,059.08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543,409,278.01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系本期理财产品申购金额的增加，以 及年末已行权期权完成股本登记款项 尚未结算至公司账户所致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0"/>
        <w:gridCol w:w="1176"/>
        <w:gridCol w:w="1176"/>
        <w:gridCol w:w="1171"/>
        <w:gridCol w:w="1176"/>
        <w:gridCol w:w="1315"/>
        <w:gridCol w:w="1315"/>
        <w:gridCol w:w="119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 计量且其变动 计入当期损益 的金融资产</w:t>
            </w:r>
          </w:p>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（不含衍生金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-851,963.34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1,427,881,722.28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1,307,638,106.55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99,371,765.40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-851,963.34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1,427,881,722.28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1,307,638,106.55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99,371,765.40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55,487,500.00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16,819,549.37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17,635,617.43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212,006,606.25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19,401,269.61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264,912,386.01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55,487,500.00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15,967,586.03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17,635,617.43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1,639,888,328.53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1,327,039,376.16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364,284,151.41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说明：以公允价值计量且其变动计入当期损益的金融资产（不含衍生金融资产）本期购买金额较大系自有资金循环投资重复 计算所致。</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报告期内公司主要资产计量属性发生重大变化的原因说明及对其经营成果和财务状况影响</w:t>
      </w:r>
    </w:p>
    <w:tbl>
      <w:tblPr>
        <w:tblOverlap w:val="never"/>
        <w:jc w:val="center"/>
        <w:tblLayout w:type="fixed"/>
      </w:tblPr>
      <w:tblGrid>
        <w:gridCol w:w="3230"/>
        <w:gridCol w:w="3221"/>
        <w:gridCol w:w="3226"/>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根据本公司第五届董事会第二十九次会 议决议，本公司自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日起对投资 性房地产由成本法进行后续计量转换为 采用公允价值模式进行后续计量。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经本公司第五届董事会第二十九次会议 决议批准。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为了更好、更客观地反映公司持有的投资 性房地产的真实价值，增强公司财务信息 的准确性。</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根据企业会计准则规定，本次会计政策变更应当对财务报表进行追溯调整。追溯调整后对定期报告合并资产负债表及合 并净利润的影响情况如下：</w:t>
      </w:r>
    </w:p>
    <w:p>
      <w:pPr>
        <w:pStyle w:val="Style29"/>
        <w:keepNext w:val="0"/>
        <w:keepLines w:val="0"/>
        <w:widowControl w:val="0"/>
        <w:shd w:val="clear" w:color="auto" w:fill="auto"/>
        <w:bidi w:val="0"/>
        <w:spacing w:before="0" w:after="100" w:line="312" w:lineRule="exact"/>
        <w:ind w:left="0" w:right="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日合并资产负债表及</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年度合并净利润的影响。</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064"/>
        <w:gridCol w:w="2064"/>
        <w:gridCol w:w="171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影响金额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10,552,368.08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55,487,500.00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44,935,131.92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11,606,791.19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10,744,704.38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-862,086.81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4,063,311.90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4,063,311.90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329,522,674.41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357,433,267.06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27,910,592.65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-88,736.08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12,010,404.48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12,099,140.56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1,160,617,682.91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1,200,627,416.12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40,009,733.21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137,875,211.36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137,030,089.16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-845,122.20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7,421,850.00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7,421,850.00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12,073,106.72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13,313,152.55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1,240,045.83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128,331,538.12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135,358,464.49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7,026,926.37</w:t>
            </w:r>
          </w:p>
        </w:tc>
      </w:tr>
    </w:tbl>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除上述外，本期无其他会计政策、会计估计变更，无重大会计差错更正。</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3830"/>
        <w:gridCol w:w="426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期末账面价值（净值）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16,809,919.70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保函、信用证、银行承兑汇票保证金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62,912,559.87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借款抵押</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3,796,764.12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借款抵押</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五</w:t>
      </w:r>
      <w:bookmarkEnd w:id="192"/>
      <w:r>
        <w:rPr>
          <w:color w:val="000000"/>
          <w:spacing w:val="0"/>
          <w:w w:val="100"/>
          <w:position w:val="0"/>
        </w:rPr>
        <w:t>、投资状况分析</w:t>
      </w:r>
      <w:bookmarkEnd w:id="190"/>
      <w:bookmarkEnd w:id="191"/>
      <w:bookmarkEnd w:id="193"/>
    </w:p>
    <w:p>
      <w:pPr>
        <w:pStyle w:val="Style33"/>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5,382,478,918.61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9,179,779,396.45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w:t>
            </w:r>
          </w:p>
        </w:tc>
      </w:tr>
    </w:tbl>
    <w:p>
      <w:pPr>
        <w:sectPr>
          <w:footnotePr>
            <w:pos w:val="pageBottom"/>
            <w:numFmt w:val="decimal"/>
            <w:numRestart w:val="continuous"/>
          </w:footnotePr>
          <w:pgSz w:w="11900" w:h="16840"/>
          <w:pgMar w:top="1372" w:right="1049" w:bottom="1466" w:left="1063"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、报告期内获取的重大的股权投资情况</w:t>
      </w:r>
      <w:bookmarkEnd w:id="198"/>
      <w:bookmarkEnd w:id="199"/>
      <w:bookmarkEnd w:id="20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835"/>
        <w:gridCol w:w="619"/>
        <w:gridCol w:w="518"/>
        <w:gridCol w:w="1181"/>
        <w:gridCol w:w="710"/>
        <w:gridCol w:w="566"/>
        <w:gridCol w:w="1277"/>
        <w:gridCol w:w="566"/>
        <w:gridCol w:w="994"/>
        <w:gridCol w:w="989"/>
        <w:gridCol w:w="1282"/>
        <w:gridCol w:w="1272"/>
        <w:gridCol w:w="557"/>
        <w:gridCol w:w="878"/>
        <w:gridCol w:w="179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60" w:lineRule="exact"/>
              <w:ind w:left="0" w:right="0" w:firstLine="0"/>
              <w:jc w:val="center"/>
              <w:rPr>
                <w:sz w:val="17"/>
                <w:szCs w:val="17"/>
              </w:rPr>
            </w:pPr>
            <w:r>
              <w:rPr>
                <w:rFonts w:ascii="SimSun" w:eastAsia="SimSun" w:hAnsi="SimSun" w:cs="SimSun"/>
                <w:color w:val="000000"/>
                <w:spacing w:val="0"/>
                <w:w w:val="100"/>
                <w:position w:val="0"/>
                <w:sz w:val="17"/>
                <w:szCs w:val="17"/>
              </w:rPr>
              <w:t>主要 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截至资产负 债表日的进 展情况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本期投资盈亏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77" w:lineRule="exact"/>
              <w:ind w:left="0" w:right="0" w:firstLine="0"/>
              <w:jc w:val="left"/>
              <w:rPr>
                <w:sz w:val="17"/>
                <w:szCs w:val="17"/>
              </w:rPr>
            </w:pPr>
            <w:r>
              <w:rPr>
                <w:rFonts w:ascii="SimSun" w:eastAsia="SimSun" w:hAnsi="SimSun" w:cs="SimSun"/>
                <w:color w:val="000000"/>
                <w:spacing w:val="0"/>
                <w:w w:val="100"/>
                <w:position w:val="0"/>
                <w:sz w:val="17"/>
                <w:szCs w:val="17"/>
              </w:rPr>
              <w:t>阜木 是否</w:t>
            </w:r>
          </w:p>
          <w:p>
            <w:pPr>
              <w:pStyle w:val="Style22"/>
              <w:keepNext w:val="0"/>
              <w:keepLines w:val="0"/>
              <w:widowControl w:val="0"/>
              <w:shd w:val="clear" w:color="auto" w:fill="auto"/>
              <w:bidi w:val="0"/>
              <w:spacing w:before="0" w:after="0" w:line="77" w:lineRule="exact"/>
              <w:ind w:left="0" w:right="0" w:firstLine="0"/>
              <w:jc w:val="left"/>
              <w:rPr>
                <w:sz w:val="17"/>
                <w:szCs w:val="17"/>
              </w:rPr>
            </w:pPr>
            <w:r>
              <w:rPr>
                <w:rFonts w:ascii="SimSun" w:eastAsia="SimSun" w:hAnsi="SimSun" w:cs="SimSun"/>
                <w:color w:val="000000"/>
                <w:spacing w:val="0"/>
                <w:w w:val="100"/>
                <w:position w:val="0"/>
                <w:sz w:val="17"/>
                <w:szCs w:val="17"/>
              </w:rPr>
              <w:t>涉诉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披露索引（如有）</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北京信中 利赞信股 权投资中 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北京信中利股 权投资管理有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中航信 托股份有限公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项目投资； 投资管理； 资产管理； 投资咨询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已设立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93,820,568.83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《关于签署</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信中利惠 程产业并购基金之合 作协议 </w:t>
            </w:r>
            <w:r>
              <w:rPr>
                <w:color w:val="000000"/>
                <w:spacing w:val="0"/>
                <w:w w:val="100"/>
                <w:position w:val="0"/>
                <w:sz w:val="18"/>
                <w:szCs w:val="18"/>
              </w:rPr>
              <w:t>＞</w:t>
            </w:r>
            <w:r>
              <w:rPr>
                <w:rFonts w:ascii="SimSun" w:eastAsia="SimSun" w:hAnsi="SimSun" w:cs="SimSun"/>
                <w:color w:val="000000"/>
                <w:spacing w:val="0"/>
                <w:w w:val="100"/>
                <w:position w:val="0"/>
                <w:sz w:val="17"/>
                <w:szCs w:val="17"/>
              </w:rPr>
              <w:t>的公告》（公告 编号：</w:t>
            </w:r>
            <w:r>
              <w:rPr>
                <w:color w:val="000000"/>
                <w:spacing w:val="0"/>
                <w:w w:val="100"/>
                <w:position w:val="0"/>
                <w:sz w:val="18"/>
                <w:szCs w:val="18"/>
              </w:rPr>
              <w:t>2016-087</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93,820,568.83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12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w:t>
        <w:tab/>
        <w:t>以公允价值计量的金融资产</w:t>
      </w:r>
      <w:bookmarkEnd w:id="206"/>
      <w:bookmarkEnd w:id="207"/>
      <w:bookmarkEnd w:id="20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670"/>
        <w:gridCol w:w="1632"/>
        <w:gridCol w:w="1416"/>
        <w:gridCol w:w="1416"/>
        <w:gridCol w:w="1728"/>
        <w:gridCol w:w="1901"/>
        <w:gridCol w:w="1666"/>
        <w:gridCol w:w="1579"/>
        <w:gridCol w:w="102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本期公允价值变 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报告期内购入金额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报告期内售出金额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累计投资收益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148,610,000.00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-851,963.34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1,427,881,722.28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1,307,638,106.55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-20,019,886.99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99,371,765.40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148,610,000.00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-851,963.34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1,427,881,722.28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1,307,638,106.55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-20,019,886.99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99,371,765.40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说明：报告期末至本报告报出日（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日），公司证券投资账户累计实现收益为</w:t>
      </w:r>
      <w:r>
        <w:rPr>
          <w:rFonts w:ascii="Times New Roman" w:eastAsia="Times New Roman" w:hAnsi="Times New Roman" w:cs="Times New Roman"/>
          <w:color w:val="000000"/>
          <w:spacing w:val="0"/>
          <w:w w:val="100"/>
          <w:position w:val="0"/>
          <w:sz w:val="18"/>
          <w:szCs w:val="18"/>
        </w:rPr>
        <w:t>13,967,918.05</w:t>
      </w:r>
      <w:r>
        <w:rPr>
          <w:color w:val="000000"/>
          <w:spacing w:val="0"/>
          <w:w w:val="100"/>
          <w:position w:val="0"/>
        </w:rPr>
        <w:t>元，年报报出日证券账户余额为</w:t>
      </w:r>
      <w:r>
        <w:rPr>
          <w:rFonts w:ascii="Times New Roman" w:eastAsia="Times New Roman" w:hAnsi="Times New Roman" w:cs="Times New Roman"/>
          <w:color w:val="000000"/>
          <w:spacing w:val="0"/>
          <w:w w:val="100"/>
          <w:position w:val="0"/>
          <w:sz w:val="18"/>
          <w:szCs w:val="18"/>
        </w:rPr>
        <w:t>113,339,683.45</w:t>
      </w:r>
      <w:r>
        <w:rPr>
          <w:color w:val="000000"/>
          <w:spacing w:val="0"/>
          <w:w w:val="100"/>
          <w:position w:val="0"/>
        </w:rPr>
        <w:t>元。</w:t>
      </w:r>
      <w:r>
        <w:br w:type="page"/>
      </w:r>
    </w:p>
    <w:p>
      <w:pPr>
        <w:pStyle w:val="Style33"/>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六</w:t>
      </w:r>
      <w:bookmarkEnd w:id="216"/>
      <w:r>
        <w:rPr>
          <w:color w:val="000000"/>
          <w:spacing w:val="0"/>
          <w:w w:val="100"/>
          <w:position w:val="0"/>
        </w:rPr>
        <w:t>、重大资产和股权出售</w:t>
      </w:r>
      <w:bookmarkEnd w:id="214"/>
      <w:bookmarkEnd w:id="215"/>
      <w:bookmarkEnd w:id="217"/>
    </w:p>
    <w:p>
      <w:pPr>
        <w:pStyle w:val="Style33"/>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、出售重大资产情况</w:t>
      </w:r>
      <w:bookmarkEnd w:id="218"/>
      <w:bookmarkEnd w:id="219"/>
      <w:bookmarkEnd w:id="221"/>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4"/>
        <w:gridCol w:w="1574"/>
        <w:gridCol w:w="854"/>
        <w:gridCol w:w="706"/>
        <w:gridCol w:w="994"/>
        <w:gridCol w:w="1138"/>
        <w:gridCol w:w="845"/>
        <w:gridCol w:w="715"/>
        <w:gridCol w:w="710"/>
        <w:gridCol w:w="845"/>
        <w:gridCol w:w="710"/>
        <w:gridCol w:w="854"/>
        <w:gridCol w:w="989"/>
        <w:gridCol w:w="994"/>
        <w:gridCol w:w="1234"/>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00"/>
              <w:jc w:val="left"/>
              <w:rPr>
                <w:sz w:val="17"/>
                <w:szCs w:val="17"/>
              </w:rPr>
            </w:pPr>
            <w:r>
              <w:rPr>
                <w:rFonts w:ascii="SimSun" w:eastAsia="SimSun" w:hAnsi="SimSun" w:cs="SimSun"/>
                <w:color w:val="000000"/>
                <w:spacing w:val="0"/>
                <w:w w:val="100"/>
                <w:position w:val="0"/>
                <w:sz w:val="17"/>
                <w:szCs w:val="17"/>
              </w:rPr>
              <w:t>被出售</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本期初起至 出售日该资 产为上市公 司贡献的净 利润（万元）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出售对公司 的影响（注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资产出售 为上市公 司贡献的 净利润占 净利润总 额的比例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资产出 售定价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与交易对 方的关联 关系（适 用关联交 易情形）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所涉及 的资产 产权是 否已全 部过户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所涉及的 债权债务 是否已全 部转移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天津创智大厦</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2101/2102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143.88</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 </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 xml:space="preserve">. com.cn </w:t>
            </w:r>
            <w:r>
              <w:rPr>
                <w:rFonts w:ascii="SimSun" w:eastAsia="SimSun" w:hAnsi="SimSun" w:cs="SimSun"/>
                <w:color w:val="000000"/>
                <w:spacing w:val="0"/>
                <w:w w:val="100"/>
                <w:position w:val="0"/>
                <w:sz w:val="17"/>
                <w:szCs w:val="17"/>
              </w:rPr>
              <w:t>）上的</w:t>
            </w:r>
          </w:p>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《关于处置公 司房产的公 告》（公告编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夏某某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上海绥德路</w:t>
            </w:r>
            <w:r>
              <w:rPr>
                <w:color w:val="000000"/>
                <w:spacing w:val="0"/>
                <w:w w:val="100"/>
                <w:position w:val="0"/>
                <w:sz w:val="18"/>
                <w:szCs w:val="18"/>
              </w:rPr>
              <w:t>2</w:t>
            </w:r>
            <w:r>
              <w:rPr>
                <w:rFonts w:ascii="SimSun" w:eastAsia="SimSun" w:hAnsi="SimSun" w:cs="SimSun"/>
                <w:color w:val="000000"/>
                <w:spacing w:val="0"/>
                <w:w w:val="100"/>
                <w:position w:val="0"/>
                <w:sz w:val="17"/>
                <w:szCs w:val="17"/>
              </w:rPr>
              <w:t>弄</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383.74</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bottom"/>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上海绥德路</w:t>
            </w:r>
            <w:r>
              <w:rPr>
                <w:color w:val="000000"/>
                <w:spacing w:val="0"/>
                <w:w w:val="100"/>
                <w:position w:val="0"/>
                <w:sz w:val="18"/>
                <w:szCs w:val="18"/>
              </w:rPr>
              <w:t>2</w:t>
            </w:r>
            <w:r>
              <w:rPr>
                <w:rFonts w:ascii="SimSun" w:eastAsia="SimSun" w:hAnsi="SimSun" w:cs="SimSun"/>
                <w:color w:val="000000"/>
                <w:spacing w:val="0"/>
                <w:w w:val="100"/>
                <w:position w:val="0"/>
                <w:sz w:val="17"/>
                <w:szCs w:val="17"/>
              </w:rPr>
              <w:t>弄</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283.50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bottom"/>
          </w:tcPr>
          <w:p>
            <w:pP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马某某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上海绥德路</w:t>
            </w:r>
            <w:r>
              <w:rPr>
                <w:color w:val="000000"/>
                <w:spacing w:val="0"/>
                <w:w w:val="100"/>
                <w:position w:val="0"/>
                <w:sz w:val="18"/>
                <w:szCs w:val="18"/>
              </w:rPr>
              <w:t>2</w:t>
            </w:r>
            <w:r>
              <w:rPr>
                <w:rFonts w:ascii="SimSun" w:eastAsia="SimSun" w:hAnsi="SimSun" w:cs="SimSun"/>
                <w:color w:val="000000"/>
                <w:spacing w:val="0"/>
                <w:w w:val="100"/>
                <w:position w:val="0"/>
                <w:sz w:val="17"/>
                <w:szCs w:val="17"/>
              </w:rPr>
              <w:t>弄</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399.50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bottom"/>
          </w:tcPr>
          <w:p>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董某某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越秀区寺右新马路</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133</w:t>
            </w:r>
            <w:r>
              <w:rPr>
                <w:rFonts w:ascii="SimSun" w:eastAsia="SimSun" w:hAnsi="SimSun" w:cs="SimSun"/>
                <w:color w:val="000000"/>
                <w:spacing w:val="0"/>
                <w:w w:val="100"/>
                <w:position w:val="0"/>
                <w:sz w:val="17"/>
                <w:szCs w:val="17"/>
              </w:rPr>
              <w:t>号</w:t>
            </w:r>
            <w:r>
              <w:rPr>
                <w:color w:val="000000"/>
                <w:spacing w:val="0"/>
                <w:w w:val="100"/>
                <w:position w:val="0"/>
                <w:sz w:val="18"/>
                <w:szCs w:val="18"/>
              </w:rPr>
              <w:t>1803</w:t>
            </w:r>
            <w:r>
              <w:rPr>
                <w:rFonts w:ascii="SimSun" w:eastAsia="SimSun" w:hAnsi="SimSun" w:cs="SimSun"/>
                <w:color w:val="000000"/>
                <w:spacing w:val="0"/>
                <w:w w:val="100"/>
                <w:position w:val="0"/>
                <w:sz w:val="17"/>
                <w:szCs w:val="17"/>
              </w:rPr>
              <w:t>房深华</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大厦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114.57</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2016-079</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874"/>
        <w:gridCol w:w="1574"/>
        <w:gridCol w:w="854"/>
        <w:gridCol w:w="706"/>
        <w:gridCol w:w="994"/>
        <w:gridCol w:w="1138"/>
        <w:gridCol w:w="845"/>
        <w:gridCol w:w="715"/>
        <w:gridCol w:w="710"/>
        <w:gridCol w:w="845"/>
        <w:gridCol w:w="710"/>
        <w:gridCol w:w="854"/>
        <w:gridCol w:w="989"/>
        <w:gridCol w:w="994"/>
        <w:gridCol w:w="1234"/>
      </w:tblGrid>
      <w:tr>
        <w:trPr>
          <w:trHeight w:val="74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越秀区寺右南路三 街三巷</w:t>
            </w:r>
            <w:r>
              <w:rPr>
                <w:color w:val="000000"/>
                <w:spacing w:val="0"/>
                <w:w w:val="100"/>
                <w:position w:val="0"/>
                <w:sz w:val="18"/>
                <w:szCs w:val="18"/>
              </w:rPr>
              <w:t>18</w:t>
            </w:r>
            <w:r>
              <w:rPr>
                <w:rFonts w:ascii="SimSun" w:eastAsia="SimSun" w:hAnsi="SimSun" w:cs="SimSun"/>
                <w:color w:val="000000"/>
                <w:spacing w:val="0"/>
                <w:w w:val="100"/>
                <w:position w:val="0"/>
                <w:sz w:val="17"/>
                <w:szCs w:val="17"/>
              </w:rPr>
              <w:t>号</w:t>
            </w:r>
            <w:r>
              <w:rPr>
                <w:color w:val="000000"/>
                <w:spacing w:val="0"/>
                <w:w w:val="100"/>
                <w:position w:val="0"/>
                <w:sz w:val="18"/>
                <w:szCs w:val="18"/>
              </w:rPr>
              <w:t>405</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52.55</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深圳市某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深圳市大工业区燕 子岭生活区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277.00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天河区花城大道</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号</w:t>
            </w:r>
            <w:r>
              <w:rPr>
                <w:color w:val="000000"/>
                <w:spacing w:val="0"/>
                <w:w w:val="100"/>
                <w:position w:val="0"/>
                <w:sz w:val="18"/>
                <w:szCs w:val="18"/>
              </w:rPr>
              <w:t>3004</w:t>
            </w:r>
            <w:r>
              <w:rPr>
                <w:rFonts w:ascii="SimSun" w:eastAsia="SimSun" w:hAnsi="SimSun" w:cs="SimSun"/>
                <w:color w:val="000000"/>
                <w:spacing w:val="0"/>
                <w:w w:val="100"/>
                <w:position w:val="0"/>
                <w:sz w:val="17"/>
                <w:szCs w:val="17"/>
              </w:rPr>
              <w:t>房名门大厦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120.79</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刘某某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西城区车公庄大街 甲</w:t>
            </w:r>
            <w:r>
              <w:rPr>
                <w:color w:val="000000"/>
                <w:spacing w:val="0"/>
                <w:w w:val="100"/>
                <w:position w:val="0"/>
              </w:rPr>
              <w:t>4</w:t>
            </w:r>
            <w:r>
              <w:rPr>
                <w:rFonts w:ascii="SimSun" w:eastAsia="SimSun" w:hAnsi="SimSun" w:cs="SimSun"/>
                <w:color w:val="000000"/>
                <w:spacing w:val="0"/>
                <w:w w:val="100"/>
                <w:position w:val="0"/>
                <w:sz w:val="17"/>
                <w:szCs w:val="17"/>
              </w:rPr>
              <w:t>号</w:t>
            </w:r>
            <w:r>
              <w:rPr>
                <w:color w:val="000000"/>
                <w:spacing w:val="0"/>
                <w:w w:val="100"/>
                <w:position w:val="0"/>
              </w:rPr>
              <w:t>B2202</w:t>
            </w:r>
            <w:r>
              <w:rPr>
                <w:color w:val="000000"/>
                <w:spacing w:val="0"/>
                <w:w w:val="100"/>
                <w:position w:val="0"/>
              </w:rPr>
              <w:t>（</w:t>
            </w:r>
            <w:r>
              <w:rPr>
                <w:rFonts w:ascii="SimSun" w:eastAsia="SimSun" w:hAnsi="SimSun" w:cs="SimSun"/>
                <w:color w:val="000000"/>
                <w:spacing w:val="0"/>
                <w:w w:val="100"/>
                <w:position w:val="0"/>
                <w:sz w:val="17"/>
                <w:szCs w:val="17"/>
              </w:rPr>
              <w:t>物华 大厦</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471.85</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芙蓉区五一路</w:t>
            </w:r>
            <w:r>
              <w:rPr>
                <w:color w:val="000000"/>
                <w:spacing w:val="0"/>
                <w:w w:val="100"/>
                <w:position w:val="0"/>
                <w:sz w:val="18"/>
                <w:szCs w:val="18"/>
              </w:rPr>
              <w:t xml:space="preserve">235 </w:t>
            </w:r>
            <w:r>
              <w:rPr>
                <w:rFonts w:ascii="SimSun" w:eastAsia="SimSun" w:hAnsi="SimSun" w:cs="SimSun"/>
                <w:color w:val="000000"/>
                <w:spacing w:val="0"/>
                <w:w w:val="100"/>
                <w:position w:val="0"/>
                <w:sz w:val="17"/>
                <w:szCs w:val="17"/>
              </w:rPr>
              <w:t>号湘域中央</w:t>
            </w:r>
            <w:r>
              <w:rPr>
                <w:color w:val="000000"/>
                <w:spacing w:val="0"/>
                <w:w w:val="100"/>
                <w:position w:val="0"/>
                <w:sz w:val="18"/>
                <w:szCs w:val="18"/>
              </w:rPr>
              <w:t>1</w:t>
            </w:r>
            <w:r>
              <w:rPr>
                <w:rFonts w:ascii="SimSun" w:eastAsia="SimSun" w:hAnsi="SimSun" w:cs="SimSun"/>
                <w:color w:val="000000"/>
                <w:spacing w:val="0"/>
                <w:w w:val="100"/>
                <w:position w:val="0"/>
                <w:sz w:val="17"/>
                <w:szCs w:val="17"/>
              </w:rPr>
              <w:t>栋</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1909-1910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58.16</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 xml:space="preserve">巨潮资讯网 （ </w:t>
            </w:r>
            <w:r>
              <w:fldChar w:fldCharType="begin"/>
            </w:r>
            <w:r>
              <w:rPr/>
              <w:instrText> HYPERLINK "http://www.cninfo" </w:instrText>
            </w:r>
            <w:r>
              <w:fldChar w:fldCharType="separate"/>
            </w:r>
            <w:r>
              <w:rPr>
                <w:color w:val="000000"/>
                <w:spacing w:val="0"/>
                <w:w w:val="100"/>
                <w:position w:val="0"/>
                <w:sz w:val="18"/>
                <w:szCs w:val="18"/>
              </w:rPr>
              <w:t>www.cninfo</w:t>
            </w:r>
            <w:r>
              <w:fldChar w:fldCharType="end"/>
            </w:r>
            <w:r>
              <w:rPr>
                <w:color w:val="000000"/>
                <w:spacing w:val="0"/>
                <w:w w:val="100"/>
                <w:position w:val="0"/>
                <w:sz w:val="18"/>
                <w:szCs w:val="18"/>
              </w:rPr>
              <w:t xml:space="preserve">. com.cn </w:t>
            </w:r>
            <w:r>
              <w:rPr>
                <w:rFonts w:ascii="SimSun" w:eastAsia="SimSun" w:hAnsi="SimSun" w:cs="SimSun"/>
                <w:color w:val="000000"/>
                <w:spacing w:val="0"/>
                <w:w w:val="100"/>
                <w:position w:val="0"/>
                <w:sz w:val="17"/>
                <w:szCs w:val="17"/>
              </w:rPr>
              <w:t>）上的</w:t>
            </w:r>
          </w:p>
          <w:p>
            <w:pPr>
              <w:pStyle w:val="Style22"/>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《关于处置公 司房产的公 告》（公告编 号：</w:t>
            </w:r>
            <w:r>
              <w:rPr>
                <w:color w:val="000000"/>
                <w:spacing w:val="0"/>
                <w:w w:val="100"/>
                <w:position w:val="0"/>
                <w:sz w:val="18"/>
                <w:szCs w:val="18"/>
              </w:rPr>
              <w:t>2016-085</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罗某某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兰州市城关区皋兰 路街道广场南路 </w:t>
            </w:r>
            <w:r>
              <w:rPr>
                <w:color w:val="000000"/>
                <w:spacing w:val="0"/>
                <w:w w:val="100"/>
                <w:position w:val="0"/>
                <w:sz w:val="18"/>
                <w:szCs w:val="18"/>
              </w:rPr>
              <w:t>107</w:t>
            </w:r>
            <w:r>
              <w:rPr>
                <w:rFonts w:ascii="SimSun" w:eastAsia="SimSun" w:hAnsi="SimSun" w:cs="SimSun"/>
                <w:color w:val="000000"/>
                <w:spacing w:val="0"/>
                <w:w w:val="100"/>
                <w:position w:val="0"/>
                <w:sz w:val="17"/>
                <w:szCs w:val="17"/>
              </w:rPr>
              <w:t>号远达威斯特 大厦第</w:t>
            </w:r>
            <w:r>
              <w:rPr>
                <w:color w:val="000000"/>
                <w:spacing w:val="0"/>
                <w:w w:val="100"/>
                <w:position w:val="0"/>
                <w:sz w:val="18"/>
                <w:szCs w:val="18"/>
              </w:rPr>
              <w:t>2</w:t>
            </w:r>
            <w:r>
              <w:rPr>
                <w:rFonts w:ascii="SimSun" w:eastAsia="SimSun" w:hAnsi="SimSun" w:cs="SimSun"/>
                <w:color w:val="000000"/>
                <w:spacing w:val="0"/>
                <w:w w:val="100"/>
                <w:position w:val="0"/>
                <w:sz w:val="17"/>
                <w:szCs w:val="17"/>
              </w:rPr>
              <w:t>单元</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1103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12.53</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谢某某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白下区中山东路</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288</w:t>
            </w:r>
            <w:r>
              <w:rPr>
                <w:rFonts w:ascii="SimSun" w:eastAsia="SimSun" w:hAnsi="SimSun" w:cs="SimSun"/>
                <w:color w:val="000000"/>
                <w:spacing w:val="0"/>
                <w:w w:val="100"/>
                <w:position w:val="0"/>
                <w:sz w:val="17"/>
                <w:szCs w:val="17"/>
              </w:rPr>
              <w:t>号新世纪广场</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1304 </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107.98</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评估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、出售重大股权情况</w:t>
      </w:r>
      <w:bookmarkEnd w:id="222"/>
      <w:bookmarkEnd w:id="223"/>
      <w:bookmarkEnd w:id="225"/>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936"/>
        <w:gridCol w:w="931"/>
        <w:gridCol w:w="936"/>
        <w:gridCol w:w="931"/>
        <w:gridCol w:w="936"/>
        <w:gridCol w:w="931"/>
        <w:gridCol w:w="936"/>
        <w:gridCol w:w="936"/>
        <w:gridCol w:w="931"/>
        <w:gridCol w:w="936"/>
        <w:gridCol w:w="931"/>
        <w:gridCol w:w="936"/>
        <w:gridCol w:w="1882"/>
      </w:tblGrid>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交易对方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被出售股 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交易价格</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本期初起 至出售日 该股权为 上市公司 贡献的净 利润（万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出售对公 司的影响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股权出售 为上市公 司贡献的 净利润占 净利润总 额的比例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股权出售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与交易对 方的关联 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所涉及的 股权是否 已全部过</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是否按计 划如期实 施，如未按 计划实施，</w:t>
            </w:r>
          </w:p>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应当说明</w:t>
            </w:r>
          </w:p>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原因及公 司已采取 的措施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天津信中 利泰信资 产管理中 心（有限合 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武汉纳思 系统技术 有限公司 </w:t>
            </w:r>
            <w:r>
              <w:rPr>
                <w:color w:val="000000"/>
                <w:spacing w:val="0"/>
                <w:w w:val="100"/>
                <w:position w:val="0"/>
                <w:sz w:val="18"/>
                <w:szCs w:val="18"/>
              </w:rPr>
              <w:t>10%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1,700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交易对方 是公司控 股股东中 驰惠程的 关联方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上的《关于子公司转让 武汉纳思系统技术有限 公司</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股权暨关联交 易的公告》（公告编号： </w:t>
            </w:r>
            <w:r>
              <w:rPr>
                <w:color w:val="000000"/>
                <w:spacing w:val="0"/>
                <w:w w:val="100"/>
                <w:position w:val="0"/>
                <w:sz w:val="18"/>
                <w:szCs w:val="18"/>
              </w:rPr>
              <w:t>2016-119</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七</w:t>
      </w:r>
      <w:bookmarkEnd w:id="228"/>
      <w:r>
        <w:rPr>
          <w:color w:val="000000"/>
          <w:spacing w:val="0"/>
          <w:w w:val="100"/>
          <w:position w:val="0"/>
        </w:rPr>
        <w:t>、主要控股参股公司分析</w:t>
      </w:r>
      <w:bookmarkEnd w:id="226"/>
      <w:bookmarkEnd w:id="227"/>
      <w:bookmarkEnd w:id="2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171"/>
        <w:gridCol w:w="854"/>
        <w:gridCol w:w="4632"/>
        <w:gridCol w:w="1320"/>
        <w:gridCol w:w="1373"/>
        <w:gridCol w:w="1320"/>
        <w:gridCol w:w="946"/>
        <w:gridCol w:w="1181"/>
        <w:gridCol w:w="12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净利润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电力设备及相关配件产品的销售，提供技术支持服务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HKD10,000.00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-946,110.56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11,352.31</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惠程智能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硅橡胶电力绝缘产品的研发生产；电缆分支箱、环网柜、 电力电缆附件等高分子绝缘制品及相关材料、高低压电器、 高低压成套开关设备、箱式变电站、电力自动化产品、跌 落式熔断器、柱上开关、柱上断路器、管母线等相关电力 配网设备的生产、销售及施工服务；股权投资；资产管理; 投资咨询；物业投资、物业经营、物业管理；电工器材的 购销；经营进出口业务；自有产品的售后服务；超级电容 器、高能电容、电池储能组件、电动车及工具用动力电容、 光伏太阳能路灯组件、</w:t>
            </w:r>
            <w:r>
              <w:rPr>
                <w:color w:val="000000"/>
                <w:spacing w:val="0"/>
                <w:w w:val="100"/>
                <w:position w:val="0"/>
                <w:sz w:val="18"/>
                <w:szCs w:val="18"/>
              </w:rPr>
              <w:t>UPS</w:t>
            </w:r>
            <w:r>
              <w:rPr>
                <w:rFonts w:ascii="SimSun" w:eastAsia="SimSun" w:hAnsi="SimSun" w:cs="SimSun"/>
                <w:color w:val="000000"/>
                <w:spacing w:val="0"/>
                <w:w w:val="100"/>
                <w:position w:val="0"/>
                <w:sz w:val="17"/>
                <w:szCs w:val="17"/>
              </w:rPr>
              <w:t>用中继电容及材料的研发、购 销；信息咨询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463,668.76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-412,698.50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-399,534.25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北京中汇联银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投资管理；项目投资；资产管理；投资咨询；经济贸易咨 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394,141,106.01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213,709,672.19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9,974,241.74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5,255,884.67</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喀什中汇联银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创业投资业务；代理其他创业投资企业等机构或个人的创 业投资业务；创业投资咨询业务；为创业企业提供创业管 理服务业务；参与设立创业投资企业与企业投资管理顾问 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267,691,125.06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95,869,888.56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6,409,770.19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2,325,690.47</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北京信中利赞 信股权投资中 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项目投资；投资管理；资产管理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2,137,358,948.44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1,964,323,105.48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188,638,583.10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148,895,455.48</w:t>
            </w:r>
          </w:p>
        </w:tc>
      </w:tr>
    </w:tbl>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4680"/>
        <w:gridCol w:w="4670"/>
        <w:gridCol w:w="468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永耀惠程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中汇联鑫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474,130.65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鹏胤投资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4,147,404.82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豪琛投资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新设成立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2,151,732.58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tabs>
          <w:tab w:pos="714" w:val="left"/>
        </w:tabs>
        <w:bidi w:val="0"/>
        <w:spacing w:before="0" w:after="120" w:line="240" w:lineRule="auto"/>
        <w:ind w:left="0" w:right="0"/>
        <w:jc w:val="both"/>
      </w:pPr>
      <w:bookmarkStart w:id="230" w:name="bookmark230"/>
      <w:r>
        <w:rPr>
          <w:rFonts w:ascii="Times New Roman" w:eastAsia="Times New Roman" w:hAnsi="Times New Roman" w:cs="Times New Roman"/>
          <w:color w:val="000000"/>
          <w:spacing w:val="0"/>
          <w:w w:val="100"/>
          <w:position w:val="0"/>
          <w:sz w:val="18"/>
          <w:szCs w:val="18"/>
        </w:rPr>
        <w:t>1</w:t>
      </w:r>
      <w:bookmarkEnd w:id="230"/>
      <w:r>
        <w:rPr>
          <w:color w:val="000000"/>
          <w:spacing w:val="0"/>
          <w:w w:val="100"/>
          <w:position w:val="0"/>
        </w:rPr>
        <w:t>、</w:t>
        <w:tab/>
        <w:t>经公司总裁办公会审议批准，子公司北京中汇联银于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日以受让股权方式获得中汇同盈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股权，注册资本</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0" w:right="0"/>
        <w:jc w:val="both"/>
      </w:pPr>
      <w:bookmarkStart w:id="231" w:name="bookmark231"/>
      <w:r>
        <w:rPr>
          <w:rFonts w:ascii="Times New Roman" w:eastAsia="Times New Roman" w:hAnsi="Times New Roman" w:cs="Times New Roman"/>
          <w:color w:val="000000"/>
          <w:spacing w:val="0"/>
          <w:w w:val="100"/>
          <w:position w:val="0"/>
          <w:sz w:val="18"/>
          <w:szCs w:val="18"/>
        </w:rPr>
        <w:t>2</w:t>
      </w:r>
      <w:bookmarkEnd w:id="231"/>
      <w:r>
        <w:rPr>
          <w:color w:val="000000"/>
          <w:spacing w:val="0"/>
          <w:w w:val="100"/>
          <w:position w:val="0"/>
        </w:rPr>
        <w:t>、 经公司总裁办公会审议批准，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日，公司与宁波永耀信息科技有限公司、武汉纳思合作设立永耀惠程，分别持有永耀惠程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股权，注册资本</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万元，报告期内尚未实际开展营业。</w:t>
      </w:r>
    </w:p>
    <w:p>
      <w:pPr>
        <w:pStyle w:val="Style29"/>
        <w:keepNext w:val="0"/>
        <w:keepLines w:val="0"/>
        <w:widowControl w:val="0"/>
        <w:shd w:val="clear" w:color="auto" w:fill="auto"/>
        <w:tabs>
          <w:tab w:pos="724" w:val="left"/>
        </w:tabs>
        <w:bidi w:val="0"/>
        <w:spacing w:before="0" w:after="0" w:line="317" w:lineRule="exact"/>
        <w:ind w:left="0" w:right="0"/>
        <w:jc w:val="left"/>
      </w:pPr>
      <w:bookmarkStart w:id="232" w:name="bookmark232"/>
      <w:r>
        <w:rPr>
          <w:rFonts w:ascii="Times New Roman" w:eastAsia="Times New Roman" w:hAnsi="Times New Roman" w:cs="Times New Roman"/>
          <w:color w:val="000000"/>
          <w:spacing w:val="0"/>
          <w:w w:val="100"/>
          <w:position w:val="0"/>
          <w:sz w:val="18"/>
          <w:szCs w:val="18"/>
        </w:rPr>
        <w:t>3</w:t>
      </w:r>
      <w:bookmarkEnd w:id="232"/>
      <w:r>
        <w:rPr>
          <w:color w:val="000000"/>
          <w:spacing w:val="0"/>
          <w:w w:val="100"/>
          <w:position w:val="0"/>
        </w:rPr>
        <w:t>、</w:t>
        <w:tab/>
        <w:t>经公司总裁办公会审议批准，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日，公司与子公司喀什中汇联银合作投资设立中汇联鑫，分别持有其</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合伙份额。</w:t>
      </w:r>
    </w:p>
    <w:p>
      <w:pPr>
        <w:pStyle w:val="Style29"/>
        <w:keepNext w:val="0"/>
        <w:keepLines w:val="0"/>
        <w:widowControl w:val="0"/>
        <w:shd w:val="clear" w:color="auto" w:fill="auto"/>
        <w:bidi w:val="0"/>
        <w:spacing w:before="0" w:after="0" w:line="317" w:lineRule="exact"/>
        <w:ind w:left="0" w:right="0"/>
        <w:jc w:val="left"/>
      </w:pPr>
      <w:bookmarkStart w:id="233" w:name="bookmark233"/>
      <w:r>
        <w:rPr>
          <w:rFonts w:ascii="Times New Roman" w:eastAsia="Times New Roman" w:hAnsi="Times New Roman" w:cs="Times New Roman"/>
          <w:color w:val="000000"/>
          <w:spacing w:val="0"/>
          <w:w w:val="100"/>
          <w:position w:val="0"/>
          <w:sz w:val="18"/>
          <w:szCs w:val="18"/>
        </w:rPr>
        <w:t>4</w:t>
      </w:r>
      <w:bookmarkEnd w:id="233"/>
      <w:r>
        <w:rPr>
          <w:color w:val="000000"/>
          <w:spacing w:val="0"/>
          <w:w w:val="100"/>
          <w:position w:val="0"/>
        </w:rPr>
        <w:t>、 经公司总裁办公会审议批准，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日，子公司北京中汇联银在上海发起设立全资孙公司豪琛投资、鹏胤投资，注册资本均为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9"/>
        <w:keepNext w:val="0"/>
        <w:keepLines w:val="0"/>
        <w:widowControl w:val="0"/>
        <w:shd w:val="clear" w:color="auto" w:fill="auto"/>
        <w:tabs>
          <w:tab w:pos="714" w:val="left"/>
        </w:tabs>
        <w:bidi w:val="0"/>
        <w:spacing w:before="0" w:after="380" w:line="317" w:lineRule="exact"/>
        <w:ind w:left="0" w:right="0"/>
        <w:jc w:val="both"/>
      </w:pPr>
      <w:bookmarkStart w:id="234" w:name="bookmark234"/>
      <w:r>
        <w:rPr>
          <w:rFonts w:ascii="Times New Roman" w:eastAsia="Times New Roman" w:hAnsi="Times New Roman" w:cs="Times New Roman"/>
          <w:color w:val="000000"/>
          <w:spacing w:val="0"/>
          <w:w w:val="100"/>
          <w:position w:val="0"/>
          <w:sz w:val="18"/>
          <w:szCs w:val="18"/>
        </w:rPr>
        <w:t>5</w:t>
      </w:r>
      <w:bookmarkEnd w:id="234"/>
      <w:r>
        <w:rPr>
          <w:color w:val="000000"/>
          <w:spacing w:val="0"/>
          <w:w w:val="100"/>
          <w:position w:val="0"/>
        </w:rPr>
        <w:t>、</w:t>
        <w:tab/>
        <w:t>经公司第五届董事会第二十九次会议、公司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年第三次临时股东大会审议批准，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日，公司与北京信中利股权投资管理有限公司、中航信托股份有限公司合 作设立北京信中利赞信股权投资中心（有限合伙）（又称“产业并购基金”），分别持有产业并购基金</w:t>
      </w:r>
      <w:r>
        <w:rPr>
          <w:rFonts w:ascii="Times New Roman" w:eastAsia="Times New Roman" w:hAnsi="Times New Roman" w:cs="Times New Roman"/>
          <w:color w:val="000000"/>
          <w:spacing w:val="0"/>
          <w:w w:val="100"/>
          <w:position w:val="0"/>
          <w:sz w:val="18"/>
          <w:szCs w:val="18"/>
        </w:rPr>
        <w:t>32.22%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合伙份额。</w:t>
      </w:r>
    </w:p>
    <w:p>
      <w:pPr>
        <w:pStyle w:val="Style25"/>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、公司控制的结构化主体情况</w:t>
      </w:r>
      <w:bookmarkEnd w:id="235"/>
      <w:bookmarkEnd w:id="236"/>
      <w:bookmarkEnd w:id="238"/>
    </w:p>
    <w:p>
      <w:pPr>
        <w:pStyle w:val="Style29"/>
        <w:keepNext w:val="0"/>
        <w:keepLines w:val="0"/>
        <w:widowControl w:val="0"/>
        <w:shd w:val="clear" w:color="auto" w:fill="auto"/>
        <w:bidi w:val="0"/>
        <w:spacing w:before="0" w:after="120" w:line="360" w:lineRule="auto"/>
        <w:ind w:left="0" w:right="0" w:firstLine="0"/>
        <w:jc w:val="left"/>
        <w:sectPr>
          <w:headerReference w:type="default" r:id="rId9"/>
          <w:footerReference w:type="default" r:id="rId10"/>
          <w:footnotePr>
            <w:pos w:val="pageBottom"/>
            <w:numFmt w:val="decimal"/>
            <w:numRestart w:val="continuous"/>
          </w:footnotePr>
          <w:pgSz w:w="16840" w:h="11900" w:orient="landscape"/>
          <w:pgMar w:top="1112" w:right="1402" w:bottom="1432"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340" w:after="2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九</w:t>
      </w:r>
      <w:bookmarkEnd w:id="241"/>
      <w:r>
        <w:rPr>
          <w:color w:val="000000"/>
          <w:spacing w:val="0"/>
          <w:w w:val="100"/>
          <w:position w:val="0"/>
        </w:rPr>
        <w:t>、公司未来发展的展望</w:t>
      </w:r>
      <w:bookmarkEnd w:id="239"/>
      <w:bookmarkEnd w:id="240"/>
      <w:bookmarkEnd w:id="242"/>
    </w:p>
    <w:p>
      <w:pPr>
        <w:pStyle w:val="Style29"/>
        <w:keepNext w:val="0"/>
        <w:keepLines w:val="0"/>
        <w:widowControl w:val="0"/>
        <w:shd w:val="clear" w:color="auto" w:fill="auto"/>
        <w:tabs>
          <w:tab w:pos="680" w:val="left"/>
        </w:tabs>
        <w:bidi w:val="0"/>
        <w:spacing w:before="0" w:after="0" w:line="313" w:lineRule="exact"/>
        <w:ind w:left="0" w:right="0" w:firstLine="360"/>
        <w:jc w:val="both"/>
      </w:pPr>
      <w:bookmarkStart w:id="243" w:name="bookmark243"/>
      <w:r>
        <w:rPr>
          <w:b/>
          <w:bCs/>
          <w:color w:val="000000"/>
          <w:spacing w:val="0"/>
          <w:w w:val="100"/>
          <w:position w:val="0"/>
        </w:rPr>
        <w:t>1</w:t>
      </w:r>
      <w:bookmarkEnd w:id="243"/>
      <w:r>
        <w:rPr>
          <w:b/>
          <w:bCs/>
          <w:color w:val="000000"/>
          <w:spacing w:val="0"/>
          <w:w w:val="100"/>
          <w:position w:val="0"/>
        </w:rPr>
        <w:t>、</w:t>
        <w:tab/>
        <w:t>公司所处行业格局和趋势</w:t>
      </w:r>
    </w:p>
    <w:p>
      <w:pPr>
        <w:pStyle w:val="Style29"/>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电气业务：</w:t>
      </w:r>
      <w:r>
        <w:rPr>
          <w:color w:val="000000"/>
          <w:spacing w:val="0"/>
          <w:w w:val="100"/>
          <w:position w:val="0"/>
        </w:rPr>
        <w:t>近年来，我国大力实施创新驱动发展战略，推进“互联网+”行动计划，推动区域和城乡协调发展，加快“一 带一路”建设。电网作为关系国计民生的重要基础设施，在保障能源安全、促进节能减排、拉动经济增长、带动产业升级中 的作用更加突出。同时，我国深化推进国企改革、电力体制改革，为智能电网、绿色环保、新能源产业开拓和企业改革、整 合创造了机遇。随着国内装备制造技术水平的快速提升，企业之间的差距正在逐步缩小，同时跨国公司也将中国市场作为其 全球化战略最重要的部分，全力争夺中国电力设备市场份额。“十三五”期间仍是电网建设的高峰期，电力装备企业面临较 大的发展机遇。</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目前，我国处于工业化加速发展的阶段，正在迎来工业</w:t>
      </w:r>
      <w:r>
        <w:rPr>
          <w:color w:val="000000"/>
          <w:spacing w:val="0"/>
          <w:w w:val="100"/>
          <w:position w:val="0"/>
          <w:sz w:val="18"/>
          <w:szCs w:val="18"/>
        </w:rPr>
        <w:t xml:space="preserve">4. </w:t>
      </w:r>
      <w:r>
        <w:rPr>
          <w:color w:val="000000"/>
          <w:spacing w:val="0"/>
          <w:w w:val="100"/>
          <w:position w:val="0"/>
          <w:sz w:val="18"/>
          <w:szCs w:val="18"/>
        </w:rPr>
        <w:t>0</w:t>
      </w:r>
      <w:r>
        <w:rPr>
          <w:color w:val="000000"/>
          <w:spacing w:val="0"/>
          <w:w w:val="100"/>
          <w:position w:val="0"/>
        </w:rPr>
        <w:t>的新机遇。随着电力系统对配电系统的质量和可靠性要求的 提高，对输配电及控制设备的性能要求也越来越高；特别是分散化新能源发电模式对输配电网的设备和运营提出了灵活性、 协调性的要求。基础理论、材料技术、生产工艺、加工工艺和信息技术的应用，使得输配电及控制设备的技术水平有了很大 的进步，以及更大的进步空间。输配电及控制设备未来将朝着智能化、免维护、环保性、小型化、集成化方向发展。</w:t>
      </w:r>
    </w:p>
    <w:p>
      <w:pPr>
        <w:pStyle w:val="Style29"/>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投资业务：</w:t>
      </w:r>
      <w:r>
        <w:rPr>
          <w:color w:val="000000"/>
          <w:spacing w:val="0"/>
          <w:w w:val="100"/>
          <w:position w:val="0"/>
        </w:rPr>
        <w:t>随着中国经济水平的不断增长，新的高端产能替代旧的落后产能已成为产业结构化调整的必经之路。传统行 业中，市场份额相对较大的优势企业对其他企业进行并购，将其他企业的技术优势与自身的品牌优势相结合，能够更好的加 速产业结构的升级。另外，近几年来，国内新兴行业快速发展。</w:t>
      </w:r>
      <w:r>
        <w:rPr>
          <w:color w:val="000000"/>
          <w:spacing w:val="0"/>
          <w:w w:val="100"/>
          <w:position w:val="0"/>
          <w:sz w:val="18"/>
          <w:szCs w:val="18"/>
        </w:rPr>
        <w:t>2016</w:t>
      </w:r>
      <w:r>
        <w:rPr>
          <w:color w:val="000000"/>
          <w:spacing w:val="0"/>
          <w:w w:val="100"/>
          <w:position w:val="0"/>
        </w:rPr>
        <w:t>年，在国家双创政策的引导下，伴随着居民消费升级的 需求，国内涌现了大批富有活力的新兴企业，其中有相当部分的企业很有发展潜力，上市公司通过并购重组成为了行业的龙 头企业。在宏观经济调整和股权投资产业转型、升级的背景下，上市公司并购重组已成为一种趋势。</w:t>
      </w:r>
    </w:p>
    <w:p>
      <w:pPr>
        <w:pStyle w:val="Style29"/>
        <w:keepNext w:val="0"/>
        <w:keepLines w:val="0"/>
        <w:widowControl w:val="0"/>
        <w:shd w:val="clear" w:color="auto" w:fill="auto"/>
        <w:tabs>
          <w:tab w:pos="680" w:val="left"/>
        </w:tabs>
        <w:bidi w:val="0"/>
        <w:spacing w:before="0" w:after="0" w:line="313" w:lineRule="exact"/>
        <w:ind w:left="0" w:right="0" w:firstLine="360"/>
        <w:jc w:val="both"/>
      </w:pPr>
      <w:bookmarkStart w:id="244" w:name="bookmark244"/>
      <w:r>
        <w:rPr>
          <w:b/>
          <w:bCs/>
          <w:color w:val="000000"/>
          <w:spacing w:val="0"/>
          <w:w w:val="100"/>
          <w:position w:val="0"/>
        </w:rPr>
        <w:t>2</w:t>
      </w:r>
      <w:bookmarkEnd w:id="244"/>
      <w:r>
        <w:rPr>
          <w:b/>
          <w:bCs/>
          <w:color w:val="000000"/>
          <w:spacing w:val="0"/>
          <w:w w:val="100"/>
          <w:position w:val="0"/>
        </w:rPr>
        <w:t>、</w:t>
        <w:tab/>
        <w:t>公司发展战略</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公司将对原有的输配电设备制造业务进行信息化升级，从生产型向服务型转变，从设备供应商向项目服务商转变。通过 信息化手段，从低端产品向智能、工业</w:t>
      </w:r>
      <w:r>
        <w:rPr>
          <w:color w:val="000000"/>
          <w:spacing w:val="0"/>
          <w:w w:val="100"/>
          <w:position w:val="0"/>
          <w:sz w:val="18"/>
          <w:szCs w:val="18"/>
        </w:rPr>
        <w:t xml:space="preserve">4. </w:t>
      </w:r>
      <w:r>
        <w:rPr>
          <w:color w:val="000000"/>
          <w:spacing w:val="0"/>
          <w:w w:val="100"/>
          <w:position w:val="0"/>
          <w:sz w:val="18"/>
          <w:szCs w:val="18"/>
        </w:rPr>
        <w:t>0</w:t>
      </w:r>
      <w:r>
        <w:rPr>
          <w:color w:val="000000"/>
          <w:spacing w:val="0"/>
          <w:w w:val="100"/>
          <w:position w:val="0"/>
        </w:rPr>
        <w:t>转化。通过并购整合，迅速切入智能电网行业，包括微电网、电力系统大数据服 务、智能输配电系统等。不断拓展产品领域向新能源方向发展，以新能源汽车智能化充电系统、光伏发电设备制造、新能源 系统运营管理为突破口，从单一产品加工制造向电力项目运营整包服务转变。</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通过外延式并购，获取互联网文化互娱行业优质标的，构建互联网文娱生态系统。通过上市公司平台，充分挖掘平台属 性和用户价值，从互联网文化互娱产业综合服务、流量整合、大数据等方面快速布局，构建公司高成长性利润增长点。</w:t>
      </w:r>
    </w:p>
    <w:p>
      <w:pPr>
        <w:pStyle w:val="Style29"/>
        <w:keepNext w:val="0"/>
        <w:keepLines w:val="0"/>
        <w:widowControl w:val="0"/>
        <w:shd w:val="clear" w:color="auto" w:fill="auto"/>
        <w:tabs>
          <w:tab w:pos="680" w:val="left"/>
        </w:tabs>
        <w:bidi w:val="0"/>
        <w:spacing w:before="0" w:after="0" w:line="315" w:lineRule="exact"/>
        <w:ind w:left="0" w:right="0" w:firstLine="360"/>
        <w:jc w:val="both"/>
      </w:pPr>
      <w:bookmarkStart w:id="245" w:name="bookmark245"/>
      <w:r>
        <w:rPr>
          <w:b/>
          <w:bCs/>
          <w:color w:val="000000"/>
          <w:spacing w:val="0"/>
          <w:w w:val="100"/>
          <w:position w:val="0"/>
        </w:rPr>
        <w:t>3</w:t>
      </w:r>
      <w:bookmarkEnd w:id="245"/>
      <w:r>
        <w:rPr>
          <w:b/>
          <w:bCs/>
          <w:color w:val="000000"/>
          <w:spacing w:val="0"/>
          <w:w w:val="100"/>
          <w:position w:val="0"/>
        </w:rPr>
        <w:t>、</w:t>
        <w:tab/>
        <w:t>2017年经营计划</w:t>
      </w:r>
    </w:p>
    <w:p>
      <w:pPr>
        <w:pStyle w:val="Style29"/>
        <w:keepNext w:val="0"/>
        <w:keepLines w:val="0"/>
        <w:widowControl w:val="0"/>
        <w:shd w:val="clear" w:color="auto" w:fill="auto"/>
        <w:tabs>
          <w:tab w:pos="754" w:val="left"/>
        </w:tabs>
        <w:bidi w:val="0"/>
        <w:spacing w:before="0" w:after="0" w:line="315" w:lineRule="exact"/>
        <w:ind w:left="0" w:right="0" w:firstLine="360"/>
        <w:jc w:val="both"/>
      </w:pPr>
      <w:bookmarkStart w:id="246" w:name="bookmark246"/>
      <w:r>
        <w:rPr>
          <w:b/>
          <w:bCs/>
          <w:color w:val="000000"/>
          <w:spacing w:val="0"/>
          <w:w w:val="100"/>
          <w:position w:val="0"/>
        </w:rPr>
        <w:t>（</w:t>
      </w:r>
      <w:bookmarkEnd w:id="246"/>
      <w:r>
        <w:rPr>
          <w:b/>
          <w:bCs/>
          <w:color w:val="000000"/>
          <w:spacing w:val="0"/>
          <w:w w:val="100"/>
          <w:position w:val="0"/>
        </w:rPr>
        <w:t>1）</w:t>
        <w:tab/>
        <w:t>立足电气业务，不断拓展产品和服务领域</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sz w:val="18"/>
          <w:szCs w:val="18"/>
        </w:rPr>
        <w:t>2017</w:t>
      </w:r>
      <w:r>
        <w:rPr>
          <w:color w:val="000000"/>
          <w:spacing w:val="0"/>
          <w:w w:val="100"/>
          <w:position w:val="0"/>
        </w:rPr>
        <w:t>年公司将坚持以市场需求为中心，发挥公司在输配电设备领域的生产研发能力以及在电力市场资源、渠道优势，稳 固现有国家电网和南方电网市场，加大招投标力度，确保公司中标数量的进一步增长。同时，不断整合行业优势资源，加强 与战略合作伙伴的优势互补，资源共享，在科研技术转化、项目开发管理、人才管理与培训方面展开深入合作，进一步加大 技术创新力度，提高产品性能，拓展产品应用领域。</w:t>
      </w:r>
      <w:r>
        <w:rPr>
          <w:color w:val="000000"/>
          <w:spacing w:val="0"/>
          <w:w w:val="100"/>
          <w:position w:val="0"/>
          <w:sz w:val="18"/>
          <w:szCs w:val="18"/>
        </w:rPr>
        <w:t>2017</w:t>
      </w:r>
      <w:r>
        <w:rPr>
          <w:color w:val="000000"/>
          <w:spacing w:val="0"/>
          <w:w w:val="100"/>
          <w:position w:val="0"/>
        </w:rPr>
        <w:t>年公司将积极开拓新能源汽车充电设备市场，进一步拓展公司的产 品和服务应用。</w:t>
      </w:r>
    </w:p>
    <w:p>
      <w:pPr>
        <w:pStyle w:val="Style29"/>
        <w:keepNext w:val="0"/>
        <w:keepLines w:val="0"/>
        <w:widowControl w:val="0"/>
        <w:shd w:val="clear" w:color="auto" w:fill="auto"/>
        <w:tabs>
          <w:tab w:pos="754" w:val="left"/>
        </w:tabs>
        <w:bidi w:val="0"/>
        <w:spacing w:before="0" w:after="0" w:line="315" w:lineRule="exact"/>
        <w:ind w:left="0" w:right="0" w:firstLine="360"/>
        <w:jc w:val="both"/>
      </w:pPr>
      <w:bookmarkStart w:id="247" w:name="bookmark247"/>
      <w:r>
        <w:rPr>
          <w:b/>
          <w:bCs/>
          <w:color w:val="000000"/>
          <w:spacing w:val="0"/>
          <w:w w:val="100"/>
          <w:position w:val="0"/>
        </w:rPr>
        <w:t>（</w:t>
      </w:r>
      <w:bookmarkEnd w:id="247"/>
      <w:r>
        <w:rPr>
          <w:b/>
          <w:bCs/>
          <w:color w:val="000000"/>
          <w:spacing w:val="0"/>
          <w:w w:val="100"/>
          <w:position w:val="0"/>
        </w:rPr>
        <w:t>2）</w:t>
        <w:tab/>
        <w:t>坚持内生外延式发展，以资本运营服务于产业升级</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sz w:val="18"/>
          <w:szCs w:val="18"/>
        </w:rPr>
        <w:t>2017</w:t>
      </w:r>
      <w:r>
        <w:rPr>
          <w:color w:val="000000"/>
          <w:spacing w:val="0"/>
          <w:w w:val="100"/>
          <w:position w:val="0"/>
        </w:rPr>
        <w:t>年公司将利用在电气设备和股权投资领域积累的经验和市场资源，充分发挥上市公司的平台优势以及自身专业优 势，积极开展资本运作，积极探索行业内外可持续发展的新机会，重点关注与公司现有业务能够形成协同效应的行业，实现 资源整合、优势互补。结合市场情况，继续通过投资、收购等多种方式，实现外延式扩展，继续提升企业的规模和竞争实力， 实现公司持续稳定的发展。</w:t>
      </w:r>
    </w:p>
    <w:p>
      <w:pPr>
        <w:pStyle w:val="Style29"/>
        <w:keepNext w:val="0"/>
        <w:keepLines w:val="0"/>
        <w:widowControl w:val="0"/>
        <w:shd w:val="clear" w:color="auto" w:fill="auto"/>
        <w:tabs>
          <w:tab w:pos="754" w:val="left"/>
        </w:tabs>
        <w:bidi w:val="0"/>
        <w:spacing w:before="0" w:after="0" w:line="315" w:lineRule="exact"/>
        <w:ind w:left="0" w:right="0" w:firstLine="360"/>
        <w:jc w:val="both"/>
      </w:pPr>
      <w:bookmarkStart w:id="248" w:name="bookmark248"/>
      <w:r>
        <w:rPr>
          <w:b/>
          <w:bCs/>
          <w:color w:val="000000"/>
          <w:spacing w:val="0"/>
          <w:w w:val="100"/>
          <w:position w:val="0"/>
        </w:rPr>
        <w:t>（</w:t>
      </w:r>
      <w:bookmarkEnd w:id="248"/>
      <w:r>
        <w:rPr>
          <w:b/>
          <w:bCs/>
          <w:color w:val="000000"/>
          <w:spacing w:val="0"/>
          <w:w w:val="100"/>
          <w:position w:val="0"/>
        </w:rPr>
        <w:t>3）</w:t>
        <w:tab/>
        <w:t>探索多元发展，布局利润增长点</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月公司已经启动重大资产重组事项，并购标的确定为信息技术和互联网服务行业，上市公司将迈出布局互联网 文化产业的重要一步，并以此为契机，探索互联网文化板块和其他重要的互联网服务领域。上市公司逐步确立以高端装备业 为基础、向工业互联网产业服务升级，以文化娱乐领域为突破口实现流量变现的综合发展路径。上市公司将围绕这一发展路 径深度挖掘高附加值业务，在原有电气业务的基础上，实现多元化发展。</w:t>
      </w:r>
    </w:p>
    <w:p>
      <w:pPr>
        <w:pStyle w:val="Style29"/>
        <w:keepNext w:val="0"/>
        <w:keepLines w:val="0"/>
        <w:widowControl w:val="0"/>
        <w:shd w:val="clear" w:color="auto" w:fill="auto"/>
        <w:tabs>
          <w:tab w:pos="754" w:val="left"/>
        </w:tabs>
        <w:bidi w:val="0"/>
        <w:spacing w:before="0" w:after="0" w:line="315" w:lineRule="exact"/>
        <w:ind w:left="0" w:right="0" w:firstLine="360"/>
        <w:jc w:val="both"/>
      </w:pPr>
      <w:bookmarkStart w:id="249" w:name="bookmark249"/>
      <w:r>
        <w:rPr>
          <w:b/>
          <w:bCs/>
          <w:color w:val="000000"/>
          <w:spacing w:val="0"/>
          <w:w w:val="100"/>
          <w:position w:val="0"/>
        </w:rPr>
        <w:t>（</w:t>
      </w:r>
      <w:bookmarkEnd w:id="249"/>
      <w:r>
        <w:rPr>
          <w:b/>
          <w:bCs/>
          <w:color w:val="000000"/>
          <w:spacing w:val="0"/>
          <w:w w:val="100"/>
          <w:position w:val="0"/>
        </w:rPr>
        <w:t>4）</w:t>
        <w:tab/>
        <w:t>完善法人治理，优化组织结构，提升内部管理</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公司将不断完善经营管理机制，加强对子公司的管控，加强内审监督工作，提高规范水平和运作效率。高度重视风险防 </w:t>
      </w:r>
      <w:r>
        <w:rPr>
          <w:color w:val="000000"/>
          <w:spacing w:val="0"/>
          <w:w w:val="100"/>
          <w:position w:val="0"/>
        </w:rPr>
        <w:t>范工作，强化风险防范意识，建立健全风险防范体系，随时防范行业可能面临的市场风险、管理风险、技术风险和道德风险， 提高企业经营业绩，力图实现公司未来的发展战略和经营目标。</w:t>
      </w:r>
    </w:p>
    <w:p>
      <w:pPr>
        <w:pStyle w:val="Style29"/>
        <w:keepNext w:val="0"/>
        <w:keepLines w:val="0"/>
        <w:widowControl w:val="0"/>
        <w:shd w:val="clear" w:color="auto" w:fill="auto"/>
        <w:bidi w:val="0"/>
        <w:spacing w:before="0" w:after="0" w:line="312" w:lineRule="exact"/>
        <w:ind w:left="0" w:right="0"/>
        <w:jc w:val="left"/>
      </w:pPr>
      <w:bookmarkStart w:id="250" w:name="bookmark250"/>
      <w:r>
        <w:rPr>
          <w:b/>
          <w:bCs/>
          <w:color w:val="000000"/>
          <w:spacing w:val="0"/>
          <w:w w:val="100"/>
          <w:position w:val="0"/>
        </w:rPr>
        <w:t>4</w:t>
      </w:r>
      <w:bookmarkEnd w:id="250"/>
      <w:r>
        <w:rPr>
          <w:b/>
          <w:bCs/>
          <w:color w:val="000000"/>
          <w:spacing w:val="0"/>
          <w:w w:val="100"/>
          <w:position w:val="0"/>
        </w:rPr>
        <w:t>、可能面对的风险及解决方案</w:t>
      </w:r>
    </w:p>
    <w:p>
      <w:pPr>
        <w:pStyle w:val="Style29"/>
        <w:keepNext w:val="0"/>
        <w:keepLines w:val="0"/>
        <w:widowControl w:val="0"/>
        <w:shd w:val="clear" w:color="auto" w:fill="auto"/>
        <w:bidi w:val="0"/>
        <w:spacing w:before="0" w:after="0" w:line="312" w:lineRule="exact"/>
        <w:ind w:left="0" w:right="0"/>
        <w:jc w:val="left"/>
      </w:pPr>
      <w:r>
        <w:rPr>
          <w:b/>
          <w:bCs/>
          <w:color w:val="000000"/>
          <w:spacing w:val="0"/>
          <w:w w:val="100"/>
          <w:position w:val="0"/>
        </w:rPr>
        <w:t>市场风险：</w:t>
      </w:r>
      <w:r>
        <w:rPr>
          <w:color w:val="000000"/>
          <w:spacing w:val="0"/>
          <w:w w:val="100"/>
          <w:position w:val="0"/>
        </w:rPr>
        <w:t>公司所处电气设备行业容易受到国家总体经济政策和和宏观经济环境的影响，公司所处市场行业环境发生大 幅波动可能造成公司电气业务收入较大波动。随着国家经济和电力设备行业的快速发展，输配电设备行业企业数量迅速增加， 同时国外输配电企业纷纷进入我国市场，导致供给增加、竞争加剧。公司将严格执行国家政策，紧跟市场，采取差异化产品 战略，加快产品结构调整，优化生产管理流程，完善销售网络建设，切实提高公司竞争实力和抗风险能力。</w:t>
      </w:r>
    </w:p>
    <w:p>
      <w:pPr>
        <w:pStyle w:val="Style29"/>
        <w:keepNext w:val="0"/>
        <w:keepLines w:val="0"/>
        <w:widowControl w:val="0"/>
        <w:shd w:val="clear" w:color="auto" w:fill="auto"/>
        <w:bidi w:val="0"/>
        <w:spacing w:before="0" w:after="0" w:line="312" w:lineRule="exact"/>
        <w:ind w:left="0" w:right="0"/>
        <w:jc w:val="left"/>
      </w:pPr>
      <w:r>
        <w:rPr>
          <w:b/>
          <w:bCs/>
          <w:color w:val="000000"/>
          <w:spacing w:val="0"/>
          <w:w w:val="100"/>
          <w:position w:val="0"/>
        </w:rPr>
        <w:t>新业务风险：</w:t>
      </w:r>
      <w:r>
        <w:rPr>
          <w:color w:val="000000"/>
          <w:spacing w:val="0"/>
          <w:w w:val="100"/>
          <w:position w:val="0"/>
        </w:rPr>
        <w:t>公司将并购软件与信息服务技术以及互联网相关标的企业，公司将大力支持标的企业按照原有战略发展自 身业务，对体系内各板块标的营销网络、市场渠道、客户资源、技术开发、售后服务等实施合理共享和协同整合。如果未来 我国相关行业政策发生较大不利调整或者我国经济环境发生不利变化，导致新业务发展速度放缓，或政府减少投入和支持， 对公司新业务的发展产生不利影响。公司将密切关注行业政策发展的动态，加强对行业政策变化的分析，并针对行业政策变 化，调整公司的经营策略。</w:t>
      </w:r>
    </w:p>
    <w:p>
      <w:pPr>
        <w:pStyle w:val="Style29"/>
        <w:keepNext w:val="0"/>
        <w:keepLines w:val="0"/>
        <w:widowControl w:val="0"/>
        <w:shd w:val="clear" w:color="auto" w:fill="auto"/>
        <w:bidi w:val="0"/>
        <w:spacing w:before="0" w:after="360" w:line="312" w:lineRule="exact"/>
        <w:ind w:left="0" w:right="0"/>
        <w:jc w:val="left"/>
      </w:pPr>
      <w:r>
        <w:rPr>
          <w:b/>
          <w:bCs/>
          <w:color w:val="000000"/>
          <w:spacing w:val="0"/>
          <w:w w:val="100"/>
          <w:position w:val="0"/>
        </w:rPr>
        <w:t>并购整合风险：</w:t>
      </w:r>
      <w:r>
        <w:rPr>
          <w:color w:val="000000"/>
          <w:spacing w:val="0"/>
          <w:w w:val="100"/>
          <w:position w:val="0"/>
        </w:rPr>
        <w:t>通过并购重组，未来公司规模及业务管理体系进一步扩大，同时，由于公司与标的资产在业务领域、发 展阶段、文化背景、管理能力等方面均存在差异，公司与标的资产能否在业务、财务及人员等方面进行深度整合，以充分发 挥本次交易的协同效应，仍存在一定的不确定性。公司将加强子公司管控，按上市公司的运作规范加强对子公司的管理和培 训，以更加开放、包容的企业文化增加子公司员工的认同感、归宿感，提升团队凝聚力和竞争力。</w:t>
      </w:r>
    </w:p>
    <w:p>
      <w:pPr>
        <w:pStyle w:val="Style25"/>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r>
        <w:rPr>
          <w:color w:val="000000"/>
          <w:spacing w:val="0"/>
          <w:w w:val="100"/>
          <w:position w:val="0"/>
        </w:rPr>
        <w:t>十、接待调研、沟通、采访等活动</w:t>
      </w:r>
      <w:bookmarkEnd w:id="251"/>
      <w:bookmarkEnd w:id="252"/>
      <w:bookmarkEnd w:id="253"/>
    </w:p>
    <w:p>
      <w:pPr>
        <w:pStyle w:val="Style33"/>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、报告期内接待调研、沟通、采访等活动登记表</w:t>
      </w:r>
      <w:bookmarkEnd w:id="254"/>
      <w:bookmarkEnd w:id="255"/>
      <w:bookmarkEnd w:id="257"/>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39"/>
        <w:gridCol w:w="1934"/>
        <w:gridCol w:w="1934"/>
        <w:gridCol w:w="39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fldChar w:fldCharType="begin"/>
            </w:r>
            <w:r>
              <w:rPr/>
              <w:instrText> HYPERLINK "http://irm.cninfo.com.cn/ssessgs/S002168/index.html" </w:instrText>
            </w:r>
            <w:r>
              <w:fldChar w:fldCharType="separate"/>
            </w:r>
            <w:r>
              <w:rPr>
                <w:color w:val="000000"/>
                <w:spacing w:val="0"/>
                <w:w w:val="100"/>
                <w:position w:val="0"/>
              </w:rPr>
              <w:t>http://irm.cninfo.com.cn/ssessgs/S002168/index.html</w:t>
            </w:r>
            <w:r>
              <w:fldChar w:fldCharType="end"/>
            </w:r>
          </w:p>
        </w:tc>
      </w:tr>
    </w:tbl>
    <w:p>
      <w:pPr>
        <w:sectPr>
          <w:headerReference w:type="default" r:id="rId11"/>
          <w:footerReference w:type="default" r:id="rId12"/>
          <w:footnotePr>
            <w:pos w:val="pageBottom"/>
            <w:numFmt w:val="decimal"/>
            <w:numRestart w:val="continuous"/>
          </w:footnotePr>
          <w:pgSz w:w="11900" w:h="16840"/>
          <w:pgMar w:top="1383" w:right="1019" w:bottom="1493" w:left="1095" w:header="0" w:footer="3" w:gutter="0"/>
          <w:cols w:space="720"/>
          <w:noEndnote/>
          <w:rtlGutter w:val="0"/>
          <w:docGrid w:linePitch="360"/>
        </w:sectPr>
      </w:pPr>
    </w:p>
    <w:p>
      <w:pPr>
        <w:pStyle w:val="Style10"/>
        <w:keepNext/>
        <w:keepLines/>
        <w:widowControl w:val="0"/>
        <w:shd w:val="clear" w:color="auto" w:fill="auto"/>
        <w:bidi w:val="0"/>
        <w:spacing w:before="0" w:after="560" w:line="240" w:lineRule="auto"/>
        <w:ind w:left="0" w:right="0" w:firstLine="0"/>
        <w:jc w:val="center"/>
      </w:pPr>
      <w:bookmarkStart w:id="258" w:name="bookmark258"/>
      <w:bookmarkStart w:id="259" w:name="bookmark259"/>
      <w:bookmarkStart w:id="260" w:name="bookmark260"/>
      <w:r>
        <w:rPr>
          <w:color w:val="000000"/>
          <w:spacing w:val="0"/>
          <w:w w:val="100"/>
          <w:position w:val="0"/>
        </w:rPr>
        <w:t>第五节重要事项</w:t>
      </w:r>
      <w:bookmarkEnd w:id="258"/>
      <w:bookmarkEnd w:id="259"/>
      <w:bookmarkEnd w:id="260"/>
    </w:p>
    <w:p>
      <w:pPr>
        <w:pStyle w:val="Style25"/>
        <w:keepNext/>
        <w:keepLines/>
        <w:widowControl w:val="0"/>
        <w:shd w:val="clear" w:color="auto" w:fill="auto"/>
        <w:bidi w:val="0"/>
        <w:spacing w:before="0" w:after="220" w:line="240" w:lineRule="auto"/>
        <w:ind w:left="0" w:right="0" w:firstLine="0"/>
        <w:jc w:val="left"/>
      </w:pPr>
      <w:bookmarkStart w:id="261" w:name="bookmark261"/>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、公司普通股利润分配及资本公积金转增股本情况</w:t>
      </w:r>
      <w:bookmarkEnd w:id="262"/>
      <w:bookmarkEnd w:id="263"/>
      <w:bookmarkEnd w:id="265"/>
      <w:bookmarkEnd w:id="261"/>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根据中国证监会《关于进一步落实上市公司现金分红有关事项的通知》及深圳证监局有关文件等的规定和要求，</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日公司第五届董事会第四次会议审议通过并发布了《未来三年股东回报规划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 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年第一次临时股东大会审议通过了该规划。</w:t>
      </w:r>
    </w:p>
    <w:p>
      <w:pPr>
        <w:pStyle w:val="Style27"/>
        <w:keepNext w:val="0"/>
        <w:keepLines w:val="0"/>
        <w:widowControl w:val="0"/>
        <w:shd w:val="clear" w:color="auto" w:fill="auto"/>
        <w:bidi w:val="0"/>
        <w:spacing w:before="0" w:after="0" w:line="317" w:lineRule="exact"/>
        <w:ind w:left="19" w:right="0" w:firstLine="0"/>
        <w:jc w:val="left"/>
      </w:pPr>
      <w:r>
        <w:rPr>
          <w:color w:val="000000"/>
          <w:spacing w:val="0"/>
          <w:w w:val="100"/>
          <w:position w:val="0"/>
        </w:rPr>
        <w:t>公司制定《未来三年股东回报规划（</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）》，明确了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年期间公司的利润分配形式、利润分配周期、 利润分配比例和利润分配方案的制定和执行。</w:t>
      </w:r>
    </w:p>
    <w:tbl>
      <w:tblPr>
        <w:tblOverlap w:val="never"/>
        <w:jc w:val="center"/>
        <w:tblLayout w:type="fixed"/>
      </w:tblPr>
      <w:tblGrid>
        <w:gridCol w:w="4858"/>
        <w:gridCol w:w="4858"/>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50" w:lineRule="exact"/>
        <w:ind w:left="0" w:right="0" w:firstLine="0"/>
        <w:jc w:val="left"/>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年度不进行利润分配，不进行分红送股，也不以资本公积金转增股本，留存收益全部用于公司日常生产经营。</w:t>
      </w:r>
    </w:p>
    <w:p>
      <w:pPr>
        <w:pStyle w:val="Style29"/>
        <w:keepNext w:val="0"/>
        <w:keepLines w:val="0"/>
        <w:widowControl w:val="0"/>
        <w:shd w:val="clear" w:color="auto" w:fill="auto"/>
        <w:bidi w:val="0"/>
        <w:spacing w:before="0" w:after="0" w:line="350" w:lineRule="exact"/>
        <w:ind w:left="0" w:right="0" w:firstLine="0"/>
        <w:jc w:val="left"/>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年度不进行利润分配，不进行分红送股，也不以资本公积金转增股本，留存收益全部用于公司日常生产经营。</w:t>
      </w:r>
    </w:p>
    <w:p>
      <w:pPr>
        <w:pStyle w:val="Style29"/>
        <w:keepNext w:val="0"/>
        <w:keepLines w:val="0"/>
        <w:widowControl w:val="0"/>
        <w:shd w:val="clear" w:color="auto" w:fill="auto"/>
        <w:bidi w:val="0"/>
        <w:spacing w:before="0" w:after="140" w:line="350" w:lineRule="exact"/>
        <w:ind w:left="0" w:right="0" w:firstLine="0"/>
        <w:jc w:val="left"/>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年度不进行利润分配，不进行分红送股，也不以资本公积金转增股本，留存收益全部用于公司日常生产经营。 公司近三年（包括本报告期）普通股现金分红情况表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43"/>
        <w:gridCol w:w="1843"/>
        <w:gridCol w:w="1699"/>
        <w:gridCol w:w="1416"/>
        <w:gridCol w:w="131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 归属于上市公司普通 股股东的净利润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 上市公司普通股股东 的净利润的比率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 分红的金额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 金分红的比例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75,912,490.21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135,358,464.49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-84,675,562.98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公司日常生产经营、未来投资和发展需要大量资金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用于公司日常生产经营、未来投资和发展</w:t>
            </w:r>
          </w:p>
        </w:tc>
      </w:tr>
    </w:tbl>
    <w:p>
      <w:pPr>
        <w:sectPr>
          <w:footnotePr>
            <w:pos w:val="pageBottom"/>
            <w:numFmt w:val="decimal"/>
            <w:numRestart w:val="continuous"/>
          </w:footnotePr>
          <w:pgSz w:w="11900" w:h="16840"/>
          <w:pgMar w:top="1930" w:right="1023" w:bottom="1738" w:left="1090" w:header="0" w:footer="3" w:gutter="0"/>
          <w:cols w:space="720"/>
          <w:noEndnote/>
          <w:rtlGutter w:val="0"/>
          <w:docGrid w:linePitch="360"/>
        </w:sectPr>
      </w:pPr>
    </w:p>
    <w:p>
      <w:pPr>
        <w:pStyle w:val="Style25"/>
        <w:keepNext/>
        <w:keepLines/>
        <w:widowControl w:val="0"/>
        <w:shd w:val="clear" w:color="auto" w:fill="auto"/>
        <w:bidi w:val="0"/>
        <w:spacing w:before="0" w:after="36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二</w:t>
      </w:r>
      <w:bookmarkEnd w:id="271"/>
      <w:r>
        <w:rPr>
          <w:color w:val="000000"/>
          <w:spacing w:val="0"/>
          <w:w w:val="100"/>
          <w:position w:val="0"/>
        </w:rPr>
        <w:t>、本报告期利润分配及资本公积金转增股本预案</w:t>
      </w:r>
      <w:bookmarkEnd w:id="269"/>
      <w:bookmarkEnd w:id="270"/>
      <w:bookmarkEnd w:id="27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三</w:t>
      </w:r>
      <w:bookmarkEnd w:id="275"/>
      <w:r>
        <w:rPr>
          <w:color w:val="000000"/>
          <w:spacing w:val="0"/>
          <w:w w:val="100"/>
          <w:position w:val="0"/>
        </w:rPr>
        <w:t>、承诺事项履行情况</w:t>
      </w:r>
      <w:bookmarkEnd w:id="273"/>
      <w:bookmarkEnd w:id="274"/>
      <w:bookmarkEnd w:id="276"/>
    </w:p>
    <w:p>
      <w:pPr>
        <w:pStyle w:val="Style33"/>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、公司实际控制人、股东、关联方、收购人以及公司等承诺相关方在报告期内履行完毕及截至报告期末尚未履行完毕的承诺事项</w:t>
      </w:r>
      <w:bookmarkEnd w:id="277"/>
      <w:bookmarkEnd w:id="278"/>
      <w:bookmarkEnd w:id="280"/>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21"/>
        <w:gridCol w:w="1421"/>
        <w:gridCol w:w="1982"/>
        <w:gridCol w:w="3826"/>
        <w:gridCol w:w="1704"/>
        <w:gridCol w:w="1699"/>
        <w:gridCol w:w="13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 报告书中所作承诺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中驰惠程；中源 信；信中利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保证深圳惠程在资产、人员、财务、业务和机构 等方面独立。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关于同业竞争、关联交 易、资金占用方面的承诺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承诺在权益变动完成后十二个月内解决同业竞 争问题。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16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公司在《深圳市惠程电气股份有限公司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 限制性股票激励计划（草案）》摘要（修订稿） 中承诺公司不为激励对象依本激励计划获取有 关权益提供贷款以及其他任何形式的财务资助， 包括为其贷款提供担保。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公司在《深圳市惠程电气股份有限公司限制性股 票与股票期权激励计划（草案）》中承诺不为激 励对象获取有关权益提供贷款以及其他任何形 式的财务资助，包括为其贷款提供担保。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公司在《深圳市惠程电气股份有限公司第二期限 制性股票与股票期权激励计划（草案）》中承诺 不为激励对象获取有关权益提供贷款以及其他 任何形式的财务资助，包括为其贷款提供担保。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21"/>
        <w:gridCol w:w="1421"/>
        <w:gridCol w:w="1982"/>
        <w:gridCol w:w="3826"/>
        <w:gridCol w:w="1704"/>
        <w:gridCol w:w="1699"/>
        <w:gridCol w:w="1382"/>
      </w:tblGrid>
      <w:tr>
        <w:trPr>
          <w:trHeight w:val="106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其他对公司中小股东所 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中驰惠程；中源信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根据《收购管理办法》第</w:t>
            </w:r>
            <w:r>
              <w:rPr>
                <w:color w:val="000000"/>
                <w:spacing w:val="0"/>
                <w:w w:val="100"/>
                <w:position w:val="0"/>
                <w:sz w:val="18"/>
                <w:szCs w:val="18"/>
              </w:rPr>
              <w:t>74</w:t>
            </w:r>
            <w:r>
              <w:rPr>
                <w:rFonts w:ascii="SimSun" w:eastAsia="SimSun" w:hAnsi="SimSun" w:cs="SimSun"/>
                <w:color w:val="000000"/>
                <w:spacing w:val="0"/>
                <w:w w:val="100"/>
                <w:position w:val="0"/>
                <w:sz w:val="17"/>
                <w:szCs w:val="17"/>
              </w:rPr>
              <w:t>条规定：在上市公 司收购中，收购人持有的被收购公司的股份，在 收购完成后</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中驰惠程；中源 信；汪超涌；李亦 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不进行重大资产重组承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公司控股股东及其一致行动人、实际控制人承诺 未来</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个月内不会筹划重大资产重组等重大事 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截止年报披露日 该承诺已履行完</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公司在《关于发起设立信中利惠程产业并购基金 暨关联交易的补充公告》中承诺在本次投资事项 发生后的十二个月内，公司不使用闲置募集资金 暂时补充流动资金、不将募集资金投向变更为永 久性补充流动资金、不将超募资金永久性用于补 充流动资金或者归还银行贷款、不将本次投资的 出资款用于补充流动资金。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公司在《信中利惠程产业并购基金之合作协议》 中承诺不会收购产业并购基金从本公司控股股 东及实际控制人处收购的资产。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中驰惠程；中源 信;信中利；田勇； 华宝信托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在《关于第一大股东及其一致行动人增持公司股 份的公告》（公告编号：</w:t>
            </w:r>
            <w:r>
              <w:rPr>
                <w:color w:val="000000"/>
                <w:spacing w:val="0"/>
                <w:w w:val="100"/>
                <w:position w:val="0"/>
                <w:sz w:val="18"/>
                <w:szCs w:val="18"/>
              </w:rPr>
              <w:t>2016-117</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中中驰惠程及 其一致行动人计划未来</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个月内增持金额不少于 </w:t>
            </w:r>
            <w:r>
              <w:rPr>
                <w:color w:val="000000"/>
                <w:spacing w:val="0"/>
                <w:w w:val="100"/>
                <w:position w:val="0"/>
                <w:sz w:val="18"/>
                <w:szCs w:val="18"/>
              </w:rPr>
              <w:t>1</w:t>
            </w:r>
            <w:r>
              <w:rPr>
                <w:rFonts w:ascii="SimSun" w:eastAsia="SimSun" w:hAnsi="SimSun" w:cs="SimSun"/>
                <w:color w:val="000000"/>
                <w:spacing w:val="0"/>
                <w:w w:val="100"/>
                <w:position w:val="0"/>
                <w:sz w:val="17"/>
                <w:szCs w:val="17"/>
              </w:rPr>
              <w:t>亿元，不超过</w:t>
            </w:r>
            <w:r>
              <w:rPr>
                <w:color w:val="000000"/>
                <w:spacing w:val="0"/>
                <w:w w:val="100"/>
                <w:position w:val="0"/>
                <w:sz w:val="18"/>
                <w:szCs w:val="18"/>
              </w:rPr>
              <w:t>10</w:t>
            </w:r>
            <w:r>
              <w:rPr>
                <w:rFonts w:ascii="SimSun" w:eastAsia="SimSun" w:hAnsi="SimSun" w:cs="SimSun"/>
                <w:color w:val="000000"/>
                <w:spacing w:val="0"/>
                <w:w w:val="100"/>
                <w:position w:val="0"/>
                <w:sz w:val="17"/>
                <w:szCs w:val="17"/>
              </w:rPr>
              <w:t>亿元。中驰惠程及其一致行动 人承诺在增持计划完成后</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个月内不减持所持 有的本公司股份。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正常履行中</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、公司资产或项目存在盈利预测，且报告期仍处在盈利预测期间，公司就资产或项目达到原盈利预测及其原因做出说明</w:t>
      </w:r>
      <w:bookmarkEnd w:id="281"/>
      <w:bookmarkEnd w:id="282"/>
      <w:bookmarkEnd w:id="284"/>
    </w:p>
    <w:p>
      <w:pPr>
        <w:pStyle w:val="Style29"/>
        <w:keepNext w:val="0"/>
        <w:keepLines w:val="0"/>
        <w:widowControl w:val="0"/>
        <w:shd w:val="clear" w:color="auto" w:fill="auto"/>
        <w:bidi w:val="0"/>
        <w:spacing w:before="0" w:after="340" w:line="240" w:lineRule="auto"/>
        <w:ind w:left="0" w:right="0" w:firstLine="0"/>
        <w:jc w:val="left"/>
        <w:sectPr>
          <w:headerReference w:type="default" r:id="rId13"/>
          <w:footerReference w:type="default" r:id="rId14"/>
          <w:footnotePr>
            <w:pos w:val="pageBottom"/>
            <w:numFmt w:val="decimal"/>
            <w:numRestart w:val="continuous"/>
          </w:footnotePr>
          <w:pgSz w:w="16840" w:h="11900" w:orient="landscape"/>
          <w:pgMar w:top="1108" w:right="1402" w:bottom="1438"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498" w:val="left"/>
        </w:tabs>
        <w:bidi w:val="0"/>
        <w:spacing w:before="100" w:after="360" w:line="240" w:lineRule="auto"/>
        <w:ind w:left="0" w:right="0" w:firstLine="0"/>
        <w:jc w:val="both"/>
      </w:pPr>
      <w:bookmarkStart w:id="285" w:name="bookmark285"/>
      <w:bookmarkStart w:id="286" w:name="bookmark286"/>
      <w:bookmarkStart w:id="287" w:name="bookmark287"/>
      <w:bookmarkStart w:id="288" w:name="bookmark288"/>
      <w:r>
        <w:rPr>
          <w:color w:val="000000"/>
          <w:spacing w:val="0"/>
          <w:w w:val="100"/>
          <w:position w:val="0"/>
        </w:rPr>
        <w:t>四</w:t>
      </w:r>
      <w:bookmarkEnd w:id="287"/>
      <w:r>
        <w:rPr>
          <w:color w:val="000000"/>
          <w:spacing w:val="0"/>
          <w:w w:val="100"/>
          <w:position w:val="0"/>
        </w:rPr>
        <w:t>、</w:t>
        <w:tab/>
        <w:t>控股股东及其关联方对上市公司的非经营性占用资金情况</w:t>
      </w:r>
      <w:bookmarkEnd w:id="285"/>
      <w:bookmarkEnd w:id="286"/>
      <w:bookmarkEnd w:id="28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rPr>
        <w:t>五</w:t>
      </w:r>
      <w:bookmarkEnd w:id="29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9"/>
      <w:bookmarkEnd w:id="290"/>
      <w:bookmarkEnd w:id="29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rPr>
        <w:t>六</w:t>
      </w:r>
      <w:bookmarkEnd w:id="295"/>
      <w:r>
        <w:rPr>
          <w:color w:val="000000"/>
          <w:spacing w:val="0"/>
          <w:w w:val="100"/>
          <w:position w:val="0"/>
        </w:rPr>
        <w:t>、</w:t>
        <w:tab/>
        <w:t>与上年度财务报告相比，会计政策、会计估计和核算方法发生变化的情况说明</w:t>
      </w:r>
      <w:bookmarkEnd w:id="293"/>
      <w:bookmarkEnd w:id="294"/>
      <w:bookmarkEnd w:id="29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30"/>
        <w:gridCol w:w="3221"/>
        <w:gridCol w:w="3226"/>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8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根据本公司第五届董事会第二十九次会 议决议，本公司自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日起对投资 性房地产由成本法进行后续计量转换为 采用公允价值模式进行后续计量。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经本公司第五届董事会第二十九次会议 决议批准。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为了更好、更客观地反映公司持有的投资 性房地产的真实价值，增强公司财务信息 的准确性。</w:t>
            </w:r>
          </w:p>
        </w:tc>
      </w:tr>
    </w:tbl>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根据企业会计准则规定，本次会计政策变更应当对财务报表进行追溯调整。追溯调整后对定期报告合并资产负债表及合</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并净利润的影响情况如下：</w:t>
      </w:r>
    </w:p>
    <w:p>
      <w:pPr>
        <w:pStyle w:val="Style29"/>
        <w:keepNext w:val="0"/>
        <w:keepLines w:val="0"/>
        <w:widowControl w:val="0"/>
        <w:shd w:val="clear" w:color="auto" w:fill="auto"/>
        <w:bidi w:val="0"/>
        <w:spacing w:before="0" w:after="80" w:line="240" w:lineRule="auto"/>
        <w:ind w:left="0" w:right="0" w:firstLine="480"/>
        <w:jc w:val="both"/>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日合并资产负债表及</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年度合并净利润的影响。</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064"/>
        <w:gridCol w:w="2064"/>
        <w:gridCol w:w="171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影响金额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10,552,368.08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55,487,500.00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44,935,131.92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11,606,791.19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10,744,704.38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-862,086.81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4,063,311.90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4,063,311.90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329,522,674.41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357,433,267.06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27,910,592.65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-88,736.08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12,010,404.48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12,099,140.56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1,160,617,682.91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1,200,627,416.12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40,009,733.21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137,875,211.36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137,030,089.16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-845,122.20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7,421,850.00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7,421,850.00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12,073,106.72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13,313,152.55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1,240,045.83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128,331,538.12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135,358,464.49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7,026,926.37</w:t>
            </w:r>
          </w:p>
        </w:tc>
      </w:tr>
    </w:tbl>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除上述外，本期无其他会计政策、会计估计变更，无重大会计差错更正。</w:t>
      </w:r>
    </w:p>
    <w:p>
      <w:pPr>
        <w:widowControl w:val="0"/>
        <w:spacing w:after="359" w:line="1" w:lineRule="exact"/>
      </w:pPr>
    </w:p>
    <w:p>
      <w:pPr>
        <w:pStyle w:val="Style25"/>
        <w:keepNext/>
        <w:keepLines/>
        <w:widowControl w:val="0"/>
        <w:shd w:val="clear" w:color="auto" w:fill="auto"/>
        <w:tabs>
          <w:tab w:pos="522" w:val="left"/>
        </w:tabs>
        <w:bidi w:val="0"/>
        <w:spacing w:before="0" w:after="36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七</w:t>
      </w:r>
      <w:bookmarkEnd w:id="299"/>
      <w:r>
        <w:rPr>
          <w:color w:val="000000"/>
          <w:spacing w:val="0"/>
          <w:w w:val="100"/>
          <w:position w:val="0"/>
        </w:rPr>
        <w:t>、</w:t>
        <w:tab/>
        <w:t>报告期内发生重大会计差错更正需追溯重述的情况说明</w:t>
      </w:r>
      <w:bookmarkEnd w:id="297"/>
      <w:bookmarkEnd w:id="298"/>
      <w:bookmarkEnd w:id="30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36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rPr>
        <w:t>八</w:t>
      </w:r>
      <w:bookmarkEnd w:id="303"/>
      <w:r>
        <w:rPr>
          <w:color w:val="000000"/>
          <w:spacing w:val="0"/>
          <w:w w:val="100"/>
          <w:position w:val="0"/>
        </w:rPr>
        <w:t>、</w:t>
        <w:tab/>
        <w:t>与上年度财务报告相比，合并报表范围发生变化的情况说明</w:t>
      </w:r>
      <w:bookmarkEnd w:id="301"/>
      <w:bookmarkEnd w:id="302"/>
      <w:bookmarkEnd w:id="30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329" w:lineRule="exact"/>
        <w:ind w:left="0" w:right="0"/>
        <w:jc w:val="both"/>
      </w:pPr>
      <w:r>
        <w:rPr>
          <w:color w:val="000000"/>
          <w:spacing w:val="0"/>
          <w:w w:val="100"/>
          <w:position w:val="0"/>
        </w:rPr>
        <w:t>经公司总裁办公会批准：</w:t>
      </w:r>
    </w:p>
    <w:p>
      <w:pPr>
        <w:pStyle w:val="Style29"/>
        <w:keepNext w:val="0"/>
        <w:keepLines w:val="0"/>
        <w:widowControl w:val="0"/>
        <w:shd w:val="clear" w:color="auto" w:fill="auto"/>
        <w:tabs>
          <w:tab w:pos="704" w:val="left"/>
        </w:tabs>
        <w:bidi w:val="0"/>
        <w:spacing w:before="0" w:after="0" w:line="326" w:lineRule="exact"/>
        <w:ind w:left="0" w:right="0"/>
        <w:jc w:val="both"/>
      </w:pPr>
      <w:bookmarkStart w:id="305" w:name="bookmark305"/>
      <w:r>
        <w:rPr>
          <w:rFonts w:ascii="Times New Roman" w:eastAsia="Times New Roman" w:hAnsi="Times New Roman" w:cs="Times New Roman"/>
          <w:color w:val="000000"/>
          <w:spacing w:val="0"/>
          <w:w w:val="100"/>
          <w:position w:val="0"/>
          <w:sz w:val="18"/>
          <w:szCs w:val="18"/>
        </w:rPr>
        <w:t>1</w:t>
      </w:r>
      <w:bookmarkEnd w:id="30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日与子公司喀什中汇联银共同投资设立合伙企业中汇联鑫，于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日与武汉纳思、宁波 永耀信息科技有限公司共同发起设立子公司永耀惠程。</w:t>
      </w:r>
    </w:p>
    <w:p>
      <w:pPr>
        <w:pStyle w:val="Style29"/>
        <w:keepNext w:val="0"/>
        <w:keepLines w:val="0"/>
        <w:widowControl w:val="0"/>
        <w:shd w:val="clear" w:color="auto" w:fill="auto"/>
        <w:tabs>
          <w:tab w:pos="704" w:val="left"/>
        </w:tabs>
        <w:bidi w:val="0"/>
        <w:spacing w:before="0" w:after="0" w:line="331" w:lineRule="exact"/>
        <w:ind w:left="0" w:right="0"/>
        <w:jc w:val="both"/>
        <w:rPr>
          <w:sz w:val="19"/>
          <w:szCs w:val="19"/>
        </w:rPr>
      </w:pPr>
      <w:bookmarkStart w:id="306" w:name="bookmark306"/>
      <w:r>
        <w:rPr>
          <w:rFonts w:ascii="Times New Roman" w:eastAsia="Times New Roman" w:hAnsi="Times New Roman" w:cs="Times New Roman"/>
          <w:color w:val="000000"/>
          <w:spacing w:val="0"/>
          <w:w w:val="100"/>
          <w:position w:val="0"/>
          <w:sz w:val="18"/>
          <w:szCs w:val="18"/>
        </w:rPr>
        <w:t>2</w:t>
      </w:r>
      <w:bookmarkEnd w:id="306"/>
      <w:r>
        <w:rPr>
          <w:color w:val="000000"/>
          <w:spacing w:val="0"/>
          <w:w w:val="100"/>
          <w:position w:val="0"/>
          <w:sz w:val="17"/>
          <w:szCs w:val="17"/>
        </w:rPr>
        <w:t>、</w:t>
        <w:tab/>
        <w:t>子公司北京中汇联银于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日在上海发起设立全资孙公司豪琛投资、鹏胤投资，于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日以受让股 权的方式取得孙公司中汇同盈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w:t>
      </w:r>
      <w:r>
        <w:rPr>
          <w:color w:val="000000"/>
          <w:spacing w:val="0"/>
          <w:w w:val="100"/>
          <w:position w:val="0"/>
          <w:sz w:val="19"/>
          <w:szCs w:val="19"/>
        </w:rPr>
        <w:t>。</w:t>
      </w:r>
    </w:p>
    <w:p>
      <w:pPr>
        <w:pStyle w:val="Style29"/>
        <w:keepNext w:val="0"/>
        <w:keepLines w:val="0"/>
        <w:widowControl w:val="0"/>
        <w:shd w:val="clear" w:color="auto" w:fill="auto"/>
        <w:bidi w:val="0"/>
        <w:spacing w:before="0" w:after="360" w:line="329" w:lineRule="exact"/>
        <w:ind w:left="0" w:right="0"/>
        <w:jc w:val="both"/>
      </w:pPr>
      <w:r>
        <w:rPr>
          <w:color w:val="000000"/>
          <w:spacing w:val="0"/>
          <w:w w:val="100"/>
          <w:position w:val="0"/>
        </w:rPr>
        <w:t>公司将以上新成立的合伙企业、子公司、孙公司纳入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年年度财务报表合并范围。</w:t>
      </w:r>
    </w:p>
    <w:p>
      <w:pPr>
        <w:pStyle w:val="Style25"/>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、聘任、解聘会计师事务所情况</w:t>
      </w:r>
      <w:bookmarkEnd w:id="307"/>
      <w:bookmarkEnd w:id="308"/>
      <w:bookmarkEnd w:id="310"/>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现聘任的会计师事务所</w:t>
      </w:r>
    </w:p>
    <w:tbl>
      <w:tblPr>
        <w:tblOverlap w:val="never"/>
        <w:jc w:val="center"/>
        <w:tblLayout w:type="fixed"/>
      </w:tblPr>
      <w:tblGrid>
        <w:gridCol w:w="3946"/>
        <w:gridCol w:w="57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上会会计师事务所（特殊普通合伙）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刘冬祥、李则华</w:t>
            </w:r>
          </w:p>
        </w:tc>
      </w:tr>
    </w:tbl>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更换会计师事务所是否履行审批程序</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对改聘、变更会计师事务所情况的详细说明</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公司原审计机构为立信会计师事务所（特殊普通合伙），已连续为上市公司提供审计服务多年，为确保上市公司审计工 作的客观性，考虑公司业务发展和未来审计的需要，经公司审计委员会提议，第五届董事会第二十九次会议、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 临时股东大会审议通过，公司更换年度审计服务的会计师事务所，聘任具备证券、期货业务资格的上会会计师事务所（特殊 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年度财务会计报告和内部控制审计机构，年度审计服务费为人民币</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万元，内部控制审计服务费为人 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万元，聘用期限一年。公司就该事项已取得原审计机构立信会计师事务所（特殊普通合伙）的书面确认书，立信会计 师事务所（特殊普通合伙）知悉本事项并确认无异议。</w:t>
      </w:r>
    </w:p>
    <w:p>
      <w:pPr>
        <w:pStyle w:val="Style2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jc w:val="both"/>
      </w:pPr>
      <w:r>
        <w:rPr>
          <w:color w:val="000000"/>
          <w:spacing w:val="0"/>
          <w:w w:val="100"/>
          <w:position w:val="0"/>
        </w:rPr>
        <w:t>本年度，公司因推出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年股权激励计划，聘请华创证券有限责任公司为财务顾问，期间共支付财务顾问费</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w:t>
      </w:r>
    </w:p>
    <w:p>
      <w:pPr>
        <w:pStyle w:val="Style25"/>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r>
        <w:rPr>
          <w:color w:val="000000"/>
          <w:spacing w:val="0"/>
          <w:w w:val="100"/>
          <w:position w:val="0"/>
        </w:rPr>
        <w:t>十、年度报告披露后面临暂停上市和终止上市情况</w:t>
      </w:r>
      <w:bookmarkEnd w:id="311"/>
      <w:bookmarkEnd w:id="312"/>
      <w:bookmarkEnd w:id="313"/>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r>
        <w:rPr>
          <w:color w:val="000000"/>
          <w:spacing w:val="0"/>
          <w:w w:val="100"/>
          <w:position w:val="0"/>
        </w:rPr>
        <w:t>十一、破产重整相关事项</w:t>
      </w:r>
      <w:bookmarkEnd w:id="314"/>
      <w:bookmarkEnd w:id="315"/>
      <w:bookmarkEnd w:id="316"/>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220" w:line="240" w:lineRule="auto"/>
        <w:ind w:left="0" w:right="0" w:firstLine="0"/>
        <w:jc w:val="both"/>
      </w:pPr>
      <w:bookmarkStart w:id="317" w:name="bookmark317"/>
      <w:bookmarkStart w:id="318" w:name="bookmark318"/>
      <w:bookmarkStart w:id="319" w:name="bookmark319"/>
      <w:r>
        <w:rPr>
          <w:color w:val="000000"/>
          <w:spacing w:val="0"/>
          <w:w w:val="100"/>
          <w:position w:val="0"/>
        </w:rPr>
        <w:t>十二、重大诉讼、仲裁事项</w:t>
      </w:r>
      <w:bookmarkEnd w:id="317"/>
      <w:bookmarkEnd w:id="318"/>
      <w:bookmarkEnd w:id="319"/>
    </w:p>
    <w:p>
      <w:pPr>
        <w:pStyle w:val="Style29"/>
        <w:keepNext w:val="0"/>
        <w:keepLines w:val="0"/>
        <w:widowControl w:val="0"/>
        <w:shd w:val="clear" w:color="auto" w:fill="auto"/>
        <w:bidi w:val="0"/>
        <w:spacing w:before="0" w:after="38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本报告期公司无重大诉讼、仲裁事项。</w:t>
      </w:r>
    </w:p>
    <w:p>
      <w:pPr>
        <w:pStyle w:val="Style25"/>
        <w:keepNext/>
        <w:keepLines/>
        <w:widowControl w:val="0"/>
        <w:shd w:val="clear" w:color="auto" w:fill="auto"/>
        <w:bidi w:val="0"/>
        <w:spacing w:before="0" w:after="220" w:line="240" w:lineRule="auto"/>
        <w:ind w:left="0" w:right="0" w:firstLine="0"/>
        <w:jc w:val="both"/>
      </w:pPr>
      <w:bookmarkStart w:id="320" w:name="bookmark320"/>
      <w:bookmarkStart w:id="321" w:name="bookmark321"/>
      <w:bookmarkStart w:id="322" w:name="bookmark322"/>
      <w:r>
        <w:rPr>
          <w:color w:val="000000"/>
          <w:spacing w:val="0"/>
          <w:w w:val="100"/>
          <w:position w:val="0"/>
        </w:rPr>
        <w:t>十三、处罚及整改情况</w:t>
      </w:r>
      <w:bookmarkEnd w:id="320"/>
      <w:bookmarkEnd w:id="321"/>
      <w:bookmarkEnd w:id="322"/>
    </w:p>
    <w:p>
      <w:pPr>
        <w:pStyle w:val="Style29"/>
        <w:keepNext w:val="0"/>
        <w:keepLines w:val="0"/>
        <w:widowControl w:val="0"/>
        <w:shd w:val="clear" w:color="auto" w:fill="auto"/>
        <w:bidi w:val="0"/>
        <w:spacing w:before="0" w:after="38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公司报告期不存在处罚及整改情况。</w:t>
      </w:r>
    </w:p>
    <w:p>
      <w:pPr>
        <w:pStyle w:val="Style25"/>
        <w:keepNext/>
        <w:keepLines/>
        <w:widowControl w:val="0"/>
        <w:shd w:val="clear" w:color="auto" w:fill="auto"/>
        <w:bidi w:val="0"/>
        <w:spacing w:before="0" w:after="380" w:line="240" w:lineRule="auto"/>
        <w:ind w:left="0" w:right="0" w:firstLine="0"/>
        <w:jc w:val="both"/>
      </w:pPr>
      <w:bookmarkStart w:id="323" w:name="bookmark323"/>
      <w:bookmarkStart w:id="324" w:name="bookmark324"/>
      <w:bookmarkStart w:id="325" w:name="bookmark325"/>
      <w:r>
        <w:rPr>
          <w:color w:val="000000"/>
          <w:spacing w:val="0"/>
          <w:w w:val="100"/>
          <w:position w:val="0"/>
        </w:rPr>
        <w:t>十四、公司及其控股股东、实际控制人的诚信状况</w:t>
      </w:r>
      <w:bookmarkEnd w:id="323"/>
      <w:bookmarkEnd w:id="324"/>
      <w:bookmarkEnd w:id="325"/>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公司、公司控股股东中驰惠程、公司实际控制人汪超涌先生和李亦非女士不存在未履行法院生效判决、所负数额较大的 债务到期未清偿等情况。</w:t>
      </w:r>
    </w:p>
    <w:p>
      <w:pPr>
        <w:pStyle w:val="Style25"/>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r>
        <w:rPr>
          <w:color w:val="000000"/>
          <w:spacing w:val="0"/>
          <w:w w:val="100"/>
          <w:position w:val="0"/>
        </w:rPr>
        <w:t>十五、公司股权激励计划、员工持股计划或其他员工激励措施的实施情况</w:t>
      </w:r>
      <w:bookmarkEnd w:id="326"/>
      <w:bookmarkEnd w:id="327"/>
      <w:bookmarkEnd w:id="328"/>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tabs>
          <w:tab w:pos="712" w:val="left"/>
        </w:tabs>
        <w:bidi w:val="0"/>
        <w:spacing w:before="0" w:after="0" w:line="313" w:lineRule="exact"/>
        <w:ind w:left="0" w:right="0"/>
        <w:jc w:val="both"/>
      </w:pPr>
      <w:bookmarkStart w:id="329" w:name="bookmark329"/>
      <w:r>
        <w:rPr>
          <w:rFonts w:ascii="Times New Roman" w:eastAsia="Times New Roman" w:hAnsi="Times New Roman" w:cs="Times New Roman"/>
          <w:b/>
          <w:bCs/>
          <w:color w:val="000000"/>
          <w:spacing w:val="0"/>
          <w:w w:val="100"/>
          <w:position w:val="0"/>
          <w:sz w:val="18"/>
          <w:szCs w:val="18"/>
        </w:rPr>
        <w:t>1</w:t>
      </w:r>
      <w:bookmarkEnd w:id="329"/>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年第一期股权激励计划实施情况</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日公司第五届董事会第十七次会议和第五届监事会第七次会议、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年第五次临时股东 大会审议通过了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日公司第五届董事会第二十二次会议、第五届监事会第十一次会议审议通过了关于调整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 激励计划首次授予激励对象名单及授予数量的议案、关于向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年第一期股权激励计划激励对象首次授予限制性股票与股票 期权的议案，因激励对象资金及个人原因，公司对首次授予激励对象、授予数量进行了调整，并确定授予日为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日，独立董事就相关事项发表了同意的独立意见，相应的股份授予登记工作已于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日完成，授予的限制性股票已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日公司第五届董事会第二十九次会议、第五届监事会第十七次会议审议通过了关于向激励对象授予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第一期股权激励计划预留股份的议案，公司独立董事对相关事项发表了同意的独立意见，相应的股份授予登记工作已于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日完成，授予的限制性股票已于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日上市流通。</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日公司第五届董事会第四十次会议、第五届监事会第二十二次会议审议通过了关于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 计划首次授予的限制性股票第一个解锁期符合解锁条件的议案，独立董事对相关事项发表了同意的独立意见，符合解锁条件 的限制性股票已于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日解锁上市流通。</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日公司第五届董事会第四十一次会议、第五届监事会第二十三次会议审议通过了《关于回购注销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 期股权激励计划部分限制性股票和股票期权的议案》，董事会同意根据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年第一期股权激励计划的相关规定，对已离职激 励对象纪晓文先生已获授未解锁的限制性股票进行回购注销处理，公司独立董事对此发表了同意的独立意见。</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详情请参见公司刊登于巨潮资讯网(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29"/>
        <w:keepNext w:val="0"/>
        <w:keepLines w:val="0"/>
        <w:widowControl w:val="0"/>
        <w:shd w:val="clear" w:color="auto" w:fill="auto"/>
        <w:tabs>
          <w:tab w:pos="726" w:val="left"/>
        </w:tabs>
        <w:bidi w:val="0"/>
        <w:spacing w:before="0" w:after="0" w:line="313" w:lineRule="exact"/>
        <w:ind w:left="0" w:right="0"/>
        <w:jc w:val="both"/>
      </w:pPr>
      <w:bookmarkStart w:id="330" w:name="bookmark330"/>
      <w:r>
        <w:rPr>
          <w:rFonts w:ascii="Times New Roman" w:eastAsia="Times New Roman" w:hAnsi="Times New Roman" w:cs="Times New Roman"/>
          <w:b/>
          <w:bCs/>
          <w:color w:val="000000"/>
          <w:spacing w:val="0"/>
          <w:w w:val="100"/>
          <w:position w:val="0"/>
          <w:sz w:val="18"/>
          <w:szCs w:val="18"/>
        </w:rPr>
        <w:t>2</w:t>
      </w:r>
      <w:bookmarkEnd w:id="330"/>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年第二期股权激励计划实施情况</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日公司第五届董事会第十八次会议和第五届监事会第八次会议＞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年第六次临时股 东大会审议通过了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日公司第五届董事会第二十次会议、第五届监事会第十次会议审议通过了关于向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 划激励对象首次授予限制性股票与股票期权的议案，确定授予日为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日，独立董事就此发表了同意的独立意见， 相应的股份授予登记工作已于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日完成，授予的限制性股票已于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日上市流通。</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日公司第五届董事会第二十九次会议、第五届监事会第十七次会议审议通过了关于向激励对象授予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color w:val="000000"/>
          <w:spacing w:val="0"/>
          <w:w w:val="100"/>
          <w:position w:val="0"/>
        </w:rPr>
        <w:t>第二期股权激励计划预留股份的议案，独立董事对相关事项发表了同意的独立意见，相应的股份授予登记工作已于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日完成，授予的限制性股票已于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日上市流通。</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日公司第五届董事会第三十六次会议、第五届监事会第二十一次会议审议通过了关于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 励计划首次授予的限制性股票与股票期权第一个解锁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行权期符合解锁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行权条件的议案和关于</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年第二期股权激励计划 首次授予的股票期权第一个行权期采用自主行权模式的议案，独立董事对相关事项发表了同意的独立意见，符合解锁条件的 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日解锁上市流通，符合行权条件的股票期权已于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日行权完毕。</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日公司第五届董事会第四十一次会议、第五届监事会第二十三次会议审议通过了关于回购注销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 股权激励计划部分限制性股票和股票期权的议案，董事会同意根据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年第二期股权激励计划的相关规定，对已离职激励对 象纪晓文先生已获授未解锁的限制性股票及已获授未行权的股票期权进行回购注销处理，公司独立董事对此发表了同意的独 立意见。</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详情请参见公司刊登于巨潮资讯网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29"/>
        <w:keepNext w:val="0"/>
        <w:keepLines w:val="0"/>
        <w:widowControl w:val="0"/>
        <w:shd w:val="clear" w:color="auto" w:fill="auto"/>
        <w:bidi w:val="0"/>
        <w:spacing w:before="0" w:after="0" w:line="360" w:lineRule="auto"/>
        <w:ind w:left="0" w:right="0" w:firstLine="360"/>
        <w:jc w:val="both"/>
      </w:pPr>
      <w:bookmarkStart w:id="331" w:name="bookmark331"/>
      <w:r>
        <w:rPr>
          <w:rFonts w:ascii="Times New Roman" w:eastAsia="Times New Roman" w:hAnsi="Times New Roman" w:cs="Times New Roman"/>
          <w:b/>
          <w:bCs/>
          <w:color w:val="000000"/>
          <w:spacing w:val="0"/>
          <w:w w:val="100"/>
          <w:position w:val="0"/>
          <w:sz w:val="18"/>
          <w:szCs w:val="18"/>
        </w:rPr>
        <w:t>3</w:t>
      </w:r>
      <w:bookmarkEnd w:id="331"/>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年股权激励计划实施情况</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日公司第五届董事会第二十九次会议和第五届监事会第十七次会议、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年第三次临时 股东大会审议通过了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日公司第五届董事会第三十次会议、第五届监事会第十九次会议审议通过了《关于向公司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票激励计划激励对象授予限制性股票的议案》，确定授予日为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日，独立董事就此发表了同意的独立意见，相应 的股份授予登记工作已于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日完成，授予的限制性股票已于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日上市流通。</w:t>
      </w:r>
    </w:p>
    <w:p>
      <w:pPr>
        <w:pStyle w:val="Style29"/>
        <w:keepNext w:val="0"/>
        <w:keepLines w:val="0"/>
        <w:widowControl w:val="0"/>
        <w:shd w:val="clear" w:color="auto" w:fill="auto"/>
        <w:bidi w:val="0"/>
        <w:spacing w:before="0" w:after="0" w:line="313" w:lineRule="exact"/>
        <w:ind w:left="0" w:right="0" w:firstLine="360"/>
        <w:jc w:val="both"/>
        <w:sectPr>
          <w:headerReference w:type="default" r:id="rId15"/>
          <w:footerReference w:type="default" r:id="rId16"/>
          <w:footnotePr>
            <w:pos w:val="pageBottom"/>
            <w:numFmt w:val="decimal"/>
            <w:numRestart w:val="continuous"/>
          </w:footnotePr>
          <w:pgSz w:w="11900" w:h="16840"/>
          <w:pgMar w:top="1364" w:right="1093" w:bottom="1662" w:left="1092" w:header="0" w:footer="3" w:gutter="0"/>
          <w:cols w:space="720"/>
          <w:noEndnote/>
          <w:rtlGutter w:val="0"/>
          <w:docGrid w:linePitch="360"/>
        </w:sectPr>
      </w:pPr>
      <w:r>
        <w:rPr>
          <w:color w:val="000000"/>
          <w:spacing w:val="0"/>
          <w:w w:val="100"/>
          <w:position w:val="0"/>
        </w:rPr>
        <w:t>详情请参见公司刊登于巨潮资讯网(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上的相关公告。</w:t>
      </w:r>
    </w:p>
    <w:p>
      <w:pPr>
        <w:pStyle w:val="Style25"/>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r>
        <w:rPr>
          <w:color w:val="000000"/>
          <w:spacing w:val="0"/>
          <w:w w:val="100"/>
          <w:position w:val="0"/>
        </w:rPr>
        <w:t>十六、重大关联交易</w:t>
      </w:r>
      <w:bookmarkEnd w:id="332"/>
      <w:bookmarkEnd w:id="333"/>
      <w:bookmarkEnd w:id="334"/>
    </w:p>
    <w:p>
      <w:pPr>
        <w:pStyle w:val="Style33"/>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、与日常经营相关的关联交易</w:t>
      </w:r>
      <w:bookmarkEnd w:id="335"/>
      <w:bookmarkEnd w:id="336"/>
      <w:bookmarkEnd w:id="33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88"/>
        <w:gridCol w:w="710"/>
        <w:gridCol w:w="571"/>
        <w:gridCol w:w="850"/>
        <w:gridCol w:w="710"/>
        <w:gridCol w:w="1838"/>
        <w:gridCol w:w="710"/>
        <w:gridCol w:w="850"/>
        <w:gridCol w:w="850"/>
        <w:gridCol w:w="710"/>
        <w:gridCol w:w="850"/>
        <w:gridCol w:w="850"/>
        <w:gridCol w:w="710"/>
        <w:gridCol w:w="293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关联 交易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易金额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获批的交 易额度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可获得的 同类交易 市价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60"/>
              <w:jc w:val="left"/>
              <w:rPr>
                <w:sz w:val="17"/>
                <w:szCs w:val="17"/>
              </w:rPr>
            </w:pPr>
            <w:r>
              <w:rPr>
                <w:rFonts w:ascii="SimSun" w:eastAsia="SimSun" w:hAnsi="SimSun" w:cs="SimSun"/>
                <w:color w:val="000000"/>
                <w:spacing w:val="0"/>
                <w:w w:val="100"/>
                <w:position w:val="0"/>
                <w:sz w:val="17"/>
                <w:szCs w:val="17"/>
              </w:rPr>
              <w:t>披露</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中视环球 汽车赛车 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同一控 制下关 联企业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提供 或接 受劳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本公司赛</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事赞助暨</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广告投放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市场公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合同总价款</w:t>
            </w:r>
            <w:r>
              <w:rPr>
                <w:color w:val="000000"/>
                <w:spacing w:val="0"/>
                <w:w w:val="100"/>
                <w:position w:val="0"/>
                <w:sz w:val="18"/>
                <w:szCs w:val="18"/>
              </w:rPr>
              <w:t>300</w:t>
            </w:r>
            <w:r>
              <w:rPr>
                <w:rFonts w:ascii="SimSun" w:eastAsia="SimSun" w:hAnsi="SimSun" w:cs="SimSun"/>
                <w:color w:val="000000"/>
                <w:spacing w:val="0"/>
                <w:w w:val="100"/>
                <w:position w:val="0"/>
                <w:sz w:val="17"/>
                <w:szCs w:val="17"/>
              </w:rPr>
              <w:t>万元， 有效期</w:t>
            </w:r>
            <w:r>
              <w:rPr>
                <w:color w:val="000000"/>
                <w:spacing w:val="0"/>
                <w:w w:val="100"/>
                <w:position w:val="0"/>
                <w:sz w:val="18"/>
                <w:szCs w:val="18"/>
              </w:rPr>
              <w:t>1</w:t>
            </w:r>
            <w:r>
              <w:rPr>
                <w:rFonts w:ascii="SimSun" w:eastAsia="SimSun" w:hAnsi="SimSun" w:cs="SimSun"/>
                <w:color w:val="000000"/>
                <w:spacing w:val="0"/>
                <w:w w:val="100"/>
                <w:position w:val="0"/>
                <w:sz w:val="17"/>
                <w:szCs w:val="17"/>
              </w:rPr>
              <w:t>年，截止报告 期末已执行</w:t>
            </w:r>
            <w:r>
              <w:rPr>
                <w:color w:val="000000"/>
                <w:spacing w:val="0"/>
                <w:w w:val="100"/>
                <w:position w:val="0"/>
                <w:sz w:val="18"/>
                <w:szCs w:val="18"/>
              </w:rPr>
              <w:t>150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银行转账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www.cninfb.com.cn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 的《关于子公司中汇联银投资管理</w:t>
            </w:r>
          </w:p>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（北京）有限公司向关联方租赁办公 场所的公告》（公告编号：</w:t>
            </w:r>
            <w:r>
              <w:rPr>
                <w:color w:val="000000"/>
                <w:spacing w:val="0"/>
                <w:w w:val="100"/>
                <w:position w:val="0"/>
                <w:sz w:val="18"/>
                <w:szCs w:val="18"/>
              </w:rPr>
              <w:t>2016-080</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信中利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同一控 制下关 联企业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公司子公 司北京中 汇联银向 信中利租 赁办公场 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市场公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房屋租金为</w:t>
            </w:r>
            <w:r>
              <w:rPr>
                <w:color w:val="000000"/>
                <w:spacing w:val="0"/>
                <w:w w:val="100"/>
                <w:position w:val="0"/>
              </w:rPr>
              <w:t>7.5</w:t>
            </w:r>
            <w:r>
              <w:rPr>
                <w:rFonts w:ascii="SimSun" w:eastAsia="SimSun" w:hAnsi="SimSun" w:cs="SimSun"/>
                <w:i/>
                <w:iCs/>
                <w:color w:val="000000"/>
                <w:spacing w:val="0"/>
                <w:w w:val="100"/>
                <w:position w:val="0"/>
                <w:sz w:val="19"/>
                <w:szCs w:val="19"/>
              </w:rPr>
              <w:t>元</w:t>
            </w:r>
            <w:r>
              <w:rPr>
                <w:i/>
                <w:iCs/>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w:t>
            </w:r>
            <w:r>
              <w:rPr>
                <w:color w:val="000000"/>
                <w:spacing w:val="0"/>
                <w:w w:val="100"/>
                <w:position w:val="0"/>
                <w:sz w:val="18"/>
                <w:szCs w:val="18"/>
              </w:rPr>
              <w:t>.</w:t>
            </w:r>
            <w:r>
              <w:rPr>
                <w:rFonts w:ascii="SimSun" w:eastAsia="SimSun" w:hAnsi="SimSun" w:cs="SimSun"/>
                <w:color w:val="000000"/>
                <w:spacing w:val="0"/>
                <w:w w:val="100"/>
                <w:position w:val="0"/>
                <w:sz w:val="17"/>
                <w:szCs w:val="17"/>
              </w:rPr>
              <w:t>平方米），物业管 理费为</w:t>
            </w:r>
            <w:r>
              <w:rPr>
                <w:color w:val="000000"/>
                <w:spacing w:val="0"/>
                <w:w w:val="100"/>
                <w:position w:val="0"/>
                <w:sz w:val="18"/>
                <w:szCs w:val="18"/>
              </w:rPr>
              <w:t>1</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（天</w:t>
            </w:r>
            <w:r>
              <w:rPr>
                <w:color w:val="000000"/>
                <w:spacing w:val="0"/>
                <w:w w:val="100"/>
                <w:position w:val="0"/>
                <w:sz w:val="18"/>
                <w:szCs w:val="18"/>
              </w:rPr>
              <w:t>.</w:t>
            </w:r>
            <w:r>
              <w:rPr>
                <w:rFonts w:ascii="SimSun" w:eastAsia="SimSun" w:hAnsi="SimSun" w:cs="SimSun"/>
                <w:color w:val="000000"/>
                <w:spacing w:val="0"/>
                <w:w w:val="100"/>
                <w:position w:val="0"/>
                <w:sz w:val="17"/>
                <w:szCs w:val="17"/>
              </w:rPr>
              <w:t>平方 米）,建筑面积共</w:t>
            </w:r>
            <w:r>
              <w:rPr>
                <w:color w:val="000000"/>
                <w:spacing w:val="0"/>
                <w:w w:val="100"/>
                <w:position w:val="0"/>
                <w:sz w:val="18"/>
                <w:szCs w:val="18"/>
              </w:rPr>
              <w:t xml:space="preserve">647.06 </w:t>
            </w:r>
            <w:r>
              <w:rPr>
                <w:rFonts w:ascii="SimSun" w:eastAsia="SimSun" w:hAnsi="SimSun" w:cs="SimSun"/>
                <w:color w:val="000000"/>
                <w:spacing w:val="0"/>
                <w:w w:val="100"/>
                <w:position w:val="0"/>
                <w:sz w:val="17"/>
                <w:szCs w:val="17"/>
              </w:rPr>
              <w:t>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银行转账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49.5</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 的《关于子公司中汇联银投资管理</w:t>
            </w:r>
          </w:p>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（北京）有限公司向关联方租赁办公 场所的公告》（公告编号：</w:t>
            </w:r>
            <w:r>
              <w:rPr>
                <w:color w:val="000000"/>
                <w:spacing w:val="0"/>
                <w:w w:val="100"/>
                <w:position w:val="0"/>
                <w:sz w:val="18"/>
                <w:szCs w:val="18"/>
              </w:rPr>
              <w:t>2016-080</w:t>
            </w:r>
            <w:r>
              <w:rPr>
                <w:rFonts w:ascii="SimSun" w:eastAsia="SimSun" w:hAnsi="SimSun" w:cs="SimSun"/>
                <w:color w:val="000000"/>
                <w:spacing w:val="0"/>
                <w:w w:val="100"/>
                <w:position w:val="0"/>
                <w:sz w:val="17"/>
                <w:szCs w:val="17"/>
              </w:rPr>
              <w:t>）</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按类别对本期将发生的日常关联交易 进行总金额预计的，在报告期内的实 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交易价格与市场参考价格差异较大的 原因（如适用）</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sectPr>
          <w:headerReference w:type="default" r:id="rId17"/>
          <w:footerReference w:type="default" r:id="rId18"/>
          <w:footnotePr>
            <w:pos w:val="pageBottom"/>
            <w:numFmt w:val="decimal"/>
            <w:numRestart w:val="continuous"/>
          </w:footnotePr>
          <w:pgSz w:w="16840" w:h="11900" w:orient="landscape"/>
          <w:pgMar w:top="1446" w:right="1402" w:bottom="1446" w:left="1402" w:header="0" w:footer="3" w:gutter="0"/>
          <w:cols w:space="720"/>
          <w:noEndnote/>
          <w:rtlGutter w:val="0"/>
          <w:docGrid w:linePitch="360"/>
        </w:sectPr>
      </w:pPr>
    </w:p>
    <w:p>
      <w:pPr>
        <w:pStyle w:val="Style33"/>
        <w:keepNext/>
        <w:keepLines/>
        <w:widowControl w:val="0"/>
        <w:shd w:val="clear" w:color="auto" w:fill="auto"/>
        <w:bidi w:val="0"/>
        <w:spacing w:before="0" w:after="34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、资产或股权收购、出售发生的关联交易</w:t>
      </w:r>
      <w:bookmarkEnd w:id="339"/>
      <w:bookmarkEnd w:id="340"/>
      <w:bookmarkEnd w:id="342"/>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87"/>
        <w:gridCol w:w="672"/>
        <w:gridCol w:w="648"/>
        <w:gridCol w:w="653"/>
        <w:gridCol w:w="653"/>
        <w:gridCol w:w="725"/>
        <w:gridCol w:w="710"/>
        <w:gridCol w:w="509"/>
        <w:gridCol w:w="490"/>
        <w:gridCol w:w="566"/>
        <w:gridCol w:w="710"/>
        <w:gridCol w:w="259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转让资 产的账 面价值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转让资 产的评 估价值 （万元）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转让 价格</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 交易 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交易 损益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天津信中 利泰信资 产管理中 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同一控 制下关 联企业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转让武 汉纳思 </w:t>
            </w:r>
            <w:r>
              <w:rPr>
                <w:color w:val="000000"/>
                <w:spacing w:val="0"/>
                <w:w w:val="100"/>
                <w:position w:val="0"/>
                <w:sz w:val="18"/>
                <w:szCs w:val="18"/>
              </w:rPr>
              <w:t>10%</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无关联 第三方 交易的 市场价 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 转账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上的《关 于子公司转让武汉纳思系统技术 有限公司</w:t>
            </w:r>
            <w:r>
              <w:rPr>
                <w:color w:val="000000"/>
                <w:spacing w:val="0"/>
                <w:w w:val="100"/>
                <w:position w:val="0"/>
                <w:sz w:val="18"/>
                <w:szCs w:val="18"/>
              </w:rPr>
              <w:t>10%</w:t>
            </w:r>
            <w:r>
              <w:rPr>
                <w:rFonts w:ascii="SimSun" w:eastAsia="SimSun" w:hAnsi="SimSun" w:cs="SimSun"/>
                <w:color w:val="000000"/>
                <w:spacing w:val="0"/>
                <w:w w:val="100"/>
                <w:position w:val="0"/>
                <w:sz w:val="17"/>
                <w:szCs w:val="17"/>
              </w:rPr>
              <w:t>股权暨关联交易的 公告》（公告编号：</w:t>
            </w:r>
            <w:r>
              <w:rPr>
                <w:color w:val="000000"/>
                <w:spacing w:val="0"/>
                <w:w w:val="100"/>
                <w:position w:val="0"/>
                <w:sz w:val="18"/>
                <w:szCs w:val="18"/>
              </w:rPr>
              <w:t>2016-119</w:t>
            </w:r>
            <w:r>
              <w:rPr>
                <w:rFonts w:ascii="SimSun" w:eastAsia="SimSun" w:hAnsi="SimSun" w:cs="SimSun"/>
                <w:color w:val="000000"/>
                <w:spacing w:val="0"/>
                <w:w w:val="100"/>
                <w:position w:val="0"/>
                <w:sz w:val="17"/>
                <w:szCs w:val="17"/>
              </w:rPr>
              <w:t>）</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转让价格与账面价值或评估价值 差异较大的原因（如有）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武汉纳思当时正在进行的融资活动确定其</w:t>
            </w:r>
            <w:r>
              <w:rPr>
                <w:color w:val="000000"/>
                <w:spacing w:val="0"/>
                <w:w w:val="100"/>
                <w:position w:val="0"/>
                <w:sz w:val="18"/>
                <w:szCs w:val="18"/>
              </w:rPr>
              <w:t>100%</w:t>
            </w:r>
            <w:r>
              <w:rPr>
                <w:rFonts w:ascii="SimSun" w:eastAsia="SimSun" w:hAnsi="SimSun" w:cs="SimSun"/>
                <w:color w:val="000000"/>
                <w:spacing w:val="0"/>
                <w:w w:val="100"/>
                <w:position w:val="0"/>
                <w:sz w:val="17"/>
                <w:szCs w:val="17"/>
              </w:rPr>
              <w:t>股权评估值为</w:t>
            </w:r>
            <w:r>
              <w:rPr>
                <w:color w:val="000000"/>
                <w:spacing w:val="0"/>
                <w:w w:val="100"/>
                <w:position w:val="0"/>
                <w:sz w:val="18"/>
                <w:szCs w:val="18"/>
              </w:rPr>
              <w:t>2.8</w:t>
            </w:r>
            <w:r>
              <w:rPr>
                <w:rFonts w:ascii="SimSun" w:eastAsia="SimSun" w:hAnsi="SimSun" w:cs="SimSun"/>
                <w:color w:val="000000"/>
                <w:spacing w:val="0"/>
                <w:w w:val="100"/>
                <w:position w:val="0"/>
                <w:sz w:val="17"/>
                <w:szCs w:val="17"/>
              </w:rPr>
              <w:t>亿元，经子公司喀什中 汇联银与交易对方协商一致，确定武汉纳思</w:t>
            </w:r>
            <w:r>
              <w:rPr>
                <w:color w:val="000000"/>
                <w:spacing w:val="0"/>
                <w:w w:val="100"/>
                <w:position w:val="0"/>
                <w:sz w:val="18"/>
                <w:szCs w:val="18"/>
              </w:rPr>
              <w:t>10%</w:t>
            </w:r>
            <w:r>
              <w:rPr>
                <w:rFonts w:ascii="SimSun" w:eastAsia="SimSun" w:hAnsi="SimSun" w:cs="SimSun"/>
                <w:color w:val="000000"/>
                <w:spacing w:val="0"/>
                <w:w w:val="100"/>
                <w:position w:val="0"/>
                <w:sz w:val="17"/>
                <w:szCs w:val="17"/>
              </w:rPr>
              <w:t>股权的转让总价款为</w:t>
            </w:r>
            <w:r>
              <w:rPr>
                <w:color w:val="000000"/>
                <w:spacing w:val="0"/>
                <w:w w:val="100"/>
                <w:position w:val="0"/>
                <w:sz w:val="18"/>
                <w:szCs w:val="18"/>
              </w:rPr>
              <w:t>2,800</w:t>
            </w:r>
            <w:r>
              <w:rPr>
                <w:rFonts w:ascii="SimSun" w:eastAsia="SimSun" w:hAnsi="SimSun" w:cs="SimSun"/>
                <w:color w:val="000000"/>
                <w:spacing w:val="0"/>
                <w:w w:val="100"/>
                <w:position w:val="0"/>
                <w:sz w:val="17"/>
                <w:szCs w:val="17"/>
              </w:rPr>
              <w:t>万元。</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对公司经营成果与财务状况的影 响情况</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处置武汉纳思</w:t>
            </w:r>
            <w:r>
              <w:rPr>
                <w:color w:val="000000"/>
                <w:spacing w:val="0"/>
                <w:w w:val="100"/>
                <w:position w:val="0"/>
                <w:sz w:val="18"/>
                <w:szCs w:val="18"/>
              </w:rPr>
              <w:t>10%</w:t>
            </w:r>
            <w:r>
              <w:rPr>
                <w:rFonts w:ascii="SimSun" w:eastAsia="SimSun" w:hAnsi="SimSun" w:cs="SimSun"/>
                <w:color w:val="000000"/>
                <w:spacing w:val="0"/>
                <w:w w:val="100"/>
                <w:position w:val="0"/>
                <w:sz w:val="17"/>
                <w:szCs w:val="17"/>
              </w:rPr>
              <w:t>的股权增加报告期内公司投资收益</w:t>
            </w:r>
            <w:r>
              <w:rPr>
                <w:color w:val="000000"/>
                <w:spacing w:val="0"/>
                <w:w w:val="100"/>
                <w:position w:val="0"/>
                <w:sz w:val="18"/>
                <w:szCs w:val="18"/>
              </w:rPr>
              <w:t>1,700</w:t>
            </w:r>
            <w:r>
              <w:rPr>
                <w:rFonts w:ascii="SimSun" w:eastAsia="SimSun" w:hAnsi="SimSun" w:cs="SimSun"/>
                <w:color w:val="000000"/>
                <w:spacing w:val="0"/>
                <w:w w:val="100"/>
                <w:position w:val="0"/>
                <w:sz w:val="17"/>
                <w:szCs w:val="17"/>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如相关交易涉及业绩约定的，报告 期内的业绩实现情况</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33"/>
        <w:keepNext/>
        <w:keepLines/>
        <w:widowControl w:val="0"/>
        <w:shd w:val="clear" w:color="auto" w:fill="auto"/>
        <w:bidi w:val="0"/>
        <w:spacing w:before="0" w:after="2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、共同对外投资的关联交易</w:t>
      </w:r>
      <w:bookmarkEnd w:id="343"/>
      <w:bookmarkEnd w:id="344"/>
      <w:bookmarkEnd w:id="346"/>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jc w:val="left"/>
      </w:pPr>
      <w:r>
        <w:rPr>
          <w:color w:val="000000"/>
          <w:spacing w:val="0"/>
          <w:w w:val="100"/>
          <w:position w:val="0"/>
        </w:rPr>
        <w:t>经公司第五届董事会第二十九次会议、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年第三次临时股东大会审议批准，公司出资</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亿元、关联方北京信中利股 权投资管理有限公司出资</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亿元、非关联方中航信托股份有限公司出资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亿元，三方合作设立产业并购基金，报告期内产 业并购基金已进行了四次对外投资，其中第二次投资项目即现金收购北京信中利股权投资中心（有限合伙）和北京信中达创 业投资有限公司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股权构成关联交易，已提交公司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年第四次临时股东大会审议批准。</w:t>
      </w: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重大关联交易临时报告披露网站相关查询</w:t>
      </w:r>
    </w:p>
    <w:tbl>
      <w:tblPr>
        <w:tblOverlap w:val="never"/>
        <w:jc w:val="center"/>
        <w:tblLayout w:type="fixed"/>
      </w:tblPr>
      <w:tblGrid>
        <w:gridCol w:w="5414"/>
        <w:gridCol w:w="1963"/>
        <w:gridCol w:w="23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关于发起设立信中利惠程产业并购基金暨关联交易的公告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关于产业并购基金第二次对外投资的公告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p>
      <w:pPr>
        <w:pStyle w:val="Style25"/>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rPr>
        <w:t>十七、重大合同及其履行情况</w:t>
      </w:r>
      <w:bookmarkEnd w:id="355"/>
      <w:bookmarkEnd w:id="356"/>
      <w:bookmarkEnd w:id="357"/>
    </w:p>
    <w:p>
      <w:pPr>
        <w:pStyle w:val="Style33"/>
        <w:keepNext/>
        <w:keepLines/>
        <w:widowControl w:val="0"/>
        <w:shd w:val="clear" w:color="auto" w:fill="auto"/>
        <w:tabs>
          <w:tab w:pos="405" w:val="left"/>
        </w:tabs>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托管、承包、租赁事项情况</w:t>
      </w:r>
      <w:bookmarkEnd w:id="358"/>
      <w:bookmarkEnd w:id="359"/>
      <w:bookmarkEnd w:id="361"/>
    </w:p>
    <w:p>
      <w:pPr>
        <w:pStyle w:val="Style33"/>
        <w:keepNext/>
        <w:keepLines/>
        <w:widowControl w:val="0"/>
        <w:shd w:val="clear" w:color="auto" w:fill="auto"/>
        <w:tabs>
          <w:tab w:pos="493" w:val="left"/>
        </w:tabs>
        <w:bidi w:val="0"/>
        <w:spacing w:before="0" w:after="380" w:line="240" w:lineRule="auto"/>
        <w:ind w:left="0" w:right="0" w:firstLine="0"/>
        <w:jc w:val="left"/>
      </w:pPr>
      <w:bookmarkStart w:id="358" w:name="bookmark358"/>
      <w:bookmarkStart w:id="359" w:name="bookmark359"/>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8"/>
      <w:bookmarkEnd w:id="359"/>
      <w:bookmarkEnd w:id="36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4"/>
      <w:bookmarkEnd w:id="365"/>
      <w:bookmarkEnd w:id="36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8"/>
      <w:bookmarkEnd w:id="369"/>
      <w:bookmarkEnd w:id="37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50"/>
        <w:keepNext w:val="0"/>
        <w:keepLines w:val="0"/>
        <w:widowControl w:val="0"/>
        <w:shd w:val="clear" w:color="auto" w:fill="auto"/>
        <w:tabs>
          <w:tab w:pos="704" w:val="left"/>
        </w:tabs>
        <w:bidi w:val="0"/>
        <w:spacing w:before="0" w:after="0"/>
        <w:ind w:left="0" w:right="0"/>
        <w:jc w:val="left"/>
        <w:rPr>
          <w:sz w:val="17"/>
          <w:szCs w:val="17"/>
        </w:rPr>
      </w:pPr>
      <w:bookmarkStart w:id="372" w:name="bookmark372"/>
      <w:r>
        <w:rPr>
          <w:color w:val="000000"/>
          <w:spacing w:val="0"/>
          <w:w w:val="100"/>
          <w:position w:val="0"/>
          <w:sz w:val="18"/>
          <w:szCs w:val="18"/>
        </w:rPr>
        <w:t>1</w:t>
      </w:r>
      <w:bookmarkEnd w:id="372"/>
      <w:r>
        <w:rPr>
          <w:rFonts w:ascii="SimSun" w:eastAsia="SimSun" w:hAnsi="SimSun" w:cs="SimSun"/>
          <w:color w:val="000000"/>
          <w:spacing w:val="0"/>
          <w:w w:val="100"/>
          <w:position w:val="0"/>
          <w:sz w:val="17"/>
          <w:szCs w:val="17"/>
        </w:rPr>
        <w:t>、</w:t>
        <w:tab/>
        <w:t>深圳惠程租赁办公楼，租期</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日期间的月租金为</w:t>
      </w:r>
      <w:r>
        <w:rPr>
          <w:color w:val="000000"/>
          <w:spacing w:val="0"/>
          <w:w w:val="100"/>
          <w:position w:val="0"/>
          <w:sz w:val="18"/>
          <w:szCs w:val="18"/>
        </w:rPr>
        <w:t>175,391.00</w:t>
      </w:r>
      <w:r>
        <w:rPr>
          <w:rFonts w:ascii="SimSun" w:eastAsia="SimSun" w:hAnsi="SimSun" w:cs="SimSun"/>
          <w:color w:val="000000"/>
          <w:spacing w:val="0"/>
          <w:w w:val="100"/>
          <w:position w:val="0"/>
          <w:sz w:val="17"/>
          <w:szCs w:val="17"/>
        </w:rPr>
        <w:t>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日期间的月租金为</w:t>
      </w:r>
      <w:r>
        <w:rPr>
          <w:color w:val="000000"/>
          <w:spacing w:val="0"/>
          <w:w w:val="100"/>
          <w:position w:val="0"/>
          <w:sz w:val="18"/>
          <w:szCs w:val="18"/>
        </w:rPr>
        <w:t>189,422.00</w:t>
      </w:r>
      <w:r>
        <w:rPr>
          <w:rFonts w:ascii="SimSun" w:eastAsia="SimSun" w:hAnsi="SimSun" w:cs="SimSun"/>
          <w:color w:val="000000"/>
          <w:spacing w:val="0"/>
          <w:w w:val="100"/>
          <w:position w:val="0"/>
          <w:sz w:val="17"/>
          <w:szCs w:val="17"/>
        </w:rPr>
        <w:t>元。</w:t>
      </w:r>
    </w:p>
    <w:p>
      <w:pPr>
        <w:pStyle w:val="Style29"/>
        <w:keepNext w:val="0"/>
        <w:keepLines w:val="0"/>
        <w:widowControl w:val="0"/>
        <w:shd w:val="clear" w:color="auto" w:fill="auto"/>
        <w:tabs>
          <w:tab w:pos="714" w:val="left"/>
        </w:tabs>
        <w:bidi w:val="0"/>
        <w:spacing w:before="0" w:after="0" w:line="312" w:lineRule="exact"/>
        <w:ind w:left="0" w:right="0"/>
        <w:jc w:val="left"/>
      </w:pPr>
      <w:bookmarkStart w:id="373" w:name="bookmark373"/>
      <w:r>
        <w:rPr>
          <w:rFonts w:ascii="Times New Roman" w:eastAsia="Times New Roman" w:hAnsi="Times New Roman" w:cs="Times New Roman"/>
          <w:color w:val="000000"/>
          <w:spacing w:val="0"/>
          <w:w w:val="100"/>
          <w:position w:val="0"/>
          <w:sz w:val="18"/>
          <w:szCs w:val="18"/>
        </w:rPr>
        <w:t>2</w:t>
      </w:r>
      <w:bookmarkEnd w:id="373"/>
      <w:r>
        <w:rPr>
          <w:color w:val="000000"/>
          <w:spacing w:val="0"/>
          <w:w w:val="100"/>
          <w:position w:val="0"/>
        </w:rPr>
        <w:t>、</w:t>
        <w:tab/>
        <w:t>子公司北京中汇联银租赁办公楼，</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日租赁北京环贸中心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02/03/05</w:t>
      </w:r>
      <w:r>
        <w:rPr>
          <w:color w:val="000000"/>
          <w:spacing w:val="0"/>
          <w:w w:val="100"/>
          <w:position w:val="0"/>
        </w:rPr>
        <w:t xml:space="preserve">房，月租金为 </w:t>
      </w:r>
      <w:r>
        <w:rPr>
          <w:rFonts w:ascii="Times New Roman" w:eastAsia="Times New Roman" w:hAnsi="Times New Roman" w:cs="Times New Roman"/>
          <w:color w:val="000000"/>
          <w:spacing w:val="0"/>
          <w:w w:val="100"/>
          <w:position w:val="0"/>
          <w:sz w:val="18"/>
          <w:szCs w:val="18"/>
        </w:rPr>
        <w:t>271,119.23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日租赁北京市朝阳区幸福二村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号二层，月租金</w:t>
      </w:r>
      <w:r>
        <w:rPr>
          <w:rFonts w:ascii="Times New Roman" w:eastAsia="Times New Roman" w:hAnsi="Times New Roman" w:cs="Times New Roman"/>
          <w:color w:val="000000"/>
          <w:spacing w:val="0"/>
          <w:w w:val="100"/>
          <w:position w:val="0"/>
          <w:sz w:val="18"/>
          <w:szCs w:val="18"/>
        </w:rPr>
        <w:t>165,000.00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left"/>
      </w:pPr>
      <w:bookmarkStart w:id="374" w:name="bookmark374"/>
      <w:r>
        <w:rPr>
          <w:rFonts w:ascii="Times New Roman" w:eastAsia="Times New Roman" w:hAnsi="Times New Roman" w:cs="Times New Roman"/>
          <w:color w:val="000000"/>
          <w:spacing w:val="0"/>
          <w:w w:val="100"/>
          <w:position w:val="0"/>
          <w:sz w:val="18"/>
          <w:szCs w:val="18"/>
        </w:rPr>
        <w:t>3</w:t>
      </w:r>
      <w:bookmarkEnd w:id="374"/>
      <w:r>
        <w:rPr>
          <w:color w:val="000000"/>
          <w:spacing w:val="0"/>
          <w:w w:val="100"/>
          <w:position w:val="0"/>
        </w:rPr>
        <w:t>、 子公司喀什中汇联银租赁办公楼，租期为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日，第一年租金</w:t>
      </w:r>
      <w:r>
        <w:rPr>
          <w:rFonts w:ascii="Times New Roman" w:eastAsia="Times New Roman" w:hAnsi="Times New Roman" w:cs="Times New Roman"/>
          <w:color w:val="000000"/>
          <w:spacing w:val="0"/>
          <w:w w:val="100"/>
          <w:position w:val="0"/>
          <w:sz w:val="18"/>
          <w:szCs w:val="18"/>
        </w:rPr>
        <w:t>15,947.00</w:t>
      </w:r>
      <w:r>
        <w:rPr>
          <w:color w:val="000000"/>
          <w:spacing w:val="0"/>
          <w:w w:val="100"/>
          <w:position w:val="0"/>
        </w:rPr>
        <w:t xml:space="preserve">元，第二年租金 </w:t>
      </w:r>
      <w:r>
        <w:rPr>
          <w:rFonts w:ascii="Times New Roman" w:eastAsia="Times New Roman" w:hAnsi="Times New Roman" w:cs="Times New Roman"/>
          <w:color w:val="000000"/>
          <w:spacing w:val="0"/>
          <w:w w:val="100"/>
          <w:position w:val="0"/>
          <w:sz w:val="18"/>
          <w:szCs w:val="18"/>
        </w:rPr>
        <w:t>15,947.00</w:t>
      </w:r>
      <w:r>
        <w:rPr>
          <w:color w:val="000000"/>
          <w:spacing w:val="0"/>
          <w:w w:val="100"/>
          <w:position w:val="0"/>
        </w:rPr>
        <w:t>元，第三年租金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2,325.00</w:t>
      </w:r>
      <w:r>
        <w:rPr>
          <w:color w:val="000000"/>
          <w:spacing w:val="0"/>
          <w:w w:val="100"/>
          <w:position w:val="0"/>
        </w:rPr>
        <w:t>元，第四、五年免租，租金共计</w:t>
      </w:r>
      <w:r>
        <w:rPr>
          <w:rFonts w:ascii="Times New Roman" w:eastAsia="Times New Roman" w:hAnsi="Times New Roman" w:cs="Times New Roman"/>
          <w:color w:val="000000"/>
          <w:spacing w:val="0"/>
          <w:w w:val="100"/>
          <w:position w:val="0"/>
          <w:sz w:val="18"/>
          <w:szCs w:val="18"/>
        </w:rPr>
        <w:t>54,219.00</w:t>
      </w:r>
      <w:r>
        <w:rPr>
          <w:color w:val="000000"/>
          <w:spacing w:val="0"/>
          <w:w w:val="100"/>
          <w:position w:val="0"/>
        </w:rPr>
        <w:t>元。</w:t>
      </w:r>
    </w:p>
    <w:p>
      <w:pPr>
        <w:pStyle w:val="Style29"/>
        <w:keepNext w:val="0"/>
        <w:keepLines w:val="0"/>
        <w:widowControl w:val="0"/>
        <w:shd w:val="clear" w:color="auto" w:fill="auto"/>
        <w:tabs>
          <w:tab w:pos="734" w:val="left"/>
        </w:tabs>
        <w:bidi w:val="0"/>
        <w:spacing w:before="0" w:after="0" w:line="312" w:lineRule="exact"/>
        <w:ind w:left="0" w:right="0"/>
        <w:jc w:val="left"/>
      </w:pPr>
      <w:bookmarkStart w:id="375" w:name="bookmark375"/>
      <w:r>
        <w:rPr>
          <w:rFonts w:ascii="Times New Roman" w:eastAsia="Times New Roman" w:hAnsi="Times New Roman" w:cs="Times New Roman"/>
          <w:color w:val="000000"/>
          <w:spacing w:val="0"/>
          <w:w w:val="100"/>
          <w:position w:val="0"/>
          <w:sz w:val="18"/>
          <w:szCs w:val="18"/>
        </w:rPr>
        <w:t>4</w:t>
      </w:r>
      <w:bookmarkEnd w:id="375"/>
      <w:r>
        <w:rPr>
          <w:color w:val="000000"/>
          <w:spacing w:val="0"/>
          <w:w w:val="100"/>
          <w:position w:val="0"/>
        </w:rPr>
        <w:t>、</w:t>
        <w:tab/>
        <w:t>报告期内公司及子公司对外出租房产收入共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,041,193.33</w:t>
      </w:r>
      <w:r>
        <w:rPr>
          <w:color w:val="000000"/>
          <w:spacing w:val="0"/>
          <w:w w:val="100"/>
          <w:position w:val="0"/>
        </w:rPr>
        <w:t>元。</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405" w:val="left"/>
        </w:tabs>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重大担保</w:t>
      </w:r>
      <w:bookmarkEnd w:id="376"/>
      <w:bookmarkEnd w:id="377"/>
      <w:bookmarkEnd w:id="37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2" w:lineRule="exact"/>
        <w:ind w:left="0" w:right="0" w:firstLine="0"/>
        <w:jc w:val="left"/>
        <w:sectPr>
          <w:headerReference w:type="default" r:id="rId19"/>
          <w:footerReference w:type="default" r:id="rId20"/>
          <w:footnotePr>
            <w:pos w:val="pageBottom"/>
            <w:numFmt w:val="decimal"/>
            <w:numRestart w:val="continuous"/>
          </w:footnotePr>
          <w:pgSz w:w="11900" w:h="16840"/>
          <w:pgMar w:top="1455" w:right="1095" w:bottom="2017" w:left="1090" w:header="0" w:footer="3" w:gutter="0"/>
          <w:cols w:space="720"/>
          <w:noEndnote/>
          <w:rtlGutter w:val="0"/>
          <w:docGrid w:linePitch="360"/>
        </w:sectPr>
      </w:pPr>
      <w:r>
        <w:rPr>
          <w:color w:val="000000"/>
          <w:spacing w:val="0"/>
          <w:w w:val="100"/>
          <w:position w:val="0"/>
        </w:rPr>
        <w:t>公司报告期不存在担保情况。</w:t>
      </w:r>
    </w:p>
    <w:p>
      <w:pPr>
        <w:pStyle w:val="Style33"/>
        <w:keepNext/>
        <w:keepLines/>
        <w:widowControl w:val="0"/>
        <w:shd w:val="clear" w:color="auto" w:fill="auto"/>
        <w:bidi w:val="0"/>
        <w:spacing w:before="32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、委托他人进行现金资产管理情况</w:t>
      </w:r>
      <w:bookmarkEnd w:id="380"/>
      <w:bookmarkEnd w:id="381"/>
      <w:bookmarkEnd w:id="383"/>
    </w:p>
    <w:p>
      <w:pPr>
        <w:pStyle w:val="Style33"/>
        <w:keepNext/>
        <w:keepLines/>
        <w:widowControl w:val="0"/>
        <w:numPr>
          <w:ilvl w:val="0"/>
          <w:numId w:val="3"/>
        </w:numPr>
        <w:shd w:val="clear" w:color="auto" w:fill="auto"/>
        <w:bidi w:val="0"/>
        <w:spacing w:before="0" w:line="240" w:lineRule="auto"/>
        <w:ind w:left="0" w:right="0" w:firstLine="0"/>
        <w:jc w:val="left"/>
      </w:pPr>
      <w:bookmarkStart w:id="380" w:name="bookmark380"/>
      <w:bookmarkStart w:id="381" w:name="bookmark381"/>
      <w:bookmarkStart w:id="384" w:name="bookmark384"/>
      <w:bookmarkStart w:id="385" w:name="bookmark385"/>
      <w:bookmarkEnd w:id="384"/>
      <w:r>
        <w:rPr>
          <w:color w:val="000000"/>
          <w:spacing w:val="0"/>
          <w:w w:val="100"/>
          <w:position w:val="0"/>
        </w:rPr>
        <w:t>委托理财情况</w:t>
      </w:r>
      <w:bookmarkEnd w:id="380"/>
      <w:bookmarkEnd w:id="381"/>
      <w:bookmarkEnd w:id="38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085" w:right="0" w:firstLine="0"/>
        <w:jc w:val="left"/>
      </w:pPr>
      <w:r>
        <w:rPr>
          <w:color w:val="000000"/>
          <w:spacing w:val="0"/>
          <w:w w:val="100"/>
          <w:position w:val="0"/>
        </w:rPr>
        <w:t>单位：万元</w:t>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委托理财金额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报酬确定方式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备金额(如</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报告期实际损</w:t>
            </w:r>
          </w:p>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益金额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报告期损 益实际收 回情况</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深圳市思道科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深圳市思道科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深圳市思道科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招商财富资产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平安银行坪山 新区支行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植瑞投资管理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保本固定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339.07</w:t>
            </w:r>
          </w:p>
        </w:tc>
      </w:tr>
    </w:tbl>
    <w:p>
      <w:pPr>
        <w:spacing w:lineRule="exact" w:line="1"/>
        <w:rPr>
          <w:sz w:val="2"/>
          <w:szCs w:val="2"/>
        </w:rPr>
      </w:pPr>
      <w:r>
        <w:br w:type="page"/>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深圳市思道科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植瑞投资管理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植瑞投资管理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r>
    </w:tbl>
    <w:p>
      <w:pPr>
        <w:spacing w:lineRule="exact" w:line="1"/>
        <w:rPr>
          <w:sz w:val="2"/>
          <w:szCs w:val="2"/>
        </w:rPr>
      </w:pPr>
      <w:r>
        <w:br w:type="page"/>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深圳市思道科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保本固定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bl>
    <w:p>
      <w:pPr>
        <w:spacing w:lineRule="exact" w:line="1"/>
        <w:rPr>
          <w:sz w:val="2"/>
          <w:szCs w:val="2"/>
        </w:rPr>
      </w:pPr>
      <w:r>
        <w:br w:type="page"/>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23.59</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保本固定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bl>
    <w:p>
      <w:pPr>
        <w:spacing w:lineRule="exact" w:line="1"/>
        <w:rPr>
          <w:sz w:val="2"/>
          <w:szCs w:val="2"/>
        </w:rPr>
      </w:pPr>
      <w:r>
        <w:br w:type="page"/>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工体支行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保本固定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bl>
    <w:p>
      <w:pPr>
        <w:spacing w:lineRule="exact" w:line="1"/>
        <w:rPr>
          <w:sz w:val="2"/>
          <w:szCs w:val="2"/>
        </w:rPr>
      </w:pPr>
      <w:r>
        <w:br w:type="page"/>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工体支行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r>
    </w:tbl>
    <w:p>
      <w:pPr>
        <w:spacing w:lineRule="exact" w:line="1"/>
        <w:rPr>
          <w:sz w:val="2"/>
          <w:szCs w:val="2"/>
        </w:rPr>
      </w:pPr>
      <w:r>
        <w:br w:type="page"/>
      </w:r>
    </w:p>
    <w:tbl>
      <w:tblPr>
        <w:tblOverlap w:val="never"/>
        <w:jc w:val="center"/>
        <w:tblLayout w:type="fixed"/>
      </w:tblPr>
      <w:tblGrid>
        <w:gridCol w:w="1310"/>
        <w:gridCol w:w="710"/>
        <w:gridCol w:w="792"/>
        <w:gridCol w:w="1190"/>
        <w:gridCol w:w="1704"/>
        <w:gridCol w:w="1613"/>
        <w:gridCol w:w="1786"/>
        <w:gridCol w:w="926"/>
        <w:gridCol w:w="960"/>
        <w:gridCol w:w="1171"/>
        <w:gridCol w:w="1171"/>
        <w:gridCol w:w="850"/>
      </w:tblGrid>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工体支行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兴业银行深圳 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到期一次性还本分期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浦发银行深圳 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保本固定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招商银行北京 工体支行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保本浮动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到期一次性还本付息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374,923.61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317,779.61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2,511.29</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自有资金循环投资</w:t>
            </w:r>
          </w:p>
        </w:tc>
      </w:tr>
    </w:tbl>
    <w:p>
      <w:pPr>
        <w:spacing w:lineRule="exact" w:line="1"/>
        <w:rPr>
          <w:sz w:val="2"/>
          <w:szCs w:val="2"/>
        </w:rPr>
      </w:pPr>
      <w:r>
        <w:br w:type="page"/>
      </w:r>
    </w:p>
    <w:tbl>
      <w:tblPr>
        <w:tblOverlap w:val="never"/>
        <w:jc w:val="center"/>
        <w:tblLayout w:type="fixed"/>
      </w:tblPr>
      <w:tblGrid>
        <w:gridCol w:w="2808"/>
        <w:gridCol w:w="1137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6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委托理财审批董事会公告披露日期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16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委托理财审批股东会公告披露日期</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6"/>
      <w:bookmarkEnd w:id="387"/>
      <w:bookmarkEnd w:id="38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、其他重大合同</w:t>
      </w:r>
      <w:bookmarkEnd w:id="390"/>
      <w:bookmarkEnd w:id="391"/>
      <w:bookmarkEnd w:id="39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sectPr>
          <w:headerReference w:type="default" r:id="rId21"/>
          <w:footerReference w:type="default" r:id="rId22"/>
          <w:footnotePr>
            <w:pos w:val="pageBottom"/>
            <w:numFmt w:val="decimal"/>
            <w:numRestart w:val="continuous"/>
          </w:footnotePr>
          <w:pgSz w:w="16840" w:h="11900" w:orient="landscape"/>
          <w:pgMar w:top="1102" w:right="1253" w:bottom="1424" w:left="1402" w:header="0" w:footer="3" w:gutter="0"/>
          <w:cols w:space="720"/>
          <w:noEndnote/>
          <w:rtlGutter w:val="0"/>
          <w:docGrid w:linePitch="360"/>
        </w:sectPr>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r>
        <w:rPr>
          <w:color w:val="000000"/>
          <w:spacing w:val="0"/>
          <w:w w:val="100"/>
          <w:position w:val="0"/>
        </w:rPr>
        <w:t>十八、社会责任情况</w:t>
      </w:r>
      <w:bookmarkEnd w:id="394"/>
      <w:bookmarkEnd w:id="395"/>
      <w:bookmarkEnd w:id="396"/>
    </w:p>
    <w:p>
      <w:pPr>
        <w:pStyle w:val="Style33"/>
        <w:keepNext/>
        <w:keepLines/>
        <w:widowControl w:val="0"/>
        <w:shd w:val="clear" w:color="auto" w:fill="auto"/>
        <w:tabs>
          <w:tab w:pos="36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履行精准扶贫社会责任情况</w:t>
      </w:r>
      <w:bookmarkEnd w:id="397"/>
      <w:bookmarkEnd w:id="398"/>
      <w:bookmarkEnd w:id="400"/>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履行其他社会责任的情况</w:t>
      </w:r>
      <w:bookmarkEnd w:id="401"/>
      <w:bookmarkEnd w:id="402"/>
      <w:bookmarkEnd w:id="404"/>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公司自成立以来，一直积极履行自身社会责任，公司看重的不仅是经济利益，更重要的是企业和社会的可持续发展。在 生产经营和业务发展的过程中，在为股东创造价值的同时，努力做到经济效益与社会效益、短期利益与长期利益、自身发展 与社会发展相协调统一，实现公司与员工、公司与社会、公司与环境的健康和谐发展。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公司严格按照《公司法》、《证券法》、《公司章程》和其他有关法律法规的要求，结合公司实际，建立了规范的法人 治理结构，规范股东大会的召集、召开及表决程序，通过现场、网络等合法有效的方式，让更多的股东特别是中小股东能够 参加股东大会，确保股东对公司重大事项的知情权、参与权和表决权。公司认真履行信息披露义务，秉持公平、公正、公开 的原则对待全体投资者，维护广大投资者的利益。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在经营业绩稳步增长的同时，公司不断完善劳动用工与福利保障的相关管理制度，尊重和维护员工的个人权益，对人员 录用、员工培训、工资薪酬、福利保障等进行了详细规定，建立了较为完善的绩效考核体系。公司通过多种渠道和途径改善 员工工作环境和生活环境，重视人才培训和培养，实现员工与公司的共同成长，切实维护员工的合法权益。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公司建立了一整套输配电设备采购和销售服务体系，确保产品质量，方便用户使用，获得了较高的客户满意度和忠诚度。 公司加强了对服务工作的领导，健全和完善了服务管理体制和运行机制，做到服务与经营工作同步推进，完善了客户意见反 馈机制、投诉处理机制和快速响应机制，“以客户为中心”的服务管理新体系、新机制日趋完善。</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此外，公司多年前就成立了惠程股份义工协会，自成立以来一直积极组织员工参与各项爱心活动，希望把关爱的惠程文 化传播给身边每一个人，感召更多的人参与到义工活动中来。报告期内公司多次组织义工协会成员前往敬老院、特殊儿童关 爱中心献爱心。</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r>
        <w:rPr>
          <w:color w:val="000000"/>
          <w:spacing w:val="0"/>
          <w:w w:val="100"/>
          <w:position w:val="0"/>
        </w:rPr>
        <w:t>十九、其他重大事项的说明</w:t>
      </w:r>
      <w:bookmarkEnd w:id="405"/>
      <w:bookmarkEnd w:id="406"/>
      <w:bookmarkEnd w:id="40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已作为临时报告披露的重大事项:</w:t>
      </w:r>
    </w:p>
    <w:tbl>
      <w:tblPr>
        <w:tblOverlap w:val="never"/>
        <w:jc w:val="center"/>
        <w:tblLayout w:type="fixed"/>
      </w:tblPr>
      <w:tblGrid>
        <w:gridCol w:w="864"/>
        <w:gridCol w:w="4963"/>
        <w:gridCol w:w="1138"/>
        <w:gridCol w:w="2712"/>
      </w:tblGrid>
      <w:tr>
        <w:trPr>
          <w:trHeight w:val="55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登载日期</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160"/>
              <w:jc w:val="left"/>
              <w:rPr>
                <w:sz w:val="17"/>
                <w:szCs w:val="17"/>
              </w:rPr>
            </w:pPr>
            <w:r>
              <w:rPr>
                <w:rFonts w:ascii="SimSun" w:eastAsia="SimSun" w:hAnsi="SimSun" w:cs="SimSun"/>
                <w:color w:val="000000"/>
                <w:spacing w:val="0"/>
                <w:w w:val="100"/>
                <w:position w:val="0"/>
                <w:sz w:val="17"/>
                <w:szCs w:val="17"/>
              </w:rPr>
              <w:t>登载的互联网网站及检索路径</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关于公司利用自有闲置资金投资理财产品的公告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2016-01-29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关于实际控制人协议转让公司股份暨公司控制权拟变更的提示 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2016-04-08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关于实际控制人转让公司股份完成过户暨公司控制权已变更的 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2016-06-21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股东股份被质押的公告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2016-06-23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bl>
    <w:p>
      <w:pPr>
        <w:spacing w:lineRule="exact" w:line="1"/>
        <w:rPr>
          <w:sz w:val="2"/>
          <w:szCs w:val="2"/>
        </w:rPr>
      </w:pPr>
      <w:r>
        <w:br w:type="page"/>
      </w:r>
    </w:p>
    <w:tbl>
      <w:tblPr>
        <w:tblOverlap w:val="never"/>
        <w:jc w:val="center"/>
        <w:tblLayout w:type="fixed"/>
      </w:tblPr>
      <w:tblGrid>
        <w:gridCol w:w="864"/>
        <w:gridCol w:w="4963"/>
        <w:gridCol w:w="1138"/>
        <w:gridCol w:w="2712"/>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关于媒体对公司相关报道的澄清公告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关于发起设立信中利惠程产业并购基金暨关联交易的公告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关于公司会计政策变更的公告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关于更换会计师事务所的公告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年限制性股票激励计划</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（草案）》摘要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2016-08-23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关于处置公司房产的公告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关于子公司中汇联银投资管理（北京）有限公司向关联方租赁 办公场所的公告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关于部分自用房产转为投资性房地产及采用公允价值模式计量 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关于子公司相关主营业务符合国家鼓励类目录认定并享受企业 所得税税收优惠政策的公告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关于处置公司房产的公告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关于产业并购基金对外投资的公告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2016-10-27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关于产业并购基金第二次对外投资的公告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关于公司继续利用自有资金进行证券投资事项的公告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年第二期股权激励计划首次授予的限制性股票与股票 期权第一个解锁</w:t>
            </w:r>
            <w:r>
              <w:rPr>
                <w:color w:val="000000"/>
                <w:spacing w:val="0"/>
                <w:w w:val="100"/>
                <w:position w:val="0"/>
                <w:sz w:val="18"/>
                <w:szCs w:val="18"/>
              </w:rPr>
              <w:t>/</w:t>
            </w:r>
            <w:r>
              <w:rPr>
                <w:rFonts w:ascii="SimSun" w:eastAsia="SimSun" w:hAnsi="SimSun" w:cs="SimSun"/>
                <w:color w:val="000000"/>
                <w:spacing w:val="0"/>
                <w:w w:val="100"/>
                <w:position w:val="0"/>
                <w:sz w:val="17"/>
                <w:szCs w:val="17"/>
              </w:rPr>
              <w:t>行权期符合解锁</w:t>
            </w:r>
            <w:r>
              <w:rPr>
                <w:color w:val="000000"/>
                <w:spacing w:val="0"/>
                <w:w w:val="100"/>
                <w:position w:val="0"/>
                <w:sz w:val="18"/>
                <w:szCs w:val="18"/>
              </w:rPr>
              <w:t>/</w:t>
            </w:r>
            <w:r>
              <w:rPr>
                <w:rFonts w:ascii="SimSun" w:eastAsia="SimSun" w:hAnsi="SimSun" w:cs="SimSun"/>
                <w:color w:val="000000"/>
                <w:spacing w:val="0"/>
                <w:w w:val="100"/>
                <w:position w:val="0"/>
                <w:sz w:val="17"/>
                <w:szCs w:val="17"/>
              </w:rPr>
              <w:t>行权条件的公告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2016-11-05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关于第一大股东及其一致行动人增持公司股份的公告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关于股东签署一致行动人协议的公告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关于产业并购基金第三次对外投资的公告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关于产业并购基金第四次对外投资的公告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2016-12-06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关于第一大股东及其一致行动人增持公司股份的公告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关于子公司转让武汉纳思系统技术有限公司</w:t>
            </w:r>
            <w:r>
              <w:rPr>
                <w:color w:val="000000"/>
                <w:spacing w:val="0"/>
                <w:w w:val="100"/>
                <w:position w:val="0"/>
                <w:sz w:val="18"/>
                <w:szCs w:val="18"/>
              </w:rPr>
              <w:t>10%</w:t>
            </w:r>
            <w:r>
              <w:rPr>
                <w:rFonts w:ascii="SimSun" w:eastAsia="SimSun" w:hAnsi="SimSun" w:cs="SimSun"/>
                <w:color w:val="000000"/>
                <w:spacing w:val="0"/>
                <w:w w:val="100"/>
                <w:position w:val="0"/>
                <w:sz w:val="17"/>
                <w:szCs w:val="17"/>
              </w:rPr>
              <w:t>股权暨关联交 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年第一期股权激励计划首次授予的限制性股票第一个 解锁期符合解锁条件的公告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r>
        <w:trPr>
          <w:trHeight w:val="5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关于第一大股东及其一致行动人增持公司股份的公告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www. cninfo. com.cn</w:t>
            </w:r>
          </w:p>
        </w:tc>
      </w:tr>
    </w:tbl>
    <w:p>
      <w:pPr>
        <w:pStyle w:val="Style25"/>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rPr>
        <w:t>二十、公司子公司重大事项</w:t>
      </w:r>
      <w:bookmarkEnd w:id="408"/>
      <w:bookmarkEnd w:id="409"/>
      <w:bookmarkEnd w:id="410"/>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360"/>
        <w:jc w:val="left"/>
        <w:sectPr>
          <w:headerReference w:type="default" r:id="rId23"/>
          <w:footerReference w:type="default" r:id="rId24"/>
          <w:footnotePr>
            <w:pos w:val="pageBottom"/>
            <w:numFmt w:val="decimal"/>
            <w:numRestart w:val="continuous"/>
          </w:footnotePr>
          <w:pgSz w:w="11900" w:h="16840"/>
          <w:pgMar w:top="1441" w:right="1052" w:bottom="1835" w:left="1076" w:header="0" w:footer="3" w:gutter="0"/>
          <w:cols w:space="720"/>
          <w:noEndnote/>
          <w:rtlGutter w:val="0"/>
          <w:docGrid w:linePitch="360"/>
        </w:sectPr>
      </w:pPr>
      <w:r>
        <w:rPr>
          <w:color w:val="000000"/>
          <w:spacing w:val="0"/>
          <w:w w:val="100"/>
          <w:position w:val="0"/>
        </w:rPr>
        <w:t>喀什中汇联银依据《关于新疆喀什霍尔果斯两个特殊经济开发区企业所得税优惠政策的通知》（财税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 和《关于公布新疆困难地区重点鼓励发展产业企业所得税优惠目录（试行）的通知》（财税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号）文件的规定，《目 录》范围内的企业，自取得第一笔生产经营收入所属纳税年度起，第一年至第五年免征企业所得税，免税期满后，再免征企 业五年所得税地方分享部分。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年度为第一年享受该项优惠政策。</w:t>
      </w:r>
    </w:p>
    <w:p>
      <w:pPr>
        <w:pStyle w:val="Style10"/>
        <w:keepNext/>
        <w:keepLines/>
        <w:widowControl w:val="0"/>
        <w:shd w:val="clear" w:color="auto" w:fill="auto"/>
        <w:bidi w:val="0"/>
        <w:spacing w:before="580" w:after="540" w:line="240" w:lineRule="auto"/>
        <w:ind w:left="0" w:right="0" w:firstLine="0"/>
        <w:jc w:val="center"/>
      </w:pPr>
      <w:bookmarkStart w:id="411" w:name="bookmark411"/>
      <w:bookmarkStart w:id="412" w:name="bookmark412"/>
      <w:bookmarkStart w:id="413" w:name="bookmark413"/>
      <w:r>
        <w:rPr>
          <w:color w:val="000000"/>
          <w:spacing w:val="0"/>
          <w:w w:val="100"/>
          <w:position w:val="0"/>
        </w:rPr>
        <w:t>第六节股份变动及股东情况</w:t>
      </w:r>
      <w:bookmarkEnd w:id="411"/>
      <w:bookmarkEnd w:id="412"/>
      <w:bookmarkEnd w:id="413"/>
    </w:p>
    <w:p>
      <w:pPr>
        <w:pStyle w:val="Style25"/>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bookmarkStart w:id="417" w:name="bookmark417"/>
      <w:bookmarkStart w:id="418" w:name="bookmark418"/>
      <w:r>
        <w:rPr>
          <w:color w:val="000000"/>
          <w:spacing w:val="0"/>
          <w:w w:val="100"/>
          <w:position w:val="0"/>
        </w:rPr>
        <w:t>一</w:t>
      </w:r>
      <w:bookmarkEnd w:id="417"/>
      <w:r>
        <w:rPr>
          <w:color w:val="000000"/>
          <w:spacing w:val="0"/>
          <w:w w:val="100"/>
          <w:position w:val="0"/>
        </w:rPr>
        <w:t>、股份变动情况</w:t>
      </w:r>
      <w:bookmarkEnd w:id="415"/>
      <w:bookmarkEnd w:id="416"/>
      <w:bookmarkEnd w:id="418"/>
      <w:bookmarkEnd w:id="414"/>
    </w:p>
    <w:p>
      <w:pPr>
        <w:pStyle w:val="Style33"/>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、股份变动情况</w:t>
      </w:r>
      <w:bookmarkEnd w:id="419"/>
      <w:bookmarkEnd w:id="420"/>
      <w:bookmarkEnd w:id="4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94"/>
        <w:gridCol w:w="960"/>
        <w:gridCol w:w="763"/>
        <w:gridCol w:w="864"/>
        <w:gridCol w:w="763"/>
        <w:gridCol w:w="763"/>
        <w:gridCol w:w="835"/>
        <w:gridCol w:w="869"/>
        <w:gridCol w:w="955"/>
        <w:gridCol w:w="74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66,662,500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66,662,500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66,662,500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757,104,262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759,082,268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757,104,262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759,082,268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772,804,768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825,744,768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09" w:val="left"/>
        </w:tabs>
        <w:bidi w:val="0"/>
        <w:spacing w:before="0" w:after="0" w:line="312" w:lineRule="exact"/>
        <w:ind w:left="0" w:right="0"/>
        <w:jc w:val="left"/>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日，公司董事会实施并完成了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年第一期股权激励的首次授予工作，授予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 对象</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万股限制性股票。</w:t>
      </w:r>
    </w:p>
    <w:p>
      <w:pPr>
        <w:pStyle w:val="Style29"/>
        <w:keepNext w:val="0"/>
        <w:keepLines w:val="0"/>
        <w:widowControl w:val="0"/>
        <w:shd w:val="clear" w:color="auto" w:fill="auto"/>
        <w:bidi w:val="0"/>
        <w:spacing w:before="0" w:after="0" w:line="312" w:lineRule="exact"/>
        <w:ind w:left="0" w:right="0"/>
        <w:jc w:val="left"/>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日，公司董事会实施并完成了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年股权激励计划的授予工作，授予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名激励对象 </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万股限制性股票。</w:t>
      </w:r>
    </w:p>
    <w:p>
      <w:pPr>
        <w:pStyle w:val="Style29"/>
        <w:keepNext w:val="0"/>
        <w:keepLines w:val="0"/>
        <w:widowControl w:val="0"/>
        <w:shd w:val="clear" w:color="auto" w:fill="auto"/>
        <w:bidi w:val="0"/>
        <w:spacing w:before="0" w:after="0" w:line="312" w:lineRule="exact"/>
        <w:ind w:left="0" w:right="0"/>
        <w:jc w:val="left"/>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日，公司董事会实施并完成了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年第一期股权激励计划预留股份的授予工作，授予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16 0</w:t>
      </w:r>
      <w:r>
        <w:rPr>
          <w:color w:val="000000"/>
          <w:spacing w:val="0"/>
          <w:w w:val="100"/>
          <w:position w:val="0"/>
        </w:rPr>
        <w:t>万股限制性股票。</w:t>
      </w:r>
    </w:p>
    <w:p>
      <w:pPr>
        <w:pStyle w:val="Style29"/>
        <w:keepNext w:val="0"/>
        <w:keepLines w:val="0"/>
        <w:widowControl w:val="0"/>
        <w:shd w:val="clear" w:color="auto" w:fill="auto"/>
        <w:bidi w:val="0"/>
        <w:spacing w:before="0" w:after="0" w:line="312" w:lineRule="exact"/>
        <w:ind w:left="0" w:right="0"/>
        <w:jc w:val="left"/>
      </w:pPr>
      <w:bookmarkStart w:id="426" w:name="bookmark426"/>
      <w:r>
        <w:rPr>
          <w:rFonts w:ascii="Times New Roman" w:eastAsia="Times New Roman" w:hAnsi="Times New Roman" w:cs="Times New Roman"/>
          <w:color w:val="000000"/>
          <w:spacing w:val="0"/>
          <w:w w:val="100"/>
          <w:position w:val="0"/>
          <w:sz w:val="18"/>
          <w:szCs w:val="18"/>
        </w:rPr>
        <w:t>4</w:t>
      </w:r>
      <w:bookmarkEnd w:id="42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日，公司董事会实施并完成了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年第二期股权激励计划预留股份的授予工作，授予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16 0</w:t>
      </w:r>
      <w:r>
        <w:rPr>
          <w:color w:val="000000"/>
          <w:spacing w:val="0"/>
          <w:w w:val="100"/>
          <w:position w:val="0"/>
        </w:rPr>
        <w:t>万股限制性股票。</w:t>
      </w:r>
    </w:p>
    <w:p>
      <w:pPr>
        <w:pStyle w:val="Style29"/>
        <w:keepNext w:val="0"/>
        <w:keepLines w:val="0"/>
        <w:widowControl w:val="0"/>
        <w:shd w:val="clear" w:color="auto" w:fill="auto"/>
        <w:tabs>
          <w:tab w:pos="734" w:val="left"/>
        </w:tabs>
        <w:bidi w:val="0"/>
        <w:spacing w:before="0" w:after="60" w:line="312" w:lineRule="exact"/>
        <w:ind w:left="0" w:right="0"/>
        <w:jc w:val="left"/>
      </w:pPr>
      <w:bookmarkStart w:id="427" w:name="bookmark427"/>
      <w:r>
        <w:rPr>
          <w:rFonts w:ascii="Times New Roman" w:eastAsia="Times New Roman" w:hAnsi="Times New Roman" w:cs="Times New Roman"/>
          <w:color w:val="000000"/>
          <w:spacing w:val="0"/>
          <w:w w:val="100"/>
          <w:position w:val="0"/>
          <w:sz w:val="18"/>
          <w:szCs w:val="18"/>
        </w:rPr>
        <w:t>5</w:t>
      </w:r>
      <w:bookmarkEnd w:id="4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日，公司董事会完成了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年第二期股权激励计划首次授予的股票期权第一个行权期</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自主行权登记工作，自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万份股票期权自主行权事宜可实施，截止期末共有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万份股 票期权已经行权，公司新增</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万股无限售条件股份、</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万有限售条件股份。</w:t>
      </w:r>
    </w:p>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51" w:val="left"/>
        </w:tabs>
        <w:bidi w:val="0"/>
        <w:spacing w:before="0" w:after="0" w:line="318" w:lineRule="exact"/>
        <w:ind w:left="0" w:right="0"/>
        <w:jc w:val="both"/>
      </w:pPr>
      <w:bookmarkStart w:id="428" w:name="bookmark428"/>
      <w:r>
        <w:rPr>
          <w:rFonts w:ascii="Times New Roman" w:eastAsia="Times New Roman" w:hAnsi="Times New Roman" w:cs="Times New Roman"/>
          <w:color w:val="000000"/>
          <w:spacing w:val="0"/>
          <w:w w:val="100"/>
          <w:position w:val="0"/>
          <w:sz w:val="18"/>
          <w:szCs w:val="18"/>
        </w:rPr>
        <w:t>1</w:t>
      </w:r>
      <w:bookmarkEnd w:id="4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年第五次临时股东大会审议批准，首次授予激励对象</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万股限制性股票事项 经公司第五届董事会第二十二次会议和第五届监事会第十一次会议审议批准，授予激励对象预留的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万股限制性股票事项 经第五届董事会第二十九次会议和第五届监事会第是其次会议审议批准，独立董事对首次授予事项和预留股份授予事项均发 表了同意的独立意见。</w:t>
      </w:r>
    </w:p>
    <w:p>
      <w:pPr>
        <w:pStyle w:val="Style29"/>
        <w:keepNext w:val="0"/>
        <w:keepLines w:val="0"/>
        <w:widowControl w:val="0"/>
        <w:shd w:val="clear" w:color="auto" w:fill="auto"/>
        <w:tabs>
          <w:tab w:pos="647" w:val="left"/>
        </w:tabs>
        <w:bidi w:val="0"/>
        <w:spacing w:before="0" w:after="0" w:line="318" w:lineRule="exact"/>
        <w:ind w:left="0" w:right="0"/>
        <w:jc w:val="both"/>
      </w:pPr>
      <w:bookmarkStart w:id="429" w:name="bookmark429"/>
      <w:r>
        <w:rPr>
          <w:rFonts w:ascii="Times New Roman" w:eastAsia="Times New Roman" w:hAnsi="Times New Roman" w:cs="Times New Roman"/>
          <w:color w:val="000000"/>
          <w:spacing w:val="0"/>
          <w:w w:val="100"/>
          <w:position w:val="0"/>
          <w:sz w:val="18"/>
          <w:szCs w:val="18"/>
        </w:rPr>
        <w:t>2</w:t>
      </w:r>
      <w:bookmarkEnd w:id="4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年第六次临时股东大会审议批准，授予激励对象预留的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万股限制性股票事 项经第五届董事会第二十九次会议和第五届监事会第十七次会议审议批准,首次授予的股票期权第一个行权期符合行权条件 并采用自主行权模式事项经第五届董事会第三十六次会议和第五届监事会第二十一次会议审议批准，独立董事对预留股份授 予事项和期权行权事项均发表了同意的独立意见。</w:t>
      </w:r>
    </w:p>
    <w:p>
      <w:pPr>
        <w:pStyle w:val="Style29"/>
        <w:keepNext w:val="0"/>
        <w:keepLines w:val="0"/>
        <w:widowControl w:val="0"/>
        <w:shd w:val="clear" w:color="auto" w:fill="auto"/>
        <w:tabs>
          <w:tab w:pos="656" w:val="left"/>
        </w:tabs>
        <w:bidi w:val="0"/>
        <w:spacing w:before="0" w:after="0" w:line="318" w:lineRule="exact"/>
        <w:ind w:left="0" w:right="0"/>
        <w:jc w:val="both"/>
      </w:pPr>
      <w:bookmarkStart w:id="430" w:name="bookmark430"/>
      <w:r>
        <w:rPr>
          <w:rFonts w:ascii="Times New Roman" w:eastAsia="Times New Roman" w:hAnsi="Times New Roman" w:cs="Times New Roman"/>
          <w:color w:val="000000"/>
          <w:spacing w:val="0"/>
          <w:w w:val="100"/>
          <w:position w:val="0"/>
          <w:sz w:val="18"/>
          <w:szCs w:val="18"/>
        </w:rPr>
        <w:t>3</w:t>
      </w:r>
      <w:bookmarkEnd w:id="4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年第三次临时股东大会审议批准，授予激励对象</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万股限制性股票事项经第五届 董事会第三十次会议和第五届监事会第十九次会议审议批准，独立董事对授予事项发表了同意的独立意见。</w:t>
      </w:r>
    </w:p>
    <w:p>
      <w:pPr>
        <w:pStyle w:val="Style29"/>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bookmarkStart w:id="431" w:name="bookmark431"/>
      <w:r>
        <w:rPr>
          <w:rFonts w:ascii="Times New Roman" w:eastAsia="Times New Roman" w:hAnsi="Times New Roman" w:cs="Times New Roman"/>
          <w:color w:val="000000"/>
          <w:spacing w:val="0"/>
          <w:w w:val="100"/>
          <w:position w:val="0"/>
          <w:sz w:val="18"/>
          <w:szCs w:val="18"/>
        </w:rPr>
        <w:t>1</w:t>
      </w:r>
      <w:bookmarkEnd w:id="431"/>
      <w:r>
        <w:rPr>
          <w:color w:val="000000"/>
          <w:spacing w:val="0"/>
          <w:w w:val="100"/>
          <w:position w:val="0"/>
        </w:rPr>
        <w:t>、 立信会计师事务所（特殊普通合伙）于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日出具了信会师报字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310002</w:t>
      </w:r>
      <w:r>
        <w:rPr>
          <w:color w:val="000000"/>
          <w:spacing w:val="0"/>
          <w:w w:val="100"/>
          <w:position w:val="0"/>
        </w:rPr>
        <w:t>号《验资报告》，审验了公 司截至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日止新增注册资本（股本）实收情况，认为：经我们审验，截至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日止，贵公司已收到纪晓 文等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名激励对象以货币资金缴纳的款项合计人民币</w:t>
      </w:r>
      <w:r>
        <w:rPr>
          <w:rFonts w:ascii="Times New Roman" w:eastAsia="Times New Roman" w:hAnsi="Times New Roman" w:cs="Times New Roman"/>
          <w:color w:val="000000"/>
          <w:spacing w:val="0"/>
          <w:w w:val="100"/>
          <w:position w:val="0"/>
          <w:sz w:val="18"/>
          <w:szCs w:val="18"/>
        </w:rPr>
        <w:t>5,116.8</w:t>
      </w:r>
      <w:r>
        <w:rPr>
          <w:color w:val="000000"/>
          <w:spacing w:val="0"/>
          <w:w w:val="100"/>
          <w:position w:val="0"/>
        </w:rPr>
        <w:t>万元整，其中：新增注册资本【实收资本（股本）】人民币</w:t>
      </w:r>
      <w:r>
        <w:rPr>
          <w:rFonts w:ascii="Times New Roman" w:eastAsia="Times New Roman" w:hAnsi="Times New Roman" w:cs="Times New Roman"/>
          <w:color w:val="000000"/>
          <w:spacing w:val="0"/>
          <w:w w:val="100"/>
          <w:position w:val="0"/>
          <w:sz w:val="18"/>
          <w:szCs w:val="18"/>
        </w:rPr>
        <w:t xml:space="preserve">820 </w:t>
      </w:r>
      <w:r>
        <w:rPr>
          <w:color w:val="000000"/>
          <w:spacing w:val="0"/>
          <w:w w:val="100"/>
          <w:position w:val="0"/>
        </w:rPr>
        <w:t>万元整，其余人民币</w:t>
      </w:r>
      <w:r>
        <w:rPr>
          <w:rFonts w:ascii="Times New Roman" w:eastAsia="Times New Roman" w:hAnsi="Times New Roman" w:cs="Times New Roman"/>
          <w:color w:val="000000"/>
          <w:spacing w:val="0"/>
          <w:w w:val="100"/>
          <w:position w:val="0"/>
          <w:sz w:val="18"/>
          <w:szCs w:val="18"/>
        </w:rPr>
        <w:t>4,296.8</w:t>
      </w:r>
      <w:r>
        <w:rPr>
          <w:color w:val="000000"/>
          <w:spacing w:val="0"/>
          <w:w w:val="100"/>
          <w:position w:val="0"/>
        </w:rPr>
        <w:t>万元整作为资本公积。</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日在中登公司完成股份登记手续，相关股份于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日到账并于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29"/>
        <w:keepNext w:val="0"/>
        <w:keepLines w:val="0"/>
        <w:widowControl w:val="0"/>
        <w:shd w:val="clear" w:color="auto" w:fill="auto"/>
        <w:bidi w:val="0"/>
        <w:spacing w:before="0" w:after="0" w:line="312" w:lineRule="exact"/>
        <w:ind w:left="0" w:right="0"/>
        <w:jc w:val="both"/>
      </w:pPr>
      <w:bookmarkStart w:id="432" w:name="bookmark432"/>
      <w:r>
        <w:rPr>
          <w:rFonts w:ascii="Times New Roman" w:eastAsia="Times New Roman" w:hAnsi="Times New Roman" w:cs="Times New Roman"/>
          <w:color w:val="000000"/>
          <w:spacing w:val="0"/>
          <w:w w:val="100"/>
          <w:position w:val="0"/>
          <w:sz w:val="18"/>
          <w:szCs w:val="18"/>
        </w:rPr>
        <w:t>2</w:t>
      </w:r>
      <w:bookmarkEnd w:id="432"/>
      <w:r>
        <w:rPr>
          <w:color w:val="000000"/>
          <w:spacing w:val="0"/>
          <w:w w:val="100"/>
          <w:position w:val="0"/>
        </w:rPr>
        <w:t>、 上会会计师事务所（特殊普通合伙）于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日出具了上会师报字（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4725</w:t>
      </w:r>
      <w:r>
        <w:rPr>
          <w:color w:val="000000"/>
          <w:spacing w:val="0"/>
          <w:w w:val="100"/>
          <w:position w:val="0"/>
        </w:rPr>
        <w:t>号《验资报告》，审验了 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日止新增注册资本（股本）实收情况，认为：经我们审验，截至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日止，贵公司已收到</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年股权激励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名激励对象缴纳的款项合计</w:t>
      </w:r>
      <w:r>
        <w:rPr>
          <w:rFonts w:ascii="Times New Roman" w:eastAsia="Times New Roman" w:hAnsi="Times New Roman" w:cs="Times New Roman"/>
          <w:color w:val="000000"/>
          <w:spacing w:val="0"/>
          <w:w w:val="100"/>
          <w:position w:val="0"/>
          <w:sz w:val="18"/>
          <w:szCs w:val="18"/>
        </w:rPr>
        <w:t>302,808,000.00</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万元，增加资本公积</w:t>
      </w:r>
      <w:r>
        <w:rPr>
          <w:rFonts w:ascii="Times New Roman" w:eastAsia="Times New Roman" w:hAnsi="Times New Roman" w:cs="Times New Roman"/>
          <w:color w:val="000000"/>
          <w:spacing w:val="0"/>
          <w:w w:val="100"/>
          <w:position w:val="0"/>
          <w:sz w:val="18"/>
          <w:szCs w:val="18"/>
        </w:rPr>
        <w:t>262,108,000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日在中登公司完成股份登记手续，相关股份于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日到账并于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日上市流通。</w:t>
      </w:r>
    </w:p>
    <w:p>
      <w:pPr>
        <w:pStyle w:val="Style29"/>
        <w:keepNext w:val="0"/>
        <w:keepLines w:val="0"/>
        <w:widowControl w:val="0"/>
        <w:shd w:val="clear" w:color="auto" w:fill="auto"/>
        <w:bidi w:val="0"/>
        <w:spacing w:before="0" w:after="0" w:line="312" w:lineRule="exact"/>
        <w:ind w:left="0" w:right="0"/>
        <w:jc w:val="both"/>
      </w:pPr>
      <w:bookmarkStart w:id="433" w:name="bookmark433"/>
      <w:r>
        <w:rPr>
          <w:rFonts w:ascii="Times New Roman" w:eastAsia="Times New Roman" w:hAnsi="Times New Roman" w:cs="Times New Roman"/>
          <w:color w:val="000000"/>
          <w:spacing w:val="0"/>
          <w:w w:val="100"/>
          <w:position w:val="0"/>
          <w:sz w:val="18"/>
          <w:szCs w:val="18"/>
        </w:rPr>
        <w:t>3</w:t>
      </w:r>
      <w:bookmarkEnd w:id="433"/>
      <w:r>
        <w:rPr>
          <w:color w:val="000000"/>
          <w:spacing w:val="0"/>
          <w:w w:val="100"/>
          <w:position w:val="0"/>
        </w:rPr>
        <w:t>、 上会会计师事务所（特殊普通合伙）于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日出具了上会师报字（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4725</w:t>
      </w:r>
      <w:r>
        <w:rPr>
          <w:color w:val="000000"/>
          <w:spacing w:val="0"/>
          <w:w w:val="100"/>
          <w:position w:val="0"/>
        </w:rPr>
        <w:t>号《验资报告》，审验了 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日止新增注册资本（股本）实收情况，认为：经我们审验，截至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日止，贵公司已收到</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年第二期股权激励预留限制性股票激励对象</w:t>
      </w:r>
      <w:r>
        <w:rPr>
          <w:rFonts w:ascii="Times New Roman" w:eastAsia="Times New Roman" w:hAnsi="Times New Roman" w:cs="Times New Roman"/>
          <w:color w:val="000000"/>
          <w:spacing w:val="0"/>
          <w:w w:val="100"/>
          <w:position w:val="0"/>
          <w:sz w:val="18"/>
          <w:szCs w:val="18"/>
        </w:rPr>
        <w:t xml:space="preserve">WAN XIAOYANG </w:t>
      </w:r>
      <w:r>
        <w:rPr>
          <w:color w:val="000000"/>
          <w:spacing w:val="0"/>
          <w:w w:val="100"/>
          <w:position w:val="0"/>
        </w:rPr>
        <w:t>（中文名：万晓阳）先生缴纳的款项合计人民币</w:t>
      </w:r>
      <w:r>
        <w:rPr>
          <w:rFonts w:ascii="Times New Roman" w:eastAsia="Times New Roman" w:hAnsi="Times New Roman" w:cs="Times New Roman"/>
          <w:color w:val="000000"/>
          <w:spacing w:val="0"/>
          <w:w w:val="100"/>
          <w:position w:val="0"/>
          <w:sz w:val="18"/>
          <w:szCs w:val="18"/>
        </w:rPr>
        <w:t xml:space="preserve">11,984,000.00 </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10,384,000.00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日在中登公司完成股份登记手续，相关股份于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日到账并于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日上市流通。</w:t>
      </w:r>
    </w:p>
    <w:p>
      <w:pPr>
        <w:pStyle w:val="Style29"/>
        <w:keepNext w:val="0"/>
        <w:keepLines w:val="0"/>
        <w:widowControl w:val="0"/>
        <w:shd w:val="clear" w:color="auto" w:fill="auto"/>
        <w:bidi w:val="0"/>
        <w:spacing w:before="0" w:after="0" w:line="312" w:lineRule="exact"/>
        <w:ind w:left="0" w:right="0"/>
        <w:jc w:val="both"/>
      </w:pPr>
      <w:bookmarkStart w:id="434" w:name="bookmark434"/>
      <w:r>
        <w:rPr>
          <w:rFonts w:ascii="Times New Roman" w:eastAsia="Times New Roman" w:hAnsi="Times New Roman" w:cs="Times New Roman"/>
          <w:color w:val="000000"/>
          <w:spacing w:val="0"/>
          <w:w w:val="100"/>
          <w:position w:val="0"/>
          <w:sz w:val="18"/>
          <w:szCs w:val="18"/>
        </w:rPr>
        <w:t>4</w:t>
      </w:r>
      <w:bookmarkEnd w:id="434"/>
      <w:r>
        <w:rPr>
          <w:color w:val="000000"/>
          <w:spacing w:val="0"/>
          <w:w w:val="100"/>
          <w:position w:val="0"/>
        </w:rPr>
        <w:t>、 上会会计师事务所（特殊普通合伙）于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日出具了上会师报字（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4725</w:t>
      </w:r>
      <w:r>
        <w:rPr>
          <w:color w:val="000000"/>
          <w:spacing w:val="0"/>
          <w:w w:val="100"/>
          <w:position w:val="0"/>
        </w:rPr>
        <w:t>号《验资报告》，审验了 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日止新增注册资本（股本）实收情况，认为：经我们审验，截至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日止，贵公司已收到</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年第一期股权激励预留限制性股票激励对象倪龙轶先生缴纳的款项合计人民币</w:t>
      </w:r>
      <w:r>
        <w:rPr>
          <w:rFonts w:ascii="Times New Roman" w:eastAsia="Times New Roman" w:hAnsi="Times New Roman" w:cs="Times New Roman"/>
          <w:color w:val="000000"/>
          <w:spacing w:val="0"/>
          <w:w w:val="100"/>
          <w:position w:val="0"/>
          <w:sz w:val="18"/>
          <w:szCs w:val="18"/>
        </w:rPr>
        <w:t>11,984,000.00</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 xml:space="preserve">160,000.00 </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10,384,000.00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日在中登公司完成股份登记手续，相关股份于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日到账并于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日上市流通。</w:t>
      </w:r>
    </w:p>
    <w:p>
      <w:pPr>
        <w:pStyle w:val="Style29"/>
        <w:keepNext w:val="0"/>
        <w:keepLines w:val="0"/>
        <w:widowControl w:val="0"/>
        <w:shd w:val="clear" w:color="auto" w:fill="auto"/>
        <w:tabs>
          <w:tab w:pos="632" w:val="left"/>
        </w:tabs>
        <w:bidi w:val="0"/>
        <w:spacing w:before="0" w:after="0" w:line="312" w:lineRule="exact"/>
        <w:ind w:left="0" w:right="0"/>
        <w:jc w:val="both"/>
      </w:pPr>
      <w:bookmarkStart w:id="435" w:name="bookmark435"/>
      <w:r>
        <w:rPr>
          <w:rFonts w:ascii="Times New Roman" w:eastAsia="Times New Roman" w:hAnsi="Times New Roman" w:cs="Times New Roman"/>
          <w:color w:val="000000"/>
          <w:spacing w:val="0"/>
          <w:w w:val="100"/>
          <w:position w:val="0"/>
          <w:sz w:val="18"/>
          <w:szCs w:val="18"/>
        </w:rPr>
        <w:t>5</w:t>
      </w:r>
      <w:bookmarkEnd w:id="435"/>
      <w:r>
        <w:rPr>
          <w:color w:val="000000"/>
          <w:spacing w:val="0"/>
          <w:w w:val="100"/>
          <w:position w:val="0"/>
        </w:rPr>
        <w:t>、</w:t>
        <w:tab/>
        <w:t>截止期末，公司在中登公司开立的行权专用资金交收账户已经收到已行权激励对象以货币资金缴纳的款项合计人民 币</w:t>
      </w:r>
      <w:r>
        <w:rPr>
          <w:rFonts w:ascii="Times New Roman" w:eastAsia="Times New Roman" w:hAnsi="Times New Roman" w:cs="Times New Roman"/>
          <w:color w:val="000000"/>
          <w:spacing w:val="0"/>
          <w:w w:val="100"/>
          <w:position w:val="0"/>
          <w:sz w:val="18"/>
          <w:szCs w:val="18"/>
        </w:rPr>
        <w:t>777</w:t>
      </w:r>
      <w:r>
        <w:rPr>
          <w:color w:val="000000"/>
          <w:spacing w:val="0"/>
          <w:w w:val="100"/>
          <w:position w:val="0"/>
        </w:rPr>
        <w:t>万元整，相关行权股份已到账并上市流通。</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按期末股本</w:t>
      </w:r>
      <w:r>
        <w:rPr>
          <w:rFonts w:ascii="Times New Roman" w:eastAsia="Times New Roman" w:hAnsi="Times New Roman" w:cs="Times New Roman"/>
          <w:color w:val="000000"/>
          <w:spacing w:val="0"/>
          <w:w w:val="100"/>
          <w:position w:val="0"/>
          <w:sz w:val="18"/>
          <w:szCs w:val="18"/>
        </w:rPr>
        <w:t>825,744,768</w:t>
      </w:r>
      <w:r>
        <w:rPr>
          <w:color w:val="000000"/>
          <w:spacing w:val="0"/>
          <w:w w:val="100"/>
          <w:position w:val="0"/>
        </w:rPr>
        <w:t>股摊薄计算，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年第三季度每股收益为</w:t>
      </w:r>
      <w:r>
        <w:rPr>
          <w:rFonts w:ascii="Times New Roman" w:eastAsia="Times New Roman" w:hAnsi="Times New Roman" w:cs="Times New Roman"/>
          <w:color w:val="000000"/>
          <w:spacing w:val="0"/>
          <w:w w:val="100"/>
          <w:position w:val="0"/>
          <w:sz w:val="18"/>
          <w:szCs w:val="18"/>
        </w:rPr>
        <w:t>0.0308</w:t>
      </w:r>
      <w:r>
        <w:rPr>
          <w:color w:val="000000"/>
          <w:spacing w:val="0"/>
          <w:w w:val="100"/>
          <w:position w:val="0"/>
        </w:rPr>
        <w:t>元，归属于上市公司股东的每股净资产为</w:t>
      </w:r>
      <w:r>
        <w:rPr>
          <w:rFonts w:ascii="Times New Roman" w:eastAsia="Times New Roman" w:hAnsi="Times New Roman" w:cs="Times New Roman"/>
          <w:color w:val="000000"/>
          <w:spacing w:val="0"/>
          <w:w w:val="100"/>
          <w:position w:val="0"/>
          <w:sz w:val="18"/>
          <w:szCs w:val="18"/>
        </w:rPr>
        <w:t xml:space="preserve">1.5025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年度每股收益为</w:t>
      </w:r>
      <w:r>
        <w:rPr>
          <w:rFonts w:ascii="Times New Roman" w:eastAsia="Times New Roman" w:hAnsi="Times New Roman" w:cs="Times New Roman"/>
          <w:color w:val="000000"/>
          <w:spacing w:val="0"/>
          <w:w w:val="100"/>
          <w:position w:val="0"/>
          <w:sz w:val="18"/>
          <w:szCs w:val="18"/>
        </w:rPr>
        <w:t>0.1639</w:t>
      </w:r>
      <w:r>
        <w:rPr>
          <w:color w:val="000000"/>
          <w:spacing w:val="0"/>
          <w:w w:val="100"/>
          <w:position w:val="0"/>
        </w:rPr>
        <w:t>元，归属于上市公司股东的每股净资产为</w:t>
      </w:r>
      <w:r>
        <w:rPr>
          <w:rFonts w:ascii="Times New Roman" w:eastAsia="Times New Roman" w:hAnsi="Times New Roman" w:cs="Times New Roman"/>
          <w:color w:val="000000"/>
          <w:spacing w:val="0"/>
          <w:w w:val="100"/>
          <w:position w:val="0"/>
          <w:sz w:val="18"/>
          <w:szCs w:val="18"/>
        </w:rPr>
        <w:t>1.454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、限售股份变动情况</w:t>
      </w:r>
      <w:bookmarkEnd w:id="436"/>
      <w:bookmarkEnd w:id="437"/>
      <w:bookmarkEnd w:id="43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912"/>
        <w:gridCol w:w="902"/>
        <w:gridCol w:w="970"/>
        <w:gridCol w:w="912"/>
        <w:gridCol w:w="2424"/>
        <w:gridCol w:w="25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詹伟哉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r>
              <w:rPr>
                <w:color w:val="000000"/>
                <w:spacing w:val="0"/>
                <w:w w:val="100"/>
                <w:position w:val="0"/>
                <w:sz w:val="18"/>
                <w:szCs w:val="18"/>
              </w:rPr>
              <w:t>506</w:t>
            </w:r>
            <w:r>
              <w:rPr>
                <w:rFonts w:ascii="SimSun" w:eastAsia="SimSun" w:hAnsi="SimSun" w:cs="SimSun"/>
                <w:color w:val="000000"/>
                <w:spacing w:val="0"/>
                <w:w w:val="100"/>
                <w:position w:val="0"/>
                <w:sz w:val="17"/>
                <w:szCs w:val="17"/>
              </w:rPr>
              <w:t>股高管锁 定股解除限售</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 划获授限制性股票新增</w:t>
            </w:r>
            <w:r>
              <w:rPr>
                <w:color w:val="000000"/>
                <w:spacing w:val="0"/>
                <w:w w:val="100"/>
                <w:position w:val="0"/>
                <w:sz w:val="18"/>
                <w:szCs w:val="18"/>
              </w:rPr>
              <w:t>325</w:t>
            </w:r>
            <w:r>
              <w:rPr>
                <w:rFonts w:ascii="SimSun" w:eastAsia="SimSun" w:hAnsi="SimSun" w:cs="SimSun"/>
                <w:color w:val="000000"/>
                <w:spacing w:val="0"/>
                <w:w w:val="100"/>
                <w:position w:val="0"/>
                <w:sz w:val="17"/>
                <w:szCs w:val="17"/>
              </w:rPr>
              <w:t>万 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171</w:t>
            </w:r>
            <w:r>
              <w:rPr>
                <w:rFonts w:ascii="SimSun" w:eastAsia="SimSun" w:hAnsi="SimSun" w:cs="SimSun"/>
                <w:color w:val="000000"/>
                <w:spacing w:val="0"/>
                <w:w w:val="100"/>
                <w:position w:val="0"/>
                <w:sz w:val="17"/>
                <w:szCs w:val="17"/>
              </w:rPr>
              <w:t>万股权 激励限售股解除锁定，期末仍为 高管锁定股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 划获授限制性股票新增</w:t>
            </w:r>
            <w:r>
              <w:rPr>
                <w:color w:val="000000"/>
                <w:spacing w:val="0"/>
                <w:w w:val="100"/>
                <w:position w:val="0"/>
                <w:sz w:val="18"/>
                <w:szCs w:val="18"/>
              </w:rPr>
              <w:t>325</w:t>
            </w:r>
            <w:r>
              <w:rPr>
                <w:rFonts w:ascii="SimSun" w:eastAsia="SimSun" w:hAnsi="SimSun" w:cs="SimSun"/>
                <w:color w:val="000000"/>
                <w:spacing w:val="0"/>
                <w:w w:val="100"/>
                <w:position w:val="0"/>
                <w:sz w:val="17"/>
                <w:szCs w:val="17"/>
              </w:rPr>
              <w:t>万 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171</w:t>
            </w:r>
            <w:r>
              <w:rPr>
                <w:rFonts w:ascii="SimSun" w:eastAsia="SimSun" w:hAnsi="SimSun" w:cs="SimSun"/>
                <w:color w:val="000000"/>
                <w:spacing w:val="0"/>
                <w:w w:val="100"/>
                <w:position w:val="0"/>
                <w:sz w:val="17"/>
                <w:szCs w:val="17"/>
              </w:rPr>
              <w:t>万股权 激励限售股解除锁定，期末仍为 高管锁定股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 划获授限制性股票新增</w:t>
            </w:r>
            <w:r>
              <w:rPr>
                <w:color w:val="000000"/>
                <w:spacing w:val="0"/>
                <w:w w:val="100"/>
                <w:position w:val="0"/>
                <w:sz w:val="18"/>
                <w:szCs w:val="18"/>
              </w:rPr>
              <w:t>40</w:t>
            </w:r>
            <w:r>
              <w:rPr>
                <w:rFonts w:ascii="SimSun" w:eastAsia="SimSun" w:hAnsi="SimSun" w:cs="SimSun"/>
                <w:color w:val="000000"/>
                <w:spacing w:val="0"/>
                <w:w w:val="100"/>
                <w:position w:val="0"/>
                <w:sz w:val="17"/>
                <w:szCs w:val="17"/>
              </w:rPr>
              <w:t>万 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24</w:t>
            </w:r>
            <w:r>
              <w:rPr>
                <w:rFonts w:ascii="SimSun" w:eastAsia="SimSun" w:hAnsi="SimSun" w:cs="SimSun"/>
                <w:color w:val="000000"/>
                <w:spacing w:val="0"/>
                <w:w w:val="100"/>
                <w:position w:val="0"/>
                <w:sz w:val="17"/>
                <w:szCs w:val="17"/>
              </w:rPr>
              <w:t>万股权激 励限售股解除锁定，期末已为无 限售流通股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 划获授限制性股票新增</w:t>
            </w:r>
            <w:r>
              <w:rPr>
                <w:color w:val="000000"/>
                <w:spacing w:val="0"/>
                <w:w w:val="100"/>
                <w:position w:val="0"/>
                <w:sz w:val="18"/>
                <w:szCs w:val="18"/>
              </w:rPr>
              <w:t>80</w:t>
            </w:r>
            <w:r>
              <w:rPr>
                <w:rFonts w:ascii="SimSun" w:eastAsia="SimSun" w:hAnsi="SimSun" w:cs="SimSun"/>
                <w:color w:val="000000"/>
                <w:spacing w:val="0"/>
                <w:w w:val="100"/>
                <w:position w:val="0"/>
                <w:sz w:val="17"/>
                <w:szCs w:val="17"/>
              </w:rPr>
              <w:t>万 股股权激励限售股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24</w:t>
            </w:r>
            <w:r>
              <w:rPr>
                <w:rFonts w:ascii="SimSun" w:eastAsia="SimSun" w:hAnsi="SimSun" w:cs="SimSun"/>
                <w:color w:val="000000"/>
                <w:spacing w:val="0"/>
                <w:w w:val="100"/>
                <w:position w:val="0"/>
                <w:sz w:val="17"/>
                <w:szCs w:val="17"/>
              </w:rPr>
              <w:t>万股权激 励限售股解除锁定，期末已为无 限售流通股</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朱丽梅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 划获授限制性股票新增</w:t>
            </w:r>
            <w:r>
              <w:rPr>
                <w:color w:val="000000"/>
                <w:spacing w:val="0"/>
                <w:w w:val="100"/>
                <w:position w:val="0"/>
                <w:sz w:val="18"/>
                <w:szCs w:val="18"/>
              </w:rPr>
              <w:t>25</w:t>
            </w:r>
            <w:r>
              <w:rPr>
                <w:rFonts w:ascii="SimSun" w:eastAsia="SimSun" w:hAnsi="SimSun" w:cs="SimSun"/>
                <w:color w:val="000000"/>
                <w:spacing w:val="0"/>
                <w:w w:val="100"/>
                <w:position w:val="0"/>
                <w:sz w:val="17"/>
                <w:szCs w:val="17"/>
              </w:rPr>
              <w:t>万 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24</w:t>
            </w:r>
            <w:r>
              <w:rPr>
                <w:rFonts w:ascii="SimSun" w:eastAsia="SimSun" w:hAnsi="SimSun" w:cs="SimSun"/>
                <w:color w:val="000000"/>
                <w:spacing w:val="0"/>
                <w:w w:val="100"/>
                <w:position w:val="0"/>
                <w:sz w:val="17"/>
                <w:szCs w:val="17"/>
              </w:rPr>
              <w:t>万股权激 励限售股解除锁定，期末已为无 限售流通股</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 划获授限制性股票新增</w:t>
            </w:r>
            <w:r>
              <w:rPr>
                <w:color w:val="000000"/>
                <w:spacing w:val="0"/>
                <w:w w:val="100"/>
                <w:position w:val="0"/>
                <w:sz w:val="18"/>
                <w:szCs w:val="18"/>
              </w:rPr>
              <w:t>25</w:t>
            </w:r>
            <w:r>
              <w:rPr>
                <w:rFonts w:ascii="SimSun" w:eastAsia="SimSun" w:hAnsi="SimSun" w:cs="SimSun"/>
                <w:color w:val="000000"/>
                <w:spacing w:val="0"/>
                <w:w w:val="100"/>
                <w:position w:val="0"/>
                <w:sz w:val="17"/>
                <w:szCs w:val="17"/>
              </w:rPr>
              <w:t>万 股权激励限售股；因</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 二期股权激励计划期权行权新 增</w:t>
            </w:r>
            <w:r>
              <w:rPr>
                <w:color w:val="000000"/>
                <w:spacing w:val="0"/>
                <w:w w:val="100"/>
                <w:position w:val="0"/>
                <w:sz w:val="18"/>
                <w:szCs w:val="18"/>
              </w:rPr>
              <w:t>15</w:t>
            </w:r>
            <w:r>
              <w:rPr>
                <w:rFonts w:ascii="SimSun" w:eastAsia="SimSun" w:hAnsi="SimSun" w:cs="SimSun"/>
                <w:color w:val="000000"/>
                <w:spacing w:val="0"/>
                <w:w w:val="100"/>
                <w:position w:val="0"/>
                <w:sz w:val="17"/>
                <w:szCs w:val="17"/>
              </w:rPr>
              <w:t>万股高管锁定股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24</w:t>
            </w:r>
            <w:r>
              <w:rPr>
                <w:rFonts w:ascii="SimSun" w:eastAsia="SimSun" w:hAnsi="SimSun" w:cs="SimSun"/>
                <w:color w:val="000000"/>
                <w:spacing w:val="0"/>
                <w:w w:val="100"/>
                <w:position w:val="0"/>
                <w:sz w:val="17"/>
                <w:szCs w:val="17"/>
              </w:rPr>
              <w:t>万股股权 激励限售股解除锁定，期末</w:t>
            </w:r>
            <w:r>
              <w:rPr>
                <w:color w:val="000000"/>
                <w:spacing w:val="0"/>
                <w:w w:val="100"/>
                <w:position w:val="0"/>
                <w:sz w:val="18"/>
                <w:szCs w:val="18"/>
              </w:rPr>
              <w:t xml:space="preserve">2500 </w:t>
            </w:r>
            <w:r>
              <w:rPr>
                <w:rFonts w:ascii="SimSun" w:eastAsia="SimSun" w:hAnsi="SimSun" w:cs="SimSun"/>
                <w:color w:val="000000"/>
                <w:spacing w:val="0"/>
                <w:w w:val="100"/>
                <w:position w:val="0"/>
                <w:sz w:val="17"/>
                <w:szCs w:val="17"/>
              </w:rPr>
              <w:t>股仍为高管锁定股，剩余</w:t>
            </w:r>
            <w:r>
              <w:rPr>
                <w:color w:val="000000"/>
                <w:spacing w:val="0"/>
                <w:w w:val="100"/>
                <w:position w:val="0"/>
                <w:sz w:val="18"/>
                <w:szCs w:val="18"/>
              </w:rPr>
              <w:t xml:space="preserve">237500 </w:t>
            </w:r>
            <w:r>
              <w:rPr>
                <w:rFonts w:ascii="SimSun" w:eastAsia="SimSun" w:hAnsi="SimSun" w:cs="SimSun"/>
                <w:color w:val="000000"/>
                <w:spacing w:val="0"/>
                <w:w w:val="100"/>
                <w:position w:val="0"/>
                <w:sz w:val="17"/>
                <w:szCs w:val="17"/>
              </w:rPr>
              <w:t>股转为无限售流通股</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600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份再按照高管锁定股的规定解除 限售。</w:t>
            </w:r>
          </w:p>
        </w:tc>
      </w:tr>
      <w:tr>
        <w:trPr>
          <w:trHeight w:val="20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450</w:t>
            </w:r>
            <w:r>
              <w:rPr>
                <w:rFonts w:ascii="SimSun" w:eastAsia="SimSun" w:hAnsi="SimSun" w:cs="SimSun"/>
                <w:color w:val="000000"/>
                <w:spacing w:val="0"/>
                <w:w w:val="100"/>
                <w:position w:val="0"/>
                <w:sz w:val="17"/>
                <w:szCs w:val="17"/>
              </w:rPr>
              <w:t>万股权激 励限售股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份再按照高管锁定股的规定解除 限售。</w:t>
            </w:r>
          </w:p>
        </w:tc>
      </w:tr>
    </w:tbl>
    <w:p>
      <w:pPr>
        <w:spacing w:lineRule="exact" w:line="1"/>
        <w:rPr>
          <w:sz w:val="2"/>
          <w:szCs w:val="2"/>
        </w:rPr>
      </w:pPr>
      <w:r>
        <w:br w:type="page"/>
      </w:r>
    </w:p>
    <w:tbl>
      <w:tblPr>
        <w:tblOverlap w:val="never"/>
        <w:jc w:val="center"/>
        <w:tblLayout w:type="fixed"/>
      </w:tblPr>
      <w:tblGrid>
        <w:gridCol w:w="1003"/>
        <w:gridCol w:w="912"/>
        <w:gridCol w:w="902"/>
        <w:gridCol w:w="970"/>
        <w:gridCol w:w="912"/>
        <w:gridCol w:w="2424"/>
        <w:gridCol w:w="2592"/>
      </w:tblGrid>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520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份再按照高管锁定股的规定解除 限售。</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450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份再按照高管锁定股的规定解除 限售。</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WAN XIAO</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YANG </w:t>
            </w:r>
            <w:r>
              <w:rPr>
                <w:rFonts w:ascii="SimSun" w:eastAsia="SimSun" w:hAnsi="SimSun" w:cs="SimSun"/>
                <w:color w:val="000000"/>
                <w:spacing w:val="0"/>
                <w:w w:val="100"/>
                <w:position w:val="0"/>
                <w:sz w:val="17"/>
                <w:szCs w:val="17"/>
              </w:rPr>
              <w:t>（中 文名：万晓 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年股权激励计划和 </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年第二期股权激励计划获 授限制性股票新增</w:t>
            </w:r>
            <w:r>
              <w:rPr>
                <w:color w:val="000000"/>
                <w:spacing w:val="0"/>
                <w:w w:val="100"/>
                <w:position w:val="0"/>
                <w:sz w:val="18"/>
                <w:szCs w:val="18"/>
              </w:rPr>
              <w:t>450</w:t>
            </w:r>
            <w:r>
              <w:rPr>
                <w:rFonts w:ascii="SimSun" w:eastAsia="SimSun" w:hAnsi="SimSun" w:cs="SimSun"/>
                <w:color w:val="000000"/>
                <w:spacing w:val="0"/>
                <w:w w:val="100"/>
                <w:position w:val="0"/>
                <w:sz w:val="17"/>
                <w:szCs w:val="17"/>
              </w:rPr>
              <w:t>万股权 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份再按照高管锁定股的规定解除 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陈文龙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520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份解除限售。</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曹晓黎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450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份解除限售。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倪龙轶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年股权激励计划和</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年第一期股权激励计划获 授限制性股票新增</w:t>
            </w:r>
            <w:r>
              <w:rPr>
                <w:color w:val="000000"/>
                <w:spacing w:val="0"/>
                <w:w w:val="100"/>
                <w:position w:val="0"/>
                <w:sz w:val="18"/>
                <w:szCs w:val="18"/>
              </w:rPr>
              <w:t>450</w:t>
            </w:r>
            <w:r>
              <w:rPr>
                <w:rFonts w:ascii="SimSun" w:eastAsia="SimSun" w:hAnsi="SimSun" w:cs="SimSun"/>
                <w:color w:val="000000"/>
                <w:spacing w:val="0"/>
                <w:w w:val="100"/>
                <w:position w:val="0"/>
                <w:sz w:val="17"/>
                <w:szCs w:val="17"/>
              </w:rPr>
              <w:t>万股权 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份解除限售。</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李雨良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400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份解除限售。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迟永军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21</w:t>
            </w:r>
            <w:r>
              <w:rPr>
                <w:rFonts w:ascii="SimSun" w:eastAsia="SimSun" w:hAnsi="SimSun" w:cs="SimSun"/>
                <w:color w:val="000000"/>
                <w:spacing w:val="0"/>
                <w:w w:val="100"/>
                <w:position w:val="0"/>
                <w:sz w:val="17"/>
                <w:szCs w:val="17"/>
              </w:rPr>
              <w:t>万股权激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励限售股解除限售</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祁锦波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6</w:t>
            </w:r>
            <w:r>
              <w:rPr>
                <w:rFonts w:ascii="SimSun" w:eastAsia="SimSun" w:hAnsi="SimSun" w:cs="SimSun"/>
                <w:color w:val="000000"/>
                <w:spacing w:val="0"/>
                <w:w w:val="100"/>
                <w:position w:val="0"/>
                <w:sz w:val="17"/>
                <w:szCs w:val="17"/>
              </w:rPr>
              <w:t>万股权激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励限售股解除限售</w:t>
            </w:r>
          </w:p>
        </w:tc>
      </w:tr>
    </w:tbl>
    <w:p>
      <w:pPr>
        <w:spacing w:lineRule="exact" w:line="1"/>
        <w:rPr>
          <w:sz w:val="2"/>
          <w:szCs w:val="2"/>
        </w:rPr>
      </w:pPr>
      <w:r>
        <w:br w:type="page"/>
      </w:r>
    </w:p>
    <w:tbl>
      <w:tblPr>
        <w:tblOverlap w:val="never"/>
        <w:jc w:val="center"/>
        <w:tblLayout w:type="fixed"/>
      </w:tblPr>
      <w:tblGrid>
        <w:gridCol w:w="1003"/>
        <w:gridCol w:w="912"/>
        <w:gridCol w:w="902"/>
        <w:gridCol w:w="970"/>
        <w:gridCol w:w="912"/>
        <w:gridCol w:w="2424"/>
        <w:gridCol w:w="2592"/>
      </w:tblGrid>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林日磊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因</w:t>
            </w:r>
            <w:r>
              <w:rPr>
                <w:color w:val="000000"/>
                <w:spacing w:val="0"/>
                <w:w w:val="100"/>
                <w:position w:val="0"/>
                <w:sz w:val="18"/>
                <w:szCs w:val="18"/>
              </w:rPr>
              <w:t>2016</w:t>
            </w:r>
            <w:r>
              <w:rPr>
                <w:rFonts w:ascii="SimSun" w:eastAsia="SimSun" w:hAnsi="SimSun" w:cs="SimSun"/>
                <w:color w:val="000000"/>
                <w:spacing w:val="0"/>
                <w:w w:val="100"/>
                <w:position w:val="0"/>
                <w:sz w:val="17"/>
                <w:szCs w:val="17"/>
              </w:rPr>
              <w:t>年股权激励计划获授 限制性股票新增</w:t>
            </w:r>
            <w:r>
              <w:rPr>
                <w:color w:val="000000"/>
                <w:spacing w:val="0"/>
                <w:w w:val="100"/>
                <w:position w:val="0"/>
                <w:sz w:val="18"/>
                <w:szCs w:val="18"/>
              </w:rPr>
              <w:t>100</w:t>
            </w:r>
            <w:r>
              <w:rPr>
                <w:rFonts w:ascii="SimSun" w:eastAsia="SimSun" w:hAnsi="SimSun" w:cs="SimSun"/>
                <w:color w:val="000000"/>
                <w:spacing w:val="0"/>
                <w:w w:val="100"/>
                <w:position w:val="0"/>
                <w:sz w:val="17"/>
                <w:szCs w:val="17"/>
              </w:rPr>
              <w:t>万股权激 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日起满</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后，满足解锁条件的，可以在未 来</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个月内按</w:t>
            </w:r>
            <w:r>
              <w:rPr>
                <w:color w:val="000000"/>
                <w:spacing w:val="0"/>
                <w:w w:val="100"/>
                <w:position w:val="0"/>
                <w:sz w:val="18"/>
                <w:szCs w:val="18"/>
              </w:rPr>
              <w:t>40%</w:t>
            </w:r>
            <w:r>
              <w:rPr>
                <w:rFonts w:ascii="SimSun" w:eastAsia="SimSun" w:hAnsi="SimSun" w:cs="SimSun"/>
                <w:color w:val="000000"/>
                <w:spacing w:val="0"/>
                <w:w w:val="100"/>
                <w:position w:val="0"/>
                <w:sz w:val="17"/>
                <w:szCs w:val="17"/>
              </w:rPr>
              <w:t>、</w:t>
            </w:r>
            <w:r>
              <w:rPr>
                <w:color w:val="000000"/>
                <w:spacing w:val="0"/>
                <w:w w:val="100"/>
                <w:position w:val="0"/>
                <w:sz w:val="18"/>
                <w:szCs w:val="18"/>
              </w:rPr>
              <w:t>30%</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的比例分三期解锁。解锁后的股 份解除限售。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3</w:t>
            </w:r>
            <w:r>
              <w:rPr>
                <w:rFonts w:ascii="SimSun" w:eastAsia="SimSun" w:hAnsi="SimSun" w:cs="SimSun"/>
                <w:color w:val="000000"/>
                <w:spacing w:val="0"/>
                <w:w w:val="100"/>
                <w:position w:val="0"/>
                <w:sz w:val="17"/>
                <w:szCs w:val="17"/>
              </w:rPr>
              <w:t>万股权激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励限售股解除限售</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程昭霞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r>
              <w:rPr>
                <w:color w:val="000000"/>
                <w:spacing w:val="0"/>
                <w:w w:val="100"/>
                <w:position w:val="0"/>
                <w:sz w:val="18"/>
                <w:szCs w:val="18"/>
              </w:rPr>
              <w:t>3</w:t>
            </w:r>
            <w:r>
              <w:rPr>
                <w:rFonts w:ascii="SimSun" w:eastAsia="SimSun" w:hAnsi="SimSun" w:cs="SimSun"/>
                <w:color w:val="000000"/>
                <w:spacing w:val="0"/>
                <w:w w:val="100"/>
                <w:position w:val="0"/>
                <w:sz w:val="17"/>
                <w:szCs w:val="17"/>
              </w:rPr>
              <w:t>万股权激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励限售股解除限售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66,662,500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年第一期股权激励计划授予的限制性股票第一期解锁上市流通，纪晓文先生</w:t>
      </w:r>
      <w:r>
        <w:rPr>
          <w:rFonts w:ascii="Times New Roman" w:eastAsia="Times New Roman" w:hAnsi="Times New Roman" w:cs="Times New Roman"/>
          <w:color w:val="000000"/>
          <w:spacing w:val="0"/>
          <w:w w:val="100"/>
          <w:position w:val="0"/>
          <w:sz w:val="18"/>
          <w:szCs w:val="18"/>
        </w:rPr>
        <w:t>97.5</w:t>
      </w:r>
      <w:r>
        <w:rPr>
          <w:color w:val="000000"/>
          <w:spacing w:val="0"/>
          <w:w w:val="100"/>
          <w:position w:val="0"/>
        </w:rPr>
        <w:t>万股权激励限 售股解除锁定，由于纪晓文先生于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年底离职不再符合激励对象条件，公司董事会根据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年股权激励计划相关规定将 对纪晓文先生已获授未解锁的</w:t>
      </w:r>
      <w:r>
        <w:rPr>
          <w:rFonts w:ascii="Times New Roman" w:eastAsia="Times New Roman" w:hAnsi="Times New Roman" w:cs="Times New Roman"/>
          <w:color w:val="000000"/>
          <w:spacing w:val="0"/>
          <w:w w:val="100"/>
          <w:position w:val="0"/>
          <w:sz w:val="18"/>
          <w:szCs w:val="18"/>
        </w:rPr>
        <w:t>626.5</w:t>
      </w:r>
      <w:r>
        <w:rPr>
          <w:color w:val="000000"/>
          <w:spacing w:val="0"/>
          <w:w w:val="100"/>
          <w:position w:val="0"/>
        </w:rPr>
        <w:t>万股限制性股票进行回购注销处理，回购注销完成后纪晓文先生持有公司股权激励限售 股梳理为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3"/>
        <w:keepNext/>
        <w:keepLines/>
        <w:widowControl w:val="0"/>
        <w:shd w:val="clear" w:color="auto" w:fill="auto"/>
        <w:bidi w:val="0"/>
        <w:spacing w:before="0" w:line="240" w:lineRule="auto"/>
        <w:ind w:left="0" w:right="0" w:firstLine="0"/>
        <w:jc w:val="both"/>
      </w:pPr>
      <w:bookmarkStart w:id="440" w:name="bookmark440"/>
      <w:bookmarkStart w:id="441" w:name="bookmark441"/>
      <w:bookmarkStart w:id="442" w:name="bookmark442"/>
      <w:r>
        <w:rPr>
          <w:color w:val="000000"/>
          <w:spacing w:val="0"/>
          <w:w w:val="100"/>
          <w:position w:val="0"/>
        </w:rPr>
        <w:t>二、证券发行与上市情况</w:t>
      </w:r>
      <w:bookmarkEnd w:id="440"/>
      <w:bookmarkEnd w:id="441"/>
      <w:bookmarkEnd w:id="442"/>
    </w:p>
    <w:p>
      <w:pPr>
        <w:pStyle w:val="Style33"/>
        <w:keepNext/>
        <w:keepLines/>
        <w:widowControl w:val="0"/>
        <w:shd w:val="clear" w:color="auto" w:fill="auto"/>
        <w:bidi w:val="0"/>
        <w:spacing w:before="0" w:line="240" w:lineRule="auto"/>
        <w:ind w:left="0" w:right="0" w:firstLine="0"/>
        <w:jc w:val="both"/>
      </w:pPr>
      <w:bookmarkStart w:id="440" w:name="bookmark440"/>
      <w:bookmarkStart w:id="441" w:name="bookmark441"/>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、报告期内证券发行（不含优先股）情况</w:t>
      </w:r>
      <w:bookmarkEnd w:id="440"/>
      <w:bookmarkEnd w:id="441"/>
      <w:bookmarkEnd w:id="444"/>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40"/>
        <w:gridCol w:w="1574"/>
        <w:gridCol w:w="1046"/>
        <w:gridCol w:w="1315"/>
        <w:gridCol w:w="1608"/>
        <w:gridCol w:w="1560"/>
        <w:gridCol w:w="117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发行价格</w:t>
            </w:r>
          </w:p>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获准上市交易数量</w:t>
            </w:r>
          </w:p>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股票期权行权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w:t>
            </w:r>
          </w:p>
        </w:tc>
        <w:tc>
          <w:tcPr>
            <w:gridSpan w:val="3"/>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分离交易的可转换公司债券、公司债类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股票期权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股票期权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tabs>
          <w:tab w:pos="644" w:val="left"/>
        </w:tabs>
        <w:bidi w:val="0"/>
        <w:spacing w:before="0" w:after="0" w:line="313" w:lineRule="exact"/>
        <w:ind w:left="0" w:right="0"/>
        <w:jc w:val="both"/>
      </w:pPr>
      <w:bookmarkStart w:id="445" w:name="bookmark445"/>
      <w:r>
        <w:rPr>
          <w:rFonts w:ascii="Times New Roman" w:eastAsia="Times New Roman" w:hAnsi="Times New Roman" w:cs="Times New Roman"/>
          <w:color w:val="000000"/>
          <w:spacing w:val="0"/>
          <w:w w:val="100"/>
          <w:position w:val="0"/>
          <w:sz w:val="18"/>
          <w:szCs w:val="18"/>
        </w:rPr>
        <w:t>1</w:t>
      </w:r>
      <w:bookmarkEnd w:id="4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日公司第 五届董事会第二十二次会议决议和第五届监事会第十一次会议决议，公司董事会实施并完成了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年第一期股权激励计划的 首次授予工作，首次授予日为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日，实际激励对象为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人，实际授予限制性股票</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万股、股票期权</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份，首次授 予的限制性股票于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日到账，上市日期为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9"/>
        <w:keepNext w:val="0"/>
        <w:keepLines w:val="0"/>
        <w:widowControl w:val="0"/>
        <w:shd w:val="clear" w:color="auto" w:fill="auto"/>
        <w:tabs>
          <w:tab w:pos="649" w:val="left"/>
        </w:tabs>
        <w:bidi w:val="0"/>
        <w:spacing w:before="0" w:after="0" w:line="313" w:lineRule="exact"/>
        <w:ind w:left="0" w:right="0"/>
        <w:jc w:val="both"/>
      </w:pPr>
      <w:bookmarkStart w:id="446" w:name="bookmark446"/>
      <w:r>
        <w:rPr>
          <w:rFonts w:ascii="Times New Roman" w:eastAsia="Times New Roman" w:hAnsi="Times New Roman" w:cs="Times New Roman"/>
          <w:color w:val="000000"/>
          <w:spacing w:val="0"/>
          <w:w w:val="100"/>
          <w:position w:val="0"/>
          <w:sz w:val="18"/>
          <w:szCs w:val="18"/>
        </w:rPr>
        <w:t>2</w:t>
      </w:r>
      <w:bookmarkEnd w:id="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日公司第五届董事 会第三十次会议决议和第五届监事会第十九次会议决议，公司董事会实施并完成了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年股权激励计划的授予工作，授予日 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日，实际激励对象为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人，实际授予限制性股票数量</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万股，授予的限制性股票于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日到账， </w:t>
      </w:r>
      <w:r>
        <w:rPr>
          <w:color w:val="000000"/>
          <w:spacing w:val="0"/>
          <w:w w:val="100"/>
          <w:position w:val="0"/>
        </w:rPr>
        <w:t>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400"/>
        <w:jc w:val="both"/>
      </w:pPr>
      <w:bookmarkStart w:id="447" w:name="bookmark447"/>
      <w:r>
        <w:rPr>
          <w:rFonts w:ascii="Times New Roman" w:eastAsia="Times New Roman" w:hAnsi="Times New Roman" w:cs="Times New Roman"/>
          <w:color w:val="000000"/>
          <w:spacing w:val="0"/>
          <w:w w:val="100"/>
          <w:position w:val="0"/>
          <w:sz w:val="18"/>
          <w:szCs w:val="18"/>
        </w:rPr>
        <w:t>3</w:t>
      </w:r>
      <w:bookmarkEnd w:id="4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日公司第 五届董事会第二十九次会议决议和第五届监事会第十七次会议决议，公司董事会实施并完成了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年第一期股权激励计划预 留股份的授予工作，预留股份授予日为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日，实际激励对象为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人，实际授予限制性股票</w:t>
      </w:r>
      <w:r>
        <w:rPr>
          <w:rFonts w:ascii="Times New Roman" w:eastAsia="Times New Roman" w:hAnsi="Times New Roman" w:cs="Times New Roman"/>
          <w:color w:val="000000"/>
          <w:spacing w:val="0"/>
          <w:w w:val="100"/>
          <w:position w:val="0"/>
          <w:sz w:val="18"/>
          <w:szCs w:val="18"/>
        </w:rPr>
        <w:t>16 0</w:t>
      </w:r>
      <w:r>
        <w:rPr>
          <w:color w:val="000000"/>
          <w:spacing w:val="0"/>
          <w:w w:val="100"/>
          <w:position w:val="0"/>
        </w:rPr>
        <w:t>万股、股票期权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 份，授予的限制性股票于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日到账，上市日期为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9"/>
        <w:keepNext w:val="0"/>
        <w:keepLines w:val="0"/>
        <w:widowControl w:val="0"/>
        <w:shd w:val="clear" w:color="auto" w:fill="auto"/>
        <w:bidi w:val="0"/>
        <w:spacing w:before="0" w:after="0" w:line="313" w:lineRule="exact"/>
        <w:ind w:left="0" w:right="0" w:firstLine="400"/>
        <w:jc w:val="both"/>
      </w:pPr>
      <w:bookmarkStart w:id="448" w:name="bookmark448"/>
      <w:r>
        <w:rPr>
          <w:rFonts w:ascii="Times New Roman" w:eastAsia="Times New Roman" w:hAnsi="Times New Roman" w:cs="Times New Roman"/>
          <w:color w:val="000000"/>
          <w:spacing w:val="0"/>
          <w:w w:val="100"/>
          <w:position w:val="0"/>
          <w:sz w:val="18"/>
          <w:szCs w:val="18"/>
        </w:rPr>
        <w:t>4</w:t>
      </w:r>
      <w:bookmarkEnd w:id="4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 五届董事会第二十九次会议决议和第五届监事会第十七次会议决议，公司董事会实施并完成了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年第二期股权激励计划预 留股份的授予工作，预留股份授予日为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日，实际激励对象为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人，实际授予限制性股票</w:t>
      </w:r>
      <w:r>
        <w:rPr>
          <w:rFonts w:ascii="Times New Roman" w:eastAsia="Times New Roman" w:hAnsi="Times New Roman" w:cs="Times New Roman"/>
          <w:color w:val="000000"/>
          <w:spacing w:val="0"/>
          <w:w w:val="100"/>
          <w:position w:val="0"/>
          <w:sz w:val="18"/>
          <w:szCs w:val="18"/>
        </w:rPr>
        <w:t>16 0</w:t>
      </w:r>
      <w:r>
        <w:rPr>
          <w:color w:val="000000"/>
          <w:spacing w:val="0"/>
          <w:w w:val="100"/>
          <w:position w:val="0"/>
        </w:rPr>
        <w:t>万股、股票期权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 份，授予的限制性股票于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日到账，上市日期为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9"/>
        <w:keepNext w:val="0"/>
        <w:keepLines w:val="0"/>
        <w:widowControl w:val="0"/>
        <w:shd w:val="clear" w:color="auto" w:fill="auto"/>
        <w:tabs>
          <w:tab w:pos="654" w:val="left"/>
        </w:tabs>
        <w:bidi w:val="0"/>
        <w:spacing w:before="0" w:after="380" w:line="313" w:lineRule="exact"/>
        <w:ind w:left="0" w:right="0" w:firstLine="400"/>
        <w:jc w:val="both"/>
      </w:pPr>
      <w:bookmarkStart w:id="449" w:name="bookmark449"/>
      <w:r>
        <w:rPr>
          <w:rFonts w:ascii="Times New Roman" w:eastAsia="Times New Roman" w:hAnsi="Times New Roman" w:cs="Times New Roman"/>
          <w:color w:val="000000"/>
          <w:spacing w:val="0"/>
          <w:w w:val="100"/>
          <w:position w:val="0"/>
          <w:sz w:val="18"/>
          <w:szCs w:val="18"/>
        </w:rPr>
        <w:t>5</w:t>
      </w:r>
      <w:bookmarkEnd w:id="4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日，公司董事会完成了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年第二期股权激励计划首次授予的股票期权第一个行权期 自主行权登记工作，自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万份股票期权自主行权事宜可实施，截止期末共有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万份股 票期权已经行权，公司新增股本</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万股。</w:t>
      </w:r>
    </w:p>
    <w:p>
      <w:pPr>
        <w:pStyle w:val="Style33"/>
        <w:keepNext/>
        <w:keepLines/>
        <w:widowControl w:val="0"/>
        <w:shd w:val="clear" w:color="auto" w:fill="auto"/>
        <w:bidi w:val="0"/>
        <w:spacing w:before="0" w:after="28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、公司股份总数及股东结构的变动、公司资产和负债结构的变动情况说明</w:t>
      </w:r>
      <w:bookmarkEnd w:id="450"/>
      <w:bookmarkEnd w:id="451"/>
      <w:bookmarkEnd w:id="453"/>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44" w:val="left"/>
        </w:tabs>
        <w:bidi w:val="0"/>
        <w:spacing w:before="0" w:after="0" w:line="317" w:lineRule="exact"/>
        <w:ind w:left="0" w:right="0" w:firstLine="400"/>
        <w:jc w:val="both"/>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年第五次临时股东大会批准，公司于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日以定向发行的方式向部分董事、高级管理人员 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万股限制性股票。截止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日，公司已收到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名激励对象以货币资金缴纳的款项合计 人民币</w:t>
      </w:r>
      <w:r>
        <w:rPr>
          <w:rFonts w:ascii="Times New Roman" w:eastAsia="Times New Roman" w:hAnsi="Times New Roman" w:cs="Times New Roman"/>
          <w:color w:val="000000"/>
          <w:spacing w:val="0"/>
          <w:w w:val="100"/>
          <w:position w:val="0"/>
          <w:sz w:val="18"/>
          <w:szCs w:val="18"/>
        </w:rPr>
        <w:t>5,116.8</w:t>
      </w:r>
      <w:r>
        <w:rPr>
          <w:color w:val="000000"/>
          <w:spacing w:val="0"/>
          <w:w w:val="100"/>
          <w:position w:val="0"/>
        </w:rPr>
        <w:t>万元整，其中：新增注册资本【实收资本（股本）】人民币</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万元整，其余人民币</w:t>
      </w:r>
      <w:r>
        <w:rPr>
          <w:rFonts w:ascii="Times New Roman" w:eastAsia="Times New Roman" w:hAnsi="Times New Roman" w:cs="Times New Roman"/>
          <w:color w:val="000000"/>
          <w:spacing w:val="0"/>
          <w:w w:val="100"/>
          <w:position w:val="0"/>
          <w:sz w:val="18"/>
          <w:szCs w:val="18"/>
        </w:rPr>
        <w:t>4,296.8</w:t>
      </w:r>
      <w:r>
        <w:rPr>
          <w:color w:val="000000"/>
          <w:spacing w:val="0"/>
          <w:w w:val="100"/>
          <w:position w:val="0"/>
        </w:rPr>
        <w:t>万元整作为资本 公积。</w:t>
      </w:r>
    </w:p>
    <w:p>
      <w:pPr>
        <w:pStyle w:val="Style29"/>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日公司总股本变更为</w:t>
      </w:r>
      <w:r>
        <w:rPr>
          <w:rFonts w:ascii="Times New Roman" w:eastAsia="Times New Roman" w:hAnsi="Times New Roman" w:cs="Times New Roman"/>
          <w:color w:val="000000"/>
          <w:spacing w:val="0"/>
          <w:w w:val="100"/>
          <w:position w:val="0"/>
          <w:sz w:val="18"/>
          <w:szCs w:val="18"/>
        </w:rPr>
        <w:t>781,004,768</w:t>
      </w:r>
      <w:r>
        <w:rPr>
          <w:color w:val="000000"/>
          <w:spacing w:val="0"/>
          <w:w w:val="100"/>
          <w:position w:val="0"/>
        </w:rPr>
        <w:t>股，公司股东结构、资产和负债结构发生相应变动。</w:t>
      </w:r>
    </w:p>
    <w:p>
      <w:pPr>
        <w:pStyle w:val="Style29"/>
        <w:keepNext w:val="0"/>
        <w:keepLines w:val="0"/>
        <w:widowControl w:val="0"/>
        <w:shd w:val="clear" w:color="auto" w:fill="auto"/>
        <w:tabs>
          <w:tab w:pos="644" w:val="left"/>
        </w:tabs>
        <w:bidi w:val="0"/>
        <w:spacing w:before="0" w:after="0" w:line="317" w:lineRule="exact"/>
        <w:ind w:left="0" w:right="0" w:firstLine="400"/>
        <w:jc w:val="both"/>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年第三次临时股东大会批准，公司于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日以定向发行的方式向部分董事、高级管理人员及 核心骨干等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日，公司已收到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名激励对象以货币资金缴 纳的款项合计人民币</w:t>
      </w:r>
      <w:r>
        <w:rPr>
          <w:rFonts w:ascii="Times New Roman" w:eastAsia="Times New Roman" w:hAnsi="Times New Roman" w:cs="Times New Roman"/>
          <w:color w:val="000000"/>
          <w:spacing w:val="0"/>
          <w:w w:val="100"/>
          <w:position w:val="0"/>
          <w:sz w:val="18"/>
          <w:szCs w:val="18"/>
        </w:rPr>
        <w:t>30,280.8</w:t>
      </w:r>
      <w:r>
        <w:rPr>
          <w:color w:val="000000"/>
          <w:spacing w:val="0"/>
          <w:w w:val="100"/>
          <w:position w:val="0"/>
        </w:rPr>
        <w:t>万元整，其中：新增注册资本【实收资本（股本）】人民币</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万元整，其余人民币</w:t>
      </w:r>
      <w:r>
        <w:rPr>
          <w:rFonts w:ascii="Times New Roman" w:eastAsia="Times New Roman" w:hAnsi="Times New Roman" w:cs="Times New Roman"/>
          <w:color w:val="000000"/>
          <w:spacing w:val="0"/>
          <w:w w:val="100"/>
          <w:position w:val="0"/>
          <w:sz w:val="18"/>
          <w:szCs w:val="18"/>
        </w:rPr>
        <w:t xml:space="preserve">26,210.8 </w:t>
      </w:r>
      <w:r>
        <w:rPr>
          <w:color w:val="000000"/>
          <w:spacing w:val="0"/>
          <w:w w:val="100"/>
          <w:position w:val="0"/>
        </w:rPr>
        <w:t>万元整作为资本公积。</w:t>
      </w:r>
    </w:p>
    <w:p>
      <w:pPr>
        <w:pStyle w:val="Style29"/>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日公司总股本变更为</w:t>
      </w:r>
      <w:r>
        <w:rPr>
          <w:rFonts w:ascii="Times New Roman" w:eastAsia="Times New Roman" w:hAnsi="Times New Roman" w:cs="Times New Roman"/>
          <w:color w:val="000000"/>
          <w:spacing w:val="0"/>
          <w:w w:val="100"/>
          <w:position w:val="0"/>
          <w:sz w:val="18"/>
          <w:szCs w:val="18"/>
        </w:rPr>
        <w:t>821,704,768</w:t>
      </w:r>
      <w:r>
        <w:rPr>
          <w:color w:val="000000"/>
          <w:spacing w:val="0"/>
          <w:w w:val="100"/>
          <w:position w:val="0"/>
        </w:rPr>
        <w:t>股，公司股东结构、资产和负债结构发生相应变动。</w:t>
      </w:r>
    </w:p>
    <w:p>
      <w:pPr>
        <w:pStyle w:val="Style29"/>
        <w:keepNext w:val="0"/>
        <w:keepLines w:val="0"/>
        <w:widowControl w:val="0"/>
        <w:shd w:val="clear" w:color="auto" w:fill="auto"/>
        <w:bidi w:val="0"/>
        <w:spacing w:before="0" w:after="0" w:line="314" w:lineRule="exact"/>
        <w:ind w:left="0" w:right="0" w:firstLine="400"/>
        <w:jc w:val="both"/>
      </w:pPr>
      <w:bookmarkStart w:id="456" w:name="bookmark456"/>
      <w:r>
        <w:rPr>
          <w:rFonts w:ascii="Times New Roman" w:eastAsia="Times New Roman" w:hAnsi="Times New Roman" w:cs="Times New Roman"/>
          <w:color w:val="000000"/>
          <w:spacing w:val="0"/>
          <w:w w:val="100"/>
          <w:position w:val="0"/>
          <w:sz w:val="18"/>
          <w:szCs w:val="18"/>
        </w:rPr>
        <w:t>3</w:t>
      </w:r>
      <w:bookmarkEnd w:id="456"/>
      <w:r>
        <w:rPr>
          <w:color w:val="000000"/>
          <w:spacing w:val="0"/>
          <w:w w:val="100"/>
          <w:position w:val="0"/>
        </w:rPr>
        <w:t>、 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年第五次临时股东大会批准，公司于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日以定向发行的方式向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名核心骨干授予</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 限制性股票。截止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日，公司已收到激励对象以货币资金缴纳的款项合计人民币</w:t>
      </w:r>
      <w:r>
        <w:rPr>
          <w:rFonts w:ascii="Times New Roman" w:eastAsia="Times New Roman" w:hAnsi="Times New Roman" w:cs="Times New Roman"/>
          <w:color w:val="000000"/>
          <w:spacing w:val="0"/>
          <w:w w:val="100"/>
          <w:position w:val="0"/>
          <w:sz w:val="18"/>
          <w:szCs w:val="18"/>
        </w:rPr>
        <w:t>1,198.4</w:t>
      </w:r>
      <w:r>
        <w:rPr>
          <w:color w:val="000000"/>
          <w:spacing w:val="0"/>
          <w:w w:val="100"/>
          <w:position w:val="0"/>
        </w:rPr>
        <w:t>万元整，其中：新增 注册资本【实收资本（股本）】人民币</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万元整，其余人民币</w:t>
      </w:r>
      <w:r>
        <w:rPr>
          <w:rFonts w:ascii="Times New Roman" w:eastAsia="Times New Roman" w:hAnsi="Times New Roman" w:cs="Times New Roman"/>
          <w:color w:val="000000"/>
          <w:spacing w:val="0"/>
          <w:w w:val="100"/>
          <w:position w:val="0"/>
          <w:sz w:val="18"/>
          <w:szCs w:val="18"/>
        </w:rPr>
        <w:t>1,038.84</w:t>
      </w:r>
      <w:r>
        <w:rPr>
          <w:color w:val="000000"/>
          <w:spacing w:val="0"/>
          <w:w w:val="100"/>
          <w:position w:val="0"/>
        </w:rPr>
        <w:t>万元整作为资本公积。</w:t>
      </w:r>
    </w:p>
    <w:p>
      <w:pPr>
        <w:pStyle w:val="Style29"/>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日公司总股本变更为</w:t>
      </w:r>
      <w:r>
        <w:rPr>
          <w:rFonts w:ascii="Times New Roman" w:eastAsia="Times New Roman" w:hAnsi="Times New Roman" w:cs="Times New Roman"/>
          <w:color w:val="000000"/>
          <w:spacing w:val="0"/>
          <w:w w:val="100"/>
          <w:position w:val="0"/>
          <w:sz w:val="18"/>
          <w:szCs w:val="18"/>
        </w:rPr>
        <w:t>823,304,768</w:t>
      </w:r>
      <w:r>
        <w:rPr>
          <w:color w:val="000000"/>
          <w:spacing w:val="0"/>
          <w:w w:val="100"/>
          <w:position w:val="0"/>
        </w:rPr>
        <w:t>股，公司股东结构、资产和负债结构发生相应变动。</w:t>
      </w:r>
    </w:p>
    <w:p>
      <w:pPr>
        <w:pStyle w:val="Style29"/>
        <w:keepNext w:val="0"/>
        <w:keepLines w:val="0"/>
        <w:widowControl w:val="0"/>
        <w:shd w:val="clear" w:color="auto" w:fill="auto"/>
        <w:bidi w:val="0"/>
        <w:spacing w:before="0" w:after="0" w:line="314" w:lineRule="exact"/>
        <w:ind w:left="0" w:right="0" w:firstLine="400"/>
        <w:jc w:val="both"/>
      </w:pPr>
      <w:bookmarkStart w:id="457" w:name="bookmark457"/>
      <w:r>
        <w:rPr>
          <w:rFonts w:ascii="Times New Roman" w:eastAsia="Times New Roman" w:hAnsi="Times New Roman" w:cs="Times New Roman"/>
          <w:color w:val="000000"/>
          <w:spacing w:val="0"/>
          <w:w w:val="100"/>
          <w:position w:val="0"/>
          <w:sz w:val="18"/>
          <w:szCs w:val="18"/>
        </w:rPr>
        <w:t>4</w:t>
      </w:r>
      <w:bookmarkEnd w:id="457"/>
      <w:r>
        <w:rPr>
          <w:color w:val="000000"/>
          <w:spacing w:val="0"/>
          <w:w w:val="100"/>
          <w:position w:val="0"/>
        </w:rPr>
        <w:t>、 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年第六次临时股东大会批准，公司于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日以定向发行的方式向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名现任董事授予</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万股 限制性股票。截止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日，公司已收到激励对象以货币资金缴纳的款项合计人民币</w:t>
      </w:r>
      <w:r>
        <w:rPr>
          <w:rFonts w:ascii="Times New Roman" w:eastAsia="Times New Roman" w:hAnsi="Times New Roman" w:cs="Times New Roman"/>
          <w:color w:val="000000"/>
          <w:spacing w:val="0"/>
          <w:w w:val="100"/>
          <w:position w:val="0"/>
          <w:sz w:val="18"/>
          <w:szCs w:val="18"/>
        </w:rPr>
        <w:t>1,198.4</w:t>
      </w:r>
      <w:r>
        <w:rPr>
          <w:color w:val="000000"/>
          <w:spacing w:val="0"/>
          <w:w w:val="100"/>
          <w:position w:val="0"/>
        </w:rPr>
        <w:t>万元整，其中：新增 注册资本【实收资本（股本）】人民币</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万元整，其余人民币</w:t>
      </w:r>
      <w:r>
        <w:rPr>
          <w:rFonts w:ascii="Times New Roman" w:eastAsia="Times New Roman" w:hAnsi="Times New Roman" w:cs="Times New Roman"/>
          <w:color w:val="000000"/>
          <w:spacing w:val="0"/>
          <w:w w:val="100"/>
          <w:position w:val="0"/>
          <w:sz w:val="18"/>
          <w:szCs w:val="18"/>
        </w:rPr>
        <w:t>1,038.84</w:t>
      </w:r>
      <w:r>
        <w:rPr>
          <w:color w:val="000000"/>
          <w:spacing w:val="0"/>
          <w:w w:val="100"/>
          <w:position w:val="0"/>
        </w:rPr>
        <w:t>万元整作为资本公积。</w:t>
      </w:r>
    </w:p>
    <w:p>
      <w:pPr>
        <w:pStyle w:val="Style29"/>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日公司总股本变更为</w:t>
      </w:r>
      <w:r>
        <w:rPr>
          <w:rFonts w:ascii="Times New Roman" w:eastAsia="Times New Roman" w:hAnsi="Times New Roman" w:cs="Times New Roman"/>
          <w:color w:val="000000"/>
          <w:spacing w:val="0"/>
          <w:w w:val="100"/>
          <w:position w:val="0"/>
          <w:sz w:val="18"/>
          <w:szCs w:val="18"/>
        </w:rPr>
        <w:t>824,904,768</w:t>
      </w:r>
      <w:r>
        <w:rPr>
          <w:color w:val="000000"/>
          <w:spacing w:val="0"/>
          <w:w w:val="100"/>
          <w:position w:val="0"/>
        </w:rPr>
        <w:t>股，公司股东结构、资产和负债结构发生相应变动。</w:t>
      </w:r>
    </w:p>
    <w:p>
      <w:pPr>
        <w:pStyle w:val="Style29"/>
        <w:keepNext w:val="0"/>
        <w:keepLines w:val="0"/>
        <w:widowControl w:val="0"/>
        <w:shd w:val="clear" w:color="auto" w:fill="auto"/>
        <w:tabs>
          <w:tab w:pos="654" w:val="left"/>
        </w:tabs>
        <w:bidi w:val="0"/>
        <w:spacing w:before="0" w:after="0" w:line="312" w:lineRule="exact"/>
        <w:ind w:left="0" w:right="0" w:firstLine="400"/>
        <w:jc w:val="both"/>
      </w:pPr>
      <w:bookmarkStart w:id="458" w:name="bookmark458"/>
      <w:r>
        <w:rPr>
          <w:rFonts w:ascii="Times New Roman" w:eastAsia="Times New Roman" w:hAnsi="Times New Roman" w:cs="Times New Roman"/>
          <w:color w:val="000000"/>
          <w:spacing w:val="0"/>
          <w:w w:val="100"/>
          <w:position w:val="0"/>
          <w:sz w:val="18"/>
          <w:szCs w:val="18"/>
        </w:rPr>
        <w:t>5</w:t>
      </w:r>
      <w:bookmarkEnd w:id="458"/>
      <w:r>
        <w:rPr>
          <w:color w:val="000000"/>
          <w:spacing w:val="0"/>
          <w:w w:val="100"/>
          <w:position w:val="0"/>
        </w:rPr>
        <w:t>、</w:t>
        <w:tab/>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年第六次临时股东大会的授权，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日第五届董事会第三十六次会议审议，同意按照</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年第二期股权激励计划的相关规定为激励对象办理行权事宜，并且同意公司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年第二期股权激励计划首次授予的股票期 权第一个行权期采用自主行权模式。公司于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年第二期股权激励计划首次授予的股票期权第一 个行权期自主行权登记工作，激励对象自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日起可实施自主行权事宜。截至本报告期末，激励对象已行权数 量为</w:t>
      </w:r>
      <w:r>
        <w:rPr>
          <w:rFonts w:ascii="Times New Roman" w:eastAsia="Times New Roman" w:hAnsi="Times New Roman" w:cs="Times New Roman"/>
          <w:color w:val="000000"/>
          <w:spacing w:val="0"/>
          <w:w w:val="100"/>
          <w:position w:val="0"/>
          <w:sz w:val="18"/>
          <w:szCs w:val="18"/>
        </w:rPr>
        <w:t>840,000</w:t>
      </w:r>
      <w:r>
        <w:rPr>
          <w:color w:val="000000"/>
          <w:spacing w:val="0"/>
          <w:w w:val="100"/>
          <w:position w:val="0"/>
        </w:rPr>
        <w:t>股。</w:t>
      </w:r>
    </w:p>
    <w:p>
      <w:pPr>
        <w:pStyle w:val="Style29"/>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日公司总股本变更为</w:t>
      </w:r>
      <w:r>
        <w:rPr>
          <w:rFonts w:ascii="Times New Roman" w:eastAsia="Times New Roman" w:hAnsi="Times New Roman" w:cs="Times New Roman"/>
          <w:color w:val="000000"/>
          <w:spacing w:val="0"/>
          <w:w w:val="100"/>
          <w:position w:val="0"/>
          <w:sz w:val="18"/>
          <w:szCs w:val="18"/>
        </w:rPr>
        <w:t>825,744,768</w:t>
      </w:r>
      <w:r>
        <w:rPr>
          <w:color w:val="000000"/>
          <w:spacing w:val="0"/>
          <w:w w:val="100"/>
          <w:position w:val="0"/>
        </w:rPr>
        <w:t>股，公司股东结构、资产和负债结构发生相应变动。</w:t>
      </w:r>
    </w:p>
    <w:p>
      <w:pPr>
        <w:pStyle w:val="Style29"/>
        <w:keepNext w:val="0"/>
        <w:keepLines w:val="0"/>
        <w:widowControl w:val="0"/>
        <w:shd w:val="clear" w:color="auto" w:fill="auto"/>
        <w:bidi w:val="0"/>
        <w:spacing w:before="0" w:after="0" w:line="326" w:lineRule="exact"/>
        <w:ind w:left="0" w:right="0" w:firstLine="4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日上述可行权股票期权全部行权完毕，公司总股本变更为</w:t>
      </w:r>
      <w:r>
        <w:rPr>
          <w:rFonts w:ascii="Times New Roman" w:eastAsia="Times New Roman" w:hAnsi="Times New Roman" w:cs="Times New Roman"/>
          <w:color w:val="000000"/>
          <w:spacing w:val="0"/>
          <w:w w:val="100"/>
          <w:position w:val="0"/>
          <w:sz w:val="18"/>
          <w:szCs w:val="18"/>
        </w:rPr>
        <w:t>826,854,768</w:t>
      </w:r>
      <w:r>
        <w:rPr>
          <w:color w:val="000000"/>
          <w:spacing w:val="0"/>
          <w:w w:val="100"/>
          <w:position w:val="0"/>
        </w:rPr>
        <w:t>股，公司股东结构、资产和负债 结构发生相应变动。</w:t>
      </w:r>
      <w:r>
        <w:br w:type="page"/>
      </w:r>
    </w:p>
    <w:p>
      <w:pPr>
        <w:pStyle w:val="Style33"/>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、现存的内部职工股情况</w:t>
      </w:r>
      <w:bookmarkEnd w:id="459"/>
      <w:bookmarkEnd w:id="460"/>
      <w:bookmarkEnd w:id="46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三</w:t>
      </w:r>
      <w:bookmarkEnd w:id="465"/>
      <w:r>
        <w:rPr>
          <w:color w:val="000000"/>
          <w:spacing w:val="0"/>
          <w:w w:val="100"/>
          <w:position w:val="0"/>
        </w:rPr>
        <w:t>、股东和实际控制人情况</w:t>
      </w:r>
      <w:bookmarkEnd w:id="463"/>
      <w:bookmarkEnd w:id="464"/>
      <w:bookmarkEnd w:id="466"/>
    </w:p>
    <w:p>
      <w:pPr>
        <w:pStyle w:val="Style33"/>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、公司股东数量及持股情况</w:t>
      </w:r>
      <w:bookmarkEnd w:id="467"/>
      <w:bookmarkEnd w:id="468"/>
      <w:bookmarkEnd w:id="4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50"/>
        <w:gridCol w:w="912"/>
        <w:gridCol w:w="792"/>
        <w:gridCol w:w="706"/>
        <w:gridCol w:w="283"/>
        <w:gridCol w:w="672"/>
        <w:gridCol w:w="322"/>
        <w:gridCol w:w="994"/>
        <w:gridCol w:w="422"/>
        <w:gridCol w:w="523"/>
        <w:gridCol w:w="264"/>
        <w:gridCol w:w="643"/>
        <w:gridCol w:w="845"/>
        <w:gridCol w:w="274"/>
        <w:gridCol w:w="61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报告期末普通股 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59,352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年度报告披露日前 上一月末普通股股 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52,119</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报告期末表决权恢复 的优先股股东总数</w:t>
            </w:r>
          </w:p>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 一月末表决权恢复的 优先股股东总数（如 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中驰惠程企业管 理有限公司（原名 </w:t>
            </w:r>
            <w:r>
              <w:rPr>
                <w:color w:val="000000"/>
                <w:spacing w:val="0"/>
                <w:w w:val="100"/>
                <w:position w:val="0"/>
                <w:sz w:val="18"/>
                <w:szCs w:val="18"/>
              </w:rPr>
              <w:t>“</w:t>
            </w:r>
            <w:r>
              <w:rPr>
                <w:rFonts w:ascii="SimSun" w:eastAsia="SimSun" w:hAnsi="SimSun" w:cs="SimSun"/>
                <w:color w:val="000000"/>
                <w:spacing w:val="0"/>
                <w:w w:val="100"/>
                <w:position w:val="0"/>
                <w:sz w:val="17"/>
                <w:szCs w:val="17"/>
              </w:rPr>
              <w:t>中驰极速体育文 化发展有限公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82,230,955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82,230,955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82,230,955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70,167,755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中央汇金资产管 理有限责任公司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28,882,200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共青城中源信投 资管理合伙企业</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17,223,762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17,223,762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17,223,762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16,568,662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华宝信托有限责 任公司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 单一资金信托</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13,128,805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13,128,805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13,128,805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华宝信托有限责 任公司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 单一资金信托</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12,757,842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12,757,842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12,757,842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安华农业保险股 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养殖 保险</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9,124,775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9,124,775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9,124,775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纪晓文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杨富年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长信基金</w:t>
            </w:r>
            <w:r>
              <w:rPr>
                <w:color w:val="000000"/>
                <w:spacing w:val="0"/>
                <w:w w:val="100"/>
                <w:position w:val="0"/>
                <w:sz w:val="18"/>
                <w:szCs w:val="18"/>
              </w:rPr>
              <w:t>-</w:t>
            </w:r>
            <w:r>
              <w:rPr>
                <w:rFonts w:ascii="SimSun" w:eastAsia="SimSun" w:hAnsi="SimSun" w:cs="SimSun"/>
                <w:color w:val="000000"/>
                <w:spacing w:val="0"/>
                <w:w w:val="100"/>
                <w:position w:val="0"/>
                <w:sz w:val="17"/>
                <w:szCs w:val="17"/>
              </w:rPr>
              <w:t>浦发银 行</w:t>
            </w:r>
            <w:r>
              <w:rPr>
                <w:color w:val="000000"/>
                <w:spacing w:val="0"/>
                <w:w w:val="100"/>
                <w:position w:val="0"/>
                <w:sz w:val="18"/>
                <w:szCs w:val="18"/>
              </w:rPr>
              <w:t>-</w:t>
            </w:r>
            <w:r>
              <w:rPr>
                <w:rFonts w:ascii="SimSun" w:eastAsia="SimSun" w:hAnsi="SimSun" w:cs="SimSun"/>
                <w:color w:val="000000"/>
                <w:spacing w:val="0"/>
                <w:w w:val="100"/>
                <w:position w:val="0"/>
                <w:sz w:val="17"/>
                <w:szCs w:val="17"/>
              </w:rPr>
              <w:t>中金投资</w:t>
            </w:r>
            <w:r>
              <w:rPr>
                <w:color w:val="000000"/>
                <w:spacing w:val="0"/>
                <w:w w:val="100"/>
                <w:position w:val="0"/>
                <w:sz w:val="18"/>
                <w:szCs w:val="18"/>
              </w:rPr>
              <w:t>2</w:t>
            </w:r>
            <w:r>
              <w:rPr>
                <w:rFonts w:ascii="SimSun" w:eastAsia="SimSun" w:hAnsi="SimSun" w:cs="SimSun"/>
                <w:color w:val="000000"/>
                <w:spacing w:val="0"/>
                <w:w w:val="100"/>
                <w:position w:val="0"/>
                <w:sz w:val="17"/>
                <w:szCs w:val="17"/>
              </w:rPr>
              <w:t>号 资产管理计划</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1.07%</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8,850,013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8,850,013</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50"/>
        <w:gridCol w:w="1704"/>
        <w:gridCol w:w="989"/>
        <w:gridCol w:w="994"/>
        <w:gridCol w:w="994"/>
        <w:gridCol w:w="946"/>
        <w:gridCol w:w="907"/>
        <w:gridCol w:w="418"/>
        <w:gridCol w:w="427"/>
        <w:gridCol w:w="888"/>
      </w:tblGrid>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陕西省国际信托 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陕 国投</w:t>
            </w:r>
            <w:r>
              <w:rPr>
                <w:color w:val="000000"/>
                <w:spacing w:val="0"/>
                <w:w w:val="100"/>
                <w:position w:val="0"/>
                <w:sz w:val="18"/>
                <w:szCs w:val="18"/>
              </w:rPr>
              <w:t>*</w:t>
            </w:r>
            <w:r>
              <w:rPr>
                <w:rFonts w:ascii="SimSun" w:eastAsia="SimSun" w:hAnsi="SimSun" w:cs="SimSun"/>
                <w:color w:val="000000"/>
                <w:spacing w:val="0"/>
                <w:w w:val="100"/>
                <w:position w:val="0"/>
                <w:sz w:val="17"/>
                <w:szCs w:val="17"/>
              </w:rPr>
              <w:t>天象</w:t>
            </w:r>
            <w:r>
              <w:rPr>
                <w:color w:val="000000"/>
                <w:spacing w:val="0"/>
                <w:w w:val="100"/>
                <w:position w:val="0"/>
                <w:sz w:val="18"/>
                <w:szCs w:val="18"/>
              </w:rPr>
              <w:t>5</w:t>
            </w:r>
            <w:r>
              <w:rPr>
                <w:rFonts w:ascii="SimSun" w:eastAsia="SimSun" w:hAnsi="SimSun" w:cs="SimSun"/>
                <w:color w:val="000000"/>
                <w:spacing w:val="0"/>
                <w:w w:val="100"/>
                <w:position w:val="0"/>
                <w:sz w:val="17"/>
                <w:szCs w:val="17"/>
              </w:rPr>
              <w:t>号定 向投资集合资金 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7,524,127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7,524,127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共青城中源信投资管理合伙企业（有限合伙）、华宝信托有限责任公司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号单 一资金信托、华宝信托有限责任公司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号单一资金信托系第一大股东中驰惠程 企业管理有限公司的一致行动人，合计持股</w:t>
            </w:r>
            <w:r>
              <w:rPr>
                <w:color w:val="000000"/>
                <w:spacing w:val="0"/>
                <w:w w:val="100"/>
                <w:position w:val="0"/>
                <w:sz w:val="18"/>
                <w:szCs w:val="18"/>
              </w:rPr>
              <w:t>125,341,364</w:t>
            </w:r>
            <w:r>
              <w:rPr>
                <w:rFonts w:ascii="SimSun" w:eastAsia="SimSun" w:hAnsi="SimSun" w:cs="SimSun"/>
                <w:color w:val="000000"/>
                <w:spacing w:val="0"/>
                <w:w w:val="100"/>
                <w:position w:val="0"/>
                <w:sz w:val="17"/>
                <w:szCs w:val="17"/>
              </w:rPr>
              <w:t xml:space="preserve">股，占公司期末总股本 </w:t>
            </w:r>
            <w:r>
              <w:rPr>
                <w:color w:val="000000"/>
                <w:spacing w:val="0"/>
                <w:w w:val="100"/>
                <w:position w:val="0"/>
                <w:sz w:val="18"/>
                <w:szCs w:val="18"/>
              </w:rPr>
              <w:t xml:space="preserve">15.18% </w:t>
            </w:r>
            <w:r>
              <w:rPr>
                <w:rFonts w:ascii="SimSun" w:eastAsia="SimSun" w:hAnsi="SimSun" w:cs="SimSun"/>
                <w:color w:val="000000"/>
                <w:spacing w:val="0"/>
                <w:w w:val="100"/>
                <w:position w:val="0"/>
                <w:sz w:val="17"/>
                <w:szCs w:val="17"/>
              </w:rPr>
              <w:t>；其他股东之间关系不详。</w:t>
            </w:r>
          </w:p>
        </w:tc>
      </w:tr>
      <w:tr>
        <w:trPr>
          <w:trHeight w:val="403" w:hRule="exact"/>
        </w:trPr>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中央汇金资产管理有限责任公司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28,882,200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28,882,200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安华农业保险股份有限公司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养殖保险</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9,124,775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9,124,775</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长信基金</w:t>
            </w:r>
            <w:r>
              <w:rPr>
                <w:color w:val="000000"/>
                <w:spacing w:val="0"/>
                <w:w w:val="100"/>
                <w:position w:val="0"/>
                <w:sz w:val="18"/>
                <w:szCs w:val="18"/>
              </w:rPr>
              <w:t>-</w:t>
            </w:r>
            <w:r>
              <w:rPr>
                <w:rFonts w:ascii="SimSun" w:eastAsia="SimSun" w:hAnsi="SimSun" w:cs="SimSun"/>
                <w:color w:val="000000"/>
                <w:spacing w:val="0"/>
                <w:w w:val="100"/>
                <w:position w:val="0"/>
                <w:sz w:val="17"/>
                <w:szCs w:val="17"/>
              </w:rPr>
              <w:t>浦发银行</w:t>
            </w:r>
            <w:r>
              <w:rPr>
                <w:color w:val="000000"/>
                <w:spacing w:val="0"/>
                <w:w w:val="100"/>
                <w:position w:val="0"/>
                <w:sz w:val="18"/>
                <w:szCs w:val="18"/>
              </w:rPr>
              <w:t>-</w:t>
            </w:r>
            <w:r>
              <w:rPr>
                <w:rFonts w:ascii="SimSun" w:eastAsia="SimSun" w:hAnsi="SimSun" w:cs="SimSun"/>
                <w:color w:val="000000"/>
                <w:spacing w:val="0"/>
                <w:w w:val="100"/>
                <w:position w:val="0"/>
                <w:sz w:val="17"/>
                <w:szCs w:val="17"/>
              </w:rPr>
              <w:t>中金投资</w:t>
            </w:r>
            <w:r>
              <w:rPr>
                <w:color w:val="000000"/>
                <w:spacing w:val="0"/>
                <w:w w:val="100"/>
                <w:position w:val="0"/>
                <w:sz w:val="18"/>
                <w:szCs w:val="18"/>
              </w:rPr>
              <w:t>2</w:t>
            </w:r>
            <w:r>
              <w:rPr>
                <w:rFonts w:ascii="SimSun" w:eastAsia="SimSun" w:hAnsi="SimSun" w:cs="SimSun"/>
                <w:color w:val="000000"/>
                <w:spacing w:val="0"/>
                <w:w w:val="100"/>
                <w:position w:val="0"/>
                <w:sz w:val="17"/>
                <w:szCs w:val="17"/>
              </w:rPr>
              <w:t>号资产 管理计划</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8,850,013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8,850,013</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陕西省国际信托股份有限公司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陕国投</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天象</w:t>
            </w:r>
            <w:r>
              <w:rPr>
                <w:color w:val="000000"/>
                <w:spacing w:val="0"/>
                <w:w w:val="100"/>
                <w:position w:val="0"/>
                <w:sz w:val="18"/>
                <w:szCs w:val="18"/>
              </w:rPr>
              <w:t>5</w:t>
            </w:r>
            <w:r>
              <w:rPr>
                <w:rFonts w:ascii="SimSun" w:eastAsia="SimSun" w:hAnsi="SimSun" w:cs="SimSun"/>
                <w:color w:val="000000"/>
                <w:spacing w:val="0"/>
                <w:w w:val="100"/>
                <w:position w:val="0"/>
                <w:sz w:val="17"/>
                <w:szCs w:val="17"/>
              </w:rPr>
              <w:t>号定向投资集合资金信托计划</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7,524,127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7,524,127</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张景华</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6,500,000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6,500,000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张利群</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6,465,909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6,465,909</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苏军福</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4,057,500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4,057,500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高凤洁</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3,858,100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3,858,100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苏军锋</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3,708,200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3,708,200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何秀丽</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60" w:right="0" w:firstLine="0"/>
              <w:jc w:val="left"/>
            </w:pPr>
            <w:r>
              <w:rPr>
                <w:color w:val="000000"/>
                <w:spacing w:val="0"/>
                <w:w w:val="100"/>
                <w:position w:val="0"/>
              </w:rPr>
              <w:t>3,695,481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3,695,481</w:t>
            </w: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名无限售流通股股东之间，以及前 </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 之间关联关系或一致行动的说明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名无限售条件股东之间关系不详，前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 间关联关系或一致行动关系不详。</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日公司接到股东通知，中驰惠程作为出质人将其所持部分公司股份质押给国信证券股份有限公司，质押 股数</w:t>
      </w:r>
      <w:r>
        <w:rPr>
          <w:rFonts w:ascii="Times New Roman" w:eastAsia="Times New Roman" w:hAnsi="Times New Roman" w:cs="Times New Roman"/>
          <w:color w:val="000000"/>
          <w:spacing w:val="0"/>
          <w:w w:val="100"/>
          <w:position w:val="0"/>
          <w:sz w:val="18"/>
          <w:szCs w:val="18"/>
        </w:rPr>
        <w:t>12,063,200</w:t>
      </w:r>
      <w:r>
        <w:rPr>
          <w:color w:val="000000"/>
          <w:spacing w:val="0"/>
          <w:w w:val="100"/>
          <w:position w:val="0"/>
        </w:rPr>
        <w:t>股，质押开始日期为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日，解除质押日期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日，本次质押占其所持股份比例</w:t>
      </w:r>
      <w:r>
        <w:rPr>
          <w:rFonts w:ascii="Times New Roman" w:eastAsia="Times New Roman" w:hAnsi="Times New Roman" w:cs="Times New Roman"/>
          <w:color w:val="000000"/>
          <w:spacing w:val="0"/>
          <w:w w:val="100"/>
          <w:position w:val="0"/>
          <w:sz w:val="18"/>
          <w:szCs w:val="18"/>
        </w:rPr>
        <w:t>14.6699%</w:t>
      </w:r>
      <w:r>
        <w:rPr>
          <w:color w:val="000000"/>
          <w:spacing w:val="0"/>
          <w:w w:val="100"/>
          <w:position w:val="0"/>
        </w:rPr>
        <w:t>, 用途为自身资金需求。本次质押后累计质押其持有的本公司股份数量共计</w:t>
      </w:r>
      <w:r>
        <w:rPr>
          <w:rFonts w:ascii="Times New Roman" w:eastAsia="Times New Roman" w:hAnsi="Times New Roman" w:cs="Times New Roman"/>
          <w:color w:val="000000"/>
          <w:spacing w:val="0"/>
          <w:w w:val="100"/>
          <w:position w:val="0"/>
          <w:sz w:val="18"/>
          <w:szCs w:val="18"/>
        </w:rPr>
        <w:t>82,230,955</w:t>
      </w:r>
      <w:r>
        <w:rPr>
          <w:color w:val="000000"/>
          <w:spacing w:val="0"/>
          <w:w w:val="100"/>
          <w:position w:val="0"/>
        </w:rPr>
        <w:t xml:space="preserve">股，占其直接持有公司股份总数的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9.9450%</w:t>
      </w:r>
      <w:r>
        <w:rPr>
          <w:color w:val="000000"/>
          <w:spacing w:val="0"/>
          <w:w w:val="100"/>
          <w:position w:val="0"/>
        </w:rPr>
        <w:t>。</w:t>
      </w:r>
    </w:p>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80" w:line="31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3"/>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、公司控股股东情况</w:t>
      </w:r>
      <w:bookmarkEnd w:id="471"/>
      <w:bookmarkEnd w:id="472"/>
      <w:bookmarkEnd w:id="47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35"/>
        <w:gridCol w:w="1853"/>
        <w:gridCol w:w="1915"/>
        <w:gridCol w:w="1963"/>
        <w:gridCol w:w="194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主要经营业务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中驰惠程企业管理有限 公司（原名</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中驰极速体 育文化发展有限公司”）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911101073303568270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企业管理；企业营销策 划；企业管理咨询；技 术开发、技术转让、技 术咨询、技术服务。</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新控股股东名称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中驰惠程企业管理有限公司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、公司实际控制人情况</w:t>
      </w:r>
      <w:bookmarkEnd w:id="475"/>
      <w:bookmarkEnd w:id="476"/>
      <w:bookmarkEnd w:id="47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70"/>
        <w:gridCol w:w="2333"/>
        <w:gridCol w:w="39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李亦非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汪超涌先生目前担任北京信中利投资股份有限公司董事长职务。</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汪超涌先生和李亦非女士系全国中小企业股份转让系统挂牌公司北京信中利投 资股份有限公司一致行动人和实际控制人。</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汪超涌先生、李亦非女士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70649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5"/>
                    <a:stretch/>
                  </pic:blipFill>
                  <pic:spPr>
                    <a:xfrm>
                      <a:ext cx="4596130" cy="3706495"/>
                    </a:xfrm>
                    <a:prstGeom prst="rect"/>
                  </pic:spPr>
                </pic:pic>
              </a:graphicData>
            </a:graphic>
          </wp:inline>
        </w:drawing>
      </w:r>
    </w:p>
    <w:p>
      <w:pPr>
        <w:widowControl w:val="0"/>
        <w:spacing w:after="27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21"/>
        <w:gridCol w:w="769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信托合同或者其他资产 管理安排的主要内容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中驰惠程、田勇先生与华宝信托有限责任公司（以下简称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华宝信托</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签署了信托业务合同，在 符合合同约定的情况下，中驰惠程、田勇先生有权申请华宝信托使用大地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号及大地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号单一资 金信托募集的部分资金买卖标的股票深圳惠程。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信托或其他资产管理的 具体方式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华宝信托系大地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号及大地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号单一资金信托之受托人即信托管理人，中驰惠程、田勇先生系大 地</w:t>
            </w:r>
            <w:r>
              <w:rPr>
                <w:color w:val="000000"/>
                <w:spacing w:val="0"/>
                <w:w w:val="100"/>
                <w:position w:val="0"/>
                <w:sz w:val="18"/>
                <w:szCs w:val="18"/>
              </w:rPr>
              <w:t>9</w:t>
            </w:r>
            <w:r>
              <w:rPr>
                <w:rFonts w:ascii="SimSun" w:eastAsia="SimSun" w:hAnsi="SimSun" w:cs="SimSun"/>
                <w:color w:val="000000"/>
                <w:spacing w:val="0"/>
                <w:w w:val="100"/>
                <w:position w:val="0"/>
                <w:sz w:val="17"/>
                <w:szCs w:val="17"/>
              </w:rPr>
              <w:t>号及大地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号单一资金信托之委托人和受益人。</w:t>
            </w:r>
          </w:p>
        </w:tc>
      </w:tr>
      <w:tr>
        <w:trPr>
          <w:trHeight w:val="19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信托管理权限（包括公司 股份表决权的行使等）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信托管理人华宝信托享有标的股票包括投票权在内的股东权利，中驰惠程、中源信与华宝信托、 田勇先生于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日签署了《一致行动人协议》。根据《一致行动人协议》约定，在行 使股东权利时，一致行动人需先内部达成一致意见，有不同意见时以持股最多的股东意见为准， 中驰惠程为持股最多的股东，因此中驰惠程的意见即代表了大地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号信托计划和大地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号信托计 划的意见。因此，大地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号信托计划和大地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号信托计划可以单独行使出席深圳惠程股东大会、 提案、表决权利，但表决意见须与中驰惠程一致。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涉及的股份数量及占公 司已发行股份的比例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期末大地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号和大地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号信托计划持有公司股份合计</w:t>
            </w:r>
            <w:r>
              <w:rPr>
                <w:color w:val="000000"/>
                <w:spacing w:val="0"/>
                <w:w w:val="100"/>
                <w:position w:val="0"/>
                <w:sz w:val="18"/>
                <w:szCs w:val="18"/>
              </w:rPr>
              <w:t>25,886,647</w:t>
            </w:r>
            <w:r>
              <w:rPr>
                <w:rFonts w:ascii="SimSun" w:eastAsia="SimSun" w:hAnsi="SimSun" w:cs="SimSun"/>
                <w:color w:val="000000"/>
                <w:spacing w:val="0"/>
                <w:w w:val="100"/>
                <w:position w:val="0"/>
                <w:sz w:val="17"/>
                <w:szCs w:val="17"/>
              </w:rPr>
              <w:t>股，约占公司期末已发行股份的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3.13%</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信托资产处理安排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大地</w:t>
            </w:r>
            <w:r>
              <w:rPr>
                <w:color w:val="000000"/>
                <w:spacing w:val="0"/>
                <w:w w:val="100"/>
                <w:position w:val="0"/>
                <w:sz w:val="18"/>
                <w:szCs w:val="18"/>
              </w:rPr>
              <w:t>6</w:t>
            </w:r>
            <w:r>
              <w:rPr>
                <w:rFonts w:ascii="SimSun" w:eastAsia="SimSun" w:hAnsi="SimSun" w:cs="SimSun"/>
                <w:color w:val="000000"/>
                <w:spacing w:val="0"/>
                <w:w w:val="100"/>
                <w:position w:val="0"/>
                <w:sz w:val="17"/>
                <w:szCs w:val="17"/>
              </w:rPr>
              <w:t>号信托计划和大地</w:t>
            </w:r>
            <w:r>
              <w:rPr>
                <w:color w:val="000000"/>
                <w:spacing w:val="0"/>
                <w:w w:val="100"/>
                <w:position w:val="0"/>
                <w:sz w:val="18"/>
                <w:szCs w:val="18"/>
              </w:rPr>
              <w:t>9</w:t>
            </w:r>
            <w:r>
              <w:rPr>
                <w:rFonts w:ascii="SimSun" w:eastAsia="SimSun" w:hAnsi="SimSun" w:cs="SimSun"/>
                <w:color w:val="000000"/>
                <w:spacing w:val="0"/>
                <w:w w:val="100"/>
                <w:position w:val="0"/>
                <w:sz w:val="17"/>
                <w:szCs w:val="17"/>
              </w:rPr>
              <w:t>号信托计划的特定资产单位准净值初始为</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个月需支付一次</w:t>
            </w:r>
            <w:r>
              <w:rPr>
                <w:color w:val="000000"/>
                <w:spacing w:val="0"/>
                <w:w w:val="100"/>
                <w:position w:val="0"/>
                <w:sz w:val="18"/>
                <w:szCs w:val="18"/>
              </w:rPr>
              <w:t>A</w:t>
            </w:r>
            <w:r>
              <w:rPr>
                <w:rFonts w:ascii="SimSun" w:eastAsia="SimSun" w:hAnsi="SimSun" w:cs="SimSun"/>
                <w:color w:val="000000"/>
                <w:spacing w:val="0"/>
                <w:w w:val="100"/>
                <w:position w:val="0"/>
                <w:sz w:val="17"/>
                <w:szCs w:val="17"/>
              </w:rPr>
              <w:t>类权 益的收益，以此计算触及预警线的单位准净值为</w:t>
            </w:r>
            <w:r>
              <w:rPr>
                <w:color w:val="000000"/>
                <w:spacing w:val="0"/>
                <w:w w:val="100"/>
                <w:position w:val="0"/>
                <w:sz w:val="18"/>
                <w:szCs w:val="18"/>
              </w:rPr>
              <w:t>0.6789</w:t>
            </w:r>
            <w:r>
              <w:rPr>
                <w:rFonts w:ascii="SimSun" w:eastAsia="SimSun" w:hAnsi="SimSun" w:cs="SimSun"/>
                <w:color w:val="000000"/>
                <w:spacing w:val="0"/>
                <w:w w:val="100"/>
                <w:position w:val="0"/>
                <w:sz w:val="17"/>
                <w:szCs w:val="17"/>
              </w:rPr>
              <w:t xml:space="preserve">，第一处置线的特定资产单位准净值为 </w:t>
            </w:r>
            <w:r>
              <w:rPr>
                <w:color w:val="000000"/>
                <w:spacing w:val="0"/>
                <w:w w:val="100"/>
                <w:position w:val="0"/>
                <w:sz w:val="18"/>
                <w:szCs w:val="18"/>
              </w:rPr>
              <w:t>0.6466</w:t>
            </w:r>
            <w:r>
              <w:rPr>
                <w:rFonts w:ascii="SimSun" w:eastAsia="SimSun" w:hAnsi="SimSun" w:cs="SimSun"/>
                <w:color w:val="000000"/>
                <w:spacing w:val="0"/>
                <w:w w:val="100"/>
                <w:position w:val="0"/>
                <w:sz w:val="17"/>
                <w:szCs w:val="17"/>
              </w:rPr>
              <w:t>，若低于该数值，</w:t>
            </w:r>
            <w:r>
              <w:rPr>
                <w:color w:val="000000"/>
                <w:spacing w:val="0"/>
                <w:w w:val="100"/>
                <w:position w:val="0"/>
                <w:sz w:val="18"/>
                <w:szCs w:val="18"/>
              </w:rPr>
              <w:t>B</w:t>
            </w:r>
            <w:r>
              <w:rPr>
                <w:rFonts w:ascii="SimSun" w:eastAsia="SimSun" w:hAnsi="SimSun" w:cs="SimSun"/>
                <w:color w:val="000000"/>
                <w:spacing w:val="0"/>
                <w:w w:val="100"/>
                <w:position w:val="0"/>
                <w:sz w:val="17"/>
                <w:szCs w:val="17"/>
              </w:rPr>
              <w:t xml:space="preserve">类权益人即中驰惠程、田勇先生需增加保证金使单位净值达到预警线 </w:t>
            </w:r>
            <w:r>
              <w:rPr>
                <w:color w:val="000000"/>
                <w:spacing w:val="0"/>
                <w:w w:val="100"/>
                <w:position w:val="0"/>
                <w:sz w:val="18"/>
                <w:szCs w:val="18"/>
              </w:rPr>
              <w:t>0.6789</w:t>
            </w:r>
            <w:r>
              <w:rPr>
                <w:rFonts w:ascii="SimSun" w:eastAsia="SimSun" w:hAnsi="SimSun" w:cs="SimSun"/>
                <w:color w:val="000000"/>
                <w:spacing w:val="0"/>
                <w:w w:val="100"/>
                <w:position w:val="0"/>
                <w:sz w:val="17"/>
                <w:szCs w:val="17"/>
              </w:rPr>
              <w:t>以上，若未及时追加将启动平仓。假设信托计划满仓持有深圳惠程股票，意味着信托计划 持股市值下跌</w:t>
            </w:r>
            <w:r>
              <w:rPr>
                <w:color w:val="000000"/>
                <w:spacing w:val="0"/>
                <w:w w:val="100"/>
                <w:position w:val="0"/>
                <w:sz w:val="18"/>
                <w:szCs w:val="18"/>
              </w:rPr>
              <w:t>35.34%</w:t>
            </w:r>
            <w:r>
              <w:rPr>
                <w:rFonts w:ascii="SimSun" w:eastAsia="SimSun" w:hAnsi="SimSun" w:cs="SimSun"/>
                <w:color w:val="000000"/>
                <w:spacing w:val="0"/>
                <w:w w:val="100"/>
                <w:position w:val="0"/>
                <w:sz w:val="17"/>
                <w:szCs w:val="17"/>
              </w:rPr>
              <w:t>时，</w:t>
            </w:r>
            <w:r>
              <w:rPr>
                <w:color w:val="000000"/>
                <w:spacing w:val="0"/>
                <w:w w:val="100"/>
                <w:position w:val="0"/>
                <w:sz w:val="18"/>
                <w:szCs w:val="18"/>
              </w:rPr>
              <w:t>B</w:t>
            </w:r>
            <w:r>
              <w:rPr>
                <w:rFonts w:ascii="SimSun" w:eastAsia="SimSun" w:hAnsi="SimSun" w:cs="SimSun"/>
                <w:color w:val="000000"/>
                <w:spacing w:val="0"/>
                <w:w w:val="100"/>
                <w:position w:val="0"/>
                <w:sz w:val="17"/>
                <w:szCs w:val="17"/>
              </w:rPr>
              <w:t>类权益人需追加保证金，否则将启动平仓。</w:t>
            </w:r>
          </w:p>
        </w:tc>
      </w:tr>
    </w:tbl>
    <w:p>
      <w:pPr>
        <w:spacing w:lineRule="exact" w:line="1"/>
        <w:rPr>
          <w:sz w:val="2"/>
          <w:szCs w:val="2"/>
        </w:rPr>
      </w:pPr>
      <w:r>
        <w:br w:type="page"/>
      </w:r>
    </w:p>
    <w:tbl>
      <w:tblPr>
        <w:tblOverlap w:val="never"/>
        <w:jc w:val="center"/>
        <w:tblLayout w:type="fixed"/>
      </w:tblPr>
      <w:tblGrid>
        <w:gridCol w:w="2021"/>
        <w:gridCol w:w="76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合同签订的时间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合同的期限及变更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个月，但合同约定了包括双方同意之延期和或因特定资产变现或标的股票停牌等原因引起的非 双方同意情形之延期，双方同意延期的，可以多次延期，每次延期期限的最小单位为</w:t>
            </w:r>
            <w:r>
              <w:rPr>
                <w:color w:val="000000"/>
                <w:spacing w:val="0"/>
                <w:w w:val="100"/>
                <w:position w:val="0"/>
                <w:sz w:val="18"/>
                <w:szCs w:val="18"/>
              </w:rPr>
              <w:t>3</w:t>
            </w:r>
            <w:r>
              <w:rPr>
                <w:rFonts w:ascii="SimSun" w:eastAsia="SimSun" w:hAnsi="SimSun" w:cs="SimSun"/>
                <w:color w:val="000000"/>
                <w:spacing w:val="0"/>
                <w:w w:val="100"/>
                <w:position w:val="0"/>
                <w:sz w:val="17"/>
                <w:szCs w:val="17"/>
              </w:rPr>
              <w:t>个月。</w:t>
            </w:r>
          </w:p>
        </w:tc>
      </w:tr>
      <w:tr>
        <w:trPr>
          <w:trHeight w:val="270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终止的条件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69"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因不可抗力造成合同不能履行的，双方可以提前终止或解除合同，由此所造成的损失，由双方 本着公平原则协商分担。</w:t>
            </w:r>
          </w:p>
          <w:p>
            <w:pPr>
              <w:pStyle w:val="Style22"/>
              <w:keepNext w:val="0"/>
              <w:keepLines w:val="0"/>
              <w:widowControl w:val="0"/>
              <w:shd w:val="clear" w:color="auto" w:fill="auto"/>
              <w:tabs>
                <w:tab w:pos="274" w:val="left"/>
              </w:tabs>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因法规政策变化、监管要求、信托合同提前终止等原因而造成合同不能履行的，该合同自动提 前终止或者解除，具体终止日期以华宝信托书面通知为准。</w:t>
            </w:r>
          </w:p>
          <w:p>
            <w:pPr>
              <w:pStyle w:val="Style22"/>
              <w:keepNext w:val="0"/>
              <w:keepLines w:val="0"/>
              <w:widowControl w:val="0"/>
              <w:shd w:val="clear" w:color="auto" w:fill="auto"/>
              <w:tabs>
                <w:tab w:pos="264" w:val="left"/>
              </w:tabs>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该合同签署后，因信托的委托人未及时足额向信托财产专户交付信托资金的，经甲方单方面通 知，该合同解除，各方互不承担违约责任。</w:t>
            </w:r>
          </w:p>
          <w:p>
            <w:pPr>
              <w:pStyle w:val="Style22"/>
              <w:keepNext w:val="0"/>
              <w:keepLines w:val="0"/>
              <w:widowControl w:val="0"/>
              <w:shd w:val="clear" w:color="auto" w:fill="auto"/>
              <w:tabs>
                <w:tab w:pos="269" w:val="left"/>
              </w:tabs>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B</w:t>
            </w:r>
            <w:r>
              <w:rPr>
                <w:rFonts w:ascii="SimSun" w:eastAsia="SimSun" w:hAnsi="SimSun" w:cs="SimSun"/>
                <w:color w:val="000000"/>
                <w:spacing w:val="0"/>
                <w:w w:val="100"/>
                <w:position w:val="0"/>
                <w:sz w:val="17"/>
                <w:szCs w:val="17"/>
              </w:rPr>
              <w:t>类权益人要求提前终止该合同的，需提前一个月将书面申请送达华宝信托，经华宝信托同意 后双方可提前终止该合同。</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其他特别条款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9"/>
      <w:bookmarkEnd w:id="480"/>
      <w:bookmarkEnd w:id="48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w:t>
        <w:tab/>
        <w:t>控股股东、实际控制人、重组方及其他承诺主体股份限制减持情况</w:t>
      </w:r>
      <w:bookmarkEnd w:id="483"/>
      <w:bookmarkEnd w:id="484"/>
      <w:bookmarkEnd w:id="486"/>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51" w:bottom="1470"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pgSz w:w="11900" w:h="16840"/>
          <w:pgMar w:top="1387" w:right="1008" w:bottom="1465" w:left="1024"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2698115</wp:posOffset>
                </wp:positionH>
                <wp:positionV relativeFrom="paragraph">
                  <wp:posOffset>0</wp:posOffset>
                </wp:positionV>
                <wp:extent cx="2170430" cy="243840"/>
                <wp:wrapTopAndBottom/>
                <wp:docPr id="52" name="Shape 5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wps:txbx>
                      <wps:bodyPr wrap="none" lIns="0" tIns="0" rIns="0" bIns="0">
                        <a:noAutoFit/>
                      </wps:bodyPr>
                    </wps:wsp>
                  </a:graphicData>
                </a:graphic>
              </wp:anchor>
            </w:drawing>
          </mc:Choice>
          <mc:Fallback>
            <w:pict>
              <v:shape id="_x0000_s1078" type="#_x0000_t202" style="position:absolute;margin-left:212.4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490" w:name="bookmark49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after="540" w:line="240" w:lineRule="auto"/>
        <w:ind w:left="0" w:right="0" w:firstLine="0"/>
        <w:jc w:val="center"/>
      </w:pPr>
      <w:bookmarkStart w:id="491" w:name="bookmark491"/>
      <w:bookmarkStart w:id="492" w:name="bookmark492"/>
      <w:bookmarkStart w:id="493" w:name="bookmark493"/>
      <w:r>
        <w:rPr>
          <w:color w:val="000000"/>
          <w:spacing w:val="0"/>
          <w:w w:val="100"/>
          <w:position w:val="0"/>
        </w:rPr>
        <w:t>第八节董事、监事、高级管理人员和员工情况</w:t>
      </w:r>
      <w:bookmarkEnd w:id="491"/>
      <w:bookmarkEnd w:id="492"/>
      <w:bookmarkEnd w:id="493"/>
    </w:p>
    <w:p>
      <w:pPr>
        <w:pStyle w:val="Style25"/>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bookmarkStart w:id="498" w:name="bookmark498"/>
      <w:r>
        <w:rPr>
          <w:color w:val="000000"/>
          <w:spacing w:val="0"/>
          <w:w w:val="100"/>
          <w:position w:val="0"/>
        </w:rPr>
        <w:t>一</w:t>
      </w:r>
      <w:bookmarkEnd w:id="497"/>
      <w:r>
        <w:rPr>
          <w:color w:val="000000"/>
          <w:spacing w:val="0"/>
          <w:w w:val="100"/>
          <w:position w:val="0"/>
        </w:rPr>
        <w:t>、董事、监事和高级管理人员持股变动</w:t>
      </w:r>
      <w:bookmarkEnd w:id="495"/>
      <w:bookmarkEnd w:id="496"/>
      <w:bookmarkEnd w:id="498"/>
      <w:bookmarkEnd w:id="494"/>
    </w:p>
    <w:tbl>
      <w:tblPr>
        <w:tblOverlap w:val="never"/>
        <w:jc w:val="center"/>
        <w:tblLayout w:type="fixed"/>
      </w:tblPr>
      <w:tblGrid>
        <w:gridCol w:w="1598"/>
        <w:gridCol w:w="994"/>
        <w:gridCol w:w="566"/>
        <w:gridCol w:w="422"/>
        <w:gridCol w:w="283"/>
        <w:gridCol w:w="850"/>
        <w:gridCol w:w="854"/>
        <w:gridCol w:w="989"/>
        <w:gridCol w:w="994"/>
        <w:gridCol w:w="706"/>
        <w:gridCol w:w="581"/>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年 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期初持股数</w:t>
            </w:r>
          </w:p>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增减 变动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董事长、总 裁、代理财</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WAN XIAO YANG</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（中文名：万晓阳）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叶陈刚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钟晓林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Key Ke Liu </w:t>
            </w:r>
            <w:r>
              <w:rPr>
                <w:rFonts w:ascii="SimSun" w:eastAsia="SimSun" w:hAnsi="SimSun" w:cs="SimSun"/>
                <w:color w:val="000000"/>
                <w:spacing w:val="0"/>
                <w:w w:val="100"/>
                <w:position w:val="0"/>
                <w:sz w:val="17"/>
                <w:szCs w:val="17"/>
              </w:rPr>
              <w:t>（中文 名：刘科）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梅绍华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温秋萍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监事、证券 事务代表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董事会秘 书、副总裁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董事长、董</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8,950,000</w:t>
            </w:r>
          </w:p>
        </w:tc>
      </w:tr>
    </w:tbl>
    <w:p>
      <w:pPr>
        <w:widowControl w:val="0"/>
        <w:spacing w:line="1" w:lineRule="exact"/>
      </w:pPr>
      <w:r>
        <w:br w:type="page"/>
      </w:r>
    </w:p>
    <w:tbl>
      <w:tblPr>
        <w:tblOverlap w:val="never"/>
        <w:jc w:val="center"/>
        <w:tblLayout w:type="fixed"/>
      </w:tblPr>
      <w:tblGrid>
        <w:gridCol w:w="1598"/>
        <w:gridCol w:w="994"/>
        <w:gridCol w:w="566"/>
        <w:gridCol w:w="422"/>
        <w:gridCol w:w="283"/>
        <w:gridCol w:w="850"/>
        <w:gridCol w:w="854"/>
        <w:gridCol w:w="989"/>
        <w:gridCol w:w="994"/>
        <w:gridCol w:w="706"/>
        <w:gridCol w:w="581"/>
        <w:gridCol w:w="8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董事、财务 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马静玉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邢伟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郑武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许为宁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朱丽梅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谢战军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安鹏啸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48,100,000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二</w:t>
      </w:r>
      <w:bookmarkEnd w:id="501"/>
      <w:r>
        <w:rPr>
          <w:color w:val="000000"/>
          <w:spacing w:val="0"/>
          <w:w w:val="100"/>
          <w:position w:val="0"/>
        </w:rPr>
        <w:t>、公司董事、监事、高级管理人员变动情况</w:t>
      </w:r>
      <w:bookmarkEnd w:id="499"/>
      <w:bookmarkEnd w:id="500"/>
      <w:bookmarkEnd w:id="502"/>
    </w:p>
    <w:tbl>
      <w:tblPr>
        <w:tblOverlap w:val="never"/>
        <w:jc w:val="center"/>
        <w:tblLayout w:type="fixed"/>
      </w:tblPr>
      <w:tblGrid>
        <w:gridCol w:w="1358"/>
        <w:gridCol w:w="1939"/>
        <w:gridCol w:w="1133"/>
        <w:gridCol w:w="2837"/>
        <w:gridCol w:w="244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马静玉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邢伟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许为宁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朱丽梅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谢战军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安鹏啸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个人原因</w:t>
            </w:r>
          </w:p>
        </w:tc>
      </w:tr>
    </w:tbl>
    <w:p>
      <w:pPr>
        <w:pStyle w:val="Style25"/>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三</w:t>
      </w:r>
      <w:bookmarkEnd w:id="505"/>
      <w:r>
        <w:rPr>
          <w:color w:val="000000"/>
          <w:spacing w:val="0"/>
          <w:w w:val="100"/>
          <w:position w:val="0"/>
        </w:rPr>
        <w:t>、任职情况</w:t>
      </w:r>
      <w:bookmarkEnd w:id="503"/>
      <w:bookmarkEnd w:id="504"/>
      <w:bookmarkEnd w:id="506"/>
    </w:p>
    <w:p>
      <w:pPr>
        <w:pStyle w:val="Style29"/>
        <w:keepNext w:val="0"/>
        <w:keepLines w:val="0"/>
        <w:widowControl w:val="0"/>
        <w:shd w:val="clear" w:color="auto" w:fill="auto"/>
        <w:bidi w:val="0"/>
        <w:spacing w:before="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658" w:val="left"/>
        </w:tabs>
        <w:bidi w:val="0"/>
        <w:spacing w:before="0" w:line="317" w:lineRule="exact"/>
        <w:ind w:left="0" w:right="0"/>
        <w:jc w:val="both"/>
      </w:pPr>
      <w:bookmarkStart w:id="507" w:name="bookmark507"/>
      <w:r>
        <w:rPr>
          <w:rFonts w:ascii="Times New Roman" w:eastAsia="Times New Roman" w:hAnsi="Times New Roman" w:cs="Times New Roman"/>
          <w:b/>
          <w:bCs/>
          <w:color w:val="000000"/>
          <w:spacing w:val="0"/>
          <w:w w:val="100"/>
          <w:position w:val="0"/>
          <w:sz w:val="18"/>
          <w:szCs w:val="18"/>
        </w:rPr>
        <w:t>1</w:t>
      </w:r>
      <w:bookmarkEnd w:id="507"/>
      <w:r>
        <w:rPr>
          <w:b/>
          <w:bCs/>
          <w:color w:val="000000"/>
          <w:spacing w:val="0"/>
          <w:w w:val="100"/>
          <w:position w:val="0"/>
        </w:rPr>
        <w:t>、</w:t>
        <w:tab/>
        <w:t>汪超涌先生：</w:t>
      </w:r>
      <w:r>
        <w:rPr>
          <w:color w:val="000000"/>
          <w:spacing w:val="0"/>
          <w:w w:val="100"/>
          <w:position w:val="0"/>
        </w:rPr>
        <w:t>中国籍，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年出生，有境外居留权，清华大学经管学院、美国罗格斯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Rutgers</w:t>
      </w:r>
      <w:r>
        <w:rPr>
          <w:color w:val="000000"/>
          <w:spacing w:val="0"/>
          <w:w w:val="100"/>
          <w:position w:val="0"/>
        </w:rPr>
        <w:t>）</w:t>
      </w:r>
      <w:r>
        <w:rPr>
          <w:color w:val="000000"/>
          <w:spacing w:val="0"/>
          <w:w w:val="100"/>
          <w:position w:val="0"/>
        </w:rPr>
        <w:t>大学金融专业毕业, 研究生学历。曾任美国纽约摩根大通银行高级经理、美国纽约标准普尔证券评级公司资产证券化部副主任、摩根斯坦利亚洲 有限公司副总裁和北京代表处首席代表、国家开发银行投资银行业务顾问，现任北京信中利投资股份有限公司董事长，本公 司董事、董事会薪酬与考核委员会委员、董事会战略委员会委员。</w:t>
      </w:r>
    </w:p>
    <w:p>
      <w:pPr>
        <w:pStyle w:val="Style29"/>
        <w:keepNext w:val="0"/>
        <w:keepLines w:val="0"/>
        <w:widowControl w:val="0"/>
        <w:shd w:val="clear" w:color="auto" w:fill="auto"/>
        <w:bidi w:val="0"/>
        <w:spacing w:before="0" w:line="326" w:lineRule="exact"/>
        <w:ind w:left="0" w:right="0"/>
        <w:jc w:val="both"/>
      </w:pPr>
      <w:bookmarkStart w:id="508" w:name="bookmark508"/>
      <w:r>
        <w:rPr>
          <w:rFonts w:ascii="Times New Roman" w:eastAsia="Times New Roman" w:hAnsi="Times New Roman" w:cs="Times New Roman"/>
          <w:b/>
          <w:bCs/>
          <w:color w:val="000000"/>
          <w:spacing w:val="0"/>
          <w:w w:val="100"/>
          <w:position w:val="0"/>
          <w:sz w:val="18"/>
          <w:szCs w:val="18"/>
        </w:rPr>
        <w:t>2</w:t>
      </w:r>
      <w:bookmarkEnd w:id="508"/>
      <w:r>
        <w:rPr>
          <w:b/>
          <w:bCs/>
          <w:color w:val="000000"/>
          <w:spacing w:val="0"/>
          <w:w w:val="100"/>
          <w:position w:val="0"/>
        </w:rPr>
        <w:t>、 张晶女士：</w:t>
      </w:r>
      <w:r>
        <w:rPr>
          <w:color w:val="000000"/>
          <w:spacing w:val="0"/>
          <w:w w:val="100"/>
          <w:position w:val="0"/>
        </w:rPr>
        <w:t>中国籍，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年出生，无境外居留权，东北林业大学毕业，长江商学院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注册会计师，注册评估 师。曾任大鹏证券投资银行部高管，现任北京信中利投资股份有限公司董事，本公司董事、副总裁。</w:t>
      </w:r>
    </w:p>
    <w:p>
      <w:pPr>
        <w:pStyle w:val="Style29"/>
        <w:keepNext w:val="0"/>
        <w:keepLines w:val="0"/>
        <w:widowControl w:val="0"/>
        <w:shd w:val="clear" w:color="auto" w:fill="auto"/>
        <w:bidi w:val="0"/>
        <w:spacing w:before="0" w:line="302" w:lineRule="exact"/>
        <w:ind w:left="0" w:right="0"/>
        <w:jc w:val="both"/>
      </w:pPr>
      <w:bookmarkStart w:id="509" w:name="bookmark509"/>
      <w:r>
        <w:rPr>
          <w:rFonts w:ascii="Times New Roman" w:eastAsia="Times New Roman" w:hAnsi="Times New Roman" w:cs="Times New Roman"/>
          <w:b/>
          <w:bCs/>
          <w:color w:val="000000"/>
          <w:spacing w:val="0"/>
          <w:w w:val="100"/>
          <w:position w:val="0"/>
          <w:sz w:val="18"/>
          <w:szCs w:val="18"/>
        </w:rPr>
        <w:t>3</w:t>
      </w:r>
      <w:bookmarkEnd w:id="509"/>
      <w:r>
        <w:rPr>
          <w:b/>
          <w:bCs/>
          <w:color w:val="000000"/>
          <w:spacing w:val="0"/>
          <w:w w:val="100"/>
          <w:position w:val="0"/>
        </w:rPr>
        <w:t>、 徐海啸先生：</w:t>
      </w:r>
      <w:r>
        <w:rPr>
          <w:color w:val="000000"/>
          <w:spacing w:val="0"/>
          <w:w w:val="100"/>
          <w:position w:val="0"/>
        </w:rPr>
        <w:t>中国籍，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年出生，无境外居留权，中南财经政法大学会计学硕士。曾任大鹏证券投行总部总经理 助理、信达证券投资银行总部董事总经理、日信证券助理总裁兼投资银行事业部总经理。现任北京信中利投资股份有限公司 董事，本公司董事长、董事会战略委员会委员（召集人）、总裁、代理财务总监。</w:t>
      </w:r>
    </w:p>
    <w:p>
      <w:pPr>
        <w:pStyle w:val="Style29"/>
        <w:keepNext w:val="0"/>
        <w:keepLines w:val="0"/>
        <w:widowControl w:val="0"/>
        <w:shd w:val="clear" w:color="auto" w:fill="auto"/>
        <w:bidi w:val="0"/>
        <w:spacing w:before="0" w:line="319" w:lineRule="exact"/>
        <w:ind w:left="0" w:right="0"/>
        <w:jc w:val="both"/>
      </w:pPr>
      <w:bookmarkStart w:id="510" w:name="bookmark510"/>
      <w:r>
        <w:rPr>
          <w:rFonts w:ascii="Times New Roman" w:eastAsia="Times New Roman" w:hAnsi="Times New Roman" w:cs="Times New Roman"/>
          <w:b/>
          <w:bCs/>
          <w:color w:val="000000"/>
          <w:spacing w:val="0"/>
          <w:w w:val="100"/>
          <w:position w:val="0"/>
          <w:sz w:val="18"/>
          <w:szCs w:val="18"/>
        </w:rPr>
        <w:t>4</w:t>
      </w:r>
      <w:bookmarkEnd w:id="510"/>
      <w:r>
        <w:rPr>
          <w:b/>
          <w:bCs/>
          <w:color w:val="000000"/>
          <w:spacing w:val="0"/>
          <w:w w:val="100"/>
          <w:position w:val="0"/>
        </w:rPr>
        <w:t>、 沈晓超女士：</w:t>
      </w:r>
      <w:r>
        <w:rPr>
          <w:color w:val="000000"/>
          <w:spacing w:val="0"/>
          <w:w w:val="100"/>
          <w:position w:val="0"/>
        </w:rPr>
        <w:t>中国籍，</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年出生，无境外居留权，中国人民大学管理学硕士，会计师。曾任保定市华美园林花木 有限公司总经理、北京吉农科技有限公司财务总监，现任北京信中利投资股份有限公司董事、副总经理、财务总监，本公司 董事、董事会审计委员会委员。</w:t>
      </w:r>
    </w:p>
    <w:p>
      <w:pPr>
        <w:pStyle w:val="Style29"/>
        <w:keepNext w:val="0"/>
        <w:keepLines w:val="0"/>
        <w:widowControl w:val="0"/>
        <w:shd w:val="clear" w:color="auto" w:fill="auto"/>
        <w:bidi w:val="0"/>
        <w:spacing w:before="0" w:line="314" w:lineRule="exact"/>
        <w:ind w:left="0" w:right="0"/>
        <w:jc w:val="both"/>
      </w:pPr>
      <w:bookmarkStart w:id="511" w:name="bookmark511"/>
      <w:r>
        <w:rPr>
          <w:rFonts w:ascii="Times New Roman" w:eastAsia="Times New Roman" w:hAnsi="Times New Roman" w:cs="Times New Roman"/>
          <w:b/>
          <w:bCs/>
          <w:color w:val="000000"/>
          <w:spacing w:val="0"/>
          <w:w w:val="100"/>
          <w:position w:val="0"/>
          <w:sz w:val="18"/>
          <w:szCs w:val="18"/>
        </w:rPr>
        <w:t>5</w:t>
      </w:r>
      <w:bookmarkEnd w:id="511"/>
      <w:r>
        <w:rPr>
          <w:b/>
          <w:bCs/>
          <w:color w:val="000000"/>
          <w:spacing w:val="0"/>
          <w:w w:val="100"/>
          <w:position w:val="0"/>
        </w:rPr>
        <w:t>、 陈丹女士：</w:t>
      </w:r>
      <w:r>
        <w:rPr>
          <w:color w:val="000000"/>
          <w:spacing w:val="0"/>
          <w:w w:val="100"/>
          <w:position w:val="0"/>
        </w:rPr>
        <w:t>中国籍，有境外居留权，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年出生，武汉大学金融保险专业学士、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经济师。曾任</w:t>
      </w:r>
      <w:r>
        <w:rPr>
          <w:rFonts w:ascii="Times New Roman" w:eastAsia="Times New Roman" w:hAnsi="Times New Roman" w:cs="Times New Roman"/>
          <w:color w:val="000000"/>
          <w:spacing w:val="0"/>
          <w:w w:val="100"/>
          <w:position w:val="0"/>
          <w:sz w:val="18"/>
          <w:szCs w:val="18"/>
        </w:rPr>
        <w:t xml:space="preserve">Transfield Services </w:t>
      </w:r>
      <w:r>
        <w:rPr>
          <w:color w:val="000000"/>
          <w:spacing w:val="0"/>
          <w:w w:val="100"/>
          <w:position w:val="0"/>
        </w:rPr>
        <w:t>高级投资经理、澳大利亚澳保集团（</w:t>
      </w:r>
      <w:r>
        <w:rPr>
          <w:rFonts w:ascii="Times New Roman" w:eastAsia="Times New Roman" w:hAnsi="Times New Roman" w:cs="Times New Roman"/>
          <w:color w:val="000000"/>
          <w:spacing w:val="0"/>
          <w:w w:val="100"/>
          <w:position w:val="0"/>
          <w:sz w:val="18"/>
          <w:szCs w:val="18"/>
        </w:rPr>
        <w:t>Insurance Australia Group</w:t>
      </w:r>
      <w:r>
        <w:rPr>
          <w:color w:val="000000"/>
          <w:spacing w:val="0"/>
          <w:w w:val="100"/>
          <w:position w:val="0"/>
        </w:rPr>
        <w:t>）高级战略顾问，现任北京信中利投资股份有限公司董事、副 总经理，本公司董事。</w:t>
      </w:r>
    </w:p>
    <w:p>
      <w:pPr>
        <w:pStyle w:val="Style29"/>
        <w:keepNext w:val="0"/>
        <w:keepLines w:val="0"/>
        <w:widowControl w:val="0"/>
        <w:shd w:val="clear" w:color="auto" w:fill="auto"/>
        <w:tabs>
          <w:tab w:pos="658" w:val="left"/>
        </w:tabs>
        <w:bidi w:val="0"/>
        <w:spacing w:before="0" w:line="317" w:lineRule="exact"/>
        <w:ind w:left="0" w:right="0"/>
        <w:jc w:val="both"/>
      </w:pPr>
      <w:bookmarkStart w:id="512" w:name="bookmark512"/>
      <w:r>
        <w:rPr>
          <w:rFonts w:ascii="Times New Roman" w:eastAsia="Times New Roman" w:hAnsi="Times New Roman" w:cs="Times New Roman"/>
          <w:b/>
          <w:bCs/>
          <w:color w:val="000000"/>
          <w:spacing w:val="0"/>
          <w:w w:val="100"/>
          <w:position w:val="0"/>
          <w:sz w:val="18"/>
          <w:szCs w:val="18"/>
        </w:rPr>
        <w:t>6</w:t>
      </w:r>
      <w:bookmarkEnd w:id="512"/>
      <w:r>
        <w:rPr>
          <w:b/>
          <w:bCs/>
          <w:color w:val="000000"/>
          <w:spacing w:val="0"/>
          <w:w w:val="100"/>
          <w:position w:val="0"/>
        </w:rPr>
        <w:t>、</w:t>
        <w:tab/>
        <w:t>万晓阳先生：</w:t>
      </w:r>
      <w:r>
        <w:rPr>
          <w:color w:val="000000"/>
          <w:spacing w:val="0"/>
          <w:w w:val="100"/>
          <w:position w:val="0"/>
        </w:rPr>
        <w:t>澳大利亚籍，</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年出生，中国石油大学机械工程专业学士学位，澳大利亚皇家墨尔本大学工程科学 硕士博士学位。曾任</w:t>
      </w:r>
      <w:r>
        <w:rPr>
          <w:rFonts w:ascii="Times New Roman" w:eastAsia="Times New Roman" w:hAnsi="Times New Roman" w:cs="Times New Roman"/>
          <w:color w:val="000000"/>
          <w:spacing w:val="0"/>
          <w:w w:val="100"/>
          <w:position w:val="0"/>
          <w:sz w:val="18"/>
          <w:szCs w:val="18"/>
        </w:rPr>
        <w:t>Simplex</w:t>
      </w:r>
      <w:r>
        <w:rPr>
          <w:color w:val="000000"/>
          <w:spacing w:val="0"/>
          <w:w w:val="100"/>
          <w:position w:val="0"/>
        </w:rPr>
        <w:t>资本亚洲投资有限公司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香港董事总经理、德国昆格瓦格纳（</w:t>
      </w:r>
      <w:r>
        <w:rPr>
          <w:rFonts w:ascii="Times New Roman" w:eastAsia="Times New Roman" w:hAnsi="Times New Roman" w:cs="Times New Roman"/>
          <w:color w:val="000000"/>
          <w:spacing w:val="0"/>
          <w:w w:val="100"/>
          <w:position w:val="0"/>
          <w:sz w:val="18"/>
          <w:szCs w:val="18"/>
        </w:rPr>
        <w:t>Kuenkel-Wagner</w:t>
      </w:r>
      <w:r>
        <w:rPr>
          <w:color w:val="000000"/>
          <w:spacing w:val="0"/>
          <w:w w:val="100"/>
          <w:position w:val="0"/>
        </w:rPr>
        <w:t>）</w:t>
      </w:r>
      <w:r>
        <w:rPr>
          <w:color w:val="000000"/>
          <w:spacing w:val="0"/>
          <w:w w:val="100"/>
          <w:position w:val="0"/>
        </w:rPr>
        <w:t>技术公司首席 执行官，现任山东朗进科技股份有限公司董事总经理、本公司董事。</w:t>
      </w:r>
    </w:p>
    <w:p>
      <w:pPr>
        <w:pStyle w:val="Style29"/>
        <w:keepNext w:val="0"/>
        <w:keepLines w:val="0"/>
        <w:widowControl w:val="0"/>
        <w:shd w:val="clear" w:color="auto" w:fill="auto"/>
        <w:tabs>
          <w:tab w:pos="658" w:val="left"/>
        </w:tabs>
        <w:bidi w:val="0"/>
        <w:spacing w:before="0" w:line="312" w:lineRule="exact"/>
        <w:ind w:left="0" w:right="0"/>
        <w:jc w:val="both"/>
      </w:pPr>
      <w:bookmarkStart w:id="513" w:name="bookmark513"/>
      <w:r>
        <w:rPr>
          <w:rFonts w:ascii="Times New Roman" w:eastAsia="Times New Roman" w:hAnsi="Times New Roman" w:cs="Times New Roman"/>
          <w:b/>
          <w:bCs/>
          <w:color w:val="000000"/>
          <w:spacing w:val="0"/>
          <w:w w:val="100"/>
          <w:position w:val="0"/>
          <w:sz w:val="18"/>
          <w:szCs w:val="18"/>
        </w:rPr>
        <w:t>7</w:t>
      </w:r>
      <w:bookmarkEnd w:id="513"/>
      <w:r>
        <w:rPr>
          <w:b/>
          <w:bCs/>
          <w:color w:val="000000"/>
          <w:spacing w:val="0"/>
          <w:w w:val="100"/>
          <w:position w:val="0"/>
        </w:rPr>
        <w:t>、</w:t>
        <w:tab/>
        <w:t>叶陈刚先生：</w:t>
      </w:r>
      <w:r>
        <w:rPr>
          <w:color w:val="000000"/>
          <w:spacing w:val="0"/>
          <w:w w:val="100"/>
          <w:position w:val="0"/>
        </w:rPr>
        <w:t>中国籍，无境外居留权，中南财经政法大学会计学硕士，华中科技大学管理学博士，南开大学商学院 工商管理博士后。曾任中国地质大学（武汉）会计学与审计学教授、硕士生导师，现任对外经济贸易大学会计学与审计学教 授、博士生导师，本公司独立董事、董事会审计委员会主任委员（召集人）、董事会薪酬与考核委员会委员。</w:t>
      </w:r>
    </w:p>
    <w:p>
      <w:pPr>
        <w:pStyle w:val="Style29"/>
        <w:keepNext w:val="0"/>
        <w:keepLines w:val="0"/>
        <w:widowControl w:val="0"/>
        <w:shd w:val="clear" w:color="auto" w:fill="auto"/>
        <w:bidi w:val="0"/>
        <w:spacing w:before="0" w:line="314" w:lineRule="exact"/>
        <w:ind w:left="0" w:right="0"/>
        <w:jc w:val="both"/>
      </w:pPr>
      <w:bookmarkStart w:id="514" w:name="bookmark514"/>
      <w:r>
        <w:rPr>
          <w:rFonts w:ascii="Times New Roman" w:eastAsia="Times New Roman" w:hAnsi="Times New Roman" w:cs="Times New Roman"/>
          <w:b/>
          <w:bCs/>
          <w:color w:val="000000"/>
          <w:spacing w:val="0"/>
          <w:w w:val="100"/>
          <w:position w:val="0"/>
          <w:sz w:val="18"/>
          <w:szCs w:val="18"/>
        </w:rPr>
        <w:t>8</w:t>
      </w:r>
      <w:bookmarkEnd w:id="514"/>
      <w:r>
        <w:rPr>
          <w:b/>
          <w:bCs/>
          <w:color w:val="000000"/>
          <w:spacing w:val="0"/>
          <w:w w:val="100"/>
          <w:position w:val="0"/>
        </w:rPr>
        <w:t>、 钟晓林先生：</w:t>
      </w:r>
      <w:r>
        <w:rPr>
          <w:color w:val="000000"/>
          <w:spacing w:val="0"/>
          <w:w w:val="100"/>
          <w:position w:val="0"/>
        </w:rPr>
        <w:t>中国香港籍，无境外居留权，华中科技大学机电学士和硕士学位，英国爱丁堡</w:t>
      </w:r>
      <w:r>
        <w:rPr>
          <w:rFonts w:ascii="Times New Roman" w:eastAsia="Times New Roman" w:hAnsi="Times New Roman" w:cs="Times New Roman"/>
          <w:color w:val="000000"/>
          <w:spacing w:val="0"/>
          <w:w w:val="100"/>
          <w:position w:val="0"/>
          <w:sz w:val="18"/>
          <w:szCs w:val="18"/>
        </w:rPr>
        <w:t>Napier</w:t>
      </w:r>
      <w:r>
        <w:rPr>
          <w:color w:val="000000"/>
          <w:spacing w:val="0"/>
          <w:w w:val="100"/>
          <w:position w:val="0"/>
        </w:rPr>
        <w:t>大学机器人与人 工智能博士学位，加拿大西安大略大学</w:t>
      </w:r>
      <w:r>
        <w:rPr>
          <w:rFonts w:ascii="Times New Roman" w:eastAsia="Times New Roman" w:hAnsi="Times New Roman" w:cs="Times New Roman"/>
          <w:color w:val="000000"/>
          <w:spacing w:val="0"/>
          <w:w w:val="100"/>
          <w:position w:val="0"/>
          <w:sz w:val="18"/>
          <w:szCs w:val="18"/>
        </w:rPr>
        <w:t>Ivey</w:t>
      </w:r>
      <w:r>
        <w:rPr>
          <w:color w:val="000000"/>
          <w:spacing w:val="0"/>
          <w:w w:val="100"/>
          <w:position w:val="0"/>
        </w:rPr>
        <w:t>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学位。曾任凯鹏华盈中国基金主管合伙人、无锡江南仁和新能源产 业投资基金（有限合伙）主管合伙人、兴铁富江投资管理有限公司总裁，现任上海华盈创投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TDF Capital</w:t>
      </w:r>
      <w:r>
        <w:rPr>
          <w:color w:val="000000"/>
          <w:spacing w:val="0"/>
          <w:w w:val="100"/>
          <w:position w:val="0"/>
        </w:rPr>
        <w:t>）</w:t>
      </w:r>
      <w:r>
        <w:rPr>
          <w:color w:val="000000"/>
          <w:spacing w:val="0"/>
          <w:w w:val="100"/>
          <w:position w:val="0"/>
        </w:rPr>
        <w:t>董事总经理和合 伙人、深圳图灵资产管理有限公司董事长，本公司独立董事、董事会提名委员会委员（召集人）、董事会薪酬与考核委员会 委员、董事会战略委员会委员、董事会审计委员会委员。</w:t>
      </w:r>
    </w:p>
    <w:p>
      <w:pPr>
        <w:pStyle w:val="Style29"/>
        <w:keepNext w:val="0"/>
        <w:keepLines w:val="0"/>
        <w:widowControl w:val="0"/>
        <w:shd w:val="clear" w:color="auto" w:fill="auto"/>
        <w:tabs>
          <w:tab w:pos="658" w:val="left"/>
        </w:tabs>
        <w:bidi w:val="0"/>
        <w:spacing w:before="0" w:line="314" w:lineRule="exact"/>
        <w:ind w:left="0" w:right="0"/>
        <w:jc w:val="both"/>
      </w:pPr>
      <w:bookmarkStart w:id="515" w:name="bookmark515"/>
      <w:r>
        <w:rPr>
          <w:rFonts w:ascii="Times New Roman" w:eastAsia="Times New Roman" w:hAnsi="Times New Roman" w:cs="Times New Roman"/>
          <w:b/>
          <w:bCs/>
          <w:color w:val="000000"/>
          <w:spacing w:val="0"/>
          <w:w w:val="100"/>
          <w:position w:val="0"/>
          <w:sz w:val="18"/>
          <w:szCs w:val="18"/>
        </w:rPr>
        <w:t>9</w:t>
      </w:r>
      <w:bookmarkEnd w:id="515"/>
      <w:r>
        <w:rPr>
          <w:b/>
          <w:bCs/>
          <w:color w:val="000000"/>
          <w:spacing w:val="0"/>
          <w:w w:val="100"/>
          <w:position w:val="0"/>
        </w:rPr>
        <w:t>、</w:t>
        <w:tab/>
        <w:t>刘科先生：</w:t>
      </w:r>
      <w:r>
        <w:rPr>
          <w:color w:val="000000"/>
          <w:spacing w:val="0"/>
          <w:w w:val="100"/>
          <w:position w:val="0"/>
        </w:rPr>
        <w:t>美国籍，西北大学有机化学学士学位和硕士学位，美国纽约市立大学博士学位，美国伦斯勒理工学院管 理学硕士。曾任北京低碳能源研究所副所长和</w:t>
      </w:r>
      <w:r>
        <w:rPr>
          <w:rFonts w:ascii="Times New Roman" w:eastAsia="Times New Roman" w:hAnsi="Times New Roman" w:cs="Times New Roman"/>
          <w:color w:val="000000"/>
          <w:spacing w:val="0"/>
          <w:w w:val="100"/>
          <w:position w:val="0"/>
          <w:sz w:val="18"/>
          <w:szCs w:val="18"/>
        </w:rPr>
        <w:t>CTO</w:t>
      </w:r>
      <w:r>
        <w:rPr>
          <w:color w:val="000000"/>
          <w:spacing w:val="0"/>
          <w:w w:val="100"/>
          <w:position w:val="0"/>
        </w:rPr>
        <w:t>,</w:t>
      </w:r>
      <w:r>
        <w:rPr>
          <w:color w:val="000000"/>
          <w:spacing w:val="0"/>
          <w:w w:val="100"/>
          <w:position w:val="0"/>
        </w:rPr>
        <w:t>现任环球资源公司合伙人、南方科技大学创新创业研究院院长和讲座 教授，本公司独立董事、董事会薪酬与考核委员会主任委员（召集人）。</w:t>
      </w:r>
    </w:p>
    <w:p>
      <w:pPr>
        <w:pStyle w:val="Style29"/>
        <w:keepNext w:val="0"/>
        <w:keepLines w:val="0"/>
        <w:widowControl w:val="0"/>
        <w:shd w:val="clear" w:color="auto" w:fill="auto"/>
        <w:tabs>
          <w:tab w:pos="716" w:val="left"/>
        </w:tabs>
        <w:bidi w:val="0"/>
        <w:spacing w:before="0" w:line="317" w:lineRule="exact"/>
        <w:ind w:left="0" w:right="0"/>
        <w:jc w:val="both"/>
      </w:pPr>
      <w:bookmarkStart w:id="516" w:name="bookmark516"/>
      <w:r>
        <w:rPr>
          <w:rFonts w:ascii="Times New Roman" w:eastAsia="Times New Roman" w:hAnsi="Times New Roman" w:cs="Times New Roman"/>
          <w:b/>
          <w:bCs/>
          <w:color w:val="000000"/>
          <w:spacing w:val="0"/>
          <w:w w:val="100"/>
          <w:position w:val="0"/>
          <w:sz w:val="18"/>
          <w:szCs w:val="18"/>
        </w:rPr>
        <w:t>1</w:t>
      </w:r>
      <w:bookmarkEnd w:id="516"/>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方莉女士：</w:t>
      </w:r>
      <w:r>
        <w:rPr>
          <w:color w:val="000000"/>
          <w:spacing w:val="0"/>
          <w:w w:val="100"/>
          <w:position w:val="0"/>
        </w:rPr>
        <w:t>中国籍，汉族，</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年出生，毕业于武汉大学法学专业，厦门大学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已取得董事会秘书资格证。 曾任上海证券报华中总部编辑，东方金钰股份有限公司证券事务代表、董事会秘书。现任本公司董事会秘书、副总裁。</w:t>
      </w:r>
    </w:p>
    <w:p>
      <w:pPr>
        <w:pStyle w:val="Style29"/>
        <w:keepNext w:val="0"/>
        <w:keepLines w:val="0"/>
        <w:widowControl w:val="0"/>
        <w:shd w:val="clear" w:color="auto" w:fill="auto"/>
        <w:bidi w:val="0"/>
        <w:spacing w:before="0" w:line="317" w:lineRule="exact"/>
        <w:ind w:left="0" w:right="0"/>
        <w:jc w:val="both"/>
      </w:pPr>
      <w:bookmarkStart w:id="517" w:name="bookmark517"/>
      <w:r>
        <w:rPr>
          <w:rFonts w:ascii="Times New Roman" w:eastAsia="Times New Roman" w:hAnsi="Times New Roman" w:cs="Times New Roman"/>
          <w:b/>
          <w:bCs/>
          <w:color w:val="000000"/>
          <w:spacing w:val="0"/>
          <w:w w:val="100"/>
          <w:position w:val="0"/>
          <w:sz w:val="18"/>
          <w:szCs w:val="18"/>
        </w:rPr>
        <w:t>1</w:t>
      </w:r>
      <w:bookmarkEnd w:id="5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梅绍华先生：</w:t>
      </w:r>
      <w:r>
        <w:rPr>
          <w:color w:val="000000"/>
          <w:spacing w:val="0"/>
          <w:w w:val="100"/>
          <w:position w:val="0"/>
        </w:rPr>
        <w:t>中国籍，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年出生，华中科技大学毕业，工学硕士，无境外居留权。曾任证券日报社副社长、《经 济》杂志总编辑、经济日报特刊部常务副主任和高级编辑，现任中智慧合投资（北京）股份有限公司董事长，本公司监事会 主席。</w:t>
      </w:r>
    </w:p>
    <w:p>
      <w:pPr>
        <w:pStyle w:val="Style29"/>
        <w:keepNext w:val="0"/>
        <w:keepLines w:val="0"/>
        <w:widowControl w:val="0"/>
        <w:shd w:val="clear" w:color="auto" w:fill="auto"/>
        <w:tabs>
          <w:tab w:pos="730" w:val="left"/>
        </w:tabs>
        <w:bidi w:val="0"/>
        <w:spacing w:before="0" w:line="312" w:lineRule="exact"/>
        <w:ind w:left="0" w:right="0"/>
        <w:jc w:val="both"/>
      </w:pPr>
      <w:bookmarkStart w:id="518" w:name="bookmark518"/>
      <w:r>
        <w:rPr>
          <w:rFonts w:ascii="Times New Roman" w:eastAsia="Times New Roman" w:hAnsi="Times New Roman" w:cs="Times New Roman"/>
          <w:b/>
          <w:bCs/>
          <w:color w:val="000000"/>
          <w:spacing w:val="0"/>
          <w:w w:val="100"/>
          <w:position w:val="0"/>
          <w:sz w:val="18"/>
          <w:szCs w:val="18"/>
        </w:rPr>
        <w:t>1</w:t>
      </w:r>
      <w:bookmarkEnd w:id="5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于奔先生：</w:t>
      </w:r>
      <w:r>
        <w:rPr>
          <w:color w:val="000000"/>
          <w:spacing w:val="0"/>
          <w:w w:val="100"/>
          <w:position w:val="0"/>
        </w:rPr>
        <w:t>中国籍，无境外居留权，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年出生，中央财经大学会计学学士，北京大学金融学硕士，注册会计师。 曾任职安永华明会计师事务所会计师、中国国际金融有限公司研究部分析师。现任北京信中利投资股份有限公司监事，本公 司监事。</w:t>
      </w:r>
    </w:p>
    <w:p>
      <w:pPr>
        <w:pStyle w:val="Style29"/>
        <w:keepNext w:val="0"/>
        <w:keepLines w:val="0"/>
        <w:widowControl w:val="0"/>
        <w:shd w:val="clear" w:color="auto" w:fill="auto"/>
        <w:tabs>
          <w:tab w:pos="740" w:val="left"/>
        </w:tabs>
        <w:bidi w:val="0"/>
        <w:spacing w:before="0" w:line="319" w:lineRule="exact"/>
        <w:ind w:left="0" w:right="0"/>
        <w:jc w:val="both"/>
      </w:pPr>
      <w:bookmarkStart w:id="519" w:name="bookmark519"/>
      <w:r>
        <w:rPr>
          <w:rFonts w:ascii="Times New Roman" w:eastAsia="Times New Roman" w:hAnsi="Times New Roman" w:cs="Times New Roman"/>
          <w:b/>
          <w:bCs/>
          <w:color w:val="000000"/>
          <w:spacing w:val="0"/>
          <w:w w:val="100"/>
          <w:position w:val="0"/>
          <w:sz w:val="18"/>
          <w:szCs w:val="18"/>
        </w:rPr>
        <w:t>1</w:t>
      </w:r>
      <w:bookmarkEnd w:id="5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温秋萍女士：</w:t>
      </w:r>
      <w:r>
        <w:rPr>
          <w:color w:val="000000"/>
          <w:spacing w:val="0"/>
          <w:w w:val="100"/>
          <w:position w:val="0"/>
        </w:rPr>
        <w:t>中国籍，汉族，</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年出生，华南农业大学法学专业本科毕业，获法律职业资格证、董事会秘书资格 证、证券从业资格证。曾任广州市尚之诚置业有限公司法务专员、广州阳晨置业有限公司法务专员。现任本公司职工代表监 事、证券事务代表。</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626"/>
        <w:gridCol w:w="1272"/>
        <w:gridCol w:w="1565"/>
        <w:gridCol w:w="1498"/>
        <w:gridCol w:w="151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在股东单位担 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董事、副总经 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2976"/>
        <w:gridCol w:w="1555"/>
        <w:gridCol w:w="1277"/>
        <w:gridCol w:w="1190"/>
        <w:gridCol w:w="14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9" w:lineRule="auto"/>
              <w:ind w:left="0" w:right="0" w:firstLine="0"/>
              <w:jc w:val="left"/>
            </w:pPr>
            <w:r>
              <w:rPr>
                <w:color w:val="000000"/>
                <w:spacing w:val="0"/>
                <w:w w:val="100"/>
                <w:position w:val="0"/>
              </w:rPr>
              <w:t>WAN XIAO</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YANG（</w:t>
            </w:r>
            <w:r>
              <w:rPr>
                <w:rFonts w:ascii="SimSun" w:eastAsia="SimSun" w:hAnsi="SimSun" w:cs="SimSun"/>
                <w:color w:val="000000"/>
                <w:spacing w:val="0"/>
                <w:w w:val="100"/>
                <w:position w:val="0"/>
                <w:sz w:val="17"/>
                <w:szCs w:val="17"/>
              </w:rPr>
              <w:t>中文名： 万晓阳）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山东朗进科技股份有限公司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叶陈刚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对外经济贸易大学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教授、博士生导师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钟晓林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深圳图灵资产管理有限公司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Key Ke Liu </w:t>
            </w:r>
            <w:r>
              <w:rPr>
                <w:rFonts w:ascii="SimSun" w:eastAsia="SimSun" w:hAnsi="SimSun" w:cs="SimSun"/>
                <w:color w:val="000000"/>
                <w:spacing w:val="0"/>
                <w:w w:val="100"/>
                <w:position w:val="0"/>
                <w:sz w:val="17"/>
                <w:szCs w:val="17"/>
              </w:rPr>
              <w:t>（中</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文名：刘科）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南方科技大学创新创业研究院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院长、教授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梅绍华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中智慧合投资（北京）股份有限公司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是</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四</w:t>
      </w:r>
      <w:bookmarkEnd w:id="522"/>
      <w:r>
        <w:rPr>
          <w:color w:val="000000"/>
          <w:spacing w:val="0"/>
          <w:w w:val="100"/>
          <w:position w:val="0"/>
        </w:rPr>
        <w:t>、董事、监事、高级管理人员报酬情况</w:t>
      </w:r>
      <w:bookmarkEnd w:id="520"/>
      <w:bookmarkEnd w:id="521"/>
      <w:bookmarkEnd w:id="523"/>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725" w:val="left"/>
        </w:tabs>
        <w:bidi w:val="0"/>
        <w:spacing w:before="0" w:after="0" w:line="360" w:lineRule="auto"/>
        <w:ind w:left="0" w:right="0"/>
        <w:jc w:val="left"/>
      </w:pPr>
      <w:bookmarkStart w:id="524" w:name="bookmark524"/>
      <w:r>
        <w:rPr>
          <w:rFonts w:ascii="Times New Roman" w:eastAsia="Times New Roman" w:hAnsi="Times New Roman" w:cs="Times New Roman"/>
          <w:b/>
          <w:bCs/>
          <w:color w:val="000000"/>
          <w:spacing w:val="0"/>
          <w:w w:val="100"/>
          <w:position w:val="0"/>
          <w:sz w:val="18"/>
          <w:szCs w:val="18"/>
        </w:rPr>
        <w:t>1</w:t>
      </w:r>
      <w:bookmarkEnd w:id="524"/>
      <w:r>
        <w:rPr>
          <w:b/>
          <w:bCs/>
          <w:color w:val="000000"/>
          <w:spacing w:val="0"/>
          <w:w w:val="100"/>
          <w:position w:val="0"/>
        </w:rPr>
        <w:t>、</w:t>
        <w:tab/>
        <w:t>决策程序：</w:t>
      </w:r>
    </w:p>
    <w:p>
      <w:pPr>
        <w:pStyle w:val="Style29"/>
        <w:keepNext w:val="0"/>
        <w:keepLines w:val="0"/>
        <w:widowControl w:val="0"/>
        <w:shd w:val="clear" w:color="auto" w:fill="auto"/>
        <w:tabs>
          <w:tab w:pos="825" w:val="left"/>
        </w:tabs>
        <w:bidi w:val="0"/>
        <w:spacing w:before="0" w:after="0" w:line="313" w:lineRule="exact"/>
        <w:ind w:left="0" w:right="0"/>
        <w:jc w:val="left"/>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董事会薪酬与考核委员会负责拟订公司董事、监事薪酬方案及独立董事津贴方案经公司股东大会批准后实施。</w:t>
      </w:r>
    </w:p>
    <w:p>
      <w:pPr>
        <w:pStyle w:val="Style29"/>
        <w:keepNext w:val="0"/>
        <w:keepLines w:val="0"/>
        <w:widowControl w:val="0"/>
        <w:shd w:val="clear" w:color="auto" w:fill="auto"/>
        <w:tabs>
          <w:tab w:pos="901" w:val="left"/>
        </w:tabs>
        <w:bidi w:val="0"/>
        <w:spacing w:before="0" w:after="0" w:line="313" w:lineRule="exact"/>
        <w:ind w:left="0" w:right="0"/>
        <w:jc w:val="left"/>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董事会薪酬与考核委员会是确定公司高管人员薪酬方案、负责薪酬管理、考核和监督的专门机构，对于公司引进 高管人员或对公司有杰出贡献的人员，可由总经理参考引进人员原有的薪酬水平及引进人员对公司的贡献情况另行拟订其薪 酬方案。</w:t>
      </w:r>
    </w:p>
    <w:p>
      <w:pPr>
        <w:pStyle w:val="Style29"/>
        <w:keepNext w:val="0"/>
        <w:keepLines w:val="0"/>
        <w:widowControl w:val="0"/>
        <w:shd w:val="clear" w:color="auto" w:fill="auto"/>
        <w:bidi w:val="0"/>
        <w:spacing w:before="0" w:after="140" w:line="313" w:lineRule="exact"/>
        <w:ind w:left="0" w:right="0"/>
        <w:jc w:val="left"/>
      </w:pPr>
      <w:bookmarkStart w:id="527" w:name="bookmark527"/>
      <w:r>
        <w:rPr>
          <w:rFonts w:ascii="Times New Roman" w:eastAsia="Times New Roman" w:hAnsi="Times New Roman" w:cs="Times New Roman"/>
          <w:b/>
          <w:bCs/>
          <w:color w:val="000000"/>
          <w:spacing w:val="0"/>
          <w:w w:val="100"/>
          <w:position w:val="0"/>
          <w:sz w:val="18"/>
          <w:szCs w:val="18"/>
        </w:rPr>
        <w:t>2</w:t>
      </w:r>
      <w:bookmarkEnd w:id="527"/>
      <w:r>
        <w:rPr>
          <w:b/>
          <w:bCs/>
          <w:color w:val="000000"/>
          <w:spacing w:val="0"/>
          <w:w w:val="100"/>
          <w:position w:val="0"/>
        </w:rPr>
        <w:t>、 确定依据：</w:t>
      </w:r>
      <w:r>
        <w:rPr>
          <w:color w:val="000000"/>
          <w:spacing w:val="0"/>
          <w:w w:val="100"/>
          <w:position w:val="0"/>
        </w:rPr>
        <w:t>原董事、监事、高级管理人员按照《董事、监事、高级管理人员薪酬制度》（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年修订）、《高级管 理人员绩效考核实施细则》、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年第六次临时股东大会审议通过的《关于公司第五届董事会董事、第五届监事会监事薪酬 的议案》、第四届董事会第二十一次会议审议通过的《关于确定高级管理人员和高级技术人员薪酬的议案》及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 权激励计划确定；现任董事、监事、高级管理人员按照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年第二次临时股东大会审议通过的《关于确定公司第五届董事会 董事、第五届监事会监事薪酬的议案》、第五届董事会第二十六次会议审议通过的《关于确定公司高级管理人员薪酬的议案》、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年股权激励计划确定。</w:t>
      </w:r>
    </w:p>
    <w:p>
      <w:pPr>
        <w:pStyle w:val="Style29"/>
        <w:keepNext w:val="0"/>
        <w:keepLines w:val="0"/>
        <w:widowControl w:val="0"/>
        <w:shd w:val="clear" w:color="auto" w:fill="auto"/>
        <w:bidi w:val="0"/>
        <w:spacing w:before="0" w:after="0" w:line="317" w:lineRule="exact"/>
        <w:ind w:left="0" w:right="0"/>
        <w:jc w:val="both"/>
      </w:pPr>
      <w:bookmarkStart w:id="528" w:name="bookmark528"/>
      <w:r>
        <w:rPr>
          <w:rFonts w:ascii="Times New Roman" w:eastAsia="Times New Roman" w:hAnsi="Times New Roman" w:cs="Times New Roman"/>
          <w:b/>
          <w:bCs/>
          <w:color w:val="000000"/>
          <w:spacing w:val="0"/>
          <w:w w:val="100"/>
          <w:position w:val="0"/>
          <w:sz w:val="18"/>
          <w:szCs w:val="18"/>
        </w:rPr>
        <w:t>3</w:t>
      </w:r>
      <w:bookmarkEnd w:id="528"/>
      <w:r>
        <w:rPr>
          <w:b/>
          <w:bCs/>
          <w:color w:val="000000"/>
          <w:spacing w:val="0"/>
          <w:w w:val="100"/>
          <w:position w:val="0"/>
        </w:rPr>
        <w:t>、实际支付情况：</w:t>
      </w:r>
    </w:p>
    <w:p>
      <w:pPr>
        <w:pStyle w:val="Style29"/>
        <w:keepNext w:val="0"/>
        <w:keepLines w:val="0"/>
        <w:widowControl w:val="0"/>
        <w:numPr>
          <w:ilvl w:val="0"/>
          <w:numId w:val="5"/>
        </w:numPr>
        <w:shd w:val="clear" w:color="auto" w:fill="auto"/>
        <w:bidi w:val="0"/>
        <w:spacing w:before="0" w:after="0" w:line="317" w:lineRule="exact"/>
        <w:ind w:left="0" w:right="0"/>
        <w:jc w:val="both"/>
      </w:pPr>
      <w:bookmarkStart w:id="529" w:name="bookmark529"/>
      <w:bookmarkEnd w:id="529"/>
      <w:r>
        <w:rPr>
          <w:color w:val="000000"/>
          <w:spacing w:val="0"/>
          <w:w w:val="100"/>
          <w:position w:val="0"/>
        </w:rPr>
        <w:t xml:space="preserve"> 报告期内，公司原董事、监事的薪酬根据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年第六次临时股东大会审议通过的《关于公司第五届董事会董事、 第五届监事会监事薪酬的议案》按月发放；现任董事、监事的薪酬根据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年第二次临时股东大会审议通过的《关于公司第 五届董事会董事、第五届监事会监事薪酬的议案》按月发放。</w:t>
      </w:r>
    </w:p>
    <w:p>
      <w:pPr>
        <w:pStyle w:val="Style29"/>
        <w:keepNext w:val="0"/>
        <w:keepLines w:val="0"/>
        <w:widowControl w:val="0"/>
        <w:numPr>
          <w:ilvl w:val="0"/>
          <w:numId w:val="5"/>
        </w:numPr>
        <w:shd w:val="clear" w:color="auto" w:fill="auto"/>
        <w:tabs>
          <w:tab w:pos="850" w:val="left"/>
        </w:tabs>
        <w:bidi w:val="0"/>
        <w:spacing w:before="0" w:after="0" w:line="317" w:lineRule="exact"/>
        <w:ind w:left="0" w:right="0"/>
        <w:jc w:val="both"/>
      </w:pPr>
      <w:bookmarkStart w:id="530" w:name="bookmark530"/>
      <w:bookmarkEnd w:id="530"/>
      <w:r>
        <w:rPr>
          <w:color w:val="000000"/>
          <w:spacing w:val="0"/>
          <w:w w:val="100"/>
          <w:position w:val="0"/>
        </w:rPr>
        <w:t>报告期内，公司原高级管理人员的基本工资根据第四届董事会薪酬与考核委员会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年第一次会议和第四届董事 会第二十一次会议审议通过的《关于确定高级管理人员和高级技术人员薪酬的议案》按月发放，绩效奖金根据《高级管理人 员绩效考核实施细则》在年度绩效考评结束后发放；公司现任高级管理人员的基本工资根据第五届董事会薪酬与考核委员会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年第二次会议和第五届董事会第二十六次会议审议通过的《关于确定公司高级管理人员薪酬的议案》按月发放，绩效奖 金根据《高级管理人员绩效考核实施细则》在年度绩效考评结束后发放。</w:t>
      </w:r>
    </w:p>
    <w:p>
      <w:pPr>
        <w:pStyle w:val="Style29"/>
        <w:keepNext w:val="0"/>
        <w:keepLines w:val="0"/>
        <w:widowControl w:val="0"/>
        <w:numPr>
          <w:ilvl w:val="0"/>
          <w:numId w:val="5"/>
        </w:numPr>
        <w:shd w:val="clear" w:color="auto" w:fill="auto"/>
        <w:tabs>
          <w:tab w:pos="841" w:val="left"/>
        </w:tabs>
        <w:bidi w:val="0"/>
        <w:spacing w:before="0" w:after="0" w:line="319" w:lineRule="exact"/>
        <w:ind w:left="0" w:right="0"/>
        <w:jc w:val="both"/>
      </w:pPr>
      <w:bookmarkStart w:id="531" w:name="bookmark531"/>
      <w:bookmarkEnd w:id="531"/>
      <w:r>
        <w:rPr>
          <w:color w:val="000000"/>
          <w:spacing w:val="0"/>
          <w:w w:val="100"/>
          <w:position w:val="0"/>
        </w:rPr>
        <w:t>报告期内，公司董事、高级管理人员的股权激励根据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 励计划、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年第六次临时股东大会审议通过的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年第三次临时股东大会审议通过的</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年股权激励计划获授限制性股票与股票期权。</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48"/>
        <w:gridCol w:w="2410"/>
        <w:gridCol w:w="710"/>
        <w:gridCol w:w="710"/>
        <w:gridCol w:w="850"/>
        <w:gridCol w:w="1272"/>
        <w:gridCol w:w="131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是否在公司关</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董事长、总裁、代理财务总监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WAN XIAOYANG </w:t>
            </w:r>
            <w:r>
              <w:rPr>
                <w:color w:val="000000"/>
                <w:spacing w:val="0"/>
                <w:w w:val="100"/>
                <w:position w:val="0"/>
              </w:rPr>
              <w:t>(</w:t>
            </w:r>
            <w:r>
              <w:rPr>
                <w:rFonts w:ascii="SimSun" w:eastAsia="SimSun" w:hAnsi="SimSun" w:cs="SimSun"/>
                <w:color w:val="000000"/>
                <w:spacing w:val="0"/>
                <w:w w:val="100"/>
                <w:position w:val="0"/>
                <w:sz w:val="17"/>
                <w:szCs w:val="17"/>
              </w:rPr>
              <w:t>中文名：万 晓阳</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叶陈刚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钟晓林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Key Ke Liu </w:t>
            </w:r>
            <w:r>
              <w:rPr>
                <w:color w:val="000000"/>
                <w:spacing w:val="0"/>
                <w:w w:val="100"/>
                <w:position w:val="0"/>
              </w:rPr>
              <w:t>(</w:t>
            </w:r>
            <w:r>
              <w:rPr>
                <w:rFonts w:ascii="SimSun" w:eastAsia="SimSun" w:hAnsi="SimSun" w:cs="SimSun"/>
                <w:color w:val="000000"/>
                <w:spacing w:val="0"/>
                <w:w w:val="100"/>
                <w:position w:val="0"/>
                <w:sz w:val="17"/>
                <w:szCs w:val="17"/>
              </w:rPr>
              <w:t>中文名：刘科</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梅绍华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温秋萍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监事、证券事务代表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马静玉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448"/>
        <w:gridCol w:w="2410"/>
        <w:gridCol w:w="710"/>
        <w:gridCol w:w="710"/>
        <w:gridCol w:w="850"/>
        <w:gridCol w:w="1272"/>
        <w:gridCol w:w="131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许为宁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朱丽梅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谢战军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安鹏啸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58"/>
        <w:gridCol w:w="1046"/>
        <w:gridCol w:w="850"/>
        <w:gridCol w:w="710"/>
        <w:gridCol w:w="850"/>
        <w:gridCol w:w="749"/>
        <w:gridCol w:w="864"/>
        <w:gridCol w:w="821"/>
        <w:gridCol w:w="869"/>
        <w:gridCol w:w="821"/>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可行权股</w:t>
            </w:r>
          </w:p>
          <w:p>
            <w:pPr>
              <w:pStyle w:val="Style2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内已行 权股数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末市价 （元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 授予限制 性股票数</w:t>
            </w:r>
          </w:p>
          <w:p>
            <w:pPr>
              <w:pStyle w:val="Style22"/>
              <w:keepNext w:val="0"/>
              <w:keepLines w:val="0"/>
              <w:widowControl w:val="0"/>
              <w:shd w:val="clear" w:color="auto" w:fill="auto"/>
              <w:bidi w:val="0"/>
              <w:spacing w:before="0" w:after="0" w:line="312" w:lineRule="exact"/>
              <w:ind w:left="0" w:right="340" w:firstLine="0"/>
              <w:jc w:val="righ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限制性股 票的授予 价格（元</w:t>
            </w:r>
            <w:r>
              <w:rPr>
                <w:color w:val="000000"/>
                <w:spacing w:val="0"/>
                <w:w w:val="100"/>
                <w:position w:val="0"/>
              </w:rPr>
              <w:t>/</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7,240,000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原董事、财务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原董事、副总 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朱丽梅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董事长、总 裁、代理财务 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9" w:lineRule="auto"/>
              <w:ind w:left="0" w:right="0" w:firstLine="0"/>
              <w:jc w:val="left"/>
            </w:pPr>
            <w:r>
              <w:rPr>
                <w:color w:val="000000"/>
                <w:spacing w:val="0"/>
                <w:w w:val="100"/>
                <w:position w:val="0"/>
              </w:rPr>
              <w:t>WAN</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XIAOYANG </w:t>
            </w:r>
            <w:r>
              <w:rPr>
                <w:color w:val="000000"/>
                <w:spacing w:val="0"/>
                <w:w w:val="100"/>
                <w:position w:val="0"/>
              </w:rPr>
              <w:t>（</w:t>
            </w:r>
            <w:r>
              <w:rPr>
                <w:rFonts w:ascii="SimSun" w:eastAsia="SimSun" w:hAnsi="SimSun" w:cs="SimSun"/>
                <w:color w:val="000000"/>
                <w:spacing w:val="0"/>
                <w:w w:val="100"/>
                <w:position w:val="0"/>
                <w:sz w:val="17"/>
                <w:szCs w:val="17"/>
              </w:rPr>
              <w:t>中 文名：万晓阳</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43,120,000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五</w:t>
      </w:r>
      <w:bookmarkEnd w:id="534"/>
      <w:r>
        <w:rPr>
          <w:color w:val="000000"/>
          <w:spacing w:val="0"/>
          <w:w w:val="100"/>
          <w:position w:val="0"/>
        </w:rPr>
        <w:t>、公司员工情况</w:t>
      </w:r>
      <w:bookmarkEnd w:id="532"/>
      <w:bookmarkEnd w:id="533"/>
      <w:bookmarkEnd w:id="535"/>
    </w:p>
    <w:p>
      <w:pPr>
        <w:pStyle w:val="Style33"/>
        <w:keepNext/>
        <w:keepLines/>
        <w:widowControl w:val="0"/>
        <w:shd w:val="clear" w:color="auto" w:fill="auto"/>
        <w:bidi w:val="0"/>
        <w:spacing w:before="0" w:after="32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、员工数量、专业构成及教育程度</w:t>
      </w:r>
      <w:bookmarkEnd w:id="536"/>
      <w:bookmarkEnd w:id="537"/>
      <w:bookmarkEnd w:id="539"/>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bl>
    <w:p>
      <w:pPr>
        <w:widowControl w:val="0"/>
        <w:spacing w:line="1" w:lineRule="exact"/>
      </w:pPr>
      <w:r>
        <w:br w:type="page"/>
      </w:r>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40" w:right="0" w:firstLine="0"/>
              <w:jc w:val="both"/>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142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4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40" w:right="0" w:firstLine="0"/>
              <w:jc w:val="both"/>
            </w:pPr>
            <w:r>
              <w:rPr>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451</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4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40" w:right="0" w:firstLine="0"/>
              <w:jc w:val="both"/>
            </w:pPr>
            <w:r>
              <w:rPr>
                <w:color w:val="000000"/>
                <w:spacing w:val="0"/>
                <w:w w:val="100"/>
                <w:position w:val="0"/>
              </w:rPr>
              <w:t>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40" w:right="0" w:firstLine="0"/>
              <w:jc w:val="both"/>
            </w:pP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289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40" w:right="0" w:firstLine="0"/>
              <w:jc w:val="both"/>
            </w:pPr>
            <w:r>
              <w:rPr>
                <w:color w:val="000000"/>
                <w:spacing w:val="0"/>
                <w:w w:val="100"/>
                <w:position w:val="0"/>
              </w:rPr>
              <w:t>451</w:t>
            </w:r>
          </w:p>
        </w:tc>
      </w:tr>
    </w:tbl>
    <w:p>
      <w:pPr>
        <w:widowControl w:val="0"/>
        <w:spacing w:after="319" w:line="1" w:lineRule="exact"/>
      </w:pPr>
    </w:p>
    <w:p>
      <w:pPr>
        <w:pStyle w:val="Style33"/>
        <w:keepNext/>
        <w:keepLines/>
        <w:widowControl w:val="0"/>
        <w:shd w:val="clear" w:color="auto" w:fill="auto"/>
        <w:tabs>
          <w:tab w:pos="378" w:val="left"/>
        </w:tabs>
        <w:bidi w:val="0"/>
        <w:spacing w:before="0" w:after="26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w:t>
        <w:tab/>
        <w:t>薪酬政策</w:t>
      </w:r>
      <w:bookmarkEnd w:id="540"/>
      <w:bookmarkEnd w:id="541"/>
      <w:bookmarkEnd w:id="543"/>
    </w:p>
    <w:p>
      <w:pPr>
        <w:pStyle w:val="Style29"/>
        <w:keepNext w:val="0"/>
        <w:keepLines w:val="0"/>
        <w:widowControl w:val="0"/>
        <w:shd w:val="clear" w:color="auto" w:fill="auto"/>
        <w:bidi w:val="0"/>
        <w:spacing w:before="0" w:after="380" w:line="310" w:lineRule="exact"/>
        <w:ind w:left="0" w:right="0"/>
        <w:jc w:val="left"/>
      </w:pPr>
      <w:r>
        <w:rPr>
          <w:color w:val="000000"/>
          <w:spacing w:val="0"/>
          <w:w w:val="100"/>
          <w:position w:val="0"/>
        </w:rPr>
        <w:t>公司的薪酬结构包括基本薪金及津贴、绩效工资，坚持公司与员工共同发展的原则，为员工提供公平的及有竞争力的福 利待遇，严格遵照劳动法及劳动合同法规定，实行对全体员工劳动合同制，并根据相关规定缴纳各类社会保险及住房公积金， 针对部分特殊岗位购买意外险。对于各类休假严格按照劳动法及相关法律法规规定执行。公司定期会根据员工上年度绩效考 核、工作结果对员工重新进行定薪定级。公司对工资核算及发放制定了严格的审批流程，确保员工工资发放的准确、及时。</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培训计划</w:t>
      </w:r>
      <w:bookmarkEnd w:id="544"/>
      <w:bookmarkEnd w:id="545"/>
      <w:bookmarkEnd w:id="547"/>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公司严格按照既定的培训计划进行开展</w:t>
      </w:r>
      <w:r>
        <w:rPr>
          <w:color w:val="000000"/>
          <w:spacing w:val="0"/>
          <w:w w:val="100"/>
          <w:position w:val="0"/>
          <w:sz w:val="18"/>
          <w:szCs w:val="18"/>
        </w:rPr>
        <w:t>，</w:t>
      </w:r>
      <w:r>
        <w:rPr>
          <w:color w:val="000000"/>
          <w:spacing w:val="0"/>
          <w:w w:val="100"/>
          <w:position w:val="0"/>
        </w:rPr>
        <w:t>积极开拓多种学习资源，以技能培训为主，旨在提高公司在职员工的职业素养, 从而提高工作效率，为公司经营目标的实现奠定基础。</w:t>
      </w:r>
    </w:p>
    <w:p>
      <w:pPr>
        <w:pStyle w:val="Style33"/>
        <w:keepNext/>
        <w:keepLines/>
        <w:widowControl w:val="0"/>
        <w:shd w:val="clear" w:color="auto" w:fill="auto"/>
        <w:bidi w:val="0"/>
        <w:spacing w:before="0" w:after="3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、劳务外包情况</w:t>
      </w:r>
      <w:bookmarkEnd w:id="548"/>
      <w:bookmarkEnd w:id="549"/>
      <w:bookmarkEnd w:id="55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30,358.65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457,855.54</w:t>
            </w:r>
          </w:p>
        </w:tc>
      </w:tr>
    </w:tbl>
    <w:p>
      <w:pPr>
        <w:pStyle w:val="Style10"/>
        <w:keepNext/>
        <w:keepLines/>
        <w:widowControl w:val="0"/>
        <w:shd w:val="clear" w:color="auto" w:fill="auto"/>
        <w:bidi w:val="0"/>
        <w:spacing w:before="0" w:after="560" w:line="240" w:lineRule="auto"/>
        <w:ind w:left="0" w:right="0" w:firstLine="0"/>
        <w:jc w:val="center"/>
      </w:pPr>
      <w:bookmarkStart w:id="552" w:name="bookmark552"/>
      <w:bookmarkStart w:id="553" w:name="bookmark553"/>
      <w:bookmarkStart w:id="554" w:name="bookmark554"/>
      <w:r>
        <w:rPr>
          <w:color w:val="000000"/>
          <w:spacing w:val="0"/>
          <w:w w:val="100"/>
          <w:position w:val="0"/>
        </w:rPr>
        <w:t>第九节公司治理</w:t>
      </w:r>
      <w:bookmarkEnd w:id="552"/>
      <w:bookmarkEnd w:id="553"/>
      <w:bookmarkEnd w:id="554"/>
    </w:p>
    <w:p>
      <w:pPr>
        <w:pStyle w:val="Style25"/>
        <w:keepNext/>
        <w:keepLines/>
        <w:widowControl w:val="0"/>
        <w:shd w:val="clear" w:color="auto" w:fill="auto"/>
        <w:bidi w:val="0"/>
        <w:spacing w:before="0" w:after="240" w:line="240" w:lineRule="auto"/>
        <w:ind w:left="0" w:right="0" w:firstLine="0"/>
        <w:jc w:val="both"/>
      </w:pPr>
      <w:bookmarkStart w:id="555" w:name="bookmark555"/>
      <w:bookmarkStart w:id="556" w:name="bookmark556"/>
      <w:bookmarkStart w:id="557" w:name="bookmark557"/>
      <w:bookmarkStart w:id="558" w:name="bookmark558"/>
      <w:bookmarkStart w:id="559" w:name="bookmark559"/>
      <w:r>
        <w:rPr>
          <w:color w:val="000000"/>
          <w:spacing w:val="0"/>
          <w:w w:val="100"/>
          <w:position w:val="0"/>
        </w:rPr>
        <w:t>一</w:t>
      </w:r>
      <w:bookmarkEnd w:id="558"/>
      <w:r>
        <w:rPr>
          <w:color w:val="000000"/>
          <w:spacing w:val="0"/>
          <w:w w:val="100"/>
          <w:position w:val="0"/>
        </w:rPr>
        <w:t>、公司治理的基本状况</w:t>
      </w:r>
      <w:bookmarkEnd w:id="556"/>
      <w:bookmarkEnd w:id="557"/>
      <w:bookmarkEnd w:id="559"/>
      <w:bookmarkEnd w:id="555"/>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公司严格按照《公司法》、《证券法》、《上市公司治理准则》、《深圳证券交易所中小企业板上市公司规范运作指引》 和中国证监会有关法律法规等的要求，不断完善公司法人治理结构，建立健全内部控制制度，进一步加强公司信息披露工作， 积极开展投资者关系管理，维护公司及股东的利益，确保公司规范、健康发展。报告期内，公司未收到证券监管部门采取行 政监管措施的相关文件。</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截至报告期末，公司治理的实际状况符合《上市公司治理准则》、《深圳证券交易所中小企业板上市公司规范运作指引》 等相关法律法规的要求，具体情况如下：</w:t>
      </w:r>
    </w:p>
    <w:p>
      <w:pPr>
        <w:pStyle w:val="Style29"/>
        <w:keepNext w:val="0"/>
        <w:keepLines w:val="0"/>
        <w:widowControl w:val="0"/>
        <w:shd w:val="clear" w:color="auto" w:fill="auto"/>
        <w:bidi w:val="0"/>
        <w:spacing w:before="0" w:after="0" w:line="315" w:lineRule="exact"/>
        <w:ind w:left="0" w:right="0" w:firstLine="460"/>
        <w:jc w:val="both"/>
      </w:pPr>
      <w:bookmarkStart w:id="560" w:name="bookmark560"/>
      <w:r>
        <w:rPr>
          <w:b/>
          <w:bCs/>
          <w:color w:val="000000"/>
          <w:spacing w:val="0"/>
          <w:w w:val="100"/>
          <w:position w:val="0"/>
        </w:rPr>
        <w:t>（</w:t>
      </w:r>
      <w:bookmarkEnd w:id="560"/>
      <w:r>
        <w:rPr>
          <w:b/>
          <w:bCs/>
          <w:color w:val="000000"/>
          <w:spacing w:val="0"/>
          <w:w w:val="100"/>
          <w:position w:val="0"/>
        </w:rPr>
        <w:t>一）公司治理结构</w:t>
      </w:r>
    </w:p>
    <w:p>
      <w:pPr>
        <w:pStyle w:val="Style29"/>
        <w:keepNext w:val="0"/>
        <w:keepLines w:val="0"/>
        <w:widowControl w:val="0"/>
        <w:shd w:val="clear" w:color="auto" w:fill="auto"/>
        <w:tabs>
          <w:tab w:pos="880" w:val="left"/>
        </w:tabs>
        <w:bidi w:val="0"/>
        <w:spacing w:before="0" w:after="0" w:line="315" w:lineRule="exact"/>
        <w:ind w:left="0" w:right="0" w:firstLine="460"/>
        <w:jc w:val="both"/>
      </w:pPr>
      <w:bookmarkStart w:id="561" w:name="bookmark561"/>
      <w:r>
        <w:rPr>
          <w:b/>
          <w:bCs/>
          <w:color w:val="000000"/>
          <w:spacing w:val="0"/>
          <w:w w:val="100"/>
          <w:position w:val="0"/>
        </w:rPr>
        <w:t>（</w:t>
      </w:r>
      <w:bookmarkEnd w:id="56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股东与股东大会</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公司依据《公司法》、《公司章程》、《上市公司治理准则》等文件制定了《股东大会议事规则》、《控股股东实际控 制人行为规范》，对股东大会的权力、召开程序、提案、表决和控股股东及实际控制人行为进行了规范，为维护中小股东权 益提供制度保障。</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公司股东严格根据《上市公司治理准则》、《深圳证券交易所股票上市规则》、《公司章程》规范自身行为，通过股东 大会行使股东权利，未发生超越股东大会及董事会而直接干预公司经营与决策的行为。</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公司依据《上市公司股东大会规则（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年修订》的要求，报告期内召开股东大会均采取现场及网络投票相结合的表决 方式，方便中小投资者通过股东大会行使股东权利，提高中小投资者对公司决策的参与度。</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次股东大会，会议的召集与召开程序、出席会议人员的资格、会议表决程序、表决结果和决议 内容均符合法律法规和《公司章程》的规定。</w:t>
      </w:r>
    </w:p>
    <w:p>
      <w:pPr>
        <w:pStyle w:val="Style29"/>
        <w:keepNext w:val="0"/>
        <w:keepLines w:val="0"/>
        <w:widowControl w:val="0"/>
        <w:shd w:val="clear" w:color="auto" w:fill="auto"/>
        <w:tabs>
          <w:tab w:pos="880" w:val="left"/>
        </w:tabs>
        <w:bidi w:val="0"/>
        <w:spacing w:before="0" w:after="0" w:line="315" w:lineRule="exact"/>
        <w:ind w:left="0" w:right="0" w:firstLine="460"/>
        <w:jc w:val="both"/>
      </w:pPr>
      <w:bookmarkStart w:id="562" w:name="bookmark562"/>
      <w:r>
        <w:rPr>
          <w:b/>
          <w:bCs/>
          <w:color w:val="000000"/>
          <w:spacing w:val="0"/>
          <w:w w:val="100"/>
          <w:position w:val="0"/>
        </w:rPr>
        <w:t>（</w:t>
      </w:r>
      <w:bookmarkEnd w:id="56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公司与实际控制人</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公司实际控制人按照《上市公司治理准则》、《深圳证券交易所中小企业板上市公司规范运作指引》、《公司章程》等 的规定和要求规范自己的行为，没有超越股东权限直接或间接干预公司的决策及生产经营活动，没有损害公司及其他股东的 利益。公司与实际控制人在人员、资产、财务、机构、业务上均保持独立，拥有独立完整的自主经营能力；公司董事会、监 事会及其他内部机构均独立运作。</w:t>
      </w:r>
    </w:p>
    <w:p>
      <w:pPr>
        <w:pStyle w:val="Style29"/>
        <w:keepNext w:val="0"/>
        <w:keepLines w:val="0"/>
        <w:widowControl w:val="0"/>
        <w:shd w:val="clear" w:color="auto" w:fill="auto"/>
        <w:tabs>
          <w:tab w:pos="880" w:val="left"/>
        </w:tabs>
        <w:bidi w:val="0"/>
        <w:spacing w:before="0" w:after="0" w:line="315" w:lineRule="exact"/>
        <w:ind w:left="0" w:right="0" w:firstLine="460"/>
        <w:jc w:val="both"/>
      </w:pPr>
      <w:bookmarkStart w:id="563" w:name="bookmark563"/>
      <w:r>
        <w:rPr>
          <w:b/>
          <w:bCs/>
          <w:color w:val="000000"/>
          <w:spacing w:val="0"/>
          <w:w w:val="100"/>
          <w:position w:val="0"/>
        </w:rPr>
        <w:t>（</w:t>
      </w:r>
      <w:bookmarkEnd w:id="56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董事与董事会</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公司依据《公司法》、《公司章程》、《上市公司治理准则》等文件制定了《董事会议事规则》、《独立董事年报工作 制度》、《总经理工作细则》、《独立董事工作制度》，公司董事会设董事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名，公司董事选举程序、董 事会人数及人员构成符合法律、法规的要求，公司董事勤勉尽责履行职责，维护公司和全体股东的合法权益。独立董事能够 严格按照《公司章程》、《独立董事工作制度》，不受影响独立履行职责，对公司生产经营、关联交易、人事任免等事项发 表独立意见，保证公司的规范运作。</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次董事会会议，会议的召集与召开程序、出席会议人员的资格、会议表决程序、表决结果和决 议内容均符合法律法规和《公司章程》的规定。</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公司董事会设立了审计、薪酬与考核、提名、战略四个专门委员会，建立并完善了议事规则，各委员会分工明确，报告 期内，公司共召开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次审计委员会会议、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次薪酬与考核委员会会议、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次提名委员会会议，为董事会的决策提供科学和专业 的意见，确保董事会对经营层的有效监督。</w:t>
      </w:r>
    </w:p>
    <w:p>
      <w:pPr>
        <w:pStyle w:val="Style29"/>
        <w:keepNext w:val="0"/>
        <w:keepLines w:val="0"/>
        <w:widowControl w:val="0"/>
        <w:shd w:val="clear" w:color="auto" w:fill="auto"/>
        <w:tabs>
          <w:tab w:pos="880" w:val="left"/>
        </w:tabs>
        <w:bidi w:val="0"/>
        <w:spacing w:before="0" w:after="0" w:line="315" w:lineRule="exact"/>
        <w:ind w:left="0" w:right="0" w:firstLine="460"/>
        <w:jc w:val="both"/>
      </w:pPr>
      <w:bookmarkStart w:id="564" w:name="bookmark564"/>
      <w:r>
        <w:rPr>
          <w:b/>
          <w:bCs/>
          <w:color w:val="000000"/>
          <w:spacing w:val="0"/>
          <w:w w:val="100"/>
          <w:position w:val="0"/>
        </w:rPr>
        <w:t>（</w:t>
      </w:r>
      <w:bookmarkEnd w:id="56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监事与监事会</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公司依据《公司法》、《公司章程》、《上市公司治理准则》等文件制定了《监事会议事规则》，公司监事会设监事</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名，监事会的人数、构成及选聘程序均符合相关法律法规的规定。公司监事按规定出席监事会，认 真履行职责，对公司重大事项、关联交易、财务状况等进行监督并发表意见，维护公司及股东的合法权益。</w:t>
      </w:r>
    </w:p>
    <w:p>
      <w:pPr>
        <w:pStyle w:val="Style2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次监事会会议，会议的召集与召开程序、出席会议人员的资格、会议表决程序、表决结果和决 </w:t>
      </w:r>
      <w:r>
        <w:rPr>
          <w:color w:val="000000"/>
          <w:spacing w:val="0"/>
          <w:w w:val="100"/>
          <w:position w:val="0"/>
        </w:rPr>
        <w:t>议内容均符合法律法规和《公司章程》的规定。</w:t>
      </w:r>
    </w:p>
    <w:p>
      <w:pPr>
        <w:pStyle w:val="Style29"/>
        <w:keepNext w:val="0"/>
        <w:keepLines w:val="0"/>
        <w:widowControl w:val="0"/>
        <w:shd w:val="clear" w:color="auto" w:fill="auto"/>
        <w:tabs>
          <w:tab w:pos="854" w:val="left"/>
        </w:tabs>
        <w:bidi w:val="0"/>
        <w:spacing w:before="0" w:after="0" w:line="312" w:lineRule="exact"/>
        <w:ind w:left="0" w:right="0" w:firstLine="460"/>
        <w:jc w:val="both"/>
      </w:pPr>
      <w:bookmarkStart w:id="565" w:name="bookmark565"/>
      <w:r>
        <w:rPr>
          <w:b/>
          <w:bCs/>
          <w:color w:val="000000"/>
          <w:spacing w:val="0"/>
          <w:w w:val="100"/>
          <w:position w:val="0"/>
        </w:rPr>
        <w:t>（</w:t>
      </w:r>
      <w:bookmarkEnd w:id="565"/>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信息披露</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公司上市前就根据相关文件制度制定了《信息披露管理制度》和《投资者关系管理制度》，公司上市后按照中国证监会、 深圳证券交易所发布的相关法规修订了《信息披露管理制度》、《年报信息披露重大差错责任追究制度》、《推广和接待制 度》、《重大信息内部报告制度》、《董事会审计委员会年报工作规程》、《独立董事年报工作制度》、《内部信息保密制 度》、《内幕信息知情人登记和报备制度》，指定公司董事会秘书负责信息披露工作，规范公司内部重大信息传递的程序， 对年报信息披露重大差错责任追究作出明确规定，切实履行信息披露义务。公司指定《中国证券报》、《证券时报》和巨潮 资讯网站为公司信息披露的报纸和网站，真实、准确、及时地披露公司信息，确保公司所有股东公平的获得公司相关信息。</w:t>
      </w:r>
    </w:p>
    <w:p>
      <w:pPr>
        <w:pStyle w:val="Style29"/>
        <w:keepNext w:val="0"/>
        <w:keepLines w:val="0"/>
        <w:widowControl w:val="0"/>
        <w:shd w:val="clear" w:color="auto" w:fill="auto"/>
        <w:tabs>
          <w:tab w:pos="854" w:val="left"/>
        </w:tabs>
        <w:bidi w:val="0"/>
        <w:spacing w:before="0" w:after="0" w:line="312" w:lineRule="exact"/>
        <w:ind w:left="0" w:right="0" w:firstLine="460"/>
        <w:jc w:val="both"/>
      </w:pPr>
      <w:bookmarkStart w:id="566" w:name="bookmark566"/>
      <w:r>
        <w:rPr>
          <w:b/>
          <w:bCs/>
          <w:color w:val="000000"/>
          <w:spacing w:val="0"/>
          <w:w w:val="100"/>
          <w:position w:val="0"/>
        </w:rPr>
        <w:t>（</w:t>
      </w:r>
      <w:bookmarkEnd w:id="566"/>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投资者关系管理</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公司重视投资者关系管理工作，指定董事会秘书为投资者关系管理负责人，公司证券部作为投资者关系管理的具体实施 机构，协助实施投资者关系的日常管理工作，包括投资者来访接待工作、股东大会的安排组织工作、投资者关系互动平台答 疑工作等。</w:t>
      </w:r>
    </w:p>
    <w:p>
      <w:pPr>
        <w:pStyle w:val="Style29"/>
        <w:keepNext w:val="0"/>
        <w:keepLines w:val="0"/>
        <w:widowControl w:val="0"/>
        <w:shd w:val="clear" w:color="auto" w:fill="auto"/>
        <w:tabs>
          <w:tab w:pos="854" w:val="left"/>
        </w:tabs>
        <w:bidi w:val="0"/>
        <w:spacing w:before="0" w:after="0" w:line="312" w:lineRule="exact"/>
        <w:ind w:left="0" w:right="0" w:firstLine="460"/>
        <w:jc w:val="both"/>
      </w:pPr>
      <w:bookmarkStart w:id="567" w:name="bookmark567"/>
      <w:r>
        <w:rPr>
          <w:b/>
          <w:bCs/>
          <w:color w:val="000000"/>
          <w:spacing w:val="0"/>
          <w:w w:val="100"/>
          <w:position w:val="0"/>
        </w:rPr>
        <w:t>（</w:t>
      </w:r>
      <w:bookmarkEnd w:id="567"/>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关于利益相关者</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公司充分尊重和维护利益相关者（债权人、员工、关联方等）的合法权益，重视公司的社会责任，努力实现股东、员工、 社会等各方利益的协调平衡，积极合作，共同推动公司持续、健康的发展。</w:t>
      </w:r>
    </w:p>
    <w:p>
      <w:pPr>
        <w:pStyle w:val="Style29"/>
        <w:keepNext w:val="0"/>
        <w:keepLines w:val="0"/>
        <w:widowControl w:val="0"/>
        <w:shd w:val="clear" w:color="auto" w:fill="auto"/>
        <w:bidi w:val="0"/>
        <w:spacing w:before="0" w:after="0" w:line="312" w:lineRule="exact"/>
        <w:ind w:left="0" w:right="0" w:firstLine="460"/>
        <w:jc w:val="both"/>
      </w:pPr>
      <w:bookmarkStart w:id="568" w:name="bookmark568"/>
      <w:r>
        <w:rPr>
          <w:b/>
          <w:bCs/>
          <w:color w:val="000000"/>
          <w:spacing w:val="0"/>
          <w:w w:val="100"/>
          <w:position w:val="0"/>
        </w:rPr>
        <w:t>（</w:t>
      </w:r>
      <w:bookmarkEnd w:id="568"/>
      <w:r>
        <w:rPr>
          <w:b/>
          <w:bCs/>
          <w:color w:val="000000"/>
          <w:spacing w:val="0"/>
          <w:w w:val="100"/>
          <w:position w:val="0"/>
        </w:rPr>
        <w:t>二）公司董事履行职责情况</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报告期内，公司董事长能够积极推动公司内部各项制度的制定和完善，加强董事会建设，确保董事会会议依法正常召集 和召开。董事长未有从事超越其职权范围的行为，能够积极督促董事会决议的执行，及时将有关情况告知其他董事，能够保 证独立董事和董事会秘书的知情权，为其行使职能和发挥作用提供了平台和保障。</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报告期内，公司董事能够恪尽职守、廉洁自律、忠实勤勉、勤免尽责的履行职责，尽力保护公司及股东特别是中小投资 者的权益并致力于保护公司和股东利益。</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报告期内，公司全体董事能够依照《公司法》、《公司章程》的规定出席公司召开的董事会会议并独立、客观的发表意 见，未出现违反国家法律法规、《公司章程》等规定不能担任公司董事职责规定的行为。</w:t>
      </w:r>
    </w:p>
    <w:p>
      <w:pPr>
        <w:pStyle w:val="Style2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报告期内，公司独立董事能够定期了解公司经营情况，对公司的重大决策提供了专业性意见，对公司重大生产经营活动 进行有效监督，保证了公司决策的科学性。对公司发起设立信中利惠程产业并购基金暨关联交易、产业并购基金后续投资、 变更公司会计政策、处置公司房产、董事监事及高级管理人员薪酬方案、向激励对象授予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年两期股权激励计划预留股份、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年两期股权激励计划首次授予的限制性股票与股票期权第一期解锁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行权等重大事项进行 审核并发表了独立意见，为完善公司监督机制、维护公司和全体股东的合法权益发挥了应有的作用。报告期内，独立董事没 有对公司有关事项提出异议。</w:t>
      </w:r>
    </w:p>
    <w:p>
      <w:pPr>
        <w:pStyle w:val="Style27"/>
        <w:keepNext w:val="0"/>
        <w:keepLines w:val="0"/>
        <w:widowControl w:val="0"/>
        <w:shd w:val="clear" w:color="auto" w:fill="auto"/>
        <w:bidi w:val="0"/>
        <w:spacing w:before="0" w:after="0" w:line="240" w:lineRule="auto"/>
        <w:ind w:left="456" w:right="0" w:firstLine="0"/>
        <w:jc w:val="left"/>
      </w:pPr>
      <w:r>
        <w:rPr>
          <w:color w:val="000000"/>
          <w:spacing w:val="0"/>
          <w:w w:val="100"/>
          <w:position w:val="0"/>
        </w:rPr>
        <w:t>报告期内董事出席董事会的情况:</w:t>
      </w:r>
    </w:p>
    <w:tbl>
      <w:tblPr>
        <w:tblOverlap w:val="never"/>
        <w:jc w:val="center"/>
        <w:tblLayout w:type="fixed"/>
      </w:tblPr>
      <w:tblGrid>
        <w:gridCol w:w="1109"/>
        <w:gridCol w:w="2693"/>
        <w:gridCol w:w="989"/>
        <w:gridCol w:w="854"/>
        <w:gridCol w:w="1133"/>
        <w:gridCol w:w="850"/>
        <w:gridCol w:w="710"/>
        <w:gridCol w:w="1531"/>
      </w:tblGrid>
      <w:tr>
        <w:trPr>
          <w:trHeight w:val="31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董事姓名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应参加董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现场出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委托出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缺席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是否连续两次未</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事会次数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席次数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参加次数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席次数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次数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亲自参加会议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马静玉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董事长、总裁、代理财务总监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1109"/>
        <w:gridCol w:w="2693"/>
        <w:gridCol w:w="989"/>
        <w:gridCol w:w="854"/>
        <w:gridCol w:w="1133"/>
        <w:gridCol w:w="850"/>
        <w:gridCol w:w="710"/>
        <w:gridCol w:w="1531"/>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万晓阳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叶陈刚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钟晓林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27"/>
        <w:keepNext w:val="0"/>
        <w:keepLines w:val="0"/>
        <w:widowControl w:val="0"/>
        <w:shd w:val="clear" w:color="auto" w:fill="auto"/>
        <w:bidi w:val="0"/>
        <w:spacing w:before="0" w:after="0" w:line="240" w:lineRule="auto"/>
        <w:ind w:left="547" w:right="0" w:firstLine="0"/>
        <w:jc w:val="left"/>
      </w:pPr>
      <w:r>
        <w:rPr>
          <w:b/>
          <w:bCs/>
          <w:color w:val="000000"/>
          <w:spacing w:val="0"/>
          <w:w w:val="100"/>
          <w:position w:val="0"/>
        </w:rPr>
        <w:t>（三）公司内部审计制度的建立和执行</w:t>
      </w:r>
    </w:p>
    <w:p>
      <w:pPr>
        <w:pStyle w:val="Style29"/>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公司根据《中华人民共和国审计法》、《审计署关于内部审计工作的规定》等法律法规和《公司章程》的有关规定，结 合公司实际情况，制定了《内部审计制度》。</w:t>
      </w:r>
    </w:p>
    <w:p>
      <w:pPr>
        <w:pStyle w:val="Style29"/>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根据《内部审计制度》，公司董事会设审计委员会，审计委员会下设审计室作为公司内部审计的执行机构，审计室负责 人由董事会审计委员会提名，董事会任免。内部审计机构对审计委员会负责，向审计委员会报告工作，对公司及所属的经营 管理活动进行审计监督。</w:t>
      </w:r>
    </w:p>
    <w:p>
      <w:pPr>
        <w:pStyle w:val="Style29"/>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审计室负责组织实施公司内部审计制度，对公司财务计划、成本计划或公司预算的执行和决算情况，财务收支及其有关 的经济活动，生产、经营、开发的经济效益和资产保值增值情况，建设项目概预算和决算情况、经济合同的签订及履行情况、 内部控制制度等事项的合法性、合规性、真实性和完整性进行审计监督，负责监督检查公司董事会各项经营决策的贯彻执行 情况，确定反舞弊的重点领域、关键环节和主要内容，并在内部审计过程中合理关注和检查可能存在的舞弊行为。</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96"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w:t>
        <w:tab/>
        <w:t>公司相对于控股股东在业务、人员、资产、机构、财务等方面的独立情况</w:t>
      </w:r>
      <w:bookmarkEnd w:id="569"/>
      <w:bookmarkEnd w:id="570"/>
      <w:bookmarkEnd w:id="572"/>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公司与控股股东在业务、人员、资产、机构、财务等方面完全分开，具有独立完整的业务及自主经营能力。</w:t>
      </w:r>
    </w:p>
    <w:p>
      <w:pPr>
        <w:pStyle w:val="Style29"/>
        <w:keepNext w:val="0"/>
        <w:keepLines w:val="0"/>
        <w:widowControl w:val="0"/>
        <w:shd w:val="clear" w:color="auto" w:fill="auto"/>
        <w:tabs>
          <w:tab w:pos="688" w:val="left"/>
        </w:tabs>
        <w:bidi w:val="0"/>
        <w:spacing w:before="0" w:after="0" w:line="312" w:lineRule="exact"/>
        <w:ind w:left="0" w:right="0" w:firstLine="460"/>
        <w:jc w:val="both"/>
      </w:pPr>
      <w:bookmarkStart w:id="573" w:name="bookmark573"/>
      <w:r>
        <w:rPr>
          <w:rFonts w:ascii="Times New Roman" w:eastAsia="Times New Roman" w:hAnsi="Times New Roman" w:cs="Times New Roman"/>
          <w:b/>
          <w:bCs/>
          <w:color w:val="000000"/>
          <w:spacing w:val="0"/>
          <w:w w:val="100"/>
          <w:position w:val="0"/>
          <w:sz w:val="18"/>
          <w:szCs w:val="18"/>
        </w:rPr>
        <w:t>1</w:t>
      </w:r>
      <w:bookmarkEnd w:id="573"/>
      <w:r>
        <w:rPr>
          <w:b/>
          <w:bCs/>
          <w:color w:val="000000"/>
          <w:spacing w:val="0"/>
          <w:w w:val="100"/>
          <w:position w:val="0"/>
        </w:rPr>
        <w:t>、</w:t>
        <w:tab/>
        <w:t>业务：</w:t>
      </w:r>
      <w:r>
        <w:rPr>
          <w:color w:val="000000"/>
          <w:spacing w:val="0"/>
          <w:w w:val="100"/>
          <w:position w:val="0"/>
        </w:rPr>
        <w:t>公司业务结构完整，自主独立经营，不依赖于控股股东或其他任何关联方，与控股股东、实际控制人及其控 制的其他企业间不存在同业竞争或者显失公平的关联交易，也不存在控股股东直接或间接干预公司经营运作的情形。</w:t>
      </w:r>
    </w:p>
    <w:p>
      <w:pPr>
        <w:pStyle w:val="Style29"/>
        <w:keepNext w:val="0"/>
        <w:keepLines w:val="0"/>
        <w:widowControl w:val="0"/>
        <w:shd w:val="clear" w:color="auto" w:fill="auto"/>
        <w:tabs>
          <w:tab w:pos="683" w:val="left"/>
        </w:tabs>
        <w:bidi w:val="0"/>
        <w:spacing w:before="0" w:after="0" w:line="322" w:lineRule="exact"/>
        <w:ind w:left="0" w:right="0" w:firstLine="460"/>
        <w:jc w:val="both"/>
      </w:pPr>
      <w:bookmarkStart w:id="574" w:name="bookmark574"/>
      <w:r>
        <w:rPr>
          <w:rFonts w:ascii="Times New Roman" w:eastAsia="Times New Roman" w:hAnsi="Times New Roman" w:cs="Times New Roman"/>
          <w:b/>
          <w:bCs/>
          <w:color w:val="000000"/>
          <w:spacing w:val="0"/>
          <w:w w:val="100"/>
          <w:position w:val="0"/>
          <w:sz w:val="18"/>
          <w:szCs w:val="18"/>
        </w:rPr>
        <w:t>2</w:t>
      </w:r>
      <w:bookmarkEnd w:id="574"/>
      <w:r>
        <w:rPr>
          <w:b/>
          <w:bCs/>
          <w:color w:val="000000"/>
          <w:spacing w:val="0"/>
          <w:w w:val="100"/>
          <w:position w:val="0"/>
        </w:rPr>
        <w:t>、</w:t>
        <w:tab/>
        <w:t>人员：</w:t>
      </w:r>
      <w:r>
        <w:rPr>
          <w:color w:val="000000"/>
          <w:spacing w:val="0"/>
          <w:w w:val="100"/>
          <w:position w:val="0"/>
        </w:rPr>
        <w:t>公司在劳动、人事及工资等方面均完全独立于控股股东。公司董事长、总裁、副总裁、董事会秘书、财务负 责人等人员均在公司领取薪酬，未在控股股东及其下属企业担任董事、监事以外的任何职务。</w:t>
      </w:r>
    </w:p>
    <w:p>
      <w:pPr>
        <w:pStyle w:val="Style29"/>
        <w:keepNext w:val="0"/>
        <w:keepLines w:val="0"/>
        <w:widowControl w:val="0"/>
        <w:shd w:val="clear" w:color="auto" w:fill="auto"/>
        <w:tabs>
          <w:tab w:pos="688" w:val="left"/>
        </w:tabs>
        <w:bidi w:val="0"/>
        <w:spacing w:before="0" w:after="140" w:line="317" w:lineRule="exact"/>
        <w:ind w:left="0" w:right="0" w:firstLine="460"/>
        <w:jc w:val="both"/>
      </w:pPr>
      <w:bookmarkStart w:id="575" w:name="bookmark575"/>
      <w:r>
        <w:rPr>
          <w:rFonts w:ascii="Times New Roman" w:eastAsia="Times New Roman" w:hAnsi="Times New Roman" w:cs="Times New Roman"/>
          <w:b/>
          <w:bCs/>
          <w:color w:val="000000"/>
          <w:spacing w:val="0"/>
          <w:w w:val="100"/>
          <w:position w:val="0"/>
          <w:sz w:val="18"/>
          <w:szCs w:val="18"/>
        </w:rPr>
        <w:t>3</w:t>
      </w:r>
      <w:bookmarkEnd w:id="575"/>
      <w:r>
        <w:rPr>
          <w:b/>
          <w:bCs/>
          <w:color w:val="000000"/>
          <w:spacing w:val="0"/>
          <w:w w:val="100"/>
          <w:position w:val="0"/>
        </w:rPr>
        <w:t>、</w:t>
        <w:tab/>
        <w:t>资产：</w:t>
      </w:r>
      <w:r>
        <w:rPr>
          <w:color w:val="000000"/>
          <w:spacing w:val="0"/>
          <w:w w:val="100"/>
          <w:position w:val="0"/>
        </w:rPr>
        <w:t>公司拥有独立于控股股东的生产经营场所，拥有独立完整的资产结构，拥有独立的生产系统、辅助生产系统 和配套设施、土地使用权、房屋所有权等资产，拥有独立的采购和销售系统，对所有资产拥有完全的控制支配权，不存在资 产、资金被控股股东、实际控制人及其控制的其他企业违规占用而损害公司利益的情况。</w:t>
      </w:r>
    </w:p>
    <w:p>
      <w:pPr>
        <w:pStyle w:val="Style29"/>
        <w:keepNext w:val="0"/>
        <w:keepLines w:val="0"/>
        <w:widowControl w:val="0"/>
        <w:shd w:val="clear" w:color="auto" w:fill="auto"/>
        <w:tabs>
          <w:tab w:pos="812" w:val="left"/>
        </w:tabs>
        <w:bidi w:val="0"/>
        <w:spacing w:before="0" w:after="0" w:line="360" w:lineRule="auto"/>
        <w:ind w:left="0" w:right="0" w:firstLine="460"/>
        <w:jc w:val="both"/>
      </w:pPr>
      <w:bookmarkStart w:id="576" w:name="bookmark576"/>
      <w:r>
        <w:rPr>
          <w:rFonts w:ascii="Times New Roman" w:eastAsia="Times New Roman" w:hAnsi="Times New Roman" w:cs="Times New Roman"/>
          <w:b/>
          <w:bCs/>
          <w:color w:val="000000"/>
          <w:spacing w:val="0"/>
          <w:w w:val="100"/>
          <w:position w:val="0"/>
          <w:sz w:val="18"/>
          <w:szCs w:val="18"/>
        </w:rPr>
        <w:t>4</w:t>
      </w:r>
      <w:bookmarkEnd w:id="576"/>
      <w:r>
        <w:rPr>
          <w:b/>
          <w:bCs/>
          <w:color w:val="000000"/>
          <w:spacing w:val="0"/>
          <w:w w:val="100"/>
          <w:position w:val="0"/>
        </w:rPr>
        <w:t>、</w:t>
        <w:tab/>
        <w:t>机构：</w:t>
      </w:r>
      <w:r>
        <w:rPr>
          <w:color w:val="000000"/>
          <w:spacing w:val="0"/>
          <w:w w:val="100"/>
          <w:position w:val="0"/>
        </w:rPr>
        <w:t>公司设立了健全的组织机构体系，独立运作，不存在与控股股东或其职能部门之间的从属关系。</w:t>
      </w:r>
    </w:p>
    <w:p>
      <w:pPr>
        <w:pStyle w:val="Style29"/>
        <w:keepNext w:val="0"/>
        <w:keepLines w:val="0"/>
        <w:widowControl w:val="0"/>
        <w:shd w:val="clear" w:color="auto" w:fill="auto"/>
        <w:tabs>
          <w:tab w:pos="693" w:val="left"/>
        </w:tabs>
        <w:bidi w:val="0"/>
        <w:spacing w:before="0" w:after="360" w:line="322" w:lineRule="exact"/>
        <w:ind w:left="0" w:right="0" w:firstLine="460"/>
        <w:jc w:val="both"/>
      </w:pPr>
      <w:bookmarkStart w:id="577" w:name="bookmark577"/>
      <w:r>
        <w:rPr>
          <w:rFonts w:ascii="Times New Roman" w:eastAsia="Times New Roman" w:hAnsi="Times New Roman" w:cs="Times New Roman"/>
          <w:b/>
          <w:bCs/>
          <w:color w:val="000000"/>
          <w:spacing w:val="0"/>
          <w:w w:val="100"/>
          <w:position w:val="0"/>
          <w:sz w:val="18"/>
          <w:szCs w:val="18"/>
        </w:rPr>
        <w:t>5</w:t>
      </w:r>
      <w:bookmarkEnd w:id="577"/>
      <w:r>
        <w:rPr>
          <w:b/>
          <w:bCs/>
          <w:color w:val="000000"/>
          <w:spacing w:val="0"/>
          <w:w w:val="100"/>
          <w:position w:val="0"/>
        </w:rPr>
        <w:t>、</w:t>
        <w:tab/>
        <w:t>财务：</w:t>
      </w:r>
      <w:r>
        <w:rPr>
          <w:color w:val="000000"/>
          <w:spacing w:val="0"/>
          <w:w w:val="100"/>
          <w:position w:val="0"/>
        </w:rPr>
        <w:t>公司设有独立的财务会计部门，配备独立的财务会计人员，建立了独立的会计核算体系和财务管理制度，独 立进行财务决策；公司独立开设银行账户，独立纳税。</w:t>
      </w:r>
    </w:p>
    <w:p>
      <w:pPr>
        <w:pStyle w:val="Style25"/>
        <w:keepNext/>
        <w:keepLines/>
        <w:widowControl w:val="0"/>
        <w:shd w:val="clear" w:color="auto" w:fill="auto"/>
        <w:tabs>
          <w:tab w:pos="596" w:val="left"/>
        </w:tabs>
        <w:bidi w:val="0"/>
        <w:spacing w:before="0" w:after="3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三</w:t>
      </w:r>
      <w:bookmarkEnd w:id="580"/>
      <w:r>
        <w:rPr>
          <w:color w:val="000000"/>
          <w:spacing w:val="0"/>
          <w:w w:val="100"/>
          <w:position w:val="0"/>
        </w:rPr>
        <w:t>、</w:t>
        <w:tab/>
        <w:t>同业竞争情况</w:t>
      </w:r>
      <w:bookmarkEnd w:id="578"/>
      <w:bookmarkEnd w:id="579"/>
      <w:bookmarkEnd w:id="581"/>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88"/>
        <w:gridCol w:w="850"/>
        <w:gridCol w:w="710"/>
        <w:gridCol w:w="4109"/>
        <w:gridCol w:w="2126"/>
        <w:gridCol w:w="103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问题类型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控股股东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 东性质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问题成因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解决措施</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工作进度及 后续计划</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同业竞争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信中利与公司股权投资相关业务在经营范围上存在 重叠，与子公司喀什中汇联银的创业投资业务、惠程 智能的股权投资、北京中汇联银及其子公司的投资管 理业务在经营范围上存在重叠。上述情形在中驰惠程 及中源信成为公司控股股东之前业已存在。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信中利已承诺在权益变动 完成后十二个月内制定方 案解决同业竞争问题。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正在研究制 定同业竞争 的解决方 案。</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四</w:t>
      </w:r>
      <w:bookmarkEnd w:id="584"/>
      <w:r>
        <w:rPr>
          <w:color w:val="000000"/>
          <w:spacing w:val="0"/>
          <w:w w:val="100"/>
          <w:position w:val="0"/>
        </w:rPr>
        <w:t>、报告期内召开的年度股东大会和临时股东大会的有关情况</w:t>
      </w:r>
      <w:bookmarkEnd w:id="582"/>
      <w:bookmarkEnd w:id="583"/>
      <w:bookmarkEnd w:id="585"/>
    </w:p>
    <w:p>
      <w:pPr>
        <w:pStyle w:val="Style33"/>
        <w:keepNext/>
        <w:keepLines/>
        <w:widowControl w:val="0"/>
        <w:shd w:val="clear" w:color="auto" w:fill="auto"/>
        <w:bidi w:val="0"/>
        <w:spacing w:before="0" w:after="34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1579"/>
        <w:gridCol w:w="1152"/>
        <w:gridCol w:w="850"/>
        <w:gridCol w:w="994"/>
        <w:gridCol w:w="994"/>
        <w:gridCol w:w="414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股东大会决议公告》(公告编号：</w:t>
            </w:r>
            <w:r>
              <w:rPr>
                <w:color w:val="000000"/>
                <w:spacing w:val="0"/>
                <w:w w:val="100"/>
                <w:position w:val="0"/>
                <w:sz w:val="18"/>
                <w:szCs w:val="18"/>
              </w:rPr>
              <w:t>2016-017</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 一次临时股东大会决议公告》(公告编号：</w:t>
            </w:r>
            <w:r>
              <w:rPr>
                <w:color w:val="000000"/>
                <w:spacing w:val="0"/>
                <w:w w:val="100"/>
                <w:position w:val="0"/>
                <w:sz w:val="18"/>
                <w:szCs w:val="18"/>
              </w:rPr>
              <w:t>2016-046</w:t>
            </w: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 二次临时股东大会决议公告》(公告编号：</w:t>
            </w:r>
            <w:r>
              <w:rPr>
                <w:color w:val="000000"/>
                <w:spacing w:val="0"/>
                <w:w w:val="100"/>
                <w:position w:val="0"/>
                <w:sz w:val="18"/>
                <w:szCs w:val="18"/>
              </w:rPr>
              <w:t>2016-058</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 三次临时股东大会决议公告》(公告编号：</w:t>
            </w:r>
            <w:r>
              <w:rPr>
                <w:color w:val="000000"/>
                <w:spacing w:val="0"/>
                <w:w w:val="100"/>
                <w:position w:val="0"/>
                <w:sz w:val="18"/>
                <w:szCs w:val="18"/>
              </w:rPr>
              <w:t>2016-072</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 四次临时股东大会决议公告》(公告编号：</w:t>
            </w:r>
            <w:r>
              <w:rPr>
                <w:color w:val="000000"/>
                <w:spacing w:val="0"/>
                <w:w w:val="100"/>
                <w:position w:val="0"/>
                <w:sz w:val="18"/>
                <w:szCs w:val="18"/>
              </w:rPr>
              <w:t>2016-104</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五</w:t>
      </w:r>
      <w:bookmarkEnd w:id="596"/>
      <w:r>
        <w:rPr>
          <w:color w:val="000000"/>
          <w:spacing w:val="0"/>
          <w:w w:val="100"/>
          <w:position w:val="0"/>
        </w:rPr>
        <w:t>、报告期内独立董事履行职责的情况</w:t>
      </w:r>
      <w:bookmarkEnd w:id="594"/>
      <w:bookmarkEnd w:id="595"/>
      <w:bookmarkEnd w:id="597"/>
    </w:p>
    <w:p>
      <w:pPr>
        <w:pStyle w:val="Style33"/>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656"/>
        <w:gridCol w:w="1339"/>
        <w:gridCol w:w="1344"/>
        <w:gridCol w:w="1339"/>
        <w:gridCol w:w="1344"/>
        <w:gridCol w:w="1339"/>
        <w:gridCol w:w="135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马静玉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叶陈刚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钟晓林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连续两次未亲自出席董事会的说明：无。</w:t>
      </w:r>
    </w:p>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、独立董事对公司有关事项提出异议的情况</w:t>
      </w:r>
      <w:bookmarkEnd w:id="602"/>
      <w:bookmarkEnd w:id="603"/>
      <w:bookmarkEnd w:id="60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独立董事对公司有关事项是否提出异议</w:t>
      </w:r>
    </w:p>
    <w:p>
      <w:pPr>
        <w:pStyle w:val="Style5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、独立董事履行职责的其他说明</w:t>
      </w:r>
      <w:bookmarkEnd w:id="606"/>
      <w:bookmarkEnd w:id="607"/>
      <w:bookmarkEnd w:id="60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公司独立董事关注公司运作，独立履行职责，对报告期内公司定期报告、发起设立信中利惠程产业并购基金暨关联交易、 产业并购基金后续投资、变更公司会计政策、处置公司房产、董事监事及高级管理人员薪酬方案、向激励对象授予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 期股权激励计划预留股份、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年两期股权激励计划首次授予的限制性股票与股票期权第一期 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行权等事项发表了独立意见，对完善公司治理结构、维护公司及全体股东的权益发挥了积极的作用。</w:t>
      </w:r>
    </w:p>
    <w:p>
      <w:pPr>
        <w:pStyle w:val="Style25"/>
        <w:keepNext/>
        <w:keepLines/>
        <w:widowControl w:val="0"/>
        <w:shd w:val="clear" w:color="auto" w:fill="auto"/>
        <w:tabs>
          <w:tab w:pos="558"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六</w:t>
      </w:r>
      <w:bookmarkEnd w:id="612"/>
      <w:r>
        <w:rPr>
          <w:color w:val="000000"/>
          <w:spacing w:val="0"/>
          <w:w w:val="100"/>
          <w:position w:val="0"/>
        </w:rPr>
        <w:t>、</w:t>
        <w:tab/>
        <w:t>董事会下设专门委员会在报告期内履行职责情况</w:t>
      </w:r>
      <w:bookmarkEnd w:id="610"/>
      <w:bookmarkEnd w:id="611"/>
      <w:bookmarkEnd w:id="613"/>
    </w:p>
    <w:p>
      <w:pPr>
        <w:pStyle w:val="Style29"/>
        <w:keepNext w:val="0"/>
        <w:keepLines w:val="0"/>
        <w:widowControl w:val="0"/>
        <w:shd w:val="clear" w:color="auto" w:fill="auto"/>
        <w:tabs>
          <w:tab w:pos="714" w:val="left"/>
        </w:tabs>
        <w:bidi w:val="0"/>
        <w:spacing w:before="0" w:after="0" w:line="326" w:lineRule="exact"/>
        <w:ind w:left="0" w:right="0"/>
        <w:jc w:val="left"/>
      </w:pPr>
      <w:bookmarkStart w:id="614" w:name="bookmark614"/>
      <w:r>
        <w:rPr>
          <w:rFonts w:ascii="Times New Roman" w:eastAsia="Times New Roman" w:hAnsi="Times New Roman" w:cs="Times New Roman"/>
          <w:color w:val="000000"/>
          <w:spacing w:val="0"/>
          <w:w w:val="100"/>
          <w:position w:val="0"/>
          <w:sz w:val="18"/>
          <w:szCs w:val="18"/>
        </w:rPr>
        <w:t>1</w:t>
      </w:r>
      <w:bookmarkEnd w:id="614"/>
      <w:r>
        <w:rPr>
          <w:color w:val="000000"/>
          <w:spacing w:val="0"/>
          <w:w w:val="100"/>
          <w:position w:val="0"/>
        </w:rPr>
        <w:t>、</w:t>
        <w:tab/>
        <w:t>报告期内公司董事会战略委员会未召开会议。</w:t>
      </w:r>
    </w:p>
    <w:p>
      <w:pPr>
        <w:pStyle w:val="Style29"/>
        <w:keepNext w:val="0"/>
        <w:keepLines w:val="0"/>
        <w:widowControl w:val="0"/>
        <w:shd w:val="clear" w:color="auto" w:fill="auto"/>
        <w:tabs>
          <w:tab w:pos="704" w:val="left"/>
        </w:tabs>
        <w:bidi w:val="0"/>
        <w:spacing w:before="0" w:after="0" w:line="326" w:lineRule="exact"/>
        <w:ind w:left="0" w:right="0"/>
        <w:jc w:val="both"/>
      </w:pPr>
      <w:bookmarkStart w:id="615" w:name="bookmark615"/>
      <w:r>
        <w:rPr>
          <w:rFonts w:ascii="Times New Roman" w:eastAsia="Times New Roman" w:hAnsi="Times New Roman" w:cs="Times New Roman"/>
          <w:color w:val="000000"/>
          <w:spacing w:val="0"/>
          <w:w w:val="100"/>
          <w:position w:val="0"/>
          <w:sz w:val="18"/>
          <w:szCs w:val="18"/>
        </w:rPr>
        <w:t>2</w:t>
      </w:r>
      <w:bookmarkEnd w:id="615"/>
      <w:r>
        <w:rPr>
          <w:color w:val="000000"/>
          <w:spacing w:val="0"/>
          <w:w w:val="100"/>
          <w:position w:val="0"/>
        </w:rPr>
        <w:t>、</w:t>
        <w:tab/>
        <w:t>报告期内公司董事会审计委员会召开了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次会议，审议公司审计室提交的各项内部审计报告，听取审计室年度工作总 结和工作计划安排，指导审计室开展各项工作，围绕定期报告审计开展各项工作，相关议案已提交公司董事会审议。</w:t>
      </w:r>
    </w:p>
    <w:p>
      <w:pPr>
        <w:pStyle w:val="Style29"/>
        <w:keepNext w:val="0"/>
        <w:keepLines w:val="0"/>
        <w:widowControl w:val="0"/>
        <w:shd w:val="clear" w:color="auto" w:fill="auto"/>
        <w:tabs>
          <w:tab w:pos="714" w:val="left"/>
        </w:tabs>
        <w:bidi w:val="0"/>
        <w:spacing w:before="0" w:after="0" w:line="318" w:lineRule="exact"/>
        <w:ind w:left="0" w:right="0"/>
        <w:jc w:val="both"/>
      </w:pPr>
      <w:bookmarkStart w:id="616" w:name="bookmark616"/>
      <w:r>
        <w:rPr>
          <w:rFonts w:ascii="Times New Roman" w:eastAsia="Times New Roman" w:hAnsi="Times New Roman" w:cs="Times New Roman"/>
          <w:color w:val="000000"/>
          <w:spacing w:val="0"/>
          <w:w w:val="100"/>
          <w:position w:val="0"/>
          <w:sz w:val="18"/>
          <w:szCs w:val="18"/>
        </w:rPr>
        <w:t>3</w:t>
      </w:r>
      <w:bookmarkEnd w:id="616"/>
      <w:r>
        <w:rPr>
          <w:color w:val="000000"/>
          <w:spacing w:val="0"/>
          <w:w w:val="100"/>
          <w:position w:val="0"/>
        </w:rPr>
        <w:t>、</w:t>
        <w:tab/>
        <w:t>报告期内公司董事会薪酬与考核委员会召开了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次会议，审议公司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年度绩效考核报告暨年度奖金分配方案、董事 监事及高级管理人员薪酬方案、向激励对象授予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年两期股权激励计划预留股份、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年股权激励计划、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 权激励计划首次授予的限制性股票与股票期权第一期解锁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行权等事项，相关议案已提交公司董事会审议。</w:t>
      </w:r>
    </w:p>
    <w:p>
      <w:pPr>
        <w:pStyle w:val="Style29"/>
        <w:keepNext w:val="0"/>
        <w:keepLines w:val="0"/>
        <w:widowControl w:val="0"/>
        <w:shd w:val="clear" w:color="auto" w:fill="auto"/>
        <w:tabs>
          <w:tab w:pos="699" w:val="left"/>
        </w:tabs>
        <w:bidi w:val="0"/>
        <w:spacing w:before="0" w:after="380" w:line="318" w:lineRule="exact"/>
        <w:ind w:left="0" w:right="0"/>
        <w:jc w:val="both"/>
      </w:pPr>
      <w:bookmarkStart w:id="617" w:name="bookmark617"/>
      <w:r>
        <w:rPr>
          <w:rFonts w:ascii="Times New Roman" w:eastAsia="Times New Roman" w:hAnsi="Times New Roman" w:cs="Times New Roman"/>
          <w:color w:val="000000"/>
          <w:spacing w:val="0"/>
          <w:w w:val="100"/>
          <w:position w:val="0"/>
          <w:sz w:val="18"/>
          <w:szCs w:val="18"/>
        </w:rPr>
        <w:t>4</w:t>
      </w:r>
      <w:bookmarkEnd w:id="617"/>
      <w:r>
        <w:rPr>
          <w:color w:val="000000"/>
          <w:spacing w:val="0"/>
          <w:w w:val="100"/>
          <w:position w:val="0"/>
        </w:rPr>
        <w:t>、</w:t>
        <w:tab/>
        <w:t xml:space="preserve">报告期内公司董事会提名委员会召开了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次会议，审议公司聘任总裁、副总裁的议案，相关议案已提交公司董事会审 议。</w:t>
      </w:r>
    </w:p>
    <w:p>
      <w:pPr>
        <w:pStyle w:val="Style25"/>
        <w:keepNext/>
        <w:keepLines/>
        <w:widowControl w:val="0"/>
        <w:shd w:val="clear" w:color="auto" w:fill="auto"/>
        <w:tabs>
          <w:tab w:pos="558"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七</w:t>
      </w:r>
      <w:bookmarkEnd w:id="620"/>
      <w:r>
        <w:rPr>
          <w:color w:val="000000"/>
          <w:spacing w:val="0"/>
          <w:w w:val="100"/>
          <w:position w:val="0"/>
        </w:rPr>
        <w:t>、</w:t>
        <w:tab/>
        <w:t>监事会工作情况</w:t>
      </w:r>
      <w:bookmarkEnd w:id="618"/>
      <w:bookmarkEnd w:id="619"/>
      <w:bookmarkEnd w:id="621"/>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58"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八</w:t>
      </w:r>
      <w:bookmarkEnd w:id="624"/>
      <w:r>
        <w:rPr>
          <w:color w:val="000000"/>
          <w:spacing w:val="0"/>
          <w:w w:val="100"/>
          <w:position w:val="0"/>
        </w:rPr>
        <w:t>、</w:t>
        <w:tab/>
        <w:t>高级管理人员的考评及激励情况</w:t>
      </w:r>
      <w:bookmarkEnd w:id="622"/>
      <w:bookmarkEnd w:id="623"/>
      <w:bookmarkEnd w:id="625"/>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根据《董事、监事、高级管理人员薪酬制度》，对于公司引进高管人员或对公司有杰出贡献的人员，其个人报酬由董事 会或总裁决定，公司独立董事应对该薪酬方案发表意见。高管人员的个人绩效奖金与公司经营目标挂钩，董事会薪酬与考核 委员会根据上年生产经营计划对公司高管人员进行考核，具体确定各高管人员的绩效奖金数额及发放方式。任何高管人员都 不应当参与其自身薪酬的决定过程。</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日，根据公司第二期限制性股票与股票期权激励计划，公司授予纪晓文、杨富年等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名董事、高级管理人 员及核心管理人员限制性股票共计</w:t>
      </w:r>
      <w:r>
        <w:rPr>
          <w:rFonts w:ascii="Times New Roman" w:eastAsia="Times New Roman" w:hAnsi="Times New Roman" w:cs="Times New Roman"/>
          <w:color w:val="000000"/>
          <w:spacing w:val="0"/>
          <w:w w:val="100"/>
          <w:position w:val="0"/>
          <w:sz w:val="18"/>
          <w:szCs w:val="18"/>
        </w:rPr>
        <w:t>1,570</w:t>
      </w:r>
      <w:r>
        <w:rPr>
          <w:color w:val="000000"/>
          <w:spacing w:val="0"/>
          <w:w w:val="100"/>
          <w:position w:val="0"/>
        </w:rPr>
        <w:t>万股和股票期权共计</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万份，相关授予登记工作已于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日完成，授予的 限制性股票已于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日上市流通。</w:t>
      </w:r>
    </w:p>
    <w:p>
      <w:pPr>
        <w:pStyle w:val="Style2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日，根据公司第一期限制性股票与股票期权激励计划，公司授予纪晓文、杨富年等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名董事、高级管理人 员限制性股票共计</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万股，相关授予登记工作已于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日完成，授予的限制性股票已于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29"/>
        <w:keepNext w:val="0"/>
        <w:keepLines w:val="0"/>
        <w:widowControl w:val="0"/>
        <w:shd w:val="clear" w:color="auto" w:fill="auto"/>
        <w:bidi w:val="0"/>
        <w:spacing w:before="0" w:after="260" w:line="31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年限制性股票激励计划，公司授予徐海啸、沈晓超等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名董事、高级管理人员及核心管 理人员限制性股票共计</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rPr>
        <w:t>万股，相关授予登记工作已于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日完成，授予的限制性股票已于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日上 市流通。</w:t>
      </w:r>
      <w:r>
        <w:br w:type="page"/>
      </w:r>
    </w:p>
    <w:p>
      <w:pPr>
        <w:pStyle w:val="Style25"/>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九</w:t>
      </w:r>
      <w:bookmarkEnd w:id="628"/>
      <w:r>
        <w:rPr>
          <w:color w:val="000000"/>
          <w:spacing w:val="0"/>
          <w:w w:val="100"/>
          <w:position w:val="0"/>
        </w:rPr>
        <w:t>、内部控制评价报告</w:t>
      </w:r>
      <w:bookmarkEnd w:id="626"/>
      <w:bookmarkEnd w:id="627"/>
      <w:bookmarkEnd w:id="629"/>
    </w:p>
    <w:p>
      <w:pPr>
        <w:pStyle w:val="Style33"/>
        <w:keepNext/>
        <w:keepLines/>
        <w:widowControl w:val="0"/>
        <w:shd w:val="clear" w:color="auto" w:fill="auto"/>
        <w:tabs>
          <w:tab w:pos="368" w:val="left"/>
        </w:tabs>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报告期内发现的内部控制重大缺陷的具体情况</w:t>
      </w:r>
      <w:bookmarkEnd w:id="630"/>
      <w:bookmarkEnd w:id="631"/>
      <w:bookmarkEnd w:id="63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内控自我评价报告</w:t>
      </w:r>
      <w:bookmarkEnd w:id="634"/>
      <w:bookmarkEnd w:id="635"/>
      <w:bookmarkEnd w:id="637"/>
    </w:p>
    <w:tbl>
      <w:tblPr>
        <w:tblOverlap w:val="never"/>
        <w:jc w:val="center"/>
        <w:tblLayout w:type="fixed"/>
      </w:tblPr>
      <w:tblGrid>
        <w:gridCol w:w="3245"/>
        <w:gridCol w:w="3370"/>
        <w:gridCol w:w="310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年度内部 控制的自我评价报告》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45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numPr>
                <w:ilvl w:val="0"/>
                <w:numId w:val="7"/>
              </w:numPr>
              <w:shd w:val="clear" w:color="auto" w:fill="auto"/>
              <w:tabs>
                <w:tab w:pos="182"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重大缺陷：控制环境无效；公司审核委 员会和内部审计机构对内部控制的监督无 效；发现董事、监事和高级管理人员重大 舞弊；公司对已经公布的财务报表进行重 大更正；外部审计发现当期财务报表存在 重大错报，而内部控制在运行过程中未能 发现该错报；已经发现并报告给管理层的 重大缺陷在合理的时间后未加以改正；其 他可能影响报表使用者正确判断的缺陷。</w:t>
            </w:r>
          </w:p>
          <w:p>
            <w:pPr>
              <w:pStyle w:val="Style22"/>
              <w:keepNext w:val="0"/>
              <w:keepLines w:val="0"/>
              <w:widowControl w:val="0"/>
              <w:numPr>
                <w:ilvl w:val="0"/>
                <w:numId w:val="7"/>
              </w:numPr>
              <w:shd w:val="clear" w:color="auto" w:fill="auto"/>
              <w:tabs>
                <w:tab w:pos="182"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重要缺陷：单独缺陷或连同其他缺陷组 合，其严重程度低于重大缺陷，但仍有可 能导致公司偏离控制目标。</w:t>
            </w:r>
          </w:p>
          <w:p>
            <w:pPr>
              <w:pStyle w:val="Style22"/>
              <w:keepNext w:val="0"/>
              <w:keepLines w:val="0"/>
              <w:widowControl w:val="0"/>
              <w:numPr>
                <w:ilvl w:val="0"/>
                <w:numId w:val="7"/>
              </w:numPr>
              <w:shd w:val="clear" w:color="auto" w:fill="auto"/>
              <w:tabs>
                <w:tab w:pos="182" w:val="left"/>
              </w:tabs>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一般缺陷：不构成重大缺陷或重要缺陷 的其他内部控制缺陷。</w:t>
            </w:r>
          </w:p>
        </w:tc>
        <w:tc>
          <w:tcPr>
            <w:tcBorders>
              <w:top w:val="single" w:sz="4"/>
              <w:left w:val="single" w:sz="4"/>
              <w:right w:val="single" w:sz="4"/>
            </w:tcBorders>
            <w:shd w:val="clear" w:color="auto" w:fill="FFFFFF"/>
            <w:vAlign w:val="center"/>
          </w:tcPr>
          <w:p>
            <w:pPr>
              <w:pStyle w:val="Style22"/>
              <w:keepNext w:val="0"/>
              <w:keepLines w:val="0"/>
              <w:widowControl w:val="0"/>
              <w:numPr>
                <w:ilvl w:val="0"/>
                <w:numId w:val="9"/>
              </w:numPr>
              <w:shd w:val="clear" w:color="auto" w:fill="auto"/>
              <w:tabs>
                <w:tab w:pos="187"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重大缺陷：违反国家法律、法规或规 范性文件；缺乏决策程序或决策程序不 科学，导致重大失误；重要业务缺乏制 度控制或制度系统性失败；内部控制评 价的结果特别是重大或重要缺陷未得 到整改；其他对公司影响重大的情形。</w:t>
            </w:r>
          </w:p>
          <w:p>
            <w:pPr>
              <w:pStyle w:val="Style22"/>
              <w:keepNext w:val="0"/>
              <w:keepLines w:val="0"/>
              <w:widowControl w:val="0"/>
              <w:numPr>
                <w:ilvl w:val="0"/>
                <w:numId w:val="9"/>
              </w:numPr>
              <w:shd w:val="clear" w:color="auto" w:fill="auto"/>
              <w:tabs>
                <w:tab w:pos="187"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重要缺陷：单独缺陷或连同其他缺陷 组合，其严重程度低于重大缺陷，但仍 有可能导致公司偏离控制目标。</w:t>
            </w:r>
          </w:p>
          <w:p>
            <w:pPr>
              <w:pStyle w:val="Style22"/>
              <w:keepNext w:val="0"/>
              <w:keepLines w:val="0"/>
              <w:widowControl w:val="0"/>
              <w:numPr>
                <w:ilvl w:val="0"/>
                <w:numId w:val="9"/>
              </w:numPr>
              <w:shd w:val="clear" w:color="auto" w:fill="auto"/>
              <w:tabs>
                <w:tab w:pos="187"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一般缺陷：不构成重大缺陷或重要缺 陷的其他内部控制缺陷。</w:t>
            </w:r>
          </w:p>
        </w:tc>
      </w:tr>
      <w:tr>
        <w:trPr>
          <w:trHeight w:val="349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公司所采用标准直接取决于该内部控制缺 陷造成财产损失大小，根据损失占公司上 一年度合并报表的潜在错报项目总额的比 率作为判断标准。</w:t>
            </w:r>
          </w:p>
          <w:p>
            <w:pPr>
              <w:pStyle w:val="Style22"/>
              <w:keepNext w:val="0"/>
              <w:keepLines w:val="0"/>
              <w:widowControl w:val="0"/>
              <w:numPr>
                <w:ilvl w:val="0"/>
                <w:numId w:val="11"/>
              </w:numPr>
              <w:shd w:val="clear" w:color="auto" w:fill="auto"/>
              <w:tabs>
                <w:tab w:pos="187" w:val="left"/>
              </w:tabs>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重大缺陷：潜在错报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 xml:space="preserve">营业收入总额的 </w:t>
            </w:r>
            <w:r>
              <w:rPr>
                <w:color w:val="000000"/>
                <w:spacing w:val="0"/>
                <w:w w:val="100"/>
                <w:position w:val="0"/>
                <w:sz w:val="18"/>
                <w:szCs w:val="18"/>
              </w:rPr>
              <w:t>3%</w:t>
            </w:r>
            <w:r>
              <w:rPr>
                <w:rFonts w:ascii="SimSun" w:eastAsia="SimSun" w:hAnsi="SimSun" w:cs="SimSun"/>
                <w:color w:val="000000"/>
                <w:spacing w:val="0"/>
                <w:w w:val="100"/>
                <w:position w:val="0"/>
                <w:sz w:val="17"/>
                <w:szCs w:val="17"/>
              </w:rPr>
              <w:t>；潜在错报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；潜在错报 </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2"/>
              <w:keepNext w:val="0"/>
              <w:keepLines w:val="0"/>
              <w:widowControl w:val="0"/>
              <w:numPr>
                <w:ilvl w:val="0"/>
                <w:numId w:val="11"/>
              </w:numPr>
              <w:shd w:val="clear" w:color="auto" w:fill="auto"/>
              <w:tabs>
                <w:tab w:pos="182" w:val="left"/>
              </w:tabs>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重要缺陷：营业收入总额的</w:t>
            </w:r>
            <w:r>
              <w:rPr>
                <w:color w:val="000000"/>
                <w:spacing w:val="0"/>
                <w:w w:val="100"/>
                <w:position w:val="0"/>
                <w:sz w:val="18"/>
                <w:szCs w:val="18"/>
              </w:rPr>
              <w:t>2%S</w:t>
            </w:r>
            <w:r>
              <w:rPr>
                <w:rFonts w:ascii="SimSun" w:eastAsia="SimSun" w:hAnsi="SimSun" w:cs="SimSun"/>
                <w:color w:val="000000"/>
                <w:spacing w:val="0"/>
                <w:w w:val="100"/>
                <w:position w:val="0"/>
                <w:sz w:val="17"/>
                <w:szCs w:val="17"/>
              </w:rPr>
              <w:t>潜在错 报〈营业收入总额的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 xml:space="preserve">2%W </w:t>
            </w:r>
            <w:r>
              <w:rPr>
                <w:rFonts w:ascii="SimSun" w:eastAsia="SimSun" w:hAnsi="SimSun" w:cs="SimSun"/>
                <w:color w:val="000000"/>
                <w:spacing w:val="0"/>
                <w:w w:val="100"/>
                <w:position w:val="0"/>
                <w:sz w:val="17"/>
                <w:szCs w:val="17"/>
              </w:rPr>
              <w:t>潜在错报〈利润总额的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；资产总额的 </w:t>
            </w:r>
            <w:r>
              <w:rPr>
                <w:color w:val="000000"/>
                <w:spacing w:val="0"/>
                <w:w w:val="100"/>
                <w:position w:val="0"/>
                <w:sz w:val="18"/>
                <w:szCs w:val="18"/>
              </w:rPr>
              <w:t>1%S</w:t>
            </w:r>
            <w:r>
              <w:rPr>
                <w:rFonts w:ascii="SimSun" w:eastAsia="SimSun" w:hAnsi="SimSun" w:cs="SimSun"/>
                <w:color w:val="000000"/>
                <w:spacing w:val="0"/>
                <w:w w:val="100"/>
                <w:position w:val="0"/>
                <w:sz w:val="17"/>
                <w:szCs w:val="17"/>
              </w:rPr>
              <w:t>潜在错报〈资产总额的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公司所采用标准直接取决于该内部控 制缺陷造成财产损失大小，根据损失占 公司上一年度合并报表资产总额的比 率作为判断标准。</w:t>
            </w:r>
          </w:p>
          <w:p>
            <w:pPr>
              <w:pStyle w:val="Style22"/>
              <w:keepNext w:val="0"/>
              <w:keepLines w:val="0"/>
              <w:widowControl w:val="0"/>
              <w:numPr>
                <w:ilvl w:val="0"/>
                <w:numId w:val="13"/>
              </w:numPr>
              <w:shd w:val="clear" w:color="auto" w:fill="auto"/>
              <w:tabs>
                <w:tab w:pos="187" w:val="left"/>
              </w:tabs>
              <w:bidi w:val="0"/>
              <w:spacing w:before="0" w:after="120" w:line="310" w:lineRule="exact"/>
              <w:ind w:left="0" w:right="0" w:firstLine="0"/>
              <w:jc w:val="both"/>
              <w:rPr>
                <w:sz w:val="17"/>
                <w:szCs w:val="17"/>
              </w:rPr>
            </w:pPr>
            <w:r>
              <w:rPr>
                <w:rFonts w:ascii="SimSun" w:eastAsia="SimSun" w:hAnsi="SimSun" w:cs="SimSun"/>
                <w:color w:val="000000"/>
                <w:spacing w:val="0"/>
                <w:w w:val="100"/>
                <w:position w:val="0"/>
                <w:sz w:val="17"/>
                <w:szCs w:val="17"/>
              </w:rPr>
              <w:t>重大缺陷：损失金额</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2"/>
              <w:keepNext w:val="0"/>
              <w:keepLines w:val="0"/>
              <w:widowControl w:val="0"/>
              <w:numPr>
                <w:ilvl w:val="0"/>
                <w:numId w:val="13"/>
              </w:numPr>
              <w:shd w:val="clear" w:color="auto" w:fill="auto"/>
              <w:tabs>
                <w:tab w:pos="187" w:val="left"/>
              </w:tabs>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重要缺陷：资产总额的</w:t>
            </w:r>
            <w:r>
              <w:rPr>
                <w:color w:val="000000"/>
                <w:spacing w:val="0"/>
                <w:w w:val="100"/>
                <w:position w:val="0"/>
                <w:sz w:val="18"/>
                <w:szCs w:val="18"/>
              </w:rPr>
              <w:t>1%W</w:t>
            </w:r>
            <w:r>
              <w:rPr>
                <w:rFonts w:ascii="SimSun" w:eastAsia="SimSun" w:hAnsi="SimSun" w:cs="SimSun"/>
                <w:color w:val="000000"/>
                <w:spacing w:val="0"/>
                <w:w w:val="100"/>
                <w:position w:val="0"/>
                <w:sz w:val="17"/>
                <w:szCs w:val="17"/>
              </w:rPr>
              <w:t>损失金额 〈资产总额的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2"/>
              <w:keepNext w:val="0"/>
              <w:keepLines w:val="0"/>
              <w:widowControl w:val="0"/>
              <w:numPr>
                <w:ilvl w:val="0"/>
                <w:numId w:val="13"/>
              </w:numPr>
              <w:shd w:val="clear" w:color="auto" w:fill="auto"/>
              <w:tabs>
                <w:tab w:pos="187" w:val="left"/>
              </w:tabs>
              <w:bidi w:val="0"/>
              <w:spacing w:before="0" w:after="120" w:line="310" w:lineRule="exact"/>
              <w:ind w:left="0" w:right="0" w:firstLine="0"/>
              <w:jc w:val="left"/>
              <w:rPr>
                <w:sz w:val="17"/>
                <w:szCs w:val="17"/>
              </w:rPr>
            </w:pPr>
            <w:r>
              <w:rPr>
                <w:rFonts w:ascii="SimSun" w:eastAsia="SimSun" w:hAnsi="SimSun" w:cs="SimSun"/>
                <w:color w:val="000000"/>
                <w:spacing w:val="0"/>
                <w:w w:val="100"/>
                <w:position w:val="0"/>
                <w:sz w:val="17"/>
                <w:szCs w:val="17"/>
              </w:rPr>
              <w:t>一般缺陷：损失金额〈资产总额的</w:t>
            </w:r>
          </w:p>
          <w:p>
            <w:pPr>
              <w:pStyle w:val="Style22"/>
              <w:keepNext w:val="0"/>
              <w:keepLines w:val="0"/>
              <w:widowControl w:val="0"/>
              <w:shd w:val="clear" w:color="auto" w:fill="auto"/>
              <w:bidi w:val="0"/>
              <w:spacing w:before="0" w:after="60" w:line="36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bl>
    <w:p>
      <w:pPr>
        <w:widowControl w:val="0"/>
        <w:spacing w:line="1" w:lineRule="exact"/>
      </w:pPr>
      <w:r>
        <w:br w:type="page"/>
      </w:r>
    </w:p>
    <w:tbl>
      <w:tblPr>
        <w:tblOverlap w:val="never"/>
        <w:jc w:val="center"/>
        <w:tblLayout w:type="fixed"/>
      </w:tblPr>
      <w:tblGrid>
        <w:gridCol w:w="3245"/>
        <w:gridCol w:w="3370"/>
        <w:gridCol w:w="3101"/>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③一般缺陷：潜在错报〈营业收入总额的 </w:t>
            </w:r>
            <w:r>
              <w:rPr>
                <w:color w:val="000000"/>
                <w:spacing w:val="0"/>
                <w:w w:val="100"/>
                <w:position w:val="0"/>
                <w:sz w:val="18"/>
                <w:szCs w:val="18"/>
              </w:rPr>
              <w:t>2%</w:t>
            </w:r>
            <w:r>
              <w:rPr>
                <w:rFonts w:ascii="SimSun" w:eastAsia="SimSun" w:hAnsi="SimSun" w:cs="SimSun"/>
                <w:color w:val="000000"/>
                <w:spacing w:val="0"/>
                <w:w w:val="100"/>
                <w:position w:val="0"/>
                <w:sz w:val="17"/>
                <w:szCs w:val="17"/>
              </w:rPr>
              <w:t>；潜在错报〈利润总额的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；潜在错 报〈资产总额的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。当某项内部控制缺陷 导致的潜在错报影响多项指标时，按孰低 原则认定缺陷性质。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638" w:name="bookmark638"/>
      <w:bookmarkStart w:id="639" w:name="bookmark639"/>
      <w:bookmarkStart w:id="640" w:name="bookmark640"/>
      <w:r>
        <w:rPr>
          <w:color w:val="000000"/>
          <w:spacing w:val="0"/>
          <w:w w:val="100"/>
          <w:position w:val="0"/>
        </w:rPr>
        <w:t>十、内部控制审计报告或鉴证报告</w:t>
      </w:r>
      <w:bookmarkEnd w:id="638"/>
      <w:bookmarkEnd w:id="639"/>
      <w:bookmarkEnd w:id="640"/>
    </w:p>
    <w:p>
      <w:pPr>
        <w:pStyle w:val="Style27"/>
        <w:keepNext w:val="0"/>
        <w:keepLines w:val="0"/>
        <w:widowControl w:val="0"/>
        <w:shd w:val="clear" w:color="auto" w:fill="auto"/>
        <w:bidi w:val="0"/>
        <w:spacing w:before="0" w:after="0" w:line="240" w:lineRule="auto"/>
        <w:ind w:left="38" w:right="0" w:firstLine="0"/>
        <w:jc w:val="left"/>
      </w:pPr>
      <w:r>
        <w:rPr>
          <w:color w:val="000000"/>
          <w:spacing w:val="0"/>
          <w:w w:val="100"/>
          <w:position w:val="0"/>
        </w:rPr>
        <w:t>内部控制鉴证报告</w:t>
      </w:r>
    </w:p>
    <w:tbl>
      <w:tblPr>
        <w:tblOverlap w:val="never"/>
        <w:jc w:val="center"/>
        <w:tblLayout w:type="fixed"/>
      </w:tblPr>
      <w:tblGrid>
        <w:gridCol w:w="2707"/>
        <w:gridCol w:w="7008"/>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我们认为，贵公司于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日按照《企业内部控制基本规范》和相关规定在所有重大方面保持了有效的财务报告 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）《内部控制鉴证报告》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346" w:lineRule="exact"/>
        <w:ind w:left="0" w:right="0" w:firstLine="0"/>
        <w:jc w:val="left"/>
        <w:sectPr>
          <w:footnotePr>
            <w:pos w:val="pageBottom"/>
            <w:numFmt w:val="decimal"/>
            <w:numRestart w:val="continuous"/>
          </w:footnotePr>
          <w:type w:val="continuous"/>
          <w:pgSz w:w="11900" w:h="16840"/>
          <w:pgMar w:top="1387" w:right="1008" w:bottom="1465" w:left="1024"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keepLines/>
        <w:widowControl w:val="0"/>
        <w:shd w:val="clear" w:color="auto" w:fill="auto"/>
        <w:bidi w:val="0"/>
        <w:spacing w:before="0" w:after="600" w:line="240" w:lineRule="auto"/>
        <w:ind w:left="0" w:right="0" w:firstLine="0"/>
        <w:jc w:val="center"/>
      </w:pPr>
      <w:bookmarkStart w:id="641" w:name="bookmark641"/>
      <w:bookmarkStart w:id="642" w:name="bookmark642"/>
      <w:bookmarkStart w:id="643" w:name="bookmark643"/>
      <w:r>
        <w:rPr>
          <w:color w:val="000000"/>
          <w:spacing w:val="0"/>
          <w:w w:val="100"/>
          <w:position w:val="0"/>
        </w:rPr>
        <w:t>第十节公司债券相关情况</w:t>
      </w:r>
      <w:bookmarkEnd w:id="641"/>
      <w:bookmarkEnd w:id="642"/>
      <w:bookmarkEnd w:id="643"/>
    </w:p>
    <w:p>
      <w:pPr>
        <w:pStyle w:val="Style29"/>
        <w:keepNext w:val="0"/>
        <w:keepLines w:val="0"/>
        <w:widowControl w:val="0"/>
        <w:shd w:val="clear" w:color="auto" w:fill="auto"/>
        <w:bidi w:val="0"/>
        <w:spacing w:before="0" w:after="140" w:line="240" w:lineRule="auto"/>
        <w:ind w:left="0" w:right="0" w:firstLine="0"/>
        <w:jc w:val="left"/>
      </w:pPr>
      <w:bookmarkStart w:id="644" w:name="bookmark644"/>
      <w:r>
        <w:rPr>
          <w:color w:val="000000"/>
          <w:spacing w:val="0"/>
          <w:w w:val="100"/>
          <w:position w:val="0"/>
        </w:rPr>
        <w:t>公司是否存在公开发行并在证券交易所上市，且在年度报告批准报出日未到期或到期未能全额兑付的公司债券</w:t>
      </w:r>
      <w:bookmarkEnd w:id="644"/>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095" w:bottom="1921" w:left="1090"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520" w:after="540" w:line="240" w:lineRule="auto"/>
        <w:ind w:left="0" w:right="0" w:firstLine="0"/>
        <w:jc w:val="center"/>
      </w:pPr>
      <w:bookmarkStart w:id="645" w:name="bookmark645"/>
      <w:bookmarkStart w:id="646" w:name="bookmark646"/>
      <w:bookmarkStart w:id="647" w:name="bookmark647"/>
      <w:r>
        <w:rPr>
          <w:color w:val="000000"/>
          <w:spacing w:val="0"/>
          <w:w w:val="100"/>
          <w:position w:val="0"/>
        </w:rPr>
        <w:t>第十一节财务报告</w:t>
      </w:r>
      <w:bookmarkEnd w:id="645"/>
      <w:bookmarkEnd w:id="646"/>
      <w:bookmarkEnd w:id="647"/>
    </w:p>
    <w:p>
      <w:pPr>
        <w:pStyle w:val="Style25"/>
        <w:keepNext/>
        <w:keepLines/>
        <w:widowControl w:val="0"/>
        <w:shd w:val="clear" w:color="auto" w:fill="auto"/>
        <w:bidi w:val="0"/>
        <w:spacing w:before="0" w:after="32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一、审计报告</w:t>
      </w:r>
      <w:bookmarkEnd w:id="649"/>
      <w:bookmarkEnd w:id="650"/>
      <w:bookmarkEnd w:id="651"/>
      <w:bookmarkEnd w:id="648"/>
    </w:p>
    <w:tbl>
      <w:tblPr>
        <w:tblOverlap w:val="never"/>
        <w:jc w:val="center"/>
        <w:tblLayout w:type="fixed"/>
      </w:tblPr>
      <w:tblGrid>
        <w:gridCol w:w="4853"/>
        <w:gridCol w:w="48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上会会计师事务所（特殊普通合伙）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上会师报字（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0430</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刘冬祥、李则华</w:t>
            </w:r>
          </w:p>
        </w:tc>
      </w:tr>
    </w:tbl>
    <w:p>
      <w:pPr>
        <w:pStyle w:val="Style27"/>
        <w:keepNext w:val="0"/>
        <w:keepLines w:val="0"/>
        <w:widowControl w:val="0"/>
        <w:shd w:val="clear" w:color="auto" w:fill="auto"/>
        <w:bidi w:val="0"/>
        <w:spacing w:before="0" w:after="0" w:line="240" w:lineRule="auto"/>
        <w:ind w:left="4306"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深圳市惠程电气股份有限公司全体股东：</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我们审计了后附的深圳市惠程电气股份有限公司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以下简称“深圳惠程公司”）财务报表，包括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 报表附注。</w:t>
      </w:r>
    </w:p>
    <w:p>
      <w:pPr>
        <w:pStyle w:val="Style29"/>
        <w:keepNext w:val="0"/>
        <w:keepLines w:val="0"/>
        <w:widowControl w:val="0"/>
        <w:shd w:val="clear" w:color="auto" w:fill="auto"/>
        <w:tabs>
          <w:tab w:pos="820" w:val="left"/>
        </w:tabs>
        <w:bidi w:val="0"/>
        <w:spacing w:before="0" w:after="0" w:line="311" w:lineRule="exact"/>
        <w:ind w:left="0" w:right="0"/>
        <w:jc w:val="both"/>
      </w:pPr>
      <w:bookmarkStart w:id="652" w:name="bookmark652"/>
      <w:r>
        <w:rPr>
          <w:b/>
          <w:bCs/>
          <w:color w:val="000000"/>
          <w:spacing w:val="0"/>
          <w:w w:val="100"/>
          <w:position w:val="0"/>
        </w:rPr>
        <w:t>一</w:t>
      </w:r>
      <w:bookmarkEnd w:id="652"/>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编制和公允列报财务报表是深圳惠程公司管理层的责任，这种责任包括：（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20" w:val="left"/>
        </w:tabs>
        <w:bidi w:val="0"/>
        <w:spacing w:before="0" w:after="0" w:line="311" w:lineRule="exact"/>
        <w:ind w:left="0" w:right="0"/>
        <w:jc w:val="both"/>
      </w:pPr>
      <w:bookmarkStart w:id="653" w:name="bookmark653"/>
      <w:r>
        <w:rPr>
          <w:b/>
          <w:bCs/>
          <w:color w:val="000000"/>
          <w:spacing w:val="0"/>
          <w:w w:val="100"/>
          <w:position w:val="0"/>
        </w:rPr>
        <w:t>二</w:t>
      </w:r>
      <w:bookmarkEnd w:id="653"/>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after="0" w:line="311" w:lineRule="exact"/>
        <w:ind w:left="0" w:right="0"/>
        <w:jc w:val="both"/>
      </w:pPr>
      <w:bookmarkStart w:id="654" w:name="bookmark654"/>
      <w:r>
        <w:rPr>
          <w:b/>
          <w:bCs/>
          <w:color w:val="000000"/>
          <w:spacing w:val="0"/>
          <w:w w:val="100"/>
          <w:position w:val="0"/>
        </w:rPr>
        <w:t>三</w:t>
      </w:r>
      <w:bookmarkEnd w:id="654"/>
      <w:r>
        <w:rPr>
          <w:b/>
          <w:bCs/>
          <w:color w:val="000000"/>
          <w:spacing w:val="0"/>
          <w:w w:val="100"/>
          <w:position w:val="0"/>
        </w:rPr>
        <w:t>、</w:t>
        <w:tab/>
        <w:t>审计意见</w:t>
      </w:r>
    </w:p>
    <w:p>
      <w:pPr>
        <w:pStyle w:val="Style29"/>
        <w:keepNext w:val="0"/>
        <w:keepLines w:val="0"/>
        <w:widowControl w:val="0"/>
        <w:shd w:val="clear" w:color="auto" w:fill="auto"/>
        <w:bidi w:val="0"/>
        <w:spacing w:before="0" w:after="160" w:line="311" w:lineRule="exact"/>
        <w:ind w:left="0" w:right="0"/>
        <w:jc w:val="both"/>
      </w:pPr>
      <w:r>
        <w:rPr>
          <w:color w:val="000000"/>
          <w:spacing w:val="0"/>
          <w:w w:val="100"/>
          <w:position w:val="0"/>
        </w:rPr>
        <w:t>我们认为，深圳惠程公司财务报表在所有重大方面按照企业会计准则的规定编制，公允反映了深圳惠程公司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r>
        <w:br w:type="page"/>
      </w:r>
    </w:p>
    <w:p>
      <w:pPr>
        <w:pStyle w:val="Style25"/>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二</w:t>
      </w:r>
      <w:bookmarkEnd w:id="657"/>
      <w:r>
        <w:rPr>
          <w:color w:val="000000"/>
          <w:spacing w:val="0"/>
          <w:w w:val="100"/>
          <w:position w:val="0"/>
        </w:rPr>
        <w:t>、财务报表</w:t>
      </w:r>
      <w:bookmarkEnd w:id="655"/>
      <w:bookmarkEnd w:id="656"/>
      <w:bookmarkEnd w:id="65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、合并资产负债表</w:t>
      </w:r>
      <w:bookmarkEnd w:id="659"/>
      <w:bookmarkEnd w:id="660"/>
      <w:bookmarkEnd w:id="6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5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05"/>
        <w:gridCol w:w="23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67,402,733.52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406,626,084.56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99,371,765.40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3,178,756.57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859,530.00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115,088,573.05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97,332,332.67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248,248.60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1,965,369.42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735,616.44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16,039,353.71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8,763,945.96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66,351,928.70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50,247,545.69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585,168,059.08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543,409,278.01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952,849,418.63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1,109,939,702.75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109,093.66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264,912,386.01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55,487,500.00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104,839,944.05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117,369,604.13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903,218.56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81,969,140.00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10,058,306.57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11,288,116.84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359,972.58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582,759.11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1,216,031.56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17,873,752.15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10,744,704.38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5,288,696.97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43,503,500.00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1,089,438,959.83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321,687,690.57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2,042,288,378.46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1,431,627,393.32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53,650,554.82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34,501,968.28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11,372,048.74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77,570,953.76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44,720,749.22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3,642,369.56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3,090,244.86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8,705,411.74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7,980,444.51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9,839,416.91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14,112,874.55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481,928,272.19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143,710,303.42</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669,907,352.22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224,986,665.30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1,850,517.87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16,179,727.56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4,063,311.90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18,030,245.43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6,013,311.90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687,937,597.65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230,999,977.20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825,744,768.00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772,804,768.00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459,403,700.51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69,317,727.62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463,253,424.80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81,762,800.00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28,285,930.87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12,010,404.48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77,652,101.58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70,824,048.96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426,517,704.65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357,433,267.06</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1,354,350,780.81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1,200,627,416.12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1,354,350,780.81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1,200,627,416.12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2,042,288,378.46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1,431,627,393.32</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6675" simplePos="0" relativeHeight="125829380" behindDoc="0" locked="0" layoutInCell="1" allowOverlap="1">
                <wp:simplePos x="0" y="0"/>
                <wp:positionH relativeFrom="page">
                  <wp:posOffset>706120</wp:posOffset>
                </wp:positionH>
                <wp:positionV relativeFrom="margin">
                  <wp:posOffset>1243330</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法定代表人：徐海啸</w:t>
                            </w:r>
                          </w:p>
                        </w:txbxContent>
                      </wps:txbx>
                      <wps:bodyPr wrap="none" lIns="0" tIns="0" rIns="0" bIns="0">
                        <a:noAutoFit/>
                      </wps:bodyPr>
                    </wps:wsp>
                  </a:graphicData>
                </a:graphic>
              </wp:anchor>
            </w:drawing>
          </mc:Choice>
          <mc:Fallback>
            <w:pict>
              <v:shape id="_x0000_s1080" type="#_x0000_t202" style="position:absolute;margin-left:55.600000000000001pt;margin-top:97.900000000000006pt;width:83.049999999999997pt;height:11.75pt;z-index:-125829373;mso-wrap-distance-left:9.pt;mso-wrap-distance-top:11.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法定代表人：徐海啸</w:t>
                      </w:r>
                    </w:p>
                  </w:txbxContent>
                </v:textbox>
                <w10:wrap type="topAndBottom" anchorx="page" anchory="margin"/>
              </v:shape>
            </w:pict>
          </mc:Fallback>
        </mc:AlternateContent>
      </w:r>
      <w:r>
        <mc:AlternateContent>
          <mc:Choice Requires="wps">
            <w:drawing>
              <wp:anchor distT="139700" distB="3175" distL="2348230" distR="2458720" simplePos="0" relativeHeight="125829382" behindDoc="0" locked="0" layoutInCell="1" allowOverlap="1">
                <wp:simplePos x="0" y="0"/>
                <wp:positionH relativeFrom="page">
                  <wp:posOffset>2940050</wp:posOffset>
                </wp:positionH>
                <wp:positionV relativeFrom="margin">
                  <wp:posOffset>1243330</wp:posOffset>
                </wp:positionV>
                <wp:extent cx="1508760" cy="146050"/>
                <wp:wrapTopAndBottom/>
                <wp:docPr id="56" name="Shape 5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主管会计工作负责人：徐海啸</w:t>
                            </w:r>
                          </w:p>
                        </w:txbxContent>
                      </wps:txbx>
                      <wps:bodyPr wrap="none" lIns="0" tIns="0" rIns="0" bIns="0">
                        <a:noAutoFit/>
                      </wps:bodyPr>
                    </wps:wsp>
                  </a:graphicData>
                </a:graphic>
              </wp:anchor>
            </w:drawing>
          </mc:Choice>
          <mc:Fallback>
            <w:pict>
              <v:shape id="_x0000_s1082" type="#_x0000_t202" style="position:absolute;margin-left:231.5pt;margin-top:97.900000000000006pt;width:118.8pt;height:11.5pt;z-index:-125829371;mso-wrap-distance-left:184.90000000000001pt;mso-wrap-distance-top:11.pt;mso-wrap-distance-right:193.5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主管会计工作负责人：徐海啸</w:t>
                      </w:r>
                    </w:p>
                  </w:txbxContent>
                </v:textbox>
                <w10:wrap type="topAndBottom" anchorx="page" anchory="margin"/>
              </v:shape>
            </w:pict>
          </mc:Fallback>
        </mc:AlternateContent>
      </w:r>
      <w:r>
        <mc:AlternateContent>
          <mc:Choice Requires="wps">
            <w:drawing>
              <wp:anchor distT="139700" distB="0" distL="5030470" distR="114935" simplePos="0" relativeHeight="125829384" behindDoc="0" locked="0" layoutInCell="1" allowOverlap="1">
                <wp:simplePos x="0" y="0"/>
                <wp:positionH relativeFrom="page">
                  <wp:posOffset>5622290</wp:posOffset>
                </wp:positionH>
                <wp:positionV relativeFrom="margin">
                  <wp:posOffset>1243330</wp:posOffset>
                </wp:positionV>
                <wp:extent cx="1170305" cy="149225"/>
                <wp:wrapTopAndBottom/>
                <wp:docPr id="58" name="Shape 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会计机构负责人：王烨</w:t>
                            </w:r>
                          </w:p>
                        </w:txbxContent>
                      </wps:txbx>
                      <wps:bodyPr wrap="none" lIns="0" tIns="0" rIns="0" bIns="0">
                        <a:noAutoFit/>
                      </wps:bodyPr>
                    </wps:wsp>
                  </a:graphicData>
                </a:graphic>
              </wp:anchor>
            </w:drawing>
          </mc:Choice>
          <mc:Fallback>
            <w:pict>
              <v:shape id="_x0000_s1084" type="#_x0000_t202" style="position:absolute;margin-left:442.69999999999999pt;margin-top:97.900000000000006pt;width:92.150000000000006pt;height:11.75pt;z-index:-125829369;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会计机构负责人：王烨</w:t>
                      </w:r>
                    </w:p>
                  </w:txbxContent>
                </v:textbox>
                <w10:wrap type="topAndBottom" anchorx="page" anchory="margin"/>
              </v:shape>
            </w:pict>
          </mc:Fallback>
        </mc:AlternateContent>
      </w: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、母公司资产负债表</w:t>
      </w:r>
      <w:bookmarkEnd w:id="663"/>
      <w:bookmarkEnd w:id="664"/>
      <w:bookmarkEnd w:id="6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05"/>
        <w:gridCol w:w="23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65,536,391.17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176,015,862.86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3,178,756.57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859,530.00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115,088,573.05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97,332,332.67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244,398.60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1,965,369.42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735,616.44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189,578,127.90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443,378,170.81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66,351,928.70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50,191,706.44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584,076,822.22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161,307,129.67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1,024,054,998.21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931,785,718.31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921,829,448.83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236,818,618.66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46,903,286.01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55,487,500.00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100,836,258.00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116,760,867.73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903,218.56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10,044,773.25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11,288,116.84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1,216,031.56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17,475,581.53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10,732,518.88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5,288,696.97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1,103,864,022.26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432,303,653.67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2,127,919,020.47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1,364,089,371.98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53,650,554.82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34,501,968.28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11,372,048.74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77,569,944.26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44,719,739.72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3,642,369.56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3,090,244.86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6,471,564.74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7,820,543.26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9,443,512.75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2,493,021.64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650,062,907.44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143,173,542.51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835,411,226.81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212,669,140.73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1,850,517.87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8,685,802.07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4,063,311.90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10,536,319.94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6,013,311.90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845,947,546.75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218,682,452.63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825,744,768.00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772,804,768.00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459,518,643.48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69,432,670.59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463,253,424.80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81,762,800.00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18,847,820.68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12,099,140.56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77,652,101.58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70,824,048.96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363,461,564.78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302,009,091.24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1,281,971,473.72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1,145,406,919.35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2,127,919,020.47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1,364,089,371.98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、合并利润表</w:t>
      </w:r>
      <w:bookmarkEnd w:id="667"/>
      <w:bookmarkEnd w:id="668"/>
      <w:bookmarkEnd w:id="6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288,618,425.48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209,370,332.34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288,618,425.48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209,370,332.34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357,383,810.11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281,164,799.47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176,829,700.04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137,030,089.16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6,575,903.09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2,241,539.94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49,406,002.36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47,439,473.03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120,675,096.54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81,978,681.32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-3,517,421.37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-1,171,518.79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7,414,529.45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13,646,534.81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15,967,586.03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7,421,850.00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120,129,482.72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201,433,587.99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93,820,568.83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67,331,684.12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137,060,970.86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14,486,718.27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7,725,816.31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13,693,976.92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100,694.21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1,330,000.93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1,222,231.31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105,540.49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949,782.73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80,488,401.46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143,564,555.86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4,575,911.25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13,313,152.55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75,912,490.21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130,251,403.31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75,912,490.21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135,358,464.49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-5,107,061.18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16,275,526.39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12,042,343.21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16,275,526.39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12,042,343.21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重新计量设定受益计划净负债或净资产的变动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权益法下在被投资单位不能重分类进损益的其他 综合收益中享有的份额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16,275,526.39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12,042,343.21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权益法下在被投资单位以后将重分类进损益的其 他综合收益中享有的份额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10,799,355.00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持有至到期投资重分类为可供出售金融资产损益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-60,305.48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-56,797.35</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5,536,476.87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12,099,140.56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92,188,016.60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142,293,746.52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92,188,016.60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147,400,807.70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-5,107,061.18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514" w:val="left"/>
          <w:tab w:pos="7738" w:val="left"/>
        </w:tabs>
        <w:bidi w:val="0"/>
        <w:spacing w:before="0" w:after="380" w:line="240" w:lineRule="auto"/>
        <w:ind w:left="0" w:right="0" w:firstLine="0"/>
        <w:jc w:val="left"/>
      </w:pPr>
      <w:r>
        <w:rPr>
          <w:color w:val="000000"/>
          <w:spacing w:val="0"/>
          <w:w w:val="100"/>
          <w:position w:val="0"/>
        </w:rPr>
        <w:t>法定代表人：徐海啸</w:t>
        <w:tab/>
        <w:t>主管会计工作负责人：徐海啸</w:t>
        <w:tab/>
        <w:t>会计机构负责人：王烨</w:t>
      </w:r>
    </w:p>
    <w:p>
      <w:pPr>
        <w:pStyle w:val="Style33"/>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、母公司利润表</w:t>
      </w:r>
      <w:bookmarkEnd w:id="671"/>
      <w:bookmarkEnd w:id="672"/>
      <w:bookmarkEnd w:id="6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05"/>
        <w:gridCol w:w="23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288,618,425.48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195,006,041.85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176,829,700.04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122,718,684.81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6,299,326.54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2,241,539.94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49,406,002.36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46,351,617.19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104,727,120.83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64,623,164.01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-3,445,119.24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-2,986,941.47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7,460,697.59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12,486,770.34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-231,044.39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7,421,850.00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103,762,991.49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54,832,553.40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93,820,568.83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50,872,644.46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11,825,610.43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14,472,572.20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5,446,217.25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13,693,976.92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100,694.21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487,304.89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1,222,231.31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104,558.69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949,782.73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64,857,911.77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16,049,596.37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-3,422,614.39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1,724,929.88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68,280,526.16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14,324,666.49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6,748,680.12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12,099,140.56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重新计量设定受益计划净负债或净资产的变动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权益法下在被投资单位不能重分类进损益的其他 综合收益中享有的份额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6,748,680.12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12,099,140.56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权益法下在被投资单位以后将重分类进损益的其 他综合收益中享有的份额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10,799,355.00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持有至到期投资重分类为可供出售金融资产损益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-4,050,674.88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12,099,140.56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75,029,206.28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26,423,807.05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、合并现金流量表</w:t>
      </w:r>
      <w:bookmarkEnd w:id="675"/>
      <w:bookmarkEnd w:id="676"/>
      <w:bookmarkEnd w:id="6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05"/>
        <w:gridCol w:w="23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259,982,658.70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250,785,755.26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处置以公允价值计量且其变动计入当期损益的金融资产净 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27,313.56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36,498,309.08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37,737,777.62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299,385,367.78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288,550,846.44</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113,184,150.78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113,979,860.83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55,293,496.19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48,689,188.61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42,143,286.76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22,331,688.08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89,410,644.33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100,686,383.34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300,031,578.06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285,687,120.86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-646,210.28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2,863,725.58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3,317,470,843.13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4,994,012,344.39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52,867,713.06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36,116,730.25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163,066,103.69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3,406,455,286.44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5,161,778,448.08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70,096,767.02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133,830,840.98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4,032,750,456.73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5,107,626,877.84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359,972.58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4,103,207,196.33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5,244,457,718.82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-696,751,909.89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-82,679,270.74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326,776,000.00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119,934,000.00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53,650,554.82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380,426,554.82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144,934,000.00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45,011,209.34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228,806.17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241,836.48</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13,206,609.57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228,806.17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58,459,655.39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380,197,748.65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86,474,344.61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315,722.83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-142,458.15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-316,884,648.69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6,516,341.30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367,477,462.51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360,961,121.21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50,592,813.82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367,477,462.51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、母公司现金流量表</w:t>
      </w:r>
      <w:bookmarkEnd w:id="679"/>
      <w:bookmarkEnd w:id="680"/>
      <w:bookmarkEnd w:id="6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05"/>
        <w:gridCol w:w="23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259,982,658.70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238,690,361.07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1,393,337,901.87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539,145,034.89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1,653,320,560.57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777,835,395.96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112,927,255.48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101,761,863.50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50,402,367.25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40,515,747.82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23,348,188.53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21,427,378.76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1,006,866,910.05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1,061,334,771.56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1,193,544,721.31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1,225,039,761.64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459,775,839.26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-447,204,365.68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1,284,034,522.44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3,210,822,085.15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8,374,764.88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39,945,900.28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196,163,284.76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1,332,355,187.60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3,411,685,369.91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6,995,240.26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1,839,628.68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2,253,789,063.97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3,253,452,878.55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widowControl w:val="0"/>
        <w:spacing w:line="1" w:lineRule="exact"/>
      </w:pPr>
      <w:r>
        <w:br w:type="page"/>
      </w:r>
    </w:p>
    <w:tbl>
      <w:tblPr>
        <w:tblOverlap w:val="never"/>
        <w:jc w:val="center"/>
        <w:tblLayout w:type="fixed"/>
      </w:tblPr>
      <w:tblGrid>
        <w:gridCol w:w="5002"/>
        <w:gridCol w:w="2405"/>
        <w:gridCol w:w="230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2,260,784,304.23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3,258,292,507.23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-928,429,116.63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153,392,862.68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326,776,000.00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119,934,000.00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53,650,554.82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380,426,554.82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119,934,000.00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228,806.17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13,206,609.57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228,806.17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13,206,609.57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380,197,748.65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106,727,390.43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314,759.38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-88,140,769.34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-187,000,131.75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136,867,240.81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323,867,372.56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48,726,471.47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136,867,240.81</w:t>
            </w:r>
          </w:p>
        </w:tc>
      </w:tr>
    </w:tbl>
    <w:p>
      <w:pPr>
        <w:sectPr>
          <w:footnotePr>
            <w:pos w:val="pageBottom"/>
            <w:numFmt w:val="decimal"/>
            <w:numRestart w:val="continuous"/>
          </w:footnotePr>
          <w:pgSz w:w="11900" w:h="16840"/>
          <w:pgMar w:top="1417" w:right="1057" w:bottom="1460" w:left="1057"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7</w:t>
      </w:r>
      <w:bookmarkEnd w:id="685"/>
      <w:r>
        <w:rPr>
          <w:color w:val="000000"/>
          <w:spacing w:val="0"/>
          <w:w w:val="100"/>
          <w:position w:val="0"/>
        </w:rPr>
        <w:t>、合并所有者权益变动表</w:t>
      </w:r>
      <w:bookmarkEnd w:id="683"/>
      <w:bookmarkEnd w:id="684"/>
      <w:bookmarkEnd w:id="68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891"/>
        <w:gridCol w:w="1181"/>
        <w:gridCol w:w="547"/>
        <w:gridCol w:w="552"/>
        <w:gridCol w:w="557"/>
        <w:gridCol w:w="1181"/>
        <w:gridCol w:w="1181"/>
        <w:gridCol w:w="1171"/>
        <w:gridCol w:w="672"/>
        <w:gridCol w:w="1090"/>
        <w:gridCol w:w="749"/>
        <w:gridCol w:w="1186"/>
        <w:gridCol w:w="749"/>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772,804,768.00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69,317,727.62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-88,736.08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329,522,674.41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1,160,617,682.91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12,099,140.56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27,910,592.65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40,009,733.21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772,804,768.00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69,317,727.62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12,010,404.48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357,433,267.06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1,200,627,416.12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390,085,972.89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381,490,624.80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16,275,526.39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69,084,437.59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153,723,364.69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16,275,526.39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75,912,490.21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92,188,016.60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 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390,085,972.89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381,490,624.80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61,535,348.09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332,774,000.00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385,714,000.00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其他权益工具持有者 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57,311,972.89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381,490,624.80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-324,178,651.91</w:t>
            </w:r>
          </w:p>
        </w:tc>
      </w:tr>
    </w:tbl>
    <w:p>
      <w:pPr>
        <w:spacing w:lineRule="exact" w:line="1"/>
        <w:rPr>
          <w:sz w:val="2"/>
          <w:szCs w:val="2"/>
        </w:rPr>
      </w:pPr>
      <w:r>
        <w:br w:type="page"/>
      </w:r>
    </w:p>
    <w:tbl>
      <w:tblPr>
        <w:tblOverlap w:val="never"/>
        <w:jc w:val="center"/>
        <w:tblLayout w:type="fixed"/>
      </w:tblPr>
      <w:tblGrid>
        <w:gridCol w:w="1891"/>
        <w:gridCol w:w="1181"/>
        <w:gridCol w:w="547"/>
        <w:gridCol w:w="552"/>
        <w:gridCol w:w="557"/>
        <w:gridCol w:w="1181"/>
        <w:gridCol w:w="1181"/>
        <w:gridCol w:w="1171"/>
        <w:gridCol w:w="672"/>
        <w:gridCol w:w="1090"/>
        <w:gridCol w:w="749"/>
        <w:gridCol w:w="1186"/>
        <w:gridCol w:w="749"/>
        <w:gridCol w:w="1330"/>
      </w:tblGrid>
      <w:tr>
        <w:trPr>
          <w:trHeight w:val="3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 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825,744,768.00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459,403,700.51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463,253,424.80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28,285,930.87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77,652,101.58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426,517,704.65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1,354,350,780.81</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838"/>
        <w:gridCol w:w="1181"/>
        <w:gridCol w:w="499"/>
        <w:gridCol w:w="504"/>
        <w:gridCol w:w="504"/>
        <w:gridCol w:w="1090"/>
        <w:gridCol w:w="1090"/>
        <w:gridCol w:w="1267"/>
        <w:gridCol w:w="518"/>
        <w:gridCol w:w="1094"/>
        <w:gridCol w:w="696"/>
        <w:gridCol w:w="1186"/>
        <w:gridCol w:w="1238"/>
        <w:gridCol w:w="133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14,486,313.53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-31,938.73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201,191,136.29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219,468,150.63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1,263,042,478.68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20,883,666.28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20,883,666.28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同一控制下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14,486,313.53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-31,938.73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222,074,802.57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219,468,150.63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1,283,926,144.96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三、本期增减变动金额</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54,831,414.09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12,042,343.21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135,358,464.49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-219,468,150.63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-83,298,728.84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12,042,343.21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135,358,464.49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-5,107,061.18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142,293,746.52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（二）所有者投入和减 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60,558,600.00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-214,361,089.45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-219,865,289.45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53,066,000.00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68,766,000.00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 者投入资本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者权益的金额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7,492,600.00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-74,270,200.00</w:t>
            </w:r>
          </w:p>
        </w:tc>
      </w:tr>
    </w:tbl>
    <w:p>
      <w:pPr>
        <w:spacing w:lineRule="exact" w:line="1"/>
        <w:rPr>
          <w:sz w:val="2"/>
          <w:szCs w:val="2"/>
        </w:rPr>
      </w:pPr>
      <w:r>
        <w:br w:type="page"/>
      </w:r>
    </w:p>
    <w:tbl>
      <w:tblPr>
        <w:tblOverlap w:val="never"/>
        <w:jc w:val="center"/>
        <w:tblLayout w:type="fixed"/>
      </w:tblPr>
      <w:tblGrid>
        <w:gridCol w:w="1838"/>
        <w:gridCol w:w="1181"/>
        <w:gridCol w:w="499"/>
        <w:gridCol w:w="504"/>
        <w:gridCol w:w="504"/>
        <w:gridCol w:w="1090"/>
        <w:gridCol w:w="1090"/>
        <w:gridCol w:w="1267"/>
        <w:gridCol w:w="518"/>
        <w:gridCol w:w="1094"/>
        <w:gridCol w:w="696"/>
        <w:gridCol w:w="1186"/>
        <w:gridCol w:w="1238"/>
        <w:gridCol w:w="1330"/>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-214,361,089.45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-214,361,089.45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 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-5,727,185.91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-5,727,185.91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772,804,768.00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69,317,727.62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12,010,404.48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357,433,267.06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1,200,627,416.12</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8</w:t>
      </w:r>
      <w:bookmarkEnd w:id="689"/>
      <w:r>
        <w:rPr>
          <w:color w:val="000000"/>
          <w:spacing w:val="0"/>
          <w:w w:val="100"/>
          <w:position w:val="0"/>
        </w:rPr>
        <w:t>、母公司所有者权益变动表</w:t>
      </w:r>
      <w:bookmarkEnd w:id="687"/>
      <w:bookmarkEnd w:id="688"/>
      <w:bookmarkEnd w:id="69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035"/>
        <w:gridCol w:w="1181"/>
        <w:gridCol w:w="893"/>
        <w:gridCol w:w="888"/>
        <w:gridCol w:w="893"/>
        <w:gridCol w:w="1181"/>
        <w:gridCol w:w="1181"/>
        <w:gridCol w:w="1282"/>
        <w:gridCol w:w="898"/>
        <w:gridCol w:w="1090"/>
        <w:gridCol w:w="1181"/>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772,804,768.00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69,432,670.59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274,098,498.59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1,105,397,186.14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12,099,140.56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27,910,592.65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40,009,733.21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772,804,768.00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69,432,670.59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12,099,140.56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302,009,091.24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1,145,406,919.35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三、本期增减变动金额</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390,085,972.89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381,490,624.80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6,748,680.12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61,452,473.54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136,564,554.37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6,748,680.12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68,280,526.16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75,029,206.28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390,085,972.89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381,490,624.80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61,535,348.09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332,774,000.00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385,714,000.00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其他权益工具持有者 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 权益的金额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57,311,972.89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381,490,624.80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-324,178,651.91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6,828,052.62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-6,828,052.62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35"/>
        <w:gridCol w:w="1181"/>
        <w:gridCol w:w="893"/>
        <w:gridCol w:w="888"/>
        <w:gridCol w:w="893"/>
        <w:gridCol w:w="1181"/>
        <w:gridCol w:w="1181"/>
        <w:gridCol w:w="1282"/>
        <w:gridCol w:w="898"/>
        <w:gridCol w:w="1090"/>
        <w:gridCol w:w="1181"/>
        <w:gridCol w:w="1334"/>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-6,828,052.62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（四）所有者权益内部结 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825,744,768.00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459,518,643.48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463,253,424.80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18,847,820.68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77,652,101.58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363,461,564.78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1,281,971,473.72</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059"/>
        <w:gridCol w:w="1181"/>
        <w:gridCol w:w="912"/>
        <w:gridCol w:w="917"/>
        <w:gridCol w:w="917"/>
        <w:gridCol w:w="1104"/>
        <w:gridCol w:w="1114"/>
        <w:gridCol w:w="1334"/>
        <w:gridCol w:w="878"/>
        <w:gridCol w:w="1109"/>
        <w:gridCol w:w="1181"/>
        <w:gridCol w:w="133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8,874,070.59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266,800,758.47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1,103,603,646.02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20,883,666.28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20,883,666.28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8,874,070.59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70,824,048.96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287,684,424.75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1,124,487,312.30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三、本期增减变动金额（减</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60,558,600.00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12,099,140.56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14,324,666.49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20,919,607.05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12,099,140.56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14,324,666.49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26,423,807.05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60,558,600.00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53,066,000.00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68,766,000.00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其他权益工具持有者投 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 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7,492,600.00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-74,270,200.00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59"/>
        <w:gridCol w:w="1181"/>
        <w:gridCol w:w="912"/>
        <w:gridCol w:w="917"/>
        <w:gridCol w:w="917"/>
        <w:gridCol w:w="1104"/>
        <w:gridCol w:w="1114"/>
        <w:gridCol w:w="1334"/>
        <w:gridCol w:w="878"/>
        <w:gridCol w:w="1109"/>
        <w:gridCol w:w="1181"/>
        <w:gridCol w:w="1330"/>
      </w:tblGrid>
      <w:tr>
        <w:trPr>
          <w:trHeight w:val="3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（四）所有者权益内部结 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772,804,768.00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69,432,670.59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81,762,800.00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12,099,140.56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70,824,048.96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302,009,091.24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1,145,406,919.35</w:t>
            </w:r>
          </w:p>
        </w:tc>
      </w:tr>
    </w:tbl>
    <w:p>
      <w:pPr>
        <w:sectPr>
          <w:headerReference w:type="default" r:id="rId27"/>
          <w:footerReference w:type="default" r:id="rId28"/>
          <w:footnotePr>
            <w:pos w:val="pageBottom"/>
            <w:numFmt w:val="decimal"/>
            <w:numRestart w:val="continuous"/>
          </w:footnotePr>
          <w:pgSz w:w="16840" w:h="11900" w:orient="landscape"/>
          <w:pgMar w:top="1109" w:right="1402" w:bottom="1427" w:left="1402" w:header="0" w:footer="3" w:gutter="0"/>
          <w:cols w:space="720"/>
          <w:noEndnote/>
          <w:rtlGutter w:val="0"/>
          <w:docGrid w:linePitch="360"/>
        </w:sectPr>
      </w:pPr>
    </w:p>
    <w:p>
      <w:pPr>
        <w:pStyle w:val="Style25"/>
        <w:keepNext/>
        <w:keepLines/>
        <w:widowControl w:val="0"/>
        <w:shd w:val="clear" w:color="auto" w:fill="auto"/>
        <w:tabs>
          <w:tab w:pos="503" w:val="left"/>
        </w:tabs>
        <w:bidi w:val="0"/>
        <w:spacing w:before="120" w:after="26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三</w:t>
      </w:r>
      <w:bookmarkEnd w:id="693"/>
      <w:r>
        <w:rPr>
          <w:color w:val="000000"/>
          <w:spacing w:val="0"/>
          <w:w w:val="100"/>
          <w:position w:val="0"/>
        </w:rPr>
        <w:t>、</w:t>
        <w:tab/>
        <w:t>公司基本情况</w:t>
      </w:r>
      <w:bookmarkEnd w:id="691"/>
      <w:bookmarkEnd w:id="692"/>
      <w:bookmarkEnd w:id="694"/>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深圳市惠程电气股份有限公司（以下简称</w:t>
      </w:r>
      <w:r>
        <w:rPr>
          <w:color w:val="000000"/>
          <w:spacing w:val="0"/>
          <w:w w:val="100"/>
          <w:position w:val="0"/>
        </w:rPr>
        <w:t>"</w:t>
      </w:r>
      <w:r>
        <w:rPr>
          <w:color w:val="000000"/>
          <w:spacing w:val="0"/>
          <w:w w:val="100"/>
          <w:position w:val="0"/>
        </w:rPr>
        <w:t>本公司”或</w:t>
      </w:r>
      <w:r>
        <w:rPr>
          <w:color w:val="000000"/>
          <w:spacing w:val="0"/>
          <w:w w:val="100"/>
          <w:position w:val="0"/>
        </w:rPr>
        <w:t>"</w:t>
      </w:r>
      <w:r>
        <w:rPr>
          <w:color w:val="000000"/>
          <w:spacing w:val="0"/>
          <w:w w:val="100"/>
          <w:position w:val="0"/>
        </w:rPr>
        <w:t>公司”）前身为深圳市惠程电气有限责任公司，系于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日经深圳市工商局核准，由吕晓义、邓树坚共同发起设立的有限责任公司。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日，经深圳市人民政府深府股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关于以发起方式改组设立深圳市惠程电气股份有限公司的批复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文件批准，并经本公司股东会决议，整体变更 为股份有限公司。公司统一社会信用代码：</w:t>
      </w:r>
      <w:r>
        <w:rPr>
          <w:rFonts w:ascii="Times New Roman" w:eastAsia="Times New Roman" w:hAnsi="Times New Roman" w:cs="Times New Roman"/>
          <w:color w:val="000000"/>
          <w:spacing w:val="0"/>
          <w:w w:val="100"/>
          <w:position w:val="0"/>
          <w:sz w:val="18"/>
          <w:szCs w:val="18"/>
        </w:rPr>
        <w:t>914403007152119019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月在深圳证券交易所上市。所属行业为输配电及 控制设备制造业。</w:t>
      </w:r>
    </w:p>
    <w:p>
      <w:pPr>
        <w:pStyle w:val="Style29"/>
        <w:keepNext w:val="0"/>
        <w:keepLines w:val="0"/>
        <w:widowControl w:val="0"/>
        <w:shd w:val="clear" w:color="auto" w:fill="auto"/>
        <w:bidi w:val="0"/>
        <w:spacing w:before="0" w:line="30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825,744,768.00</w:t>
      </w:r>
      <w:r>
        <w:rPr>
          <w:color w:val="000000"/>
          <w:spacing w:val="0"/>
          <w:w w:val="100"/>
          <w:position w:val="0"/>
        </w:rPr>
        <w:t>股，注册资本为</w:t>
      </w:r>
      <w:r>
        <w:rPr>
          <w:rFonts w:ascii="Times New Roman" w:eastAsia="Times New Roman" w:hAnsi="Times New Roman" w:cs="Times New Roman"/>
          <w:color w:val="000000"/>
          <w:spacing w:val="0"/>
          <w:w w:val="100"/>
          <w:position w:val="0"/>
          <w:sz w:val="18"/>
          <w:szCs w:val="18"/>
        </w:rPr>
        <w:t>824,904,768.00</w:t>
      </w:r>
      <w:r>
        <w:rPr>
          <w:color w:val="000000"/>
          <w:spacing w:val="0"/>
          <w:w w:val="100"/>
          <w:position w:val="0"/>
        </w:rPr>
        <w:t>元，注册地：深圳市坪山 新区大工业区兰景路以东、锦绣路以南惠程科技工业厂区。本公司主要经营活动为电气设备的生产销售和证券、股权等相关 投资。本公司的实际控制人为汪超涌先生及李亦非女士。</w:t>
      </w:r>
    </w:p>
    <w:p>
      <w:pPr>
        <w:pStyle w:val="Style29"/>
        <w:keepNext w:val="0"/>
        <w:keepLines w:val="0"/>
        <w:widowControl w:val="0"/>
        <w:shd w:val="clear" w:color="auto" w:fill="auto"/>
        <w:bidi w:val="0"/>
        <w:spacing w:before="0" w:line="314" w:lineRule="exact"/>
        <w:ind w:left="0" w:right="0"/>
        <w:jc w:val="both"/>
      </w:pPr>
      <w:r>
        <w:rPr>
          <w:color w:val="000000"/>
          <w:spacing w:val="0"/>
          <w:w w:val="100"/>
          <w:position w:val="0"/>
        </w:rPr>
        <w:t>本财务报表业经公司全体董事（董事会）于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日批准报出。</w:t>
      </w:r>
    </w:p>
    <w:p>
      <w:pPr>
        <w:pStyle w:val="Style29"/>
        <w:keepNext w:val="0"/>
        <w:keepLines w:val="0"/>
        <w:widowControl w:val="0"/>
        <w:shd w:val="clear" w:color="auto" w:fill="auto"/>
        <w:bidi w:val="0"/>
        <w:spacing w:before="0" w:line="313" w:lineRule="exact"/>
        <w:ind w:left="0" w:right="0"/>
        <w:jc w:val="both"/>
      </w:pPr>
      <w:r>
        <w:rPr>
          <w:color w:val="000000"/>
          <w:spacing w:val="0"/>
          <w:w w:val="100"/>
          <w:position w:val="0"/>
        </w:rPr>
        <w:t>本公司合并财务报表范围包括本公司及喀什中汇联银创业投资有限公司（以下简称“喀什中汇联银”）、深圳市惠程智 能电力设备有限公司（以下简称“惠程智能”）、香港惠程有限公司（以下简称“香港惠程”）、中汇联银投资管理（北京） 有限公司（以下简称“北京中汇联银”）、中行置盛投资（北京）有限公司（以下简称“中行置盛”）、中融建银投资（北 京）有限公司（以下简称“中融建银”）、中汇联鑫股权投资管理（深圳）合伙企业（有限合伙）（以下简称“中汇联鑫”）、 豪琛投资管理（上海）有限公司（以下简称“豪琛投资”）、鹏胤投资管理（上海）有限公司（以下简称“鹏胤投资”）、 北京中汇同盈咨询服务有限公司（以下简称''中汇同盈”）、宁波永耀惠程电力科技有限公司（以下简称''永耀惠程”）。</w:t>
      </w:r>
    </w:p>
    <w:p>
      <w:pPr>
        <w:pStyle w:val="Style29"/>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年合并范围相比上年，增加中汇联鑫、豪琛投资、鹏胤投资、中汇同盈及永耀惠程；因上年处置子公司减少长春高 琦聚酰亚胺材料有限公司（以下简称“长春高琦”）、吉林高琦聚酰亚胺材料有限公司、长春聚明光电材料有限公司、吉林 高航复合材料有限公司及江西先材纳米纤维科技有限公司（以下简称“江西先材”）。本年未处置子公司。</w:t>
      </w:r>
    </w:p>
    <w:p>
      <w:pPr>
        <w:pStyle w:val="Style25"/>
        <w:keepNext/>
        <w:keepLines/>
        <w:widowControl w:val="0"/>
        <w:shd w:val="clear" w:color="auto" w:fill="auto"/>
        <w:tabs>
          <w:tab w:pos="503" w:val="left"/>
        </w:tabs>
        <w:bidi w:val="0"/>
        <w:spacing w:before="0" w:after="3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四</w:t>
      </w:r>
      <w:bookmarkEnd w:id="697"/>
      <w:r>
        <w:rPr>
          <w:color w:val="000000"/>
          <w:spacing w:val="0"/>
          <w:w w:val="100"/>
          <w:position w:val="0"/>
        </w:rPr>
        <w:t>、</w:t>
        <w:tab/>
        <w:t>财务报表的编制基础</w:t>
      </w:r>
      <w:bookmarkEnd w:id="695"/>
      <w:bookmarkEnd w:id="696"/>
      <w:bookmarkEnd w:id="698"/>
    </w:p>
    <w:p>
      <w:pPr>
        <w:pStyle w:val="Style33"/>
        <w:keepNext/>
        <w:keepLines/>
        <w:widowControl w:val="0"/>
        <w:shd w:val="clear" w:color="auto" w:fill="auto"/>
        <w:tabs>
          <w:tab w:pos="411"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w:t>
        <w:tab/>
        <w:t>编制基础</w:t>
      </w:r>
      <w:bookmarkEnd w:id="699"/>
      <w:bookmarkEnd w:id="700"/>
      <w:bookmarkEnd w:id="702"/>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公司以持续经营为财务报表的编制基础，以权责发生制为记账基础。根据实际发生的交易和事项，按照财政部颁布的《企 业会计准则》及相关规定，并基于本附注“五、重要会计政策及会计估计”所述会计政策和会计估计编制。</w:t>
      </w:r>
    </w:p>
    <w:p>
      <w:pPr>
        <w:pStyle w:val="Style33"/>
        <w:keepNext/>
        <w:keepLines/>
        <w:widowControl w:val="0"/>
        <w:shd w:val="clear" w:color="auto" w:fill="auto"/>
        <w:tabs>
          <w:tab w:pos="411"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w:t>
        <w:tab/>
        <w:t>持续经营</w:t>
      </w:r>
      <w:bookmarkEnd w:id="703"/>
      <w:bookmarkEnd w:id="704"/>
      <w:bookmarkEnd w:id="706"/>
    </w:p>
    <w:p>
      <w:pPr>
        <w:pStyle w:val="Style29"/>
        <w:keepNext w:val="0"/>
        <w:keepLines w:val="0"/>
        <w:widowControl w:val="0"/>
        <w:shd w:val="clear" w:color="auto" w:fill="auto"/>
        <w:bidi w:val="0"/>
        <w:spacing w:before="0" w:after="380" w:line="322" w:lineRule="exact"/>
        <w:ind w:left="0" w:right="0"/>
        <w:jc w:val="both"/>
      </w:pPr>
      <w:r>
        <w:rPr>
          <w:color w:val="000000"/>
          <w:spacing w:val="0"/>
          <w:w w:val="100"/>
          <w:position w:val="0"/>
        </w:rPr>
        <w:t>本公司对自</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个月的持续经营能力进行了评价，未发现对持续经营能力产生重大怀疑的事项和情况。 因此，本财务报表系在持续经营假设的基础上编制。</w:t>
      </w:r>
    </w:p>
    <w:p>
      <w:pPr>
        <w:pStyle w:val="Style25"/>
        <w:keepNext/>
        <w:keepLines/>
        <w:widowControl w:val="0"/>
        <w:shd w:val="clear" w:color="auto" w:fill="auto"/>
        <w:tabs>
          <w:tab w:pos="503"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五</w:t>
      </w:r>
      <w:bookmarkEnd w:id="709"/>
      <w:r>
        <w:rPr>
          <w:color w:val="000000"/>
          <w:spacing w:val="0"/>
          <w:w w:val="100"/>
          <w:position w:val="0"/>
        </w:rPr>
        <w:t>、</w:t>
        <w:tab/>
        <w:t>重要会计政策及会计估计</w:t>
      </w:r>
      <w:bookmarkEnd w:id="707"/>
      <w:bookmarkEnd w:id="708"/>
      <w:bookmarkEnd w:id="710"/>
    </w:p>
    <w:p>
      <w:pPr>
        <w:pStyle w:val="Style29"/>
        <w:keepNext w:val="0"/>
        <w:keepLines w:val="0"/>
        <w:widowControl w:val="0"/>
        <w:shd w:val="clear" w:color="auto" w:fill="auto"/>
        <w:bidi w:val="0"/>
        <w:spacing w:before="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具体会计政策和会计估计提示：详见以下内容。</w:t>
      </w:r>
    </w:p>
    <w:p>
      <w:pPr>
        <w:pStyle w:val="Style33"/>
        <w:keepNext/>
        <w:keepLines/>
        <w:widowControl w:val="0"/>
        <w:shd w:val="clear" w:color="auto" w:fill="auto"/>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、遵循企业会计准则的声明</w:t>
      </w:r>
      <w:bookmarkEnd w:id="711"/>
      <w:bookmarkEnd w:id="712"/>
      <w:bookmarkEnd w:id="714"/>
    </w:p>
    <w:p>
      <w:pPr>
        <w:pStyle w:val="Style29"/>
        <w:keepNext w:val="0"/>
        <w:keepLines w:val="0"/>
        <w:widowControl w:val="0"/>
        <w:shd w:val="clear" w:color="auto" w:fill="auto"/>
        <w:bidi w:val="0"/>
        <w:spacing w:before="0" w:after="260" w:line="314" w:lineRule="exact"/>
        <w:ind w:left="0" w:right="0"/>
        <w:jc w:val="both"/>
      </w:pPr>
      <w:r>
        <w:rPr>
          <w:color w:val="000000"/>
          <w:spacing w:val="0"/>
          <w:w w:val="100"/>
          <w:position w:val="0"/>
        </w:rPr>
        <w:t>本公司财务报表及附注系按财政部颁布的《企业会计准则》、应用指南、企业会计准则解释、中国证券监督管理委员会 发布的《公开发行证券的公司信息披露编报规则第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年修订]》以及相关补充规定的要求编制， 真实、完整地反映了本公司的财务状况、经营成果和现金流量等有关信息。</w:t>
      </w:r>
    </w:p>
    <w:p>
      <w:pPr>
        <w:pStyle w:val="Style33"/>
        <w:keepNext/>
        <w:keepLines/>
        <w:widowControl w:val="0"/>
        <w:shd w:val="clear" w:color="auto" w:fill="auto"/>
        <w:tabs>
          <w:tab w:pos="374" w:val="left"/>
        </w:tabs>
        <w:bidi w:val="0"/>
        <w:spacing w:before="0" w:after="28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w:t>
        <w:tab/>
        <w:t>会计期间</w:t>
      </w:r>
      <w:bookmarkEnd w:id="715"/>
      <w:bookmarkEnd w:id="716"/>
      <w:bookmarkEnd w:id="718"/>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4" w:val="left"/>
        </w:tabs>
        <w:bidi w:val="0"/>
        <w:spacing w:before="0" w:after="280" w:line="240"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3</w:t>
      </w:r>
      <w:bookmarkEnd w:id="721"/>
      <w:r>
        <w:rPr>
          <w:color w:val="000000"/>
          <w:spacing w:val="0"/>
          <w:w w:val="100"/>
          <w:position w:val="0"/>
        </w:rPr>
        <w:t>、</w:t>
        <w:tab/>
        <w:t>营业周期</w:t>
      </w:r>
      <w:bookmarkEnd w:id="719"/>
      <w:bookmarkEnd w:id="720"/>
      <w:bookmarkEnd w:id="722"/>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3"/>
        <w:keepNext/>
        <w:keepLines/>
        <w:widowControl w:val="0"/>
        <w:shd w:val="clear" w:color="auto" w:fill="auto"/>
        <w:tabs>
          <w:tab w:pos="374" w:val="left"/>
        </w:tabs>
        <w:bidi w:val="0"/>
        <w:spacing w:before="0" w:after="28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4</w:t>
      </w:r>
      <w:bookmarkEnd w:id="725"/>
      <w:r>
        <w:rPr>
          <w:color w:val="000000"/>
          <w:spacing w:val="0"/>
          <w:w w:val="100"/>
          <w:position w:val="0"/>
        </w:rPr>
        <w:t>、</w:t>
        <w:tab/>
        <w:t>记账本位币</w:t>
      </w:r>
      <w:bookmarkEnd w:id="723"/>
      <w:bookmarkEnd w:id="724"/>
      <w:bookmarkEnd w:id="726"/>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本公司采用人民币为记账本位币。</w:t>
      </w:r>
    </w:p>
    <w:p>
      <w:pPr>
        <w:pStyle w:val="Style33"/>
        <w:keepNext/>
        <w:keepLines/>
        <w:widowControl w:val="0"/>
        <w:shd w:val="clear" w:color="auto" w:fill="auto"/>
        <w:tabs>
          <w:tab w:pos="374" w:val="left"/>
        </w:tabs>
        <w:bidi w:val="0"/>
        <w:spacing w:before="0" w:after="2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5</w:t>
      </w:r>
      <w:bookmarkEnd w:id="729"/>
      <w:r>
        <w:rPr>
          <w:color w:val="000000"/>
          <w:spacing w:val="0"/>
          <w:w w:val="100"/>
          <w:position w:val="0"/>
        </w:rPr>
        <w:t>、</w:t>
        <w:tab/>
        <w:t>同一控制下和非同一控制下企业合并的会计处理方法</w:t>
      </w:r>
      <w:bookmarkEnd w:id="727"/>
      <w:bookmarkEnd w:id="728"/>
      <w:bookmarkEnd w:id="730"/>
    </w:p>
    <w:p>
      <w:pPr>
        <w:pStyle w:val="Style29"/>
        <w:keepNext w:val="0"/>
        <w:keepLines w:val="0"/>
        <w:widowControl w:val="0"/>
        <w:shd w:val="clear" w:color="auto" w:fill="auto"/>
        <w:bidi w:val="0"/>
        <w:spacing w:before="0" w:after="0" w:line="313" w:lineRule="exact"/>
        <w:ind w:left="0" w:right="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在同一控制下的企业合并中，公司作为购买方取得对其他参与合并企业的控制权，如以支付现金、转让非现金资 产或承担债务方式作为合并对价的，在合并日按照被合并方所有者权益在最终控制方合并财务报表中的账面价值的份额作为 长期股权投资的初始投资成本，长期股权投资初始投资成本与支付的现金、转让的非现金资产以及所承担债务账面价值之间 的差额，调整资本公积；资本公积不足冲减的，调整留存收益；如以发行权益性证券作为合并对价的，在合并日按照被合并 方所有者权益在最终控制方合并财务报表中的账面价值的份额作为长期股权投资的初始投资成本，按照发行股份的面值总额 作为股本，长期股权投资初始投资成本与所发行股份面值总额之间的差额，调整资本公积，资本公积不足冲减的，调整留存 收益。为进行企业合并发生的审计、法律服务、评估咨询等中介费用以及其他相关管理费用，于发生时计入当期损益。为企 业合并发行的债券或承担其他债务支付的手续费、佣金等，应当计入所发行债券及其他债务的初始计量金额。企业合并中发 行权益性证券发生的手续费、佣金等费用，应当抵减权益性证券溢价收入，溢价收入不足冲减的，冲减留存收益。</w:t>
      </w:r>
    </w:p>
    <w:p>
      <w:pPr>
        <w:pStyle w:val="Style29"/>
        <w:keepNext w:val="0"/>
        <w:keepLines w:val="0"/>
        <w:widowControl w:val="0"/>
        <w:shd w:val="clear" w:color="auto" w:fill="auto"/>
        <w:tabs>
          <w:tab w:pos="822" w:val="left"/>
        </w:tabs>
        <w:bidi w:val="0"/>
        <w:spacing w:before="0" w:after="0" w:line="313" w:lineRule="exact"/>
        <w:ind w:left="0" w:right="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公司对外合并如属非同一控制下的企业合并，按下列情况确定长期股权投资的初始投资成本：</w:t>
      </w:r>
    </w:p>
    <w:p>
      <w:pPr>
        <w:pStyle w:val="Style29"/>
        <w:keepNext w:val="0"/>
        <w:keepLines w:val="0"/>
        <w:widowControl w:val="0"/>
        <w:numPr>
          <w:ilvl w:val="0"/>
          <w:numId w:val="15"/>
        </w:numPr>
        <w:shd w:val="clear" w:color="auto" w:fill="auto"/>
        <w:tabs>
          <w:tab w:pos="720" w:val="left"/>
        </w:tabs>
        <w:bidi w:val="0"/>
        <w:spacing w:before="0" w:after="0" w:line="313" w:lineRule="exact"/>
        <w:ind w:left="0" w:right="0"/>
        <w:jc w:val="both"/>
      </w:pPr>
      <w:bookmarkStart w:id="733" w:name="bookmark733"/>
      <w:bookmarkEnd w:id="733"/>
      <w:r>
        <w:rPr>
          <w:color w:val="000000"/>
          <w:spacing w:val="0"/>
          <w:w w:val="100"/>
          <w:position w:val="0"/>
        </w:rPr>
        <w:t>一次交换交易实现的企业合并，长期股权投资的初始投资成本为购买方在购买日为取得对被购买方的控制权而付出的 资产、发生或承担的负债以及发行的权益性证券的公允价值；</w:t>
      </w:r>
    </w:p>
    <w:p>
      <w:pPr>
        <w:pStyle w:val="Style29"/>
        <w:keepNext w:val="0"/>
        <w:keepLines w:val="0"/>
        <w:widowControl w:val="0"/>
        <w:numPr>
          <w:ilvl w:val="0"/>
          <w:numId w:val="15"/>
        </w:numPr>
        <w:shd w:val="clear" w:color="auto" w:fill="auto"/>
        <w:tabs>
          <w:tab w:pos="750" w:val="left"/>
        </w:tabs>
        <w:bidi w:val="0"/>
        <w:spacing w:before="0" w:after="0" w:line="313" w:lineRule="exact"/>
        <w:ind w:left="0" w:right="0"/>
        <w:jc w:val="both"/>
      </w:pPr>
      <w:bookmarkStart w:id="734" w:name="bookmark734"/>
      <w:bookmarkEnd w:id="734"/>
      <w:r>
        <w:rPr>
          <w:color w:val="000000"/>
          <w:spacing w:val="0"/>
          <w:w w:val="100"/>
          <w:position w:val="0"/>
        </w:rPr>
        <w:t>通过多次交换交易分步实现的企业合并，长期股权投资的初始投资成本为每一单项交易成本之和；</w:t>
      </w:r>
    </w:p>
    <w:p>
      <w:pPr>
        <w:pStyle w:val="Style29"/>
        <w:keepNext w:val="0"/>
        <w:keepLines w:val="0"/>
        <w:widowControl w:val="0"/>
        <w:numPr>
          <w:ilvl w:val="0"/>
          <w:numId w:val="15"/>
        </w:numPr>
        <w:shd w:val="clear" w:color="auto" w:fill="auto"/>
        <w:tabs>
          <w:tab w:pos="725" w:val="left"/>
        </w:tabs>
        <w:bidi w:val="0"/>
        <w:spacing w:before="0" w:after="0" w:line="313" w:lineRule="exact"/>
        <w:ind w:left="0" w:right="0"/>
        <w:jc w:val="both"/>
      </w:pPr>
      <w:bookmarkStart w:id="735" w:name="bookmark735"/>
      <w:bookmarkEnd w:id="735"/>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29"/>
        <w:keepNext w:val="0"/>
        <w:keepLines w:val="0"/>
        <w:widowControl w:val="0"/>
        <w:numPr>
          <w:ilvl w:val="0"/>
          <w:numId w:val="15"/>
        </w:numPr>
        <w:shd w:val="clear" w:color="auto" w:fill="auto"/>
        <w:tabs>
          <w:tab w:pos="725" w:val="left"/>
        </w:tabs>
        <w:bidi w:val="0"/>
        <w:spacing w:before="0" w:after="0" w:line="313" w:lineRule="exact"/>
        <w:ind w:left="0" w:right="0"/>
        <w:jc w:val="both"/>
      </w:pPr>
      <w:bookmarkStart w:id="736" w:name="bookmark736"/>
      <w:bookmarkEnd w:id="736"/>
      <w:r>
        <w:rPr>
          <w:color w:val="000000"/>
          <w:spacing w:val="0"/>
          <w:w w:val="100"/>
          <w:position w:val="0"/>
        </w:rPr>
        <w:t>在合并合同或协议中对可能影响合并成本的未来事项作出约定的，在购买日如果估计未来事项很可能发生并且对合并 成本的影响金额能够可靠计量的，将其计入长期股权投资的初始投资成本。</w:t>
      </w:r>
    </w:p>
    <w:p>
      <w:pPr>
        <w:pStyle w:val="Style29"/>
        <w:keepNext w:val="0"/>
        <w:keepLines w:val="0"/>
        <w:widowControl w:val="0"/>
        <w:shd w:val="clear" w:color="auto" w:fill="auto"/>
        <w:tabs>
          <w:tab w:pos="898" w:val="left"/>
        </w:tabs>
        <w:bidi w:val="0"/>
        <w:spacing w:before="0" w:after="0" w:line="313"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公司对外合并如属非同一控制下的企业合并，对长期股权投资的初始投资成本大于合并中取得的被购买方可辨认 净资产公允价值份额的差额，确认为商誉。</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对长期股权投资的初始投资成本小于合并中取得的被购买方可辨认净资产公允价值份额的差额，按照下列方法处理：</w:t>
      </w:r>
    </w:p>
    <w:p>
      <w:pPr>
        <w:pStyle w:val="Style29"/>
        <w:keepNext w:val="0"/>
        <w:keepLines w:val="0"/>
        <w:widowControl w:val="0"/>
        <w:numPr>
          <w:ilvl w:val="0"/>
          <w:numId w:val="17"/>
        </w:numPr>
        <w:shd w:val="clear" w:color="auto" w:fill="auto"/>
        <w:tabs>
          <w:tab w:pos="750" w:val="left"/>
        </w:tabs>
        <w:bidi w:val="0"/>
        <w:spacing w:before="0" w:after="0" w:line="313" w:lineRule="exact"/>
        <w:ind w:left="0" w:right="0"/>
        <w:jc w:val="both"/>
      </w:pPr>
      <w:bookmarkStart w:id="738" w:name="bookmark738"/>
      <w:bookmarkEnd w:id="738"/>
      <w:r>
        <w:rPr>
          <w:color w:val="000000"/>
          <w:spacing w:val="0"/>
          <w:w w:val="100"/>
          <w:position w:val="0"/>
        </w:rPr>
        <w:t>对取得的被购买方各项可辨认资产、负债及或有负债的公允价值以及合并成本的计量进行复核；</w:t>
      </w:r>
    </w:p>
    <w:p>
      <w:pPr>
        <w:pStyle w:val="Style29"/>
        <w:keepNext w:val="0"/>
        <w:keepLines w:val="0"/>
        <w:widowControl w:val="0"/>
        <w:numPr>
          <w:ilvl w:val="0"/>
          <w:numId w:val="17"/>
        </w:numPr>
        <w:shd w:val="clear" w:color="auto" w:fill="auto"/>
        <w:tabs>
          <w:tab w:pos="750" w:val="left"/>
        </w:tabs>
        <w:bidi w:val="0"/>
        <w:spacing w:before="0" w:after="380" w:line="313" w:lineRule="exact"/>
        <w:ind w:left="0" w:right="0"/>
        <w:jc w:val="both"/>
      </w:pPr>
      <w:bookmarkStart w:id="739" w:name="bookmark739"/>
      <w:bookmarkEnd w:id="739"/>
      <w:r>
        <w:rPr>
          <w:color w:val="000000"/>
          <w:spacing w:val="0"/>
          <w:w w:val="100"/>
          <w:position w:val="0"/>
        </w:rPr>
        <w:t>经复核后合并成本仍小于合并中取得的被购买方可辨认净资产公允价值份额的，其差额应当计入当期损益。</w:t>
      </w:r>
    </w:p>
    <w:p>
      <w:pPr>
        <w:pStyle w:val="Style33"/>
        <w:keepNext/>
        <w:keepLines/>
        <w:widowControl w:val="0"/>
        <w:shd w:val="clear" w:color="auto" w:fill="auto"/>
        <w:tabs>
          <w:tab w:pos="374" w:val="left"/>
        </w:tabs>
        <w:bidi w:val="0"/>
        <w:spacing w:before="0" w:after="28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w:t>
        <w:tab/>
        <w:t>合并财务报表的编制方法</w:t>
      </w:r>
      <w:bookmarkEnd w:id="740"/>
      <w:bookmarkEnd w:id="741"/>
      <w:bookmarkEnd w:id="743"/>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合并财务报表的合并范围以控制为基础予以确定。控制，是指投资方拥有对被投资方的权利，通过参与被投资方的相关 活动而享有可变回报，并且有能力运用对被投资方的权力影响其回报金额。</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母公司应当将其全部子公司纳入合并财务报表的合并范围。子公司，是指被公司控制的主体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 分割的部分，以及企业所控制的结构化主体等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如果母公司是投资性主体，则母公司应当仅将为其投资活动提供相关服务的子公司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纳入合并范围并编制合并财务 报表；其他子公司不应当予以合并，母公司对其他子公司的投资应当按照公允价值计量且其变动计入当期损益。当母公司同 </w:t>
      </w:r>
      <w:r>
        <w:rPr>
          <w:color w:val="000000"/>
          <w:spacing w:val="0"/>
          <w:w w:val="100"/>
          <w:position w:val="0"/>
        </w:rPr>
        <w:t>时满足下列条件时，该母公司属于投资性主体：</w:t>
      </w:r>
    </w:p>
    <w:p>
      <w:pPr>
        <w:pStyle w:val="Style29"/>
        <w:keepNext w:val="0"/>
        <w:keepLines w:val="0"/>
        <w:widowControl w:val="0"/>
        <w:numPr>
          <w:ilvl w:val="0"/>
          <w:numId w:val="19"/>
        </w:numPr>
        <w:shd w:val="clear" w:color="auto" w:fill="auto"/>
        <w:tabs>
          <w:tab w:pos="822" w:val="left"/>
        </w:tabs>
        <w:bidi w:val="0"/>
        <w:spacing w:before="0" w:after="0" w:line="312" w:lineRule="exact"/>
        <w:ind w:left="0" w:right="0"/>
        <w:jc w:val="both"/>
      </w:pPr>
      <w:bookmarkStart w:id="744" w:name="bookmark744"/>
      <w:bookmarkEnd w:id="744"/>
      <w:r>
        <w:rPr>
          <w:color w:val="000000"/>
          <w:spacing w:val="0"/>
          <w:w w:val="100"/>
          <w:position w:val="0"/>
        </w:rPr>
        <w:t>该母公司是以向投资者提供投资管理服务为目的，从一个或多个投资者处获取资金；</w:t>
      </w:r>
    </w:p>
    <w:p>
      <w:pPr>
        <w:pStyle w:val="Style29"/>
        <w:keepNext w:val="0"/>
        <w:keepLines w:val="0"/>
        <w:widowControl w:val="0"/>
        <w:numPr>
          <w:ilvl w:val="0"/>
          <w:numId w:val="19"/>
        </w:numPr>
        <w:shd w:val="clear" w:color="auto" w:fill="auto"/>
        <w:tabs>
          <w:tab w:pos="822" w:val="left"/>
        </w:tabs>
        <w:bidi w:val="0"/>
        <w:spacing w:before="0" w:after="0" w:line="312" w:lineRule="exact"/>
        <w:ind w:left="0" w:right="0"/>
        <w:jc w:val="both"/>
      </w:pPr>
      <w:bookmarkStart w:id="745" w:name="bookmark745"/>
      <w:bookmarkEnd w:id="745"/>
      <w:r>
        <w:rPr>
          <w:color w:val="000000"/>
          <w:spacing w:val="0"/>
          <w:w w:val="100"/>
          <w:position w:val="0"/>
        </w:rPr>
        <w:t>该母公司的唯一经营目的，是通过资本增值、投资收益或两者兼有而让投资者获得回报；</w:t>
      </w:r>
    </w:p>
    <w:p>
      <w:pPr>
        <w:pStyle w:val="Style29"/>
        <w:keepNext w:val="0"/>
        <w:keepLines w:val="0"/>
        <w:widowControl w:val="0"/>
        <w:numPr>
          <w:ilvl w:val="0"/>
          <w:numId w:val="19"/>
        </w:numPr>
        <w:shd w:val="clear" w:color="auto" w:fill="auto"/>
        <w:tabs>
          <w:tab w:pos="822" w:val="left"/>
        </w:tabs>
        <w:bidi w:val="0"/>
        <w:spacing w:before="0" w:after="0" w:line="312" w:lineRule="exact"/>
        <w:ind w:left="0" w:right="0"/>
        <w:jc w:val="both"/>
      </w:pPr>
      <w:bookmarkStart w:id="746" w:name="bookmark746"/>
      <w:bookmarkEnd w:id="746"/>
      <w:r>
        <w:rPr>
          <w:color w:val="000000"/>
          <w:spacing w:val="0"/>
          <w:w w:val="100"/>
          <w:position w:val="0"/>
        </w:rPr>
        <w:t>该母公司按照公允价值对几乎所有投资的业绩进行考量和评价。</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编制合并报表时，本公司与被合并子公司采用的统一的会计政策和期间。合并财务报表以本公司和子公司的财务报表为 基础，在抵销本公司与子公司、子公司相互之间发生的内部交易对合并财务报表的影响后，由本公司合并编制。本公司在报 告期内因同一控制下企业合并增加的子公司，编制合并资产负债表时，调整合并资产负债表的年初数。因非同一控制下企业 合并增加的子公司，编制合并资产负债表时，不调整合并资产负债表的年初数。本公司在报告期内因同一控制下企业合并增 加的子公司，将该子公司合并当期年初至报告期末的收入、费用、利润及现金流量纳入合并利润表及现金流量表。因非同一 控制下企业合并增加的子公司，将该子公司购买日至报告期末的收入、费用、利润及现金流量纳入合并利润表及现金流量表。 本公司在报告期内处置子公司，将该子公司年初至处置日的收入、费用、利润及现金流量纳入合并利润表及现金流量表。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 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相对应享有子公司自购买日或合并日开始持续计算的净资产份额之间的差额，应当调整资本公积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 本公积不足冲减的，调整留存收益。</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企业因处置部分股权投资等原因丧失了对被投资方的控制权的，在编制合并财务报表时，对于剩余股权，应当按照其在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子公司自购买日或合并日开始持续计算的净资产的份额之间的差额，计入丧失控制权当期的投资收益，同时冲减商誉。与原 有子公司股权投资相关的其他综合收益等，应当在丧失控制权时转为当期投资收益，由于被投资方重新计量设定受益计划净 负债或净资产变动而产生的其他综合收益除外。</w:t>
      </w:r>
    </w:p>
    <w:p>
      <w:pPr>
        <w:pStyle w:val="Style33"/>
        <w:keepNext/>
        <w:keepLines/>
        <w:widowControl w:val="0"/>
        <w:shd w:val="clear" w:color="auto" w:fill="auto"/>
        <w:tabs>
          <w:tab w:pos="370"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7</w:t>
      </w:r>
      <w:bookmarkEnd w:id="749"/>
      <w:r>
        <w:rPr>
          <w:color w:val="000000"/>
          <w:spacing w:val="0"/>
          <w:w w:val="100"/>
          <w:position w:val="0"/>
        </w:rPr>
        <w:t>、</w:t>
        <w:tab/>
        <w:t>合营安排分类及共同经营会计处理方法</w:t>
      </w:r>
      <w:bookmarkEnd w:id="747"/>
      <w:bookmarkEnd w:id="748"/>
      <w:bookmarkEnd w:id="750"/>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共同经营，是指合营方享有该安排相关资产且承担该安排相关负债的合营安排。公司确认其与共同经营中利益份额相关 的下列项目，并按照相关企业会计准则的规定进行会计处理：</w:t>
      </w:r>
    </w:p>
    <w:p>
      <w:pPr>
        <w:pStyle w:val="Style29"/>
        <w:keepNext w:val="0"/>
        <w:keepLines w:val="0"/>
        <w:widowControl w:val="0"/>
        <w:numPr>
          <w:ilvl w:val="0"/>
          <w:numId w:val="21"/>
        </w:numPr>
        <w:shd w:val="clear" w:color="auto" w:fill="auto"/>
        <w:tabs>
          <w:tab w:pos="822" w:val="left"/>
        </w:tabs>
        <w:bidi w:val="0"/>
        <w:spacing w:before="0" w:after="0" w:line="317" w:lineRule="exact"/>
        <w:ind w:left="0" w:right="0"/>
        <w:jc w:val="both"/>
      </w:pPr>
      <w:bookmarkStart w:id="751" w:name="bookmark751"/>
      <w:bookmarkEnd w:id="751"/>
      <w:r>
        <w:rPr>
          <w:color w:val="000000"/>
          <w:spacing w:val="0"/>
          <w:w w:val="100"/>
          <w:position w:val="0"/>
        </w:rPr>
        <w:t>确认单独所持有的资产，以及按其份额确认共同持有的资产；</w:t>
      </w:r>
    </w:p>
    <w:p>
      <w:pPr>
        <w:pStyle w:val="Style29"/>
        <w:keepNext w:val="0"/>
        <w:keepLines w:val="0"/>
        <w:widowControl w:val="0"/>
        <w:numPr>
          <w:ilvl w:val="0"/>
          <w:numId w:val="21"/>
        </w:numPr>
        <w:shd w:val="clear" w:color="auto" w:fill="auto"/>
        <w:tabs>
          <w:tab w:pos="822" w:val="left"/>
        </w:tabs>
        <w:bidi w:val="0"/>
        <w:spacing w:before="0" w:after="0" w:line="317" w:lineRule="exact"/>
        <w:ind w:left="0" w:right="0"/>
        <w:jc w:val="both"/>
      </w:pPr>
      <w:bookmarkStart w:id="752" w:name="bookmark752"/>
      <w:bookmarkEnd w:id="752"/>
      <w:r>
        <w:rPr>
          <w:color w:val="000000"/>
          <w:spacing w:val="0"/>
          <w:w w:val="100"/>
          <w:position w:val="0"/>
        </w:rPr>
        <w:t>确认单独所承担的负债，以及按其份额确认共同承担的负债；</w:t>
      </w:r>
    </w:p>
    <w:p>
      <w:pPr>
        <w:pStyle w:val="Style29"/>
        <w:keepNext w:val="0"/>
        <w:keepLines w:val="0"/>
        <w:widowControl w:val="0"/>
        <w:numPr>
          <w:ilvl w:val="0"/>
          <w:numId w:val="21"/>
        </w:numPr>
        <w:shd w:val="clear" w:color="auto" w:fill="auto"/>
        <w:tabs>
          <w:tab w:pos="822" w:val="left"/>
        </w:tabs>
        <w:bidi w:val="0"/>
        <w:spacing w:before="0" w:after="0" w:line="317" w:lineRule="exact"/>
        <w:ind w:left="0" w:right="0"/>
        <w:jc w:val="both"/>
      </w:pPr>
      <w:bookmarkStart w:id="753" w:name="bookmark753"/>
      <w:bookmarkEnd w:id="753"/>
      <w:r>
        <w:rPr>
          <w:color w:val="000000"/>
          <w:spacing w:val="0"/>
          <w:w w:val="100"/>
          <w:position w:val="0"/>
        </w:rPr>
        <w:t>确认出售其享有的共同经营产出份额所产生的收入；</w:t>
      </w:r>
    </w:p>
    <w:p>
      <w:pPr>
        <w:pStyle w:val="Style29"/>
        <w:keepNext w:val="0"/>
        <w:keepLines w:val="0"/>
        <w:widowControl w:val="0"/>
        <w:numPr>
          <w:ilvl w:val="0"/>
          <w:numId w:val="21"/>
        </w:numPr>
        <w:shd w:val="clear" w:color="auto" w:fill="auto"/>
        <w:tabs>
          <w:tab w:pos="822" w:val="left"/>
        </w:tabs>
        <w:bidi w:val="0"/>
        <w:spacing w:before="0" w:after="0" w:line="317" w:lineRule="exact"/>
        <w:ind w:left="0" w:right="0"/>
        <w:jc w:val="both"/>
      </w:pPr>
      <w:bookmarkStart w:id="754" w:name="bookmark754"/>
      <w:bookmarkEnd w:id="754"/>
      <w:r>
        <w:rPr>
          <w:color w:val="000000"/>
          <w:spacing w:val="0"/>
          <w:w w:val="100"/>
          <w:position w:val="0"/>
        </w:rPr>
        <w:t>按其份额确认共同经营因出售产出所产生的收入；</w:t>
      </w:r>
    </w:p>
    <w:p>
      <w:pPr>
        <w:pStyle w:val="Style29"/>
        <w:keepNext w:val="0"/>
        <w:keepLines w:val="0"/>
        <w:widowControl w:val="0"/>
        <w:numPr>
          <w:ilvl w:val="0"/>
          <w:numId w:val="21"/>
        </w:numPr>
        <w:shd w:val="clear" w:color="auto" w:fill="auto"/>
        <w:tabs>
          <w:tab w:pos="822" w:val="left"/>
        </w:tabs>
        <w:bidi w:val="0"/>
        <w:spacing w:before="0" w:after="0" w:line="317" w:lineRule="exact"/>
        <w:ind w:left="0" w:right="0"/>
        <w:jc w:val="both"/>
      </w:pPr>
      <w:bookmarkStart w:id="755" w:name="bookmark755"/>
      <w:bookmarkEnd w:id="755"/>
      <w:r>
        <w:rPr>
          <w:color w:val="000000"/>
          <w:spacing w:val="0"/>
          <w:w w:val="100"/>
          <w:position w:val="0"/>
        </w:rPr>
        <w:t>确认单独所发生的费用，以及按其份额确认共同经营发生的费用。</w:t>
      </w:r>
    </w:p>
    <w:p>
      <w:pPr>
        <w:pStyle w:val="Style29"/>
        <w:keepNext w:val="0"/>
        <w:keepLines w:val="0"/>
        <w:widowControl w:val="0"/>
        <w:shd w:val="clear" w:color="auto" w:fill="auto"/>
        <w:bidi w:val="0"/>
        <w:spacing w:before="0" w:after="400" w:line="317" w:lineRule="exact"/>
        <w:ind w:left="0" w:right="0"/>
        <w:jc w:val="both"/>
      </w:pPr>
      <w:r>
        <w:rPr>
          <w:color w:val="000000"/>
          <w:spacing w:val="0"/>
          <w:w w:val="100"/>
          <w:position w:val="0"/>
        </w:rPr>
        <w:t>合营企业，是指合营方仅对该安排的净资产享有权利的合营安排。公司按照权益法对合营企业的投资进行会计处理。</w:t>
      </w:r>
    </w:p>
    <w:p>
      <w:pPr>
        <w:pStyle w:val="Style33"/>
        <w:keepNext/>
        <w:keepLines/>
        <w:widowControl w:val="0"/>
        <w:shd w:val="clear" w:color="auto" w:fill="auto"/>
        <w:tabs>
          <w:tab w:pos="375"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8</w:t>
      </w:r>
      <w:bookmarkEnd w:id="758"/>
      <w:r>
        <w:rPr>
          <w:color w:val="000000"/>
          <w:spacing w:val="0"/>
          <w:w w:val="100"/>
          <w:position w:val="0"/>
        </w:rPr>
        <w:t>、</w:t>
        <w:tab/>
        <w:t>现金及现金等价物的确定标准</w:t>
      </w:r>
      <w:bookmarkEnd w:id="756"/>
      <w:bookmarkEnd w:id="757"/>
      <w:bookmarkEnd w:id="759"/>
    </w:p>
    <w:p>
      <w:pPr>
        <w:pStyle w:val="Style29"/>
        <w:keepNext w:val="0"/>
        <w:keepLines w:val="0"/>
        <w:widowControl w:val="0"/>
        <w:shd w:val="clear" w:color="auto" w:fill="auto"/>
        <w:bidi w:val="0"/>
        <w:spacing w:before="0" w:after="400" w:line="312" w:lineRule="exact"/>
        <w:ind w:left="0" w:right="0"/>
        <w:jc w:val="left"/>
      </w:pPr>
      <w:r>
        <w:rPr>
          <w:color w:val="000000"/>
          <w:spacing w:val="0"/>
          <w:w w:val="100"/>
          <w:position w:val="0"/>
        </w:rPr>
        <w:t>是指公司持有的期限短、流动性强、易于转换为已知金额现金、价值变动风险很小的投资。</w:t>
      </w:r>
    </w:p>
    <w:p>
      <w:pPr>
        <w:pStyle w:val="Style33"/>
        <w:keepNext/>
        <w:keepLines/>
        <w:widowControl w:val="0"/>
        <w:shd w:val="clear" w:color="auto" w:fill="auto"/>
        <w:tabs>
          <w:tab w:pos="375"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9</w:t>
      </w:r>
      <w:bookmarkEnd w:id="762"/>
      <w:r>
        <w:rPr>
          <w:color w:val="000000"/>
          <w:spacing w:val="0"/>
          <w:w w:val="100"/>
          <w:position w:val="0"/>
        </w:rPr>
        <w:t>、</w:t>
        <w:tab/>
        <w:t>外币业务和外币报表折算</w:t>
      </w:r>
      <w:bookmarkEnd w:id="760"/>
      <w:bookmarkEnd w:id="761"/>
      <w:bookmarkEnd w:id="763"/>
    </w:p>
    <w:p>
      <w:pPr>
        <w:pStyle w:val="Style29"/>
        <w:keepNext w:val="0"/>
        <w:keepLines w:val="0"/>
        <w:widowControl w:val="0"/>
        <w:numPr>
          <w:ilvl w:val="0"/>
          <w:numId w:val="23"/>
        </w:numPr>
        <w:shd w:val="clear" w:color="auto" w:fill="auto"/>
        <w:tabs>
          <w:tab w:pos="898" w:val="left"/>
        </w:tabs>
        <w:bidi w:val="0"/>
        <w:spacing w:before="0" w:after="0" w:line="312" w:lineRule="exact"/>
        <w:ind w:left="0" w:right="0"/>
        <w:jc w:val="both"/>
      </w:pPr>
      <w:bookmarkStart w:id="764" w:name="bookmark764"/>
      <w:bookmarkEnd w:id="764"/>
      <w:r>
        <w:rPr>
          <w:color w:val="000000"/>
          <w:spacing w:val="0"/>
          <w:w w:val="100"/>
          <w:position w:val="0"/>
        </w:rPr>
        <w:t>外币交易在初始确认时，采用交易发生当日中国人民银行公布的人民币外汇牌价中间价将外币金额折算为人民币 金额。</w:t>
      </w:r>
    </w:p>
    <w:p>
      <w:pPr>
        <w:pStyle w:val="Style29"/>
        <w:keepNext w:val="0"/>
        <w:keepLines w:val="0"/>
        <w:widowControl w:val="0"/>
        <w:numPr>
          <w:ilvl w:val="0"/>
          <w:numId w:val="23"/>
        </w:numPr>
        <w:shd w:val="clear" w:color="auto" w:fill="auto"/>
        <w:tabs>
          <w:tab w:pos="822" w:val="left"/>
        </w:tabs>
        <w:bidi w:val="0"/>
        <w:spacing w:before="0" w:after="0" w:line="312" w:lineRule="exact"/>
        <w:ind w:left="0" w:right="0"/>
        <w:jc w:val="both"/>
      </w:pPr>
      <w:bookmarkStart w:id="765" w:name="bookmark765"/>
      <w:bookmarkEnd w:id="765"/>
      <w:r>
        <w:rPr>
          <w:color w:val="000000"/>
          <w:spacing w:val="0"/>
          <w:w w:val="100"/>
          <w:position w:val="0"/>
        </w:rPr>
        <w:t>于资产负债表日，按照下列方法对外币货币性项目和外币非货币性项目进行处理：</w:t>
      </w:r>
    </w:p>
    <w:p>
      <w:pPr>
        <w:pStyle w:val="Style29"/>
        <w:keepNext w:val="0"/>
        <w:keepLines w:val="0"/>
        <w:widowControl w:val="0"/>
        <w:numPr>
          <w:ilvl w:val="0"/>
          <w:numId w:val="25"/>
        </w:numPr>
        <w:shd w:val="clear" w:color="auto" w:fill="auto"/>
        <w:bidi w:val="0"/>
        <w:spacing w:before="0" w:after="0" w:line="312" w:lineRule="exact"/>
        <w:ind w:left="0" w:right="0"/>
        <w:jc w:val="both"/>
      </w:pPr>
      <w:bookmarkStart w:id="766" w:name="bookmark766"/>
      <w:bookmarkEnd w:id="766"/>
      <w:r>
        <w:rPr>
          <w:color w:val="000000"/>
          <w:spacing w:val="0"/>
          <w:w w:val="100"/>
          <w:position w:val="0"/>
        </w:rPr>
        <w:t xml:space="preserve">外币货币性项目，采用资产负债表日中国人民银行公布的人民币外汇牌价中间价折算。因资产负债表日即期汇率与初 </w:t>
      </w:r>
      <w:r>
        <w:rPr>
          <w:color w:val="000000"/>
          <w:spacing w:val="0"/>
          <w:w w:val="100"/>
          <w:position w:val="0"/>
        </w:rPr>
        <w:t>始确认时或者前一资产负债表日即期汇率不同而产生的汇兑差额，计入当期损益。</w:t>
      </w:r>
    </w:p>
    <w:p>
      <w:pPr>
        <w:pStyle w:val="Style29"/>
        <w:keepNext w:val="0"/>
        <w:keepLines w:val="0"/>
        <w:widowControl w:val="0"/>
        <w:numPr>
          <w:ilvl w:val="0"/>
          <w:numId w:val="25"/>
        </w:numPr>
        <w:shd w:val="clear" w:color="auto" w:fill="auto"/>
        <w:bidi w:val="0"/>
        <w:spacing w:before="0" w:after="0" w:line="313" w:lineRule="exact"/>
        <w:ind w:left="0" w:right="0"/>
        <w:jc w:val="both"/>
      </w:pPr>
      <w:bookmarkStart w:id="767" w:name="bookmark767"/>
      <w:bookmarkEnd w:id="767"/>
      <w:r>
        <w:rPr>
          <w:color w:val="000000"/>
          <w:spacing w:val="0"/>
          <w:w w:val="100"/>
          <w:position w:val="0"/>
        </w:rPr>
        <w:t>以历史成本计量的外币非货币性项目，仍采用交易发生日的即期汇率折算，不改变其记账本位币金额；以公允价值计 量的外币非货币性项目，采用公允价值确定日的即期汇率折算，折算后的记账本位币金额与原记账本位币金额的差额，作为 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处理，并根据非货币性项目的性质计入当期损益或其他综合收益。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货币性项目，是指公司持有的货币资金和将以固定或可确定的金额收取的资产或者偿付的负债。</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非货币性项目，是指货币性项目以外的项目。</w:t>
      </w:r>
    </w:p>
    <w:p>
      <w:pPr>
        <w:pStyle w:val="Style29"/>
        <w:keepNext w:val="0"/>
        <w:keepLines w:val="0"/>
        <w:widowControl w:val="0"/>
        <w:shd w:val="clear" w:color="auto" w:fill="auto"/>
        <w:tabs>
          <w:tab w:pos="825" w:val="left"/>
        </w:tabs>
        <w:bidi w:val="0"/>
        <w:spacing w:before="0" w:after="0" w:line="313"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境外经营实体的外币财务报表的折算方法：</w:t>
      </w:r>
    </w:p>
    <w:p>
      <w:pPr>
        <w:pStyle w:val="Style29"/>
        <w:keepNext w:val="0"/>
        <w:keepLines w:val="0"/>
        <w:widowControl w:val="0"/>
        <w:numPr>
          <w:ilvl w:val="0"/>
          <w:numId w:val="27"/>
        </w:numPr>
        <w:shd w:val="clear" w:color="auto" w:fill="auto"/>
        <w:tabs>
          <w:tab w:pos="728" w:val="left"/>
        </w:tabs>
        <w:bidi w:val="0"/>
        <w:spacing w:before="0" w:after="0" w:line="313" w:lineRule="exact"/>
        <w:ind w:left="0" w:right="0"/>
        <w:jc w:val="both"/>
      </w:pPr>
      <w:bookmarkStart w:id="769" w:name="bookmark769"/>
      <w:bookmarkEnd w:id="769"/>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w:t>
      </w:r>
    </w:p>
    <w:p>
      <w:pPr>
        <w:pStyle w:val="Style29"/>
        <w:keepNext w:val="0"/>
        <w:keepLines w:val="0"/>
        <w:widowControl w:val="0"/>
        <w:numPr>
          <w:ilvl w:val="0"/>
          <w:numId w:val="27"/>
        </w:numPr>
        <w:shd w:val="clear" w:color="auto" w:fill="auto"/>
        <w:tabs>
          <w:tab w:pos="728" w:val="left"/>
        </w:tabs>
        <w:bidi w:val="0"/>
        <w:spacing w:before="0" w:after="0" w:line="313" w:lineRule="exact"/>
        <w:ind w:left="0" w:right="0"/>
        <w:jc w:val="both"/>
      </w:pPr>
      <w:bookmarkStart w:id="770" w:name="bookmark770"/>
      <w:bookmarkEnd w:id="770"/>
      <w:r>
        <w:rPr>
          <w:color w:val="000000"/>
          <w:spacing w:val="0"/>
          <w:w w:val="100"/>
          <w:position w:val="0"/>
        </w:rPr>
        <w:t>利润表中的收入和费用项目，采用交易发生日的即期汇率折算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或采用按照系统合理的方法确定的、与交易发生日即 期汇率近似的汇率折算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numPr>
          <w:ilvl w:val="0"/>
          <w:numId w:val="27"/>
        </w:numPr>
        <w:shd w:val="clear" w:color="auto" w:fill="auto"/>
        <w:tabs>
          <w:tab w:pos="753" w:val="left"/>
        </w:tabs>
        <w:bidi w:val="0"/>
        <w:spacing w:before="0" w:after="0" w:line="313" w:lineRule="exact"/>
        <w:ind w:left="0" w:right="0"/>
        <w:jc w:val="both"/>
      </w:pPr>
      <w:bookmarkStart w:id="771" w:name="bookmark771"/>
      <w:bookmarkEnd w:id="771"/>
      <w:r>
        <w:rPr>
          <w:color w:val="000000"/>
          <w:spacing w:val="0"/>
          <w:w w:val="100"/>
          <w:position w:val="0"/>
        </w:rPr>
        <w:t>按照上述①、②折算产生的外币财务报表折算差额，在资产负债表中所有者权益项目下单独列示。</w:t>
      </w:r>
    </w:p>
    <w:p>
      <w:pPr>
        <w:pStyle w:val="Style29"/>
        <w:keepNext w:val="0"/>
        <w:keepLines w:val="0"/>
        <w:widowControl w:val="0"/>
        <w:shd w:val="clear" w:color="auto" w:fill="auto"/>
        <w:tabs>
          <w:tab w:pos="825" w:val="left"/>
        </w:tabs>
        <w:bidi w:val="0"/>
        <w:spacing w:before="0" w:after="0" w:line="313" w:lineRule="exact"/>
        <w:ind w:left="0" w:right="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公司对处于恶性通货膨胀经济中的境外经营的财务报表，按照下列方法进行折算：</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对资产负债表项目运用一般物价指数予以重述，对利润表项目运用一般物价指数变动予以重述，再按照最近资产负债表 日的即期汇率进行折算。</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在境外经营不再处于恶性通货膨胀经济中时，停止重述，按照停止之日的价格水平重述的财务报表进行折算。</w:t>
      </w:r>
    </w:p>
    <w:p>
      <w:pPr>
        <w:pStyle w:val="Style29"/>
        <w:keepNext w:val="0"/>
        <w:keepLines w:val="0"/>
        <w:widowControl w:val="0"/>
        <w:shd w:val="clear" w:color="auto" w:fill="auto"/>
        <w:tabs>
          <w:tab w:pos="872" w:val="left"/>
        </w:tabs>
        <w:bidi w:val="0"/>
        <w:spacing w:before="0" w:after="0" w:line="313" w:lineRule="exact"/>
        <w:ind w:left="0" w:right="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公司在处置境外经营时，将资产负债表中所有者权益项目下列示的、与该境外经营相关的外币财务报表折算差额, 自所有者权益项目转入处置当期损益；部分处置境外经营的，按处置的比例计算处置部分的外币财务报表折算差额，转入处</w:t>
      </w:r>
    </w:p>
    <w:p>
      <w:pPr>
        <w:pStyle w:val="Style29"/>
        <w:keepNext w:val="0"/>
        <w:keepLines w:val="0"/>
        <w:widowControl w:val="0"/>
        <w:shd w:val="clear" w:color="auto" w:fill="auto"/>
        <w:bidi w:val="0"/>
        <w:spacing w:before="0" w:after="400" w:line="313" w:lineRule="exact"/>
        <w:ind w:left="0" w:right="0" w:firstLine="0"/>
        <w:jc w:val="left"/>
      </w:pPr>
      <w:r>
        <w:rPr>
          <w:color w:val="000000"/>
          <w:spacing w:val="0"/>
          <w:w w:val="100"/>
          <w:position w:val="0"/>
        </w:rPr>
        <w:t>置当期损益。</w:t>
      </w:r>
    </w:p>
    <w:p>
      <w:pPr>
        <w:pStyle w:val="Style33"/>
        <w:keepNext/>
        <w:keepLines/>
        <w:widowControl w:val="0"/>
        <w:shd w:val="clear" w:color="auto" w:fill="auto"/>
        <w:bidi w:val="0"/>
        <w:spacing w:before="0" w:after="26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4"/>
      <w:bookmarkEnd w:id="775"/>
      <w:bookmarkEnd w:id="777"/>
    </w:p>
    <w:p>
      <w:pPr>
        <w:pStyle w:val="Style29"/>
        <w:keepNext w:val="0"/>
        <w:keepLines w:val="0"/>
        <w:widowControl w:val="0"/>
        <w:shd w:val="clear" w:color="auto" w:fill="auto"/>
        <w:bidi w:val="0"/>
        <w:spacing w:before="0" w:after="0" w:line="311" w:lineRule="exact"/>
        <w:ind w:left="0" w:right="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）金融工具的分类、确认依据和计量方法</w:t>
      </w:r>
    </w:p>
    <w:p>
      <w:pPr>
        <w:pStyle w:val="Style29"/>
        <w:keepNext w:val="0"/>
        <w:keepLines w:val="0"/>
        <w:widowControl w:val="0"/>
        <w:numPr>
          <w:ilvl w:val="0"/>
          <w:numId w:val="29"/>
        </w:numPr>
        <w:shd w:val="clear" w:color="auto" w:fill="auto"/>
        <w:tabs>
          <w:tab w:pos="753" w:val="left"/>
        </w:tabs>
        <w:bidi w:val="0"/>
        <w:spacing w:before="0" w:after="0" w:line="311" w:lineRule="exact"/>
        <w:ind w:left="0" w:right="0"/>
        <w:jc w:val="both"/>
      </w:pPr>
      <w:bookmarkStart w:id="779" w:name="bookmark779"/>
      <w:bookmarkEnd w:id="779"/>
      <w:r>
        <w:rPr>
          <w:color w:val="000000"/>
          <w:spacing w:val="0"/>
          <w:w w:val="100"/>
          <w:position w:val="0"/>
        </w:rPr>
        <w:t>金融资产在初始确认时划分为下列四类：</w:t>
      </w:r>
    </w:p>
    <w:p>
      <w:pPr>
        <w:pStyle w:val="Style29"/>
        <w:keepNext w:val="0"/>
        <w:keepLines w:val="0"/>
        <w:widowControl w:val="0"/>
        <w:shd w:val="clear" w:color="auto" w:fill="auto"/>
        <w:bidi w:val="0"/>
        <w:spacing w:before="0" w:after="120" w:line="311" w:lineRule="exact"/>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）以公允价值计量且其变动计入当期损益的金融资产，包括交易性金融资产和指定为以公允价值计量且其变动计入当 期损益的金融资产；</w:t>
      </w:r>
    </w:p>
    <w:p>
      <w:pPr>
        <w:pStyle w:val="Style29"/>
        <w:keepNext w:val="0"/>
        <w:keepLines w:val="0"/>
        <w:widowControl w:val="0"/>
        <w:shd w:val="clear" w:color="auto" w:fill="auto"/>
        <w:tabs>
          <w:tab w:pos="748" w:val="left"/>
        </w:tabs>
        <w:bidi w:val="0"/>
        <w:spacing w:before="0" w:after="0" w:line="360" w:lineRule="auto"/>
        <w:ind w:left="0" w:right="0"/>
        <w:jc w:val="both"/>
      </w:pPr>
      <w:bookmarkStart w:id="780" w:name="bookmark780"/>
      <w:r>
        <w:rPr>
          <w:rFonts w:ascii="Times New Roman" w:eastAsia="Times New Roman" w:hAnsi="Times New Roman" w:cs="Times New Roman"/>
          <w:color w:val="000000"/>
          <w:spacing w:val="0"/>
          <w:w w:val="100"/>
          <w:position w:val="0"/>
          <w:sz w:val="18"/>
          <w:szCs w:val="18"/>
        </w:rPr>
        <w:t>2</w:t>
      </w:r>
      <w:bookmarkEnd w:id="780"/>
      <w:r>
        <w:rPr>
          <w:color w:val="000000"/>
          <w:spacing w:val="0"/>
          <w:w w:val="100"/>
          <w:position w:val="0"/>
        </w:rPr>
        <w:t>）</w:t>
        <w:tab/>
        <w:t>持有至到期投资；</w:t>
      </w:r>
    </w:p>
    <w:p>
      <w:pPr>
        <w:pStyle w:val="Style29"/>
        <w:keepNext w:val="0"/>
        <w:keepLines w:val="0"/>
        <w:widowControl w:val="0"/>
        <w:shd w:val="clear" w:color="auto" w:fill="auto"/>
        <w:tabs>
          <w:tab w:pos="748" w:val="left"/>
        </w:tabs>
        <w:bidi w:val="0"/>
        <w:spacing w:before="0" w:after="0" w:line="360" w:lineRule="auto"/>
        <w:ind w:left="0" w:right="0"/>
        <w:jc w:val="both"/>
      </w:pPr>
      <w:bookmarkStart w:id="781" w:name="bookmark781"/>
      <w:r>
        <w:rPr>
          <w:rFonts w:ascii="Times New Roman" w:eastAsia="Times New Roman" w:hAnsi="Times New Roman" w:cs="Times New Roman"/>
          <w:color w:val="000000"/>
          <w:spacing w:val="0"/>
          <w:w w:val="100"/>
          <w:position w:val="0"/>
          <w:sz w:val="18"/>
          <w:szCs w:val="18"/>
        </w:rPr>
        <w:t>3</w:t>
      </w:r>
      <w:bookmarkEnd w:id="781"/>
      <w:r>
        <w:rPr>
          <w:color w:val="000000"/>
          <w:spacing w:val="0"/>
          <w:w w:val="100"/>
          <w:position w:val="0"/>
        </w:rPr>
        <w:t>）</w:t>
        <w:tab/>
        <w:t>应收款项（如是金融企业应加贷款的内容）；</w:t>
      </w:r>
    </w:p>
    <w:p>
      <w:pPr>
        <w:pStyle w:val="Style29"/>
        <w:keepNext w:val="0"/>
        <w:keepLines w:val="0"/>
        <w:widowControl w:val="0"/>
        <w:shd w:val="clear" w:color="auto" w:fill="auto"/>
        <w:tabs>
          <w:tab w:pos="748" w:val="left"/>
        </w:tabs>
        <w:bidi w:val="0"/>
        <w:spacing w:before="0" w:after="0" w:line="360" w:lineRule="auto"/>
        <w:ind w:left="0" w:right="0"/>
        <w:jc w:val="both"/>
      </w:pPr>
      <w:bookmarkStart w:id="782" w:name="bookmark782"/>
      <w:r>
        <w:rPr>
          <w:rFonts w:ascii="Times New Roman" w:eastAsia="Times New Roman" w:hAnsi="Times New Roman" w:cs="Times New Roman"/>
          <w:color w:val="000000"/>
          <w:spacing w:val="0"/>
          <w:w w:val="100"/>
          <w:position w:val="0"/>
          <w:sz w:val="18"/>
          <w:szCs w:val="18"/>
        </w:rPr>
        <w:t>4</w:t>
      </w:r>
      <w:bookmarkEnd w:id="782"/>
      <w:r>
        <w:rPr>
          <w:color w:val="000000"/>
          <w:spacing w:val="0"/>
          <w:w w:val="100"/>
          <w:position w:val="0"/>
        </w:rPr>
        <w:t>）</w:t>
        <w:tab/>
        <w:t>可供出售金融资产。</w:t>
      </w:r>
    </w:p>
    <w:p>
      <w:pPr>
        <w:pStyle w:val="Style29"/>
        <w:keepNext w:val="0"/>
        <w:keepLines w:val="0"/>
        <w:widowControl w:val="0"/>
        <w:numPr>
          <w:ilvl w:val="0"/>
          <w:numId w:val="29"/>
        </w:numPr>
        <w:shd w:val="clear" w:color="auto" w:fill="auto"/>
        <w:tabs>
          <w:tab w:pos="753" w:val="left"/>
        </w:tabs>
        <w:bidi w:val="0"/>
        <w:spacing w:before="0" w:after="0" w:line="311" w:lineRule="exact"/>
        <w:ind w:left="0" w:right="0"/>
        <w:jc w:val="both"/>
      </w:pPr>
      <w:bookmarkStart w:id="783" w:name="bookmark783"/>
      <w:bookmarkEnd w:id="783"/>
      <w:r>
        <w:rPr>
          <w:color w:val="000000"/>
          <w:spacing w:val="0"/>
          <w:w w:val="100"/>
          <w:position w:val="0"/>
        </w:rPr>
        <w:t>金融负债在初始确认时划分为下列两类：</w:t>
      </w:r>
    </w:p>
    <w:p>
      <w:pPr>
        <w:pStyle w:val="Style29"/>
        <w:keepNext w:val="0"/>
        <w:keepLines w:val="0"/>
        <w:widowControl w:val="0"/>
        <w:shd w:val="clear" w:color="auto" w:fill="auto"/>
        <w:tabs>
          <w:tab w:pos="718" w:val="left"/>
        </w:tabs>
        <w:bidi w:val="0"/>
        <w:spacing w:before="0" w:after="120" w:line="311" w:lineRule="exact"/>
        <w:ind w:left="0" w:right="0"/>
        <w:jc w:val="both"/>
      </w:pPr>
      <w:bookmarkStart w:id="784" w:name="bookmark784"/>
      <w:r>
        <w:rPr>
          <w:rFonts w:ascii="Times New Roman" w:eastAsia="Times New Roman" w:hAnsi="Times New Roman" w:cs="Times New Roman"/>
          <w:color w:val="000000"/>
          <w:spacing w:val="0"/>
          <w:w w:val="100"/>
          <w:position w:val="0"/>
          <w:sz w:val="18"/>
          <w:szCs w:val="18"/>
        </w:rPr>
        <w:t>1</w:t>
      </w:r>
      <w:bookmarkEnd w:id="784"/>
      <w:r>
        <w:rPr>
          <w:color w:val="000000"/>
          <w:spacing w:val="0"/>
          <w:w w:val="100"/>
          <w:position w:val="0"/>
        </w:rPr>
        <w:t>）</w:t>
        <w:tab/>
        <w:t>以公允价值计量且其变动计入当期损益的金融负债，包括交易性金融负债和指定为以公允价值计量且其变动计入当 期损益的金融负债；</w:t>
      </w:r>
    </w:p>
    <w:p>
      <w:pPr>
        <w:pStyle w:val="Style29"/>
        <w:keepNext w:val="0"/>
        <w:keepLines w:val="0"/>
        <w:widowControl w:val="0"/>
        <w:shd w:val="clear" w:color="auto" w:fill="auto"/>
        <w:tabs>
          <w:tab w:pos="748" w:val="left"/>
        </w:tabs>
        <w:bidi w:val="0"/>
        <w:spacing w:before="0" w:after="0" w:line="360" w:lineRule="auto"/>
        <w:ind w:left="0" w:right="0"/>
        <w:jc w:val="both"/>
      </w:pPr>
      <w:bookmarkStart w:id="785" w:name="bookmark785"/>
      <w:r>
        <w:rPr>
          <w:rFonts w:ascii="Times New Roman" w:eastAsia="Times New Roman" w:hAnsi="Times New Roman" w:cs="Times New Roman"/>
          <w:color w:val="000000"/>
          <w:spacing w:val="0"/>
          <w:w w:val="100"/>
          <w:position w:val="0"/>
          <w:sz w:val="18"/>
          <w:szCs w:val="18"/>
        </w:rPr>
        <w:t>2</w:t>
      </w:r>
      <w:bookmarkEnd w:id="785"/>
      <w:r>
        <w:rPr>
          <w:color w:val="000000"/>
          <w:spacing w:val="0"/>
          <w:w w:val="100"/>
          <w:position w:val="0"/>
        </w:rPr>
        <w:t>）</w:t>
        <w:tab/>
        <w:t>其他金融负债。</w:t>
      </w:r>
    </w:p>
    <w:p>
      <w:pPr>
        <w:pStyle w:val="Style29"/>
        <w:keepNext w:val="0"/>
        <w:keepLines w:val="0"/>
        <w:widowControl w:val="0"/>
        <w:numPr>
          <w:ilvl w:val="0"/>
          <w:numId w:val="29"/>
        </w:numPr>
        <w:shd w:val="clear" w:color="auto" w:fill="auto"/>
        <w:tabs>
          <w:tab w:pos="753" w:val="left"/>
        </w:tabs>
        <w:bidi w:val="0"/>
        <w:spacing w:before="0" w:after="0" w:line="311" w:lineRule="exact"/>
        <w:ind w:left="0" w:right="0"/>
        <w:jc w:val="both"/>
      </w:pPr>
      <w:bookmarkStart w:id="786" w:name="bookmark786"/>
      <w:bookmarkEnd w:id="786"/>
      <w:r>
        <w:rPr>
          <w:color w:val="000000"/>
          <w:spacing w:val="0"/>
          <w:w w:val="100"/>
          <w:position w:val="0"/>
        </w:rPr>
        <w:t>以公允价值计量且其变动计入当期损益的金融资产或金融负债</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此类金融资产或金融负债进一步分为交易性金融资产或金融负债和直接指定为以公允价值计量且其变动计入当期损益 的金融资产或金融负债。</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交易性金融资产或金融负债，主要是指公司为了近期内出售而持有的金融资产或近期内回购而承担的金融负债。</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直接指定为以公允价值计量且其变动计入当期损益的金融资产或金融负债，主要是指公司基于风险管理、战略投资需要 等所作的指定。</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以公允价值计量且其变动计入当期损益的金融资产按照取得时的公允价值作为初始确认金额，相关的交易费用在发生时 计入当期损益。支付的价款中包含已宣告但尚未发放的现金股利或已到付息期但尚未领取的债券利息，单独确认为应收项目。</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在持有以公允价值计量且其变动计入当期损益的金融资产期间取得的利息或现金股利，确认为投资收益。资产负债表日， 将以公允价值计量且其变动计入当期损益的金融资产或金融负债的公允价值变动计入当期损益。</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处置以公允价值计量且其变动计入当期损益的金融资产或金融负债时，其公允价值与初始入账金额之间的差额确认为投 </w:t>
      </w:r>
      <w:r>
        <w:rPr>
          <w:color w:val="000000"/>
          <w:spacing w:val="0"/>
          <w:w w:val="100"/>
          <w:position w:val="0"/>
        </w:rPr>
        <w:t>资收益，同时调整公允价值变动损益。</w:t>
      </w:r>
    </w:p>
    <w:p>
      <w:pPr>
        <w:pStyle w:val="Style29"/>
        <w:keepNext w:val="0"/>
        <w:keepLines w:val="0"/>
        <w:widowControl w:val="0"/>
        <w:numPr>
          <w:ilvl w:val="0"/>
          <w:numId w:val="29"/>
        </w:numPr>
        <w:shd w:val="clear" w:color="auto" w:fill="auto"/>
        <w:tabs>
          <w:tab w:pos="744" w:val="left"/>
        </w:tabs>
        <w:bidi w:val="0"/>
        <w:spacing w:before="0" w:after="0" w:line="313" w:lineRule="exact"/>
        <w:ind w:left="0" w:right="0"/>
        <w:jc w:val="both"/>
      </w:pPr>
      <w:bookmarkStart w:id="787" w:name="bookmark787"/>
      <w:bookmarkEnd w:id="787"/>
      <w:r>
        <w:rPr>
          <w:color w:val="000000"/>
          <w:spacing w:val="0"/>
          <w:w w:val="100"/>
          <w:position w:val="0"/>
        </w:rPr>
        <w:t>持有至到期投资</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此类金融资产是指到期日固定、回收金额固定或可确定，且公司有明确意图和能力持有至到期的非衍生金融资产。 持有至到期投资按取得时的公允价值和相关交易费用之和作为初始确认金额。支付的价款中包含的已到付息期但尚未领 取的债券利息，应单独确认为应收项目。</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持有至到期投资在持有期间按照摊余成本和实际利率计算确认利息收入，计入投资收益。实际利率应当在取得持有至到 期投资时确定，在该持有至到期投资预期存续期间或适用的更短期间内保持不变。（实际利率与票面利率差别较小的，也可 按票面利率计算利息收入，计入投资收益。）</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处置持有至到期投资时，应将所取得价款与该投资账面价值之间的差额计入投资收益。</w:t>
      </w:r>
    </w:p>
    <w:p>
      <w:pPr>
        <w:pStyle w:val="Style29"/>
        <w:keepNext w:val="0"/>
        <w:keepLines w:val="0"/>
        <w:widowControl w:val="0"/>
        <w:numPr>
          <w:ilvl w:val="0"/>
          <w:numId w:val="29"/>
        </w:numPr>
        <w:shd w:val="clear" w:color="auto" w:fill="auto"/>
        <w:tabs>
          <w:tab w:pos="744" w:val="left"/>
        </w:tabs>
        <w:bidi w:val="0"/>
        <w:spacing w:before="0" w:after="0" w:line="313" w:lineRule="exact"/>
        <w:ind w:left="0" w:right="0"/>
        <w:jc w:val="left"/>
      </w:pPr>
      <w:bookmarkStart w:id="788" w:name="bookmark788"/>
      <w:bookmarkEnd w:id="788"/>
      <w:r>
        <w:rPr>
          <w:color w:val="000000"/>
          <w:spacing w:val="0"/>
          <w:w w:val="100"/>
          <w:position w:val="0"/>
        </w:rPr>
        <w:t>贷款和应收款项</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贷款主要是指金融企业发放的贷款，金融企业按当前市场条件发放的贷款，按发放贷款的本金和相关交易费用之和作为 初始确认金额。贷款持有期间所确认的利息收入，应当根据实际利率计算。实际利率应在取得贷款时确定，在该贷款预期存 续期间或适用的更短期间内保持不变。实际利率与合同利率差别较小的，也可按合同利率计算利息收入。</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应收款项主要是指公司销售商品或提供劳务形成的应收款项等债权，通常应按从购货方应收的合同或协议价款作为初始 确认金额。收回或处置贷款和应收款项时，应将取得的价款与该贷款和应收款项账面价值之间的差额计入当期损益。</w:t>
      </w:r>
    </w:p>
    <w:p>
      <w:pPr>
        <w:pStyle w:val="Style29"/>
        <w:keepNext w:val="0"/>
        <w:keepLines w:val="0"/>
        <w:widowControl w:val="0"/>
        <w:numPr>
          <w:ilvl w:val="0"/>
          <w:numId w:val="29"/>
        </w:numPr>
        <w:shd w:val="clear" w:color="auto" w:fill="auto"/>
        <w:tabs>
          <w:tab w:pos="744" w:val="left"/>
        </w:tabs>
        <w:bidi w:val="0"/>
        <w:spacing w:before="0" w:after="0" w:line="313" w:lineRule="exact"/>
        <w:ind w:left="0" w:right="0"/>
        <w:jc w:val="left"/>
      </w:pPr>
      <w:bookmarkStart w:id="789" w:name="bookmark789"/>
      <w:bookmarkEnd w:id="789"/>
      <w:r>
        <w:rPr>
          <w:color w:val="000000"/>
          <w:spacing w:val="0"/>
          <w:w w:val="100"/>
          <w:position w:val="0"/>
        </w:rPr>
        <w:t>可供出售金融资产</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可供出售金融资产通常是指企业没有划分为以公允价值计量且其变动计入当期损益的金融资产、持有至到期投资、贷款 和应收款项的金融资产。</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可供出售金融资产按取得该金融资产的公允价值和相关交易费用之和作为初始确认金额。支付的价款中包含的已到付息 期但尚未领取的债券利息或已宣告但尚未发放的现金股利，应单独确认为应收项目。</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可供出售金融资产持有期间取得的利息或现金股利，应当计入投资收益。资产负债表日，可供出售金融资产应当以公允 价值计量，且公允价值变动计入资本公积（其他资本公积）。</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处置可供出售金融资产时，应将取得的价款与该金融资产账面价值之间的差额，计入投资损益；同时，将原直接计入所 有者权益的公允价值变动累计额对应处置部分的金额转出，计入投资损益。</w:t>
      </w:r>
    </w:p>
    <w:p>
      <w:pPr>
        <w:pStyle w:val="Style29"/>
        <w:keepNext w:val="0"/>
        <w:keepLines w:val="0"/>
        <w:widowControl w:val="0"/>
        <w:numPr>
          <w:ilvl w:val="0"/>
          <w:numId w:val="29"/>
        </w:numPr>
        <w:shd w:val="clear" w:color="auto" w:fill="auto"/>
        <w:tabs>
          <w:tab w:pos="744" w:val="left"/>
        </w:tabs>
        <w:bidi w:val="0"/>
        <w:spacing w:before="0" w:after="0" w:line="313" w:lineRule="exact"/>
        <w:ind w:left="0" w:right="0"/>
        <w:jc w:val="left"/>
      </w:pPr>
      <w:bookmarkStart w:id="790" w:name="bookmark790"/>
      <w:bookmarkEnd w:id="790"/>
      <w:r>
        <w:rPr>
          <w:color w:val="000000"/>
          <w:spacing w:val="0"/>
          <w:w w:val="100"/>
          <w:position w:val="0"/>
        </w:rPr>
        <w:t>其他金融负债</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其他金融负债是指除以公允价值计量且其变动计入当期损益的金融负债以外的金融负债。通常情况下，公司发行的债券、 因购买商品产生的应付账款、长期应付款等，应当划分为其他金融负债。</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其他金融负债应当按其公允价值和相关交易费用之和作为初始确认金额。其他金融负债通常采用摊余成本进行后续计量。</w:t>
      </w:r>
    </w:p>
    <w:p>
      <w:pPr>
        <w:pStyle w:val="Style29"/>
        <w:keepNext w:val="0"/>
        <w:keepLines w:val="0"/>
        <w:widowControl w:val="0"/>
        <w:shd w:val="clear" w:color="auto" w:fill="auto"/>
        <w:tabs>
          <w:tab w:pos="816" w:val="left"/>
        </w:tabs>
        <w:bidi w:val="0"/>
        <w:spacing w:before="0" w:after="0" w:line="313" w:lineRule="exact"/>
        <w:ind w:left="0" w:right="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2）</w:t>
        <w:tab/>
      </w:r>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公司已将金融资产所有权上几乎所有的风险和报酬转移给转入方的，终止确认该金融资产；保留了金融资产所有权上几 乎所有的风险和报酬的，不终止确认该金融资产。终止确认，是指将金融资产或金融负债从公司的账户和资产负债表内予 以转销。金融资产整体转移满足终止确认条件的，应当将下列两项金额的差额计入当期损益：</w:t>
      </w:r>
    </w:p>
    <w:p>
      <w:pPr>
        <w:pStyle w:val="Style29"/>
        <w:keepNext w:val="0"/>
        <w:keepLines w:val="0"/>
        <w:widowControl w:val="0"/>
        <w:numPr>
          <w:ilvl w:val="0"/>
          <w:numId w:val="31"/>
        </w:numPr>
        <w:shd w:val="clear" w:color="auto" w:fill="auto"/>
        <w:tabs>
          <w:tab w:pos="744" w:val="left"/>
        </w:tabs>
        <w:bidi w:val="0"/>
        <w:spacing w:before="0" w:after="0" w:line="313" w:lineRule="exact"/>
        <w:ind w:left="0" w:right="0"/>
        <w:jc w:val="both"/>
      </w:pPr>
      <w:bookmarkStart w:id="792" w:name="bookmark792"/>
      <w:bookmarkEnd w:id="792"/>
      <w:r>
        <w:rPr>
          <w:color w:val="000000"/>
          <w:spacing w:val="0"/>
          <w:w w:val="100"/>
          <w:position w:val="0"/>
        </w:rPr>
        <w:t>所转移金融资产的账面价值；</w:t>
      </w:r>
    </w:p>
    <w:p>
      <w:pPr>
        <w:pStyle w:val="Style29"/>
        <w:keepNext w:val="0"/>
        <w:keepLines w:val="0"/>
        <w:widowControl w:val="0"/>
        <w:numPr>
          <w:ilvl w:val="0"/>
          <w:numId w:val="31"/>
        </w:numPr>
        <w:shd w:val="clear" w:color="auto" w:fill="auto"/>
        <w:tabs>
          <w:tab w:pos="719" w:val="left"/>
        </w:tabs>
        <w:bidi w:val="0"/>
        <w:spacing w:before="0" w:after="0" w:line="313" w:lineRule="exact"/>
        <w:ind w:left="0" w:right="0"/>
        <w:jc w:val="both"/>
      </w:pPr>
      <w:bookmarkStart w:id="793" w:name="bookmark793"/>
      <w:bookmarkEnd w:id="793"/>
      <w:r>
        <w:rPr>
          <w:color w:val="000000"/>
          <w:spacing w:val="0"/>
          <w:w w:val="100"/>
          <w:position w:val="0"/>
        </w:rPr>
        <w:t>因转移而收到的对价，与原直接计入所有者权益的公允价值变动累计额（涉及转移的金融资产为可供出售金融资产的 情形）之和。</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金融资产部分转移满足终止确认条件的，将所转移金融资产整体的账面价值，在终止确认部分和未终止确认部分（在此 种情况下，所保留的服务资产应当视同未终止确认金融资产的一部分）之间，按照各自的相对公允价值进行分摊，并将下列 两项金额的差额计入当期损益：</w:t>
      </w:r>
    </w:p>
    <w:p>
      <w:pPr>
        <w:pStyle w:val="Style29"/>
        <w:keepNext w:val="0"/>
        <w:keepLines w:val="0"/>
        <w:widowControl w:val="0"/>
        <w:shd w:val="clear" w:color="auto" w:fill="auto"/>
        <w:tabs>
          <w:tab w:pos="720" w:val="left"/>
        </w:tabs>
        <w:bidi w:val="0"/>
        <w:spacing w:before="0" w:after="0" w:line="313" w:lineRule="exact"/>
        <w:ind w:left="0" w:right="0"/>
        <w:jc w:val="both"/>
      </w:pPr>
      <w:bookmarkStart w:id="794" w:name="bookmark794"/>
      <w:r>
        <w:rPr>
          <w:color w:val="000000"/>
          <w:spacing w:val="0"/>
          <w:w w:val="100"/>
          <w:position w:val="0"/>
          <w:sz w:val="18"/>
          <w:szCs w:val="18"/>
        </w:rPr>
        <w:t>1</w:t>
      </w:r>
      <w:bookmarkEnd w:id="794"/>
      <w:r>
        <w:rPr>
          <w:color w:val="000000"/>
          <w:spacing w:val="0"/>
          <w:w w:val="100"/>
          <w:position w:val="0"/>
          <w:sz w:val="18"/>
          <w:szCs w:val="18"/>
        </w:rPr>
        <w:t>）</w:t>
        <w:tab/>
      </w:r>
      <w:r>
        <w:rPr>
          <w:color w:val="000000"/>
          <w:spacing w:val="0"/>
          <w:w w:val="100"/>
          <w:position w:val="0"/>
        </w:rPr>
        <w:t>终止确认部分的账面价值；</w:t>
      </w:r>
    </w:p>
    <w:p>
      <w:pPr>
        <w:pStyle w:val="Style29"/>
        <w:keepNext w:val="0"/>
        <w:keepLines w:val="0"/>
        <w:widowControl w:val="0"/>
        <w:shd w:val="clear" w:color="auto" w:fill="auto"/>
        <w:tabs>
          <w:tab w:pos="705" w:val="left"/>
        </w:tabs>
        <w:bidi w:val="0"/>
        <w:spacing w:before="0" w:after="0" w:line="313" w:lineRule="exact"/>
        <w:ind w:left="0" w:right="0"/>
        <w:jc w:val="both"/>
      </w:pPr>
      <w:bookmarkStart w:id="795" w:name="bookmark795"/>
      <w:r>
        <w:rPr>
          <w:color w:val="000000"/>
          <w:spacing w:val="0"/>
          <w:w w:val="100"/>
          <w:position w:val="0"/>
          <w:sz w:val="18"/>
          <w:szCs w:val="18"/>
        </w:rPr>
        <w:t>2</w:t>
      </w:r>
      <w:bookmarkEnd w:id="795"/>
      <w:r>
        <w:rPr>
          <w:color w:val="000000"/>
          <w:spacing w:val="0"/>
          <w:w w:val="100"/>
          <w:position w:val="0"/>
          <w:sz w:val="18"/>
          <w:szCs w:val="18"/>
        </w:rPr>
        <w:t>）</w:t>
        <w:tab/>
      </w:r>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公司仍保留与所转移金融资产所有权上几乎所有的风险和报酬的，则继续确认所转移金融资产整体，并将收到的对价确 认为一项金融负债。</w:t>
      </w:r>
    </w:p>
    <w:p>
      <w:pPr>
        <w:pStyle w:val="Style29"/>
        <w:keepNext w:val="0"/>
        <w:keepLines w:val="0"/>
        <w:widowControl w:val="0"/>
        <w:shd w:val="clear" w:color="auto" w:fill="auto"/>
        <w:tabs>
          <w:tab w:pos="816" w:val="left"/>
        </w:tabs>
        <w:bidi w:val="0"/>
        <w:spacing w:before="0" w:after="0" w:line="313" w:lineRule="exact"/>
        <w:ind w:left="0" w:right="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3）</w:t>
        <w:tab/>
      </w:r>
      <w:r>
        <w:rPr>
          <w:color w:val="000000"/>
          <w:spacing w:val="0"/>
          <w:w w:val="100"/>
          <w:position w:val="0"/>
        </w:rPr>
        <w:t>金融负债终止确认条件</w:t>
      </w:r>
      <w:r>
        <w:br w:type="page"/>
      </w: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金融负债的现时义务全部或部分已经解除的，则应终止确认该金融负债或其一部分。</w:t>
      </w:r>
    </w:p>
    <w:p>
      <w:pPr>
        <w:pStyle w:val="Style33"/>
        <w:keepNext/>
        <w:keepLines/>
        <w:widowControl w:val="0"/>
        <w:shd w:val="clear" w:color="auto" w:fill="auto"/>
        <w:bidi w:val="0"/>
        <w:spacing w:before="0" w:after="3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7"/>
      <w:bookmarkEnd w:id="798"/>
      <w:bookmarkEnd w:id="800"/>
    </w:p>
    <w:p>
      <w:pPr>
        <w:pStyle w:val="Style33"/>
        <w:keepNext/>
        <w:keepLines/>
        <w:widowControl w:val="0"/>
        <w:shd w:val="clear" w:color="auto" w:fill="auto"/>
        <w:bidi w:val="0"/>
        <w:spacing w:before="0" w:after="320" w:line="240" w:lineRule="auto"/>
        <w:ind w:left="0" w:right="0" w:firstLine="140"/>
        <w:jc w:val="left"/>
      </w:pPr>
      <w:bookmarkStart w:id="797" w:name="bookmark797"/>
      <w:bookmarkStart w:id="798" w:name="bookmark798"/>
      <w:bookmarkStart w:id="801" w:name="bookmark801"/>
      <w:bookmarkStart w:id="802" w:name="bookmark802"/>
      <w:r>
        <w:rPr>
          <w:rFonts w:ascii="Times New Roman" w:eastAsia="Times New Roman" w:hAnsi="Times New Roman" w:cs="Times New Roman"/>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97"/>
      <w:bookmarkEnd w:id="798"/>
      <w:bookmarkEnd w:id="802"/>
    </w:p>
    <w:tbl>
      <w:tblPr>
        <w:tblOverlap w:val="never"/>
        <w:jc w:val="center"/>
        <w:tblLayout w:type="fixed"/>
      </w:tblPr>
      <w:tblGrid>
        <w:gridCol w:w="4858"/>
        <w:gridCol w:w="48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应收账款余额</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，其他应收款余额， 其他应收款余额</w:t>
            </w:r>
            <w:r>
              <w:rPr>
                <w:color w:val="000000"/>
                <w:spacing w:val="0"/>
                <w:w w:val="100"/>
                <w:position w:val="0"/>
                <w:sz w:val="18"/>
                <w:szCs w:val="18"/>
              </w:rPr>
              <w:t>30</w:t>
            </w:r>
            <w:r>
              <w:rPr>
                <w:rFonts w:ascii="SimSun" w:eastAsia="SimSun" w:hAnsi="SimSun" w:cs="SimSun"/>
                <w:color w:val="000000"/>
                <w:spacing w:val="0"/>
                <w:w w:val="100"/>
                <w:position w:val="0"/>
                <w:sz w:val="17"/>
                <w:szCs w:val="17"/>
              </w:rPr>
              <w:t>万元以上</w:t>
            </w:r>
            <w:r>
              <w:rPr>
                <w:color w:val="000000"/>
                <w:spacing w:val="0"/>
                <w:w w:val="100"/>
                <w:position w:val="0"/>
                <w:sz w:val="18"/>
                <w:szCs w:val="18"/>
              </w:rPr>
              <w:t>（</w:t>
            </w:r>
            <w:r>
              <w:rPr>
                <w:rFonts w:ascii="SimSun" w:eastAsia="SimSun" w:hAnsi="SimSun" w:cs="SimSun"/>
                <w:color w:val="000000"/>
                <w:spacing w:val="0"/>
                <w:w w:val="100"/>
                <w:position w:val="0"/>
                <w:sz w:val="17"/>
                <w:szCs w:val="17"/>
              </w:rPr>
              <w:t>含</w:t>
            </w:r>
            <w:r>
              <w:rPr>
                <w:color w:val="000000"/>
                <w:spacing w:val="0"/>
                <w:w w:val="100"/>
                <w:position w:val="0"/>
                <w:sz w:val="18"/>
                <w:szCs w:val="18"/>
              </w:rPr>
              <w:t>30</w:t>
            </w:r>
            <w:r>
              <w:rPr>
                <w:rFonts w:ascii="SimSun" w:eastAsia="SimSun" w:hAnsi="SimSun" w:cs="SimSun"/>
                <w:color w:val="000000"/>
                <w:spacing w:val="0"/>
                <w:w w:val="100"/>
                <w:position w:val="0"/>
                <w:sz w:val="17"/>
                <w:szCs w:val="17"/>
              </w:rPr>
              <w:t>万元</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单独进行减值测试，按预计未来现金流量低于其账面价的差额 提单独进行减值测试，按预计未来现金流量低于其账面价的差 额提坏账准备，计入当期损益。</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4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03"/>
      <w:bookmarkEnd w:id="804"/>
      <w:bookmarkEnd w:id="806"/>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账龄分析法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其他方法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其他方法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4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07"/>
      <w:bookmarkEnd w:id="808"/>
      <w:bookmarkEnd w:id="810"/>
    </w:p>
    <w:tbl>
      <w:tblPr>
        <w:tblOverlap w:val="never"/>
        <w:jc w:val="center"/>
        <w:tblLayout w:type="fixed"/>
      </w:tblPr>
      <w:tblGrid>
        <w:gridCol w:w="4858"/>
        <w:gridCol w:w="4858"/>
      </w:tblGrid>
      <w:tr>
        <w:trPr>
          <w:trHeight w:val="69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有客观证据表明可能发生减值，如债务人出现撤销、破产或死 亡，以其破产财产或遗产清偿后仍不能收回，现金流量严重不</w:t>
            </w:r>
          </w:p>
        </w:tc>
      </w:tr>
    </w:tbl>
    <w:tbl>
      <w:tblPr>
        <w:tblOverlap w:val="never"/>
        <w:jc w:val="center"/>
        <w:tblLayout w:type="fixed"/>
      </w:tblPr>
      <w:tblGrid>
        <w:gridCol w:w="4858"/>
        <w:gridCol w:w="48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足等情况的。</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对有客观证据表明可能发生了减值的应收款项，将其从相关组 合中分离出来，单独进行减值测试，根据其未来现金流量现值 低于其账面价值的差额，确认减值损失，计提坏账准备。</w:t>
            </w:r>
          </w:p>
        </w:tc>
      </w:tr>
    </w:tbl>
    <w:p>
      <w:pPr>
        <w:widowControl w:val="0"/>
        <w:spacing w:after="319" w:line="1" w:lineRule="exact"/>
      </w:pPr>
    </w:p>
    <w:p>
      <w:pPr>
        <w:pStyle w:val="Style33"/>
        <w:keepNext/>
        <w:keepLines/>
        <w:widowControl w:val="0"/>
        <w:shd w:val="clear" w:color="auto" w:fill="auto"/>
        <w:tabs>
          <w:tab w:pos="474"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11"/>
      <w:bookmarkEnd w:id="812"/>
      <w:bookmarkEnd w:id="814"/>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825" w:val="left"/>
        </w:tabs>
        <w:bidi w:val="0"/>
        <w:spacing w:before="0" w:after="0" w:line="313" w:lineRule="exact"/>
        <w:ind w:left="0" w:right="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存货分类为：存货包括原材料、低值易耗品、在产品、自制半成品、产成品、库存商品、包装物以及发出商品等。</w:t>
      </w:r>
    </w:p>
    <w:p>
      <w:pPr>
        <w:pStyle w:val="Style29"/>
        <w:keepNext w:val="0"/>
        <w:keepLines w:val="0"/>
        <w:widowControl w:val="0"/>
        <w:shd w:val="clear" w:color="auto" w:fill="auto"/>
        <w:tabs>
          <w:tab w:pos="825" w:val="left"/>
        </w:tabs>
        <w:bidi w:val="0"/>
        <w:spacing w:before="0" w:after="0" w:line="313" w:lineRule="exact"/>
        <w:ind w:left="0" w:right="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存货发出时按加权平均法计价。</w:t>
      </w:r>
    </w:p>
    <w:p>
      <w:pPr>
        <w:pStyle w:val="Style29"/>
        <w:keepNext w:val="0"/>
        <w:keepLines w:val="0"/>
        <w:widowControl w:val="0"/>
        <w:shd w:val="clear" w:color="auto" w:fill="auto"/>
        <w:tabs>
          <w:tab w:pos="825" w:val="left"/>
        </w:tabs>
        <w:bidi w:val="0"/>
        <w:spacing w:before="0" w:after="0" w:line="313" w:lineRule="exact"/>
        <w:ind w:left="0" w:right="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于资产负债表日，存货按照成本与可变现净值孰低计量，存货成本高于其可变现净值的，应当计提存货跌价准备，计入 当期损益。可变现净值，是指在日常活动中，存货的估计售价减去至完工时估计将要发生的成本、估计的销售费用以及相关 税费后的金额。</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各类存货可变现净值的确定依据如下：</w:t>
      </w:r>
    </w:p>
    <w:p>
      <w:pPr>
        <w:pStyle w:val="Style29"/>
        <w:keepNext w:val="0"/>
        <w:keepLines w:val="0"/>
        <w:widowControl w:val="0"/>
        <w:numPr>
          <w:ilvl w:val="0"/>
          <w:numId w:val="33"/>
        </w:numPr>
        <w:shd w:val="clear" w:color="auto" w:fill="auto"/>
        <w:tabs>
          <w:tab w:pos="714" w:val="left"/>
        </w:tabs>
        <w:bidi w:val="0"/>
        <w:spacing w:before="0" w:after="0" w:line="313" w:lineRule="exact"/>
        <w:ind w:left="0" w:right="0"/>
        <w:jc w:val="both"/>
      </w:pPr>
      <w:bookmarkStart w:id="818" w:name="bookmark818"/>
      <w:bookmarkEnd w:id="818"/>
      <w:r>
        <w:rPr>
          <w:color w:val="000000"/>
          <w:spacing w:val="0"/>
          <w:w w:val="100"/>
          <w:position w:val="0"/>
        </w:rPr>
        <w:t>产成品、商品和用于出售的材料等直接用于出售的商品存货，在正常生产经营过程中，以该存货的估计售价减去估计 的销售费用和相关税费后的金额，确定其可变现净值。需要经过加工的材料存货，在正常生产经营过程中，以所生产的产成 品的估计售价减去至完工时估计将要发生的成本、估计的销售费用和相关税费后的金额，确定其可变现净值。</w:t>
      </w:r>
    </w:p>
    <w:p>
      <w:pPr>
        <w:pStyle w:val="Style29"/>
        <w:keepNext w:val="0"/>
        <w:keepLines w:val="0"/>
        <w:widowControl w:val="0"/>
        <w:numPr>
          <w:ilvl w:val="0"/>
          <w:numId w:val="33"/>
        </w:numPr>
        <w:shd w:val="clear" w:color="auto" w:fill="auto"/>
        <w:tabs>
          <w:tab w:pos="723" w:val="left"/>
        </w:tabs>
        <w:bidi w:val="0"/>
        <w:spacing w:before="0" w:after="0" w:line="313" w:lineRule="exact"/>
        <w:ind w:left="0" w:right="0"/>
        <w:jc w:val="both"/>
      </w:pPr>
      <w:bookmarkStart w:id="819" w:name="bookmark819"/>
      <w:bookmarkEnd w:id="819"/>
      <w:r>
        <w:rPr>
          <w:color w:val="000000"/>
          <w:spacing w:val="0"/>
          <w:w w:val="100"/>
          <w:position w:val="0"/>
        </w:rPr>
        <w:t>资产负债表日，同一项存货中一部分有合同价格约定、其他部分不存在合同价格的，应当分别确定其可变现净值，并 与其相对应的成本进行比较，分别确定存货跌价准备的计提或转回的金额。</w:t>
      </w:r>
    </w:p>
    <w:p>
      <w:pPr>
        <w:pStyle w:val="Style29"/>
        <w:keepNext w:val="0"/>
        <w:keepLines w:val="0"/>
        <w:widowControl w:val="0"/>
        <w:numPr>
          <w:ilvl w:val="0"/>
          <w:numId w:val="33"/>
        </w:numPr>
        <w:shd w:val="clear" w:color="auto" w:fill="auto"/>
        <w:tabs>
          <w:tab w:pos="728" w:val="left"/>
        </w:tabs>
        <w:bidi w:val="0"/>
        <w:spacing w:before="0" w:after="0" w:line="313" w:lineRule="exact"/>
        <w:ind w:left="0" w:right="0"/>
        <w:jc w:val="both"/>
      </w:pPr>
      <w:bookmarkStart w:id="820" w:name="bookmark820"/>
      <w:bookmarkEnd w:id="820"/>
      <w:r>
        <w:rPr>
          <w:color w:val="000000"/>
          <w:spacing w:val="0"/>
          <w:w w:val="100"/>
          <w:position w:val="0"/>
        </w:rPr>
        <w:t>存货跌价准备按单个存货项目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或存货类别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计提，与在同一地区生产和销售的产品系列相关、具有相同或类似最终用 途或目的，且难以与其他项目分开计量的存货，合并计提存货跌价准备。</w:t>
      </w:r>
    </w:p>
    <w:p>
      <w:pPr>
        <w:pStyle w:val="Style29"/>
        <w:keepNext w:val="0"/>
        <w:keepLines w:val="0"/>
        <w:widowControl w:val="0"/>
        <w:shd w:val="clear" w:color="auto" w:fill="auto"/>
        <w:tabs>
          <w:tab w:pos="825" w:val="left"/>
        </w:tabs>
        <w:bidi w:val="0"/>
        <w:spacing w:before="0" w:after="0" w:line="313"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存货的盘存制度采用永续盘存制。</w:t>
      </w:r>
    </w:p>
    <w:p>
      <w:pPr>
        <w:pStyle w:val="Style29"/>
        <w:keepNext w:val="0"/>
        <w:keepLines w:val="0"/>
        <w:widowControl w:val="0"/>
        <w:shd w:val="clear" w:color="auto" w:fill="auto"/>
        <w:tabs>
          <w:tab w:pos="825" w:val="left"/>
        </w:tabs>
        <w:bidi w:val="0"/>
        <w:spacing w:before="0" w:after="0" w:line="313"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9"/>
        <w:keepNext w:val="0"/>
        <w:keepLines w:val="0"/>
        <w:widowControl w:val="0"/>
        <w:numPr>
          <w:ilvl w:val="0"/>
          <w:numId w:val="35"/>
        </w:numPr>
        <w:shd w:val="clear" w:color="auto" w:fill="auto"/>
        <w:tabs>
          <w:tab w:pos="753" w:val="left"/>
        </w:tabs>
        <w:bidi w:val="0"/>
        <w:spacing w:before="0" w:after="0" w:line="313" w:lineRule="exact"/>
        <w:ind w:left="0" w:right="0"/>
        <w:jc w:val="both"/>
      </w:pPr>
      <w:bookmarkStart w:id="823" w:name="bookmark823"/>
      <w:bookmarkEnd w:id="823"/>
      <w:r>
        <w:rPr>
          <w:color w:val="000000"/>
          <w:spacing w:val="0"/>
          <w:w w:val="100"/>
          <w:position w:val="0"/>
        </w:rPr>
        <w:t>对低值易耗品采用分次转销法进行摊销；</w:t>
      </w:r>
    </w:p>
    <w:p>
      <w:pPr>
        <w:pStyle w:val="Style29"/>
        <w:keepNext w:val="0"/>
        <w:keepLines w:val="0"/>
        <w:widowControl w:val="0"/>
        <w:numPr>
          <w:ilvl w:val="0"/>
          <w:numId w:val="35"/>
        </w:numPr>
        <w:shd w:val="clear" w:color="auto" w:fill="auto"/>
        <w:tabs>
          <w:tab w:pos="753" w:val="left"/>
        </w:tabs>
        <w:bidi w:val="0"/>
        <w:spacing w:before="0" w:after="380" w:line="313" w:lineRule="exact"/>
        <w:ind w:left="0" w:right="0"/>
        <w:jc w:val="both"/>
      </w:pPr>
      <w:bookmarkStart w:id="824" w:name="bookmark824"/>
      <w:bookmarkEnd w:id="824"/>
      <w:r>
        <w:rPr>
          <w:color w:val="000000"/>
          <w:spacing w:val="0"/>
          <w:w w:val="100"/>
          <w:position w:val="0"/>
        </w:rPr>
        <w:t>包装物采用一次转销法。</w:t>
      </w:r>
    </w:p>
    <w:p>
      <w:pPr>
        <w:pStyle w:val="Style33"/>
        <w:keepNext/>
        <w:keepLines/>
        <w:widowControl w:val="0"/>
        <w:shd w:val="clear" w:color="auto" w:fill="auto"/>
        <w:tabs>
          <w:tab w:pos="474" w:val="left"/>
        </w:tabs>
        <w:bidi w:val="0"/>
        <w:spacing w:before="0" w:after="26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25"/>
      <w:bookmarkEnd w:id="826"/>
      <w:bookmarkEnd w:id="828"/>
    </w:p>
    <w:p>
      <w:pPr>
        <w:pStyle w:val="Style29"/>
        <w:keepNext w:val="0"/>
        <w:keepLines w:val="0"/>
        <w:widowControl w:val="0"/>
        <w:shd w:val="clear" w:color="auto" w:fill="auto"/>
        <w:tabs>
          <w:tab w:pos="825" w:val="left"/>
        </w:tabs>
        <w:bidi w:val="0"/>
        <w:spacing w:before="0" w:after="0" w:line="312" w:lineRule="exact"/>
        <w:ind w:left="0" w:right="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持有待售资产确认标准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同时满足下列条件的企业组成部分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或流动资产，下同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应当确认为持有待售；该组成部分必须在其当前状况下仅根据出 售此类组成部分的惯常条款即可立即出售；企业已经就处置该组成部分作出决议，如按规定需得到股东批准的，应当已经取 得股东大会或相应权力机构的批准；企业已经与受让方签订了不可撤消的转让协议；该项资产转让将在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年内完成。</w:t>
      </w:r>
    </w:p>
    <w:p>
      <w:pPr>
        <w:pStyle w:val="Style29"/>
        <w:keepNext w:val="0"/>
        <w:keepLines w:val="0"/>
        <w:widowControl w:val="0"/>
        <w:shd w:val="clear" w:color="auto" w:fill="auto"/>
        <w:tabs>
          <w:tab w:pos="825" w:val="left"/>
        </w:tabs>
        <w:bidi w:val="0"/>
        <w:spacing w:before="0" w:after="0" w:line="312" w:lineRule="exact"/>
        <w:ind w:left="0" w:right="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持有待售资产的会计处理方法</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持有待售的固定资产不计提折旧，按照账面价值与公允价值减去处置费用后的净额孰低进行计量。</w:t>
      </w:r>
    </w:p>
    <w:p>
      <w:pPr>
        <w:pStyle w:val="Style33"/>
        <w:keepNext/>
        <w:keepLines/>
        <w:widowControl w:val="0"/>
        <w:shd w:val="clear" w:color="auto" w:fill="auto"/>
        <w:tabs>
          <w:tab w:pos="474"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31"/>
      <w:bookmarkEnd w:id="832"/>
      <w:bookmarkEnd w:id="834"/>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长期股权投资是指公司对被投资单位实施控制、重大影响的权益性投资，以及对其合营企业的投资。</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）投资成本确定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除对外合并形成的长期股权投资以外，其他方式取得的长期股权投资，按照下列规定确定其初始投资成本：</w:t>
      </w:r>
    </w:p>
    <w:p>
      <w:pPr>
        <w:pStyle w:val="Style29"/>
        <w:keepNext w:val="0"/>
        <w:keepLines w:val="0"/>
        <w:widowControl w:val="0"/>
        <w:numPr>
          <w:ilvl w:val="0"/>
          <w:numId w:val="37"/>
        </w:numPr>
        <w:shd w:val="clear" w:color="auto" w:fill="auto"/>
        <w:tabs>
          <w:tab w:pos="686" w:val="left"/>
        </w:tabs>
        <w:bidi w:val="0"/>
        <w:spacing w:before="0" w:after="0" w:line="314" w:lineRule="exact"/>
        <w:ind w:left="0" w:right="0"/>
        <w:jc w:val="both"/>
      </w:pPr>
      <w:bookmarkStart w:id="835" w:name="bookmark835"/>
      <w:bookmarkEnd w:id="835"/>
      <w:r>
        <w:rPr>
          <w:color w:val="000000"/>
          <w:spacing w:val="0"/>
          <w:w w:val="100"/>
          <w:position w:val="0"/>
        </w:rPr>
        <w:t>以支付现金取得的长期股权投资，按照实际支付的购买价款作为初始投资成本。初始投资成本包括与取得长期股权投 资直接相关的费用、税金及其他必要支出；</w:t>
      </w:r>
    </w:p>
    <w:p>
      <w:pPr>
        <w:pStyle w:val="Style29"/>
        <w:keepNext w:val="0"/>
        <w:keepLines w:val="0"/>
        <w:widowControl w:val="0"/>
        <w:numPr>
          <w:ilvl w:val="0"/>
          <w:numId w:val="37"/>
        </w:numPr>
        <w:shd w:val="clear" w:color="auto" w:fill="auto"/>
        <w:tabs>
          <w:tab w:pos="715" w:val="left"/>
        </w:tabs>
        <w:bidi w:val="0"/>
        <w:spacing w:before="0" w:after="0" w:line="314" w:lineRule="exact"/>
        <w:ind w:left="0" w:right="0"/>
        <w:jc w:val="both"/>
      </w:pPr>
      <w:bookmarkStart w:id="836" w:name="bookmark836"/>
      <w:bookmarkEnd w:id="836"/>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numPr>
          <w:ilvl w:val="0"/>
          <w:numId w:val="37"/>
        </w:numPr>
        <w:shd w:val="clear" w:color="auto" w:fill="auto"/>
        <w:tabs>
          <w:tab w:pos="690" w:val="left"/>
        </w:tabs>
        <w:bidi w:val="0"/>
        <w:spacing w:before="0" w:after="0" w:line="314" w:lineRule="exact"/>
        <w:ind w:left="0" w:right="0"/>
        <w:jc w:val="both"/>
      </w:pPr>
      <w:bookmarkStart w:id="837" w:name="bookmark837"/>
      <w:bookmarkEnd w:id="837"/>
      <w:r>
        <w:rPr>
          <w:color w:val="000000"/>
          <w:spacing w:val="0"/>
          <w:w w:val="100"/>
          <w:position w:val="0"/>
        </w:rPr>
        <w:t>通过非货币性资产交换取得的长期股权投资，其初始投资成本应当按照《企业会计准则第</w:t>
      </w:r>
      <w:r>
        <w:rPr>
          <w:color w:val="000000"/>
          <w:spacing w:val="0"/>
          <w:w w:val="100"/>
          <w:position w:val="0"/>
          <w:sz w:val="18"/>
          <w:szCs w:val="18"/>
        </w:rPr>
        <w:t>7</w:t>
      </w:r>
      <w:r>
        <w:rPr>
          <w:color w:val="000000"/>
          <w:spacing w:val="0"/>
          <w:w w:val="100"/>
          <w:position w:val="0"/>
        </w:rPr>
        <w:t>号一非货币性资产交换》 确定；</w:t>
      </w:r>
    </w:p>
    <w:p>
      <w:pPr>
        <w:pStyle w:val="Style29"/>
        <w:keepNext w:val="0"/>
        <w:keepLines w:val="0"/>
        <w:widowControl w:val="0"/>
        <w:numPr>
          <w:ilvl w:val="0"/>
          <w:numId w:val="37"/>
        </w:numPr>
        <w:shd w:val="clear" w:color="auto" w:fill="auto"/>
        <w:tabs>
          <w:tab w:pos="715" w:val="left"/>
        </w:tabs>
        <w:bidi w:val="0"/>
        <w:spacing w:before="0" w:after="0" w:line="314" w:lineRule="exact"/>
        <w:ind w:left="0" w:right="0"/>
        <w:jc w:val="both"/>
      </w:pPr>
      <w:bookmarkStart w:id="838" w:name="bookmark838"/>
      <w:bookmarkEnd w:id="838"/>
      <w:r>
        <w:rPr>
          <w:color w:val="000000"/>
          <w:spacing w:val="0"/>
          <w:w w:val="100"/>
          <w:position w:val="0"/>
        </w:rPr>
        <w:t>通过债务重组取得的长期股权投资，其初始投资成本应当按照《企业会计准则第</w:t>
      </w:r>
      <w:r>
        <w:rPr>
          <w:color w:val="000000"/>
          <w:spacing w:val="0"/>
          <w:w w:val="100"/>
          <w:position w:val="0"/>
          <w:sz w:val="18"/>
          <w:szCs w:val="18"/>
        </w:rPr>
        <w:t>12</w:t>
      </w:r>
      <w:r>
        <w:rPr>
          <w:color w:val="000000"/>
          <w:spacing w:val="0"/>
          <w:w w:val="100"/>
          <w:position w:val="0"/>
        </w:rPr>
        <w:t>号一债务重组》确定。</w:t>
      </w:r>
    </w:p>
    <w:p>
      <w:pPr>
        <w:pStyle w:val="Style29"/>
        <w:keepNext w:val="0"/>
        <w:keepLines w:val="0"/>
        <w:widowControl w:val="0"/>
        <w:shd w:val="clear" w:color="auto" w:fill="auto"/>
        <w:tabs>
          <w:tab w:pos="787" w:val="left"/>
        </w:tabs>
        <w:bidi w:val="0"/>
        <w:spacing w:before="0" w:after="0" w:line="314" w:lineRule="exact"/>
        <w:ind w:left="0" w:right="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2）</w:t>
        <w:tab/>
      </w:r>
      <w:r>
        <w:rPr>
          <w:color w:val="000000"/>
          <w:spacing w:val="0"/>
          <w:w w:val="100"/>
          <w:position w:val="0"/>
        </w:rPr>
        <w:t>后续计量及损益确认方法</w:t>
      </w:r>
    </w:p>
    <w:p>
      <w:pPr>
        <w:pStyle w:val="Style29"/>
        <w:keepNext w:val="0"/>
        <w:keepLines w:val="0"/>
        <w:widowControl w:val="0"/>
        <w:numPr>
          <w:ilvl w:val="0"/>
          <w:numId w:val="39"/>
        </w:numPr>
        <w:shd w:val="clear" w:color="auto" w:fill="auto"/>
        <w:tabs>
          <w:tab w:pos="715" w:val="left"/>
        </w:tabs>
        <w:bidi w:val="0"/>
        <w:spacing w:before="0" w:after="0" w:line="314" w:lineRule="exact"/>
        <w:ind w:left="0" w:right="0"/>
        <w:jc w:val="both"/>
      </w:pPr>
      <w:bookmarkStart w:id="840" w:name="bookmark840"/>
      <w:bookmarkEnd w:id="840"/>
      <w:r>
        <w:rPr>
          <w:color w:val="000000"/>
          <w:spacing w:val="0"/>
          <w:w w:val="100"/>
          <w:position w:val="0"/>
        </w:rPr>
        <w:t>下列长期股权投资采用成本法核算：</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公司能够对被投资单位实施控制的长期股权投资。</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采用成本法核算的长期股权投资按照初始投资成本计价。追加或收回投资应当调整长期股权投资的成本。被投资单位宣 告分派的现金股利或利润，确认为当期投资收益。</w:t>
      </w:r>
    </w:p>
    <w:p>
      <w:pPr>
        <w:pStyle w:val="Style29"/>
        <w:keepNext w:val="0"/>
        <w:keepLines w:val="0"/>
        <w:widowControl w:val="0"/>
        <w:numPr>
          <w:ilvl w:val="0"/>
          <w:numId w:val="39"/>
        </w:numPr>
        <w:shd w:val="clear" w:color="auto" w:fill="auto"/>
        <w:tabs>
          <w:tab w:pos="715" w:val="left"/>
        </w:tabs>
        <w:bidi w:val="0"/>
        <w:spacing w:before="0" w:after="0" w:line="314" w:lineRule="exact"/>
        <w:ind w:left="0" w:right="0"/>
        <w:jc w:val="both"/>
      </w:pPr>
      <w:bookmarkStart w:id="841" w:name="bookmark841"/>
      <w:bookmarkEnd w:id="841"/>
      <w:r>
        <w:rPr>
          <w:color w:val="000000"/>
          <w:spacing w:val="0"/>
          <w:w w:val="100"/>
          <w:position w:val="0"/>
        </w:rPr>
        <w:t>对被投资单位具有共同控制（指合营企业）或重大影响的长期股权投资，按照采用权益法核算。</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长期股权投资采用权益法核算时，对长期股权投资的投资成本大于投资时应享有被投资单位可辨认净资产公允价值份额 的，不调整长期股权投资的投资成本；对长期股权投资的投资成本小于投资时应享有被投资单位可辨认净资产公允价值份额 的，对长期股权投资的账面价值进行调整，差额计入投资当期的损益。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在权益法核算时，当取得长期股权投资后，按照应享有或应分担的被投资单位实现的净损益和其他综合收益的份额，分 别确认投资损益和其他综合收益，并调整长期股权投资的账面价值。投资企业按照被投资单位宣告分派的利润或现金股利计 算应分得的部分，相应减少长期股权投资的账面价值。投资方对于被投资单位除净损益、其他综合收益和利润分配以外所有 者权益的其他变动，应当调整长期股权投资的账面价值并计入所有者权益。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确认被投资单位发生的净亏损，以长期股权投资的账面价值以及其他实质上构成对被投资单位净投资的长期权益减记至 零为限，公司对被投资企业负有承担额外损失义务的除外。被投资单位以后实现净利润的，投资企业在其收益分享额弥补未 确认的亏损分担额后，恢复确认收益分享额。</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对于被投资单位除净损益、其他综合收益和利润分配以外所有者权益的其他变动，调整长期股权投资的账面价值并计入 所有者权益。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长期股权投资按照权益法核算在确认投资损益时，先对被投资单位的净利润进行取得投资时被投资单位各项可辨认资产 等的公允价值、会计政策和会计期间方面的调整，再按应享有或应分担的被投资单位的净损益份额确认当期投资损益。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与联营企业及合营企业之间发生的未实现内部交易损益按照持股比例计算归属于本公司的部分，在抵销基础上确认投资 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日之前已经持有的对联营企业及合营企业的长期股权投资，如存在与该投资相关的股权投资借方差额， 在扣除按原剩余期限直线法摊销的股权投资借方差额后，确认投资损益。</w:t>
      </w:r>
    </w:p>
    <w:p>
      <w:pPr>
        <w:pStyle w:val="Style29"/>
        <w:keepNext w:val="0"/>
        <w:keepLines w:val="0"/>
        <w:widowControl w:val="0"/>
        <w:shd w:val="clear" w:color="auto" w:fill="auto"/>
        <w:tabs>
          <w:tab w:pos="787" w:val="left"/>
        </w:tabs>
        <w:bidi w:val="0"/>
        <w:spacing w:before="0" w:after="0" w:line="314" w:lineRule="exact"/>
        <w:ind w:left="0" w:right="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重大影响，是指对一个企业的财务和经营政策有参与决策的权力，但并不能够控制或者与其他方一起共同控制这些政策 的制定。在确定能否对被投资单位施加重大影响时，考虑投资方直接或间接持有被投资单位的表决权股份以及投资方及其他 方持有的当期可执行潜在表决权在假定转换为对被投资方单位的股权后产生的影响，包括被投资单位发行的当期可转换的认 股权证、股份期权及可转换公司债券等的影响。</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43"/>
      <w:bookmarkEnd w:id="844"/>
      <w:bookmarkEnd w:id="846"/>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公允价值计量</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本公司采用公允价值模式对投资性房地产进行后续计量，会计政策选择的依据为：</w:t>
      </w:r>
    </w:p>
    <w:p>
      <w:pPr>
        <w:pStyle w:val="Style29"/>
        <w:keepNext w:val="0"/>
        <w:keepLines w:val="0"/>
        <w:widowControl w:val="0"/>
        <w:shd w:val="clear" w:color="auto" w:fill="auto"/>
        <w:tabs>
          <w:tab w:pos="825" w:val="left"/>
        </w:tabs>
        <w:bidi w:val="0"/>
        <w:spacing w:before="0" w:after="0" w:line="314" w:lineRule="exact"/>
        <w:ind w:left="0" w:right="0"/>
        <w:jc w:val="left"/>
      </w:pPr>
      <w:bookmarkStart w:id="847" w:name="bookmark847"/>
      <w:r>
        <w:rPr>
          <w:color w:val="000000"/>
          <w:spacing w:val="0"/>
          <w:w w:val="100"/>
          <w:position w:val="0"/>
          <w:sz w:val="18"/>
          <w:szCs w:val="18"/>
        </w:rPr>
        <w:t>（</w:t>
      </w:r>
      <w:bookmarkEnd w:id="847"/>
      <w:r>
        <w:rPr>
          <w:color w:val="000000"/>
          <w:spacing w:val="0"/>
          <w:w w:val="100"/>
          <w:position w:val="0"/>
          <w:sz w:val="18"/>
          <w:szCs w:val="18"/>
        </w:rPr>
        <w:t>1）</w:t>
        <w:tab/>
      </w:r>
      <w:r>
        <w:rPr>
          <w:color w:val="000000"/>
          <w:spacing w:val="0"/>
          <w:w w:val="100"/>
          <w:position w:val="0"/>
        </w:rPr>
        <w:t>投资性房地产所在地有活跃的房地产交易市场。</w:t>
      </w:r>
    </w:p>
    <w:p>
      <w:pPr>
        <w:pStyle w:val="Style29"/>
        <w:keepNext w:val="0"/>
        <w:keepLines w:val="0"/>
        <w:widowControl w:val="0"/>
        <w:shd w:val="clear" w:color="auto" w:fill="auto"/>
        <w:tabs>
          <w:tab w:pos="901" w:val="left"/>
        </w:tabs>
        <w:bidi w:val="0"/>
        <w:spacing w:before="0" w:after="0" w:line="314" w:lineRule="exact"/>
        <w:ind w:left="0" w:right="0"/>
        <w:jc w:val="left"/>
      </w:pPr>
      <w:bookmarkStart w:id="848" w:name="bookmark848"/>
      <w:r>
        <w:rPr>
          <w:color w:val="000000"/>
          <w:spacing w:val="0"/>
          <w:w w:val="100"/>
          <w:position w:val="0"/>
          <w:sz w:val="18"/>
          <w:szCs w:val="18"/>
        </w:rPr>
        <w:t>（</w:t>
      </w:r>
      <w:bookmarkEnd w:id="848"/>
      <w:r>
        <w:rPr>
          <w:color w:val="000000"/>
          <w:spacing w:val="0"/>
          <w:w w:val="100"/>
          <w:position w:val="0"/>
          <w:sz w:val="18"/>
          <w:szCs w:val="18"/>
        </w:rPr>
        <w:t>2）</w:t>
        <w:tab/>
      </w:r>
      <w:r>
        <w:rPr>
          <w:color w:val="000000"/>
          <w:spacing w:val="0"/>
          <w:w w:val="100"/>
          <w:position w:val="0"/>
        </w:rPr>
        <w:t>本公司能够从房地产交易市场上取得同类或类似房地产的市场价格及其他相关信息，从而对投资性房地产的公允 价值作出合理的估计。</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本公司不对投资性房地产计提折旧或进行摊销，在资产负债表日以投资性房地产的公允价值为基础调整其账面价值，公 允价值与原账面价值之间的差额计入当期损益。</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确定投资性房地产的公允价值时，参照活跃市场上同类或类似房地产的现行市场价格；无法取得同类或类似房地产的现 行市场价格的，参照活跃市场上同类或类似房地产的最近交易价格，并考虑交易情况、交易日期、所在区域等因素，从而对 投资性房地产的公允价值作出合理的估计；或基于预计未来获得的租金收益和有关现金流量的现值确定其公允价值。</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自用房地产或存货转换为投资性房地产时，按照转换当日的公允价值计价，转换当日的公允价值小于原账面价值的，其 差额计入当期损益；转换当日的公允价值大于原账面价值的，其差额确认为其他综合收益。投资性房地产转换为自用房地产 时，以转换当日的公允价值作为自用房地产的账面价值，公允价值与原账面价值的差额计入当期损益。</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3"/>
        <w:keepNext/>
        <w:keepLines/>
        <w:widowControl w:val="0"/>
        <w:shd w:val="clear" w:color="auto" w:fill="auto"/>
        <w:tabs>
          <w:tab w:pos="474" w:val="left"/>
        </w:tabs>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49"/>
      <w:bookmarkEnd w:id="850"/>
      <w:bookmarkEnd w:id="852"/>
    </w:p>
    <w:p>
      <w:pPr>
        <w:pStyle w:val="Style33"/>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9"/>
      <w:bookmarkEnd w:id="850"/>
      <w:bookmarkEnd w:id="854"/>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固定资产指为生产商品、提供劳务、出租或经营管理而持有，并且使用寿命超过一个会计年度的有形资产。</w:t>
      </w:r>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固定资产同时满足下列条件的，才能予以确认：①与该固定资产有关的经济利益很可能流入企业；②该固定资产的成本 能够可靠地计量。</w:t>
      </w:r>
    </w:p>
    <w:p>
      <w:pPr>
        <w:pStyle w:val="Style33"/>
        <w:keepNext/>
        <w:keepLines/>
        <w:widowControl w:val="0"/>
        <w:shd w:val="clear" w:color="auto" w:fill="auto"/>
        <w:bidi w:val="0"/>
        <w:spacing w:before="0" w:after="320" w:line="240" w:lineRule="auto"/>
        <w:ind w:left="0" w:right="0" w:firstLine="14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5"/>
      <w:bookmarkEnd w:id="856"/>
      <w:bookmarkEnd w:id="858"/>
    </w:p>
    <w:tbl>
      <w:tblPr>
        <w:tblOverlap w:val="never"/>
        <w:jc w:val="center"/>
        <w:tblLayout w:type="fixed"/>
      </w:tblPr>
      <w:tblGrid>
        <w:gridCol w:w="1949"/>
        <w:gridCol w:w="1939"/>
        <w:gridCol w:w="1939"/>
        <w:gridCol w:w="1939"/>
        <w:gridCol w:w="19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模具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bl>
    <w:p>
      <w:pPr>
        <w:pStyle w:val="Style27"/>
        <w:keepNext w:val="0"/>
        <w:keepLines w:val="0"/>
        <w:widowControl w:val="0"/>
        <w:shd w:val="clear" w:color="auto" w:fill="auto"/>
        <w:bidi w:val="0"/>
        <w:spacing w:before="0" w:after="0" w:line="312" w:lineRule="exact"/>
        <w:ind w:left="19" w:right="0" w:firstLine="0"/>
        <w:jc w:val="left"/>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33"/>
        <w:keepNext/>
        <w:keepLines/>
        <w:widowControl w:val="0"/>
        <w:shd w:val="clear" w:color="auto" w:fill="auto"/>
        <w:bidi w:val="0"/>
        <w:spacing w:before="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）融资租入固定资产的认定依据、计价和折旧方法：无。</w:t>
      </w:r>
      <w:bookmarkEnd w:id="859"/>
      <w:bookmarkEnd w:id="860"/>
      <w:bookmarkEnd w:id="862"/>
    </w:p>
    <w:p>
      <w:pPr>
        <w:pStyle w:val="Style33"/>
        <w:keepNext/>
        <w:keepLines/>
        <w:widowControl w:val="0"/>
        <w:shd w:val="clear" w:color="auto" w:fill="auto"/>
        <w:tabs>
          <w:tab w:pos="512" w:val="left"/>
        </w:tabs>
        <w:bidi w:val="0"/>
        <w:spacing w:before="0" w:after="220" w:line="240" w:lineRule="auto"/>
        <w:ind w:left="0" w:right="0" w:firstLine="0"/>
        <w:jc w:val="left"/>
      </w:pPr>
      <w:bookmarkStart w:id="859" w:name="bookmark859"/>
      <w:bookmarkStart w:id="860" w:name="bookmark860"/>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9"/>
      <w:bookmarkEnd w:id="860"/>
      <w:bookmarkEnd w:id="864"/>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360" w:line="310" w:lineRule="exact"/>
        <w:ind w:left="0" w:right="0"/>
        <w:jc w:val="both"/>
      </w:pPr>
      <w:r>
        <w:rPr>
          <w:color w:val="000000"/>
          <w:spacing w:val="0"/>
          <w:w w:val="100"/>
          <w:position w:val="0"/>
        </w:rPr>
        <w:t>在建工程项目按建造该项资产达到预定可使用状态前所发生的必要支出，作为固定资产的入账价值。所建造的固定资产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3"/>
        <w:keepNext/>
        <w:keepLines/>
        <w:widowControl w:val="0"/>
        <w:shd w:val="clear" w:color="auto" w:fill="auto"/>
        <w:tabs>
          <w:tab w:pos="512"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5"/>
      <w:bookmarkEnd w:id="866"/>
      <w:bookmarkEnd w:id="868"/>
    </w:p>
    <w:p>
      <w:pPr>
        <w:pStyle w:val="Style29"/>
        <w:keepNext w:val="0"/>
        <w:keepLines w:val="0"/>
        <w:widowControl w:val="0"/>
        <w:shd w:val="clear" w:color="auto" w:fill="auto"/>
        <w:tabs>
          <w:tab w:pos="886" w:val="left"/>
        </w:tabs>
        <w:bidi w:val="0"/>
        <w:spacing w:before="0" w:after="0" w:line="314" w:lineRule="exact"/>
        <w:ind w:left="0" w:right="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公司发生的借款费用，可直接归属于符合资本化条件的资产的购建或者生产的，予以资本化，计入相关资产成本。 符合资本化条件的资产，是指需要经过相当长的时间的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购建或者生产活动才能达到预定可使用可销 售状态的固定资产、投资性房地产和存货等资产。其他借款费用，应当在发生时根据其发生额确认为费用，计入当期损益。 借款费用包括借款利息、折价或者溢价的摊销、辅助费用以及因外币借款而发生的汇兑差额等。</w:t>
      </w:r>
    </w:p>
    <w:p>
      <w:pPr>
        <w:pStyle w:val="Style29"/>
        <w:keepNext w:val="0"/>
        <w:keepLines w:val="0"/>
        <w:widowControl w:val="0"/>
        <w:shd w:val="clear" w:color="auto" w:fill="auto"/>
        <w:tabs>
          <w:tab w:pos="805" w:val="left"/>
        </w:tabs>
        <w:bidi w:val="0"/>
        <w:spacing w:before="0" w:after="0" w:line="314" w:lineRule="exact"/>
        <w:ind w:left="0" w:right="0"/>
        <w:jc w:val="left"/>
      </w:pPr>
      <w:bookmarkStart w:id="870" w:name="bookmark870"/>
      <w:r>
        <w:rPr>
          <w:color w:val="000000"/>
          <w:spacing w:val="0"/>
          <w:w w:val="100"/>
          <w:position w:val="0"/>
          <w:sz w:val="18"/>
          <w:szCs w:val="18"/>
        </w:rPr>
        <w:t>（</w:t>
      </w:r>
      <w:bookmarkEnd w:id="870"/>
      <w:r>
        <w:rPr>
          <w:color w:val="000000"/>
          <w:spacing w:val="0"/>
          <w:w w:val="100"/>
          <w:position w:val="0"/>
          <w:sz w:val="18"/>
          <w:szCs w:val="18"/>
        </w:rPr>
        <w:t>2）</w:t>
        <w:tab/>
      </w:r>
      <w:r>
        <w:rPr>
          <w:color w:val="000000"/>
          <w:spacing w:val="0"/>
          <w:w w:val="100"/>
          <w:position w:val="0"/>
        </w:rPr>
        <w:t>借款费用同时满足下列条件的，开始资本化：</w:t>
      </w:r>
    </w:p>
    <w:p>
      <w:pPr>
        <w:pStyle w:val="Style29"/>
        <w:keepNext w:val="0"/>
        <w:keepLines w:val="0"/>
        <w:widowControl w:val="0"/>
        <w:numPr>
          <w:ilvl w:val="0"/>
          <w:numId w:val="41"/>
        </w:numPr>
        <w:shd w:val="clear" w:color="auto" w:fill="auto"/>
        <w:tabs>
          <w:tab w:pos="708" w:val="left"/>
        </w:tabs>
        <w:bidi w:val="0"/>
        <w:spacing w:before="0" w:after="0" w:line="314" w:lineRule="exact"/>
        <w:ind w:left="0" w:right="0"/>
        <w:jc w:val="left"/>
      </w:pPr>
      <w:bookmarkStart w:id="871" w:name="bookmark871"/>
      <w:bookmarkEnd w:id="871"/>
      <w:r>
        <w:rPr>
          <w:color w:val="000000"/>
          <w:spacing w:val="0"/>
          <w:w w:val="100"/>
          <w:position w:val="0"/>
        </w:rPr>
        <w:t>资产支出已发生，资产支出包括为购建或者生产符合资本化条件的资产而支付的现金、转移非现金资产或者承担带息 债务形式发生的支出；</w:t>
      </w:r>
    </w:p>
    <w:p>
      <w:pPr>
        <w:pStyle w:val="Style29"/>
        <w:keepNext w:val="0"/>
        <w:keepLines w:val="0"/>
        <w:widowControl w:val="0"/>
        <w:numPr>
          <w:ilvl w:val="0"/>
          <w:numId w:val="41"/>
        </w:numPr>
        <w:shd w:val="clear" w:color="auto" w:fill="auto"/>
        <w:tabs>
          <w:tab w:pos="733" w:val="left"/>
        </w:tabs>
        <w:bidi w:val="0"/>
        <w:spacing w:before="0" w:after="0" w:line="314" w:lineRule="exact"/>
        <w:ind w:left="0" w:right="0"/>
        <w:jc w:val="left"/>
      </w:pPr>
      <w:bookmarkStart w:id="872" w:name="bookmark872"/>
      <w:bookmarkEnd w:id="872"/>
      <w:r>
        <w:rPr>
          <w:color w:val="000000"/>
          <w:spacing w:val="0"/>
          <w:w w:val="100"/>
          <w:position w:val="0"/>
        </w:rPr>
        <w:t>借款费用已经发生；</w:t>
      </w:r>
    </w:p>
    <w:p>
      <w:pPr>
        <w:pStyle w:val="Style29"/>
        <w:keepNext w:val="0"/>
        <w:keepLines w:val="0"/>
        <w:widowControl w:val="0"/>
        <w:numPr>
          <w:ilvl w:val="0"/>
          <w:numId w:val="41"/>
        </w:numPr>
        <w:shd w:val="clear" w:color="auto" w:fill="auto"/>
        <w:tabs>
          <w:tab w:pos="733" w:val="left"/>
        </w:tabs>
        <w:bidi w:val="0"/>
        <w:spacing w:before="0" w:after="0" w:line="314" w:lineRule="exact"/>
        <w:ind w:left="0" w:right="0"/>
        <w:jc w:val="left"/>
      </w:pPr>
      <w:bookmarkStart w:id="873" w:name="bookmark873"/>
      <w:bookmarkEnd w:id="873"/>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产的符合资本化条件的资产达到预定可使用或可销售状态必要的程序，借款费用的资本化则继续进行。</w:t>
      </w:r>
    </w:p>
    <w:p>
      <w:pPr>
        <w:pStyle w:val="Style29"/>
        <w:keepNext w:val="0"/>
        <w:keepLines w:val="0"/>
        <w:widowControl w:val="0"/>
        <w:shd w:val="clear" w:color="auto" w:fill="auto"/>
        <w:tabs>
          <w:tab w:pos="805" w:val="left"/>
        </w:tabs>
        <w:bidi w:val="0"/>
        <w:spacing w:before="0" w:after="0" w:line="314" w:lineRule="exact"/>
        <w:ind w:left="0" w:right="0"/>
        <w:jc w:val="left"/>
      </w:pPr>
      <w:bookmarkStart w:id="874" w:name="bookmark874"/>
      <w:r>
        <w:rPr>
          <w:color w:val="000000"/>
          <w:spacing w:val="0"/>
          <w:w w:val="100"/>
          <w:position w:val="0"/>
          <w:sz w:val="18"/>
          <w:szCs w:val="18"/>
        </w:rPr>
        <w:t>（</w:t>
      </w:r>
      <w:bookmarkEnd w:id="874"/>
      <w:r>
        <w:rPr>
          <w:color w:val="000000"/>
          <w:spacing w:val="0"/>
          <w:w w:val="100"/>
          <w:position w:val="0"/>
          <w:sz w:val="18"/>
          <w:szCs w:val="18"/>
        </w:rPr>
        <w:t>3）</w:t>
        <w:tab/>
      </w:r>
      <w:r>
        <w:rPr>
          <w:color w:val="000000"/>
          <w:spacing w:val="0"/>
          <w:w w:val="100"/>
          <w:position w:val="0"/>
        </w:rPr>
        <w:t>在资本化期间内，每一会计期间的利息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包括折价或溢价的摊销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资本化金额，按照下列规定确定：</w:t>
      </w:r>
    </w:p>
    <w:p>
      <w:pPr>
        <w:pStyle w:val="Style29"/>
        <w:keepNext w:val="0"/>
        <w:keepLines w:val="0"/>
        <w:widowControl w:val="0"/>
        <w:numPr>
          <w:ilvl w:val="0"/>
          <w:numId w:val="43"/>
        </w:numPr>
        <w:shd w:val="clear" w:color="auto" w:fill="auto"/>
        <w:tabs>
          <w:tab w:pos="708" w:val="left"/>
        </w:tabs>
        <w:bidi w:val="0"/>
        <w:spacing w:before="0" w:after="0" w:line="314" w:lineRule="exact"/>
        <w:ind w:left="0" w:right="0"/>
        <w:jc w:val="left"/>
      </w:pPr>
      <w:bookmarkStart w:id="875" w:name="bookmark875"/>
      <w:bookmarkEnd w:id="875"/>
      <w:r>
        <w:rPr>
          <w:color w:val="000000"/>
          <w:spacing w:val="0"/>
          <w:w w:val="100"/>
          <w:position w:val="0"/>
        </w:rPr>
        <w:t>为购建或者生产符合资本化条件的资产而借入专门借款的，以专门借款当期实际发生的利息费用，减去尚未动用的借 款资金存入银行取得的利息收入或进行暂时性投资取得的投资收益后的金额确定。</w:t>
      </w:r>
    </w:p>
    <w:p>
      <w:pPr>
        <w:pStyle w:val="Style29"/>
        <w:keepNext w:val="0"/>
        <w:keepLines w:val="0"/>
        <w:widowControl w:val="0"/>
        <w:numPr>
          <w:ilvl w:val="0"/>
          <w:numId w:val="43"/>
        </w:numPr>
        <w:shd w:val="clear" w:color="auto" w:fill="auto"/>
        <w:tabs>
          <w:tab w:pos="708" w:val="left"/>
        </w:tabs>
        <w:bidi w:val="0"/>
        <w:spacing w:before="0" w:after="0" w:line="314" w:lineRule="exact"/>
        <w:ind w:left="0" w:right="0"/>
        <w:jc w:val="left"/>
      </w:pPr>
      <w:bookmarkStart w:id="876" w:name="bookmark876"/>
      <w:bookmarkEnd w:id="876"/>
      <w:r>
        <w:rPr>
          <w:color w:val="000000"/>
          <w:spacing w:val="0"/>
          <w:w w:val="100"/>
          <w:position w:val="0"/>
        </w:rPr>
        <w:t>为购建或者生产符合资本化条件的资产而占用了一般借款的，根据累计资产支出超过专门借款部分的资产支出加权平 均数乘以所占用的一般借款的资本化率，计算确定一般借款应予资本化的利息金额。资本化率根据一般借款加权平均利率确 定。</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借款存在折价或溢价的，按照实际利率法确定每一会计期间相应摊销的折价或者溢价的金额，调整每期利息金额。</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在资本化期间内，每一会计期间的利息资本化金额，不超过当期相关借款实际发生的利息金额。</w:t>
      </w:r>
    </w:p>
    <w:p>
      <w:pPr>
        <w:pStyle w:val="Style29"/>
        <w:keepNext w:val="0"/>
        <w:keepLines w:val="0"/>
        <w:widowControl w:val="0"/>
        <w:shd w:val="clear" w:color="auto" w:fill="auto"/>
        <w:tabs>
          <w:tab w:pos="886" w:val="left"/>
        </w:tabs>
        <w:bidi w:val="0"/>
        <w:spacing w:before="0" w:after="260" w:line="314" w:lineRule="exact"/>
        <w:ind w:left="0" w:right="0"/>
        <w:jc w:val="left"/>
      </w:pPr>
      <w:bookmarkStart w:id="877" w:name="bookmark877"/>
      <w:r>
        <w:rPr>
          <w:color w:val="000000"/>
          <w:spacing w:val="0"/>
          <w:w w:val="100"/>
          <w:position w:val="0"/>
          <w:sz w:val="18"/>
          <w:szCs w:val="18"/>
        </w:rPr>
        <w:t>（</w:t>
      </w:r>
      <w:bookmarkEnd w:id="877"/>
      <w:r>
        <w:rPr>
          <w:color w:val="000000"/>
          <w:spacing w:val="0"/>
          <w:w w:val="100"/>
          <w:position w:val="0"/>
          <w:sz w:val="18"/>
          <w:szCs w:val="18"/>
        </w:rPr>
        <w:t>4）</w:t>
        <w:tab/>
      </w:r>
      <w:r>
        <w:rPr>
          <w:color w:val="000000"/>
          <w:spacing w:val="0"/>
          <w:w w:val="100"/>
          <w:position w:val="0"/>
        </w:rPr>
        <w:t>专门借款发生的辅助费用，在所购建或者生产的符合资本化条件的资产达到预定可使用或者可销售状态之前发生 的，在发生时根据其发生额予以资本化，计入符合资本化条件的资产的成本；在所购建或者生产的符合资本化条件的资产达 到预定可使用或者可销售状态之后发生的，在发生时根据其发生额确认为费用，计入当期损益。一般借款发生的辅助费用， 在发生时根据其发生额确认为费用，计入当期损益。</w:t>
      </w:r>
    </w:p>
    <w:p>
      <w:pPr>
        <w:pStyle w:val="Style54"/>
        <w:keepNext w:val="0"/>
        <w:keepLines w:val="0"/>
        <w:widowControl w:val="0"/>
        <w:shd w:val="clear" w:color="auto" w:fill="auto"/>
        <w:tabs>
          <w:tab w:pos="587" w:val="left"/>
        </w:tabs>
        <w:bidi w:val="0"/>
        <w:spacing w:before="0" w:after="360" w:line="240" w:lineRule="auto"/>
        <w:ind w:left="0" w:right="0" w:firstLine="0"/>
        <w:jc w:val="both"/>
        <w:rPr>
          <w:sz w:val="20"/>
          <w:szCs w:val="20"/>
        </w:rPr>
      </w:pPr>
      <w:bookmarkStart w:id="878" w:name="bookmark878"/>
      <w:r>
        <w:rPr>
          <w:rFonts w:ascii="Times New Roman" w:eastAsia="Times New Roman" w:hAnsi="Times New Roman" w:cs="Times New Roman"/>
          <w:b/>
          <w:bCs/>
          <w:i w:val="0"/>
          <w:iCs w:val="0"/>
          <w:color w:val="000000"/>
          <w:spacing w:val="0"/>
          <w:w w:val="100"/>
          <w:position w:val="0"/>
          <w:sz w:val="20"/>
          <w:szCs w:val="20"/>
        </w:rPr>
        <w:t>1</w:t>
      </w:r>
      <w:bookmarkEnd w:id="878"/>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生物资产：无。</w:t>
      </w:r>
    </w:p>
    <w:p>
      <w:pPr>
        <w:pStyle w:val="Style54"/>
        <w:keepNext w:val="0"/>
        <w:keepLines w:val="0"/>
        <w:widowControl w:val="0"/>
        <w:shd w:val="clear" w:color="auto" w:fill="auto"/>
        <w:tabs>
          <w:tab w:pos="587" w:val="left"/>
        </w:tabs>
        <w:bidi w:val="0"/>
        <w:spacing w:before="0" w:after="360" w:line="240" w:lineRule="auto"/>
        <w:ind w:left="0" w:right="0" w:firstLine="0"/>
        <w:jc w:val="both"/>
        <w:rPr>
          <w:sz w:val="20"/>
          <w:szCs w:val="20"/>
        </w:rPr>
      </w:pPr>
      <w:bookmarkStart w:id="879" w:name="bookmark879"/>
      <w:r>
        <w:rPr>
          <w:rFonts w:ascii="Times New Roman" w:eastAsia="Times New Roman" w:hAnsi="Times New Roman" w:cs="Times New Roman"/>
          <w:b/>
          <w:bCs/>
          <w:i w:val="0"/>
          <w:iCs w:val="0"/>
          <w:color w:val="000000"/>
          <w:spacing w:val="0"/>
          <w:w w:val="100"/>
          <w:position w:val="0"/>
          <w:sz w:val="20"/>
          <w:szCs w:val="20"/>
        </w:rPr>
        <w:t>2</w:t>
      </w:r>
      <w:bookmarkEnd w:id="879"/>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油气资产：无。</w:t>
      </w:r>
    </w:p>
    <w:p>
      <w:pPr>
        <w:pStyle w:val="Style54"/>
        <w:keepNext w:val="0"/>
        <w:keepLines w:val="0"/>
        <w:widowControl w:val="0"/>
        <w:shd w:val="clear" w:color="auto" w:fill="auto"/>
        <w:tabs>
          <w:tab w:pos="587" w:val="left"/>
        </w:tabs>
        <w:bidi w:val="0"/>
        <w:spacing w:before="0" w:after="360" w:line="240" w:lineRule="auto"/>
        <w:ind w:left="0" w:right="0" w:firstLine="0"/>
        <w:jc w:val="both"/>
        <w:rPr>
          <w:sz w:val="20"/>
          <w:szCs w:val="20"/>
        </w:rPr>
      </w:pPr>
      <w:bookmarkStart w:id="880" w:name="bookmark880"/>
      <w:r>
        <w:rPr>
          <w:rFonts w:ascii="Times New Roman" w:eastAsia="Times New Roman" w:hAnsi="Times New Roman" w:cs="Times New Roman"/>
          <w:b/>
          <w:bCs/>
          <w:i w:val="0"/>
          <w:iCs w:val="0"/>
          <w:color w:val="000000"/>
          <w:spacing w:val="0"/>
          <w:w w:val="100"/>
          <w:position w:val="0"/>
          <w:sz w:val="20"/>
          <w:szCs w:val="20"/>
        </w:rPr>
        <w:t>2</w:t>
      </w:r>
      <w:bookmarkEnd w:id="880"/>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无形资产</w:t>
      </w:r>
    </w:p>
    <w:p>
      <w:pPr>
        <w:pStyle w:val="Style54"/>
        <w:keepNext w:val="0"/>
        <w:keepLines w:val="0"/>
        <w:widowControl w:val="0"/>
        <w:shd w:val="clear" w:color="auto" w:fill="auto"/>
        <w:bidi w:val="0"/>
        <w:spacing w:before="0" w:after="260" w:line="240" w:lineRule="auto"/>
        <w:ind w:left="0" w:right="0" w:firstLine="0"/>
        <w:jc w:val="both"/>
        <w:rPr>
          <w:sz w:val="20"/>
          <w:szCs w:val="20"/>
        </w:rPr>
      </w:pPr>
      <w:bookmarkStart w:id="881" w:name="bookmark881"/>
      <w:r>
        <w:rPr>
          <w:b/>
          <w:bCs/>
          <w:i w:val="0"/>
          <w:iCs w:val="0"/>
          <w:color w:val="000000"/>
          <w:spacing w:val="0"/>
          <w:w w:val="100"/>
          <w:position w:val="0"/>
          <w:sz w:val="20"/>
          <w:szCs w:val="20"/>
        </w:rPr>
        <w:t>（</w:t>
      </w:r>
      <w:bookmarkEnd w:id="881"/>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）计价方法、使用寿命、减值测试</w:t>
      </w:r>
    </w:p>
    <w:p>
      <w:pPr>
        <w:pStyle w:val="Style29"/>
        <w:keepNext w:val="0"/>
        <w:keepLines w:val="0"/>
        <w:widowControl w:val="0"/>
        <w:numPr>
          <w:ilvl w:val="0"/>
          <w:numId w:val="45"/>
        </w:numPr>
        <w:shd w:val="clear" w:color="auto" w:fill="auto"/>
        <w:tabs>
          <w:tab w:pos="728" w:val="left"/>
        </w:tabs>
        <w:bidi w:val="0"/>
        <w:spacing w:before="0" w:after="0" w:line="314" w:lineRule="exact"/>
        <w:ind w:left="0" w:right="0"/>
        <w:jc w:val="both"/>
      </w:pPr>
      <w:bookmarkStart w:id="882" w:name="bookmark882"/>
      <w:bookmarkEnd w:id="882"/>
      <w:r>
        <w:rPr>
          <w:color w:val="000000"/>
          <w:spacing w:val="0"/>
          <w:w w:val="100"/>
          <w:position w:val="0"/>
        </w:rPr>
        <w:t>无形资产，是指企业拥有或者控制的没有实物形态的可辨认非货币性资产。无形资产按照成本进行初始计量。于取得 无形资产时分析判断其使用寿命。</w:t>
      </w:r>
    </w:p>
    <w:p>
      <w:pPr>
        <w:pStyle w:val="Style29"/>
        <w:keepNext w:val="0"/>
        <w:keepLines w:val="0"/>
        <w:widowControl w:val="0"/>
        <w:numPr>
          <w:ilvl w:val="0"/>
          <w:numId w:val="45"/>
        </w:numPr>
        <w:shd w:val="clear" w:color="auto" w:fill="auto"/>
        <w:tabs>
          <w:tab w:pos="753" w:val="left"/>
        </w:tabs>
        <w:bidi w:val="0"/>
        <w:spacing w:before="0" w:after="0" w:line="314" w:lineRule="exact"/>
        <w:ind w:left="0" w:right="0"/>
        <w:jc w:val="both"/>
      </w:pPr>
      <w:bookmarkStart w:id="883" w:name="bookmark883"/>
      <w:bookmarkEnd w:id="883"/>
      <w:r>
        <w:rPr>
          <w:color w:val="000000"/>
          <w:spacing w:val="0"/>
          <w:w w:val="100"/>
          <w:position w:val="0"/>
        </w:rPr>
        <w:t>公司确定无形资产使用寿命通常考虑的因素：</w:t>
      </w:r>
    </w:p>
    <w:p>
      <w:pPr>
        <w:pStyle w:val="Style29"/>
        <w:keepNext w:val="0"/>
        <w:keepLines w:val="0"/>
        <w:widowControl w:val="0"/>
        <w:shd w:val="clear" w:color="auto" w:fill="auto"/>
        <w:tabs>
          <w:tab w:pos="729" w:val="left"/>
        </w:tabs>
        <w:bidi w:val="0"/>
        <w:spacing w:before="0" w:after="0" w:line="314" w:lineRule="exact"/>
        <w:ind w:left="0" w:right="0"/>
        <w:jc w:val="both"/>
      </w:pPr>
      <w:bookmarkStart w:id="884" w:name="bookmark884"/>
      <w:r>
        <w:rPr>
          <w:color w:val="000000"/>
          <w:spacing w:val="0"/>
          <w:w w:val="100"/>
          <w:position w:val="0"/>
          <w:sz w:val="18"/>
          <w:szCs w:val="18"/>
        </w:rPr>
        <w:t>1</w:t>
      </w:r>
      <w:bookmarkEnd w:id="884"/>
      <w:r>
        <w:rPr>
          <w:color w:val="000000"/>
          <w:spacing w:val="0"/>
          <w:w w:val="100"/>
          <w:position w:val="0"/>
          <w:sz w:val="18"/>
          <w:szCs w:val="18"/>
        </w:rPr>
        <w:t>）</w:t>
        <w:tab/>
      </w:r>
      <w:r>
        <w:rPr>
          <w:color w:val="000000"/>
          <w:spacing w:val="0"/>
          <w:w w:val="100"/>
          <w:position w:val="0"/>
        </w:rPr>
        <w:t>运用该资产生产的产品通常的寿命周期、可获得的类似资产使用寿命的信息；</w:t>
      </w:r>
    </w:p>
    <w:p>
      <w:pPr>
        <w:pStyle w:val="Style29"/>
        <w:keepNext w:val="0"/>
        <w:keepLines w:val="0"/>
        <w:widowControl w:val="0"/>
        <w:shd w:val="clear" w:color="auto" w:fill="auto"/>
        <w:tabs>
          <w:tab w:pos="738" w:val="left"/>
        </w:tabs>
        <w:bidi w:val="0"/>
        <w:spacing w:before="0" w:after="0" w:line="314" w:lineRule="exact"/>
        <w:ind w:left="0" w:right="0"/>
        <w:jc w:val="both"/>
      </w:pPr>
      <w:bookmarkStart w:id="885" w:name="bookmark885"/>
      <w:r>
        <w:rPr>
          <w:color w:val="000000"/>
          <w:spacing w:val="0"/>
          <w:w w:val="100"/>
          <w:position w:val="0"/>
          <w:sz w:val="18"/>
          <w:szCs w:val="18"/>
        </w:rPr>
        <w:t>2</w:t>
      </w:r>
      <w:bookmarkEnd w:id="885"/>
      <w:r>
        <w:rPr>
          <w:color w:val="000000"/>
          <w:spacing w:val="0"/>
          <w:w w:val="100"/>
          <w:position w:val="0"/>
          <w:sz w:val="18"/>
          <w:szCs w:val="18"/>
        </w:rPr>
        <w:t>）</w:t>
        <w:tab/>
      </w:r>
      <w:r>
        <w:rPr>
          <w:color w:val="000000"/>
          <w:spacing w:val="0"/>
          <w:w w:val="100"/>
          <w:position w:val="0"/>
        </w:rPr>
        <w:t>技术、工艺等方面的现阶段情况及对未来发展趋势的估计；</w:t>
      </w:r>
    </w:p>
    <w:p>
      <w:pPr>
        <w:pStyle w:val="Style29"/>
        <w:keepNext w:val="0"/>
        <w:keepLines w:val="0"/>
        <w:widowControl w:val="0"/>
        <w:shd w:val="clear" w:color="auto" w:fill="auto"/>
        <w:tabs>
          <w:tab w:pos="738" w:val="left"/>
        </w:tabs>
        <w:bidi w:val="0"/>
        <w:spacing w:before="0" w:after="0" w:line="314" w:lineRule="exact"/>
        <w:ind w:left="0" w:right="0"/>
        <w:jc w:val="both"/>
      </w:pPr>
      <w:bookmarkStart w:id="886" w:name="bookmark886"/>
      <w:r>
        <w:rPr>
          <w:color w:val="000000"/>
          <w:spacing w:val="0"/>
          <w:w w:val="100"/>
          <w:position w:val="0"/>
          <w:sz w:val="18"/>
          <w:szCs w:val="18"/>
        </w:rPr>
        <w:t>3</w:t>
      </w:r>
      <w:bookmarkEnd w:id="886"/>
      <w:r>
        <w:rPr>
          <w:color w:val="000000"/>
          <w:spacing w:val="0"/>
          <w:w w:val="100"/>
          <w:position w:val="0"/>
          <w:sz w:val="18"/>
          <w:szCs w:val="18"/>
        </w:rPr>
        <w:t>）</w:t>
        <w:tab/>
      </w:r>
      <w:r>
        <w:rPr>
          <w:color w:val="000000"/>
          <w:spacing w:val="0"/>
          <w:w w:val="100"/>
          <w:position w:val="0"/>
        </w:rPr>
        <w:t>以该资产生产的产品或提供服务的市场需求情况；</w:t>
      </w:r>
    </w:p>
    <w:p>
      <w:pPr>
        <w:pStyle w:val="Style29"/>
        <w:keepNext w:val="0"/>
        <w:keepLines w:val="0"/>
        <w:widowControl w:val="0"/>
        <w:shd w:val="clear" w:color="auto" w:fill="auto"/>
        <w:tabs>
          <w:tab w:pos="743" w:val="left"/>
        </w:tabs>
        <w:bidi w:val="0"/>
        <w:spacing w:before="0" w:after="0" w:line="314" w:lineRule="exact"/>
        <w:ind w:left="0" w:right="0"/>
        <w:jc w:val="both"/>
      </w:pPr>
      <w:bookmarkStart w:id="887" w:name="bookmark887"/>
      <w:r>
        <w:rPr>
          <w:color w:val="000000"/>
          <w:spacing w:val="0"/>
          <w:w w:val="100"/>
          <w:position w:val="0"/>
          <w:sz w:val="18"/>
          <w:szCs w:val="18"/>
        </w:rPr>
        <w:t>4</w:t>
      </w:r>
      <w:bookmarkEnd w:id="887"/>
      <w:r>
        <w:rPr>
          <w:color w:val="000000"/>
          <w:spacing w:val="0"/>
          <w:w w:val="100"/>
          <w:position w:val="0"/>
          <w:sz w:val="18"/>
          <w:szCs w:val="18"/>
        </w:rPr>
        <w:t>）</w:t>
        <w:tab/>
      </w:r>
      <w:r>
        <w:rPr>
          <w:color w:val="000000"/>
          <w:spacing w:val="0"/>
          <w:w w:val="100"/>
          <w:position w:val="0"/>
        </w:rPr>
        <w:t>现在或潜在的竞争者预期采取的行动；</w:t>
      </w:r>
    </w:p>
    <w:p>
      <w:pPr>
        <w:pStyle w:val="Style29"/>
        <w:keepNext w:val="0"/>
        <w:keepLines w:val="0"/>
        <w:widowControl w:val="0"/>
        <w:shd w:val="clear" w:color="auto" w:fill="auto"/>
        <w:tabs>
          <w:tab w:pos="743" w:val="left"/>
        </w:tabs>
        <w:bidi w:val="0"/>
        <w:spacing w:before="0" w:after="0" w:line="314" w:lineRule="exact"/>
        <w:ind w:left="0" w:right="0"/>
        <w:jc w:val="both"/>
      </w:pPr>
      <w:bookmarkStart w:id="888" w:name="bookmark888"/>
      <w:r>
        <w:rPr>
          <w:color w:val="000000"/>
          <w:spacing w:val="0"/>
          <w:w w:val="100"/>
          <w:position w:val="0"/>
          <w:sz w:val="18"/>
          <w:szCs w:val="18"/>
        </w:rPr>
        <w:t>5</w:t>
      </w:r>
      <w:bookmarkEnd w:id="888"/>
      <w:r>
        <w:rPr>
          <w:color w:val="000000"/>
          <w:spacing w:val="0"/>
          <w:w w:val="100"/>
          <w:position w:val="0"/>
          <w:sz w:val="18"/>
          <w:szCs w:val="18"/>
        </w:rPr>
        <w:t>）</w:t>
        <w:tab/>
      </w:r>
      <w:r>
        <w:rPr>
          <w:color w:val="000000"/>
          <w:spacing w:val="0"/>
          <w:w w:val="100"/>
          <w:position w:val="0"/>
        </w:rPr>
        <w:t>为维持该资产带来经济利益能力的预期维护支出，以及公司预计支付有关支出的能力；</w:t>
      </w:r>
    </w:p>
    <w:p>
      <w:pPr>
        <w:pStyle w:val="Style29"/>
        <w:keepNext w:val="0"/>
        <w:keepLines w:val="0"/>
        <w:widowControl w:val="0"/>
        <w:shd w:val="clear" w:color="auto" w:fill="auto"/>
        <w:tabs>
          <w:tab w:pos="743" w:val="left"/>
        </w:tabs>
        <w:bidi w:val="0"/>
        <w:spacing w:before="0" w:after="0" w:line="314" w:lineRule="exact"/>
        <w:ind w:left="0" w:right="0"/>
        <w:jc w:val="both"/>
      </w:pPr>
      <w:bookmarkStart w:id="889" w:name="bookmark889"/>
      <w:r>
        <w:rPr>
          <w:color w:val="000000"/>
          <w:spacing w:val="0"/>
          <w:w w:val="100"/>
          <w:position w:val="0"/>
          <w:sz w:val="18"/>
          <w:szCs w:val="18"/>
        </w:rPr>
        <w:t>6</w:t>
      </w:r>
      <w:bookmarkEnd w:id="889"/>
      <w:r>
        <w:rPr>
          <w:color w:val="000000"/>
          <w:spacing w:val="0"/>
          <w:w w:val="100"/>
          <w:position w:val="0"/>
          <w:sz w:val="18"/>
          <w:szCs w:val="18"/>
        </w:rPr>
        <w:t>）</w:t>
        <w:tab/>
      </w:r>
      <w:r>
        <w:rPr>
          <w:color w:val="000000"/>
          <w:spacing w:val="0"/>
          <w:w w:val="100"/>
          <w:position w:val="0"/>
        </w:rPr>
        <w:t>对该资产控制期限的相关法律规定或类似限制，如特许使用期、租赁期等；</w:t>
      </w:r>
    </w:p>
    <w:p>
      <w:pPr>
        <w:pStyle w:val="Style29"/>
        <w:keepNext w:val="0"/>
        <w:keepLines w:val="0"/>
        <w:widowControl w:val="0"/>
        <w:shd w:val="clear" w:color="auto" w:fill="auto"/>
        <w:tabs>
          <w:tab w:pos="743" w:val="left"/>
        </w:tabs>
        <w:bidi w:val="0"/>
        <w:spacing w:before="0" w:after="0" w:line="314" w:lineRule="exact"/>
        <w:ind w:left="0" w:right="0"/>
        <w:jc w:val="both"/>
      </w:pPr>
      <w:bookmarkStart w:id="890" w:name="bookmark890"/>
      <w:r>
        <w:rPr>
          <w:color w:val="000000"/>
          <w:spacing w:val="0"/>
          <w:w w:val="100"/>
          <w:position w:val="0"/>
          <w:sz w:val="18"/>
          <w:szCs w:val="18"/>
        </w:rPr>
        <w:t>7</w:t>
      </w:r>
      <w:bookmarkEnd w:id="890"/>
      <w:r>
        <w:rPr>
          <w:color w:val="000000"/>
          <w:spacing w:val="0"/>
          <w:w w:val="100"/>
          <w:position w:val="0"/>
          <w:sz w:val="18"/>
          <w:szCs w:val="18"/>
        </w:rPr>
        <w:t>）</w:t>
        <w:tab/>
      </w:r>
      <w:r>
        <w:rPr>
          <w:color w:val="000000"/>
          <w:spacing w:val="0"/>
          <w:w w:val="100"/>
          <w:position w:val="0"/>
        </w:rPr>
        <w:t>与企业持有其他资产使用寿命的关联性等。</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无法预见无形资产为公司带来经济利益期限的，视为使用寿命不确定的无形资产。</w:t>
      </w:r>
    </w:p>
    <w:p>
      <w:pPr>
        <w:pStyle w:val="Style29"/>
        <w:keepNext w:val="0"/>
        <w:keepLines w:val="0"/>
        <w:widowControl w:val="0"/>
        <w:numPr>
          <w:ilvl w:val="0"/>
          <w:numId w:val="45"/>
        </w:numPr>
        <w:shd w:val="clear" w:color="auto" w:fill="auto"/>
        <w:tabs>
          <w:tab w:pos="728" w:val="left"/>
        </w:tabs>
        <w:bidi w:val="0"/>
        <w:spacing w:before="0" w:after="0" w:line="314" w:lineRule="exact"/>
        <w:ind w:left="0" w:right="0"/>
        <w:jc w:val="both"/>
      </w:pPr>
      <w:bookmarkStart w:id="891" w:name="bookmark891"/>
      <w:bookmarkEnd w:id="891"/>
      <w:r>
        <w:rPr>
          <w:color w:val="000000"/>
          <w:spacing w:val="0"/>
          <w:w w:val="100"/>
          <w:position w:val="0"/>
        </w:rPr>
        <w:t>对于使用寿命有限的无形资产，在使用寿命内系统合理（或者直线法）摊销。公司于每年年度终了，对使用寿命有限的 无形资产的使用寿命及摊销方法进行复核。无形资产的使用寿命及摊销方法与以前估计不同的，将改变摊销期限和摊销方法。</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对于使用寿命有限的无形资产，在使用寿命内系统合理（或者直线法）摊销。公司于每年年度终了，对使用寿命有限的无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形资产的使用寿命及摊销方法进行复核。无形资产的使用寿命及摊销方法与以前估计不同的，将改变摊销期限和摊销方法。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对于使用寿命有限的无形资产，在采用直线法计算摊销额时，各项无形资产的使用寿命、预计净残值率如下：</w:t>
      </w:r>
    </w:p>
    <w:tbl>
      <w:tblPr>
        <w:tblOverlap w:val="never"/>
        <w:jc w:val="center"/>
        <w:tblLayout w:type="fixed"/>
      </w:tblPr>
      <w:tblGrid>
        <w:gridCol w:w="1858"/>
        <w:gridCol w:w="1541"/>
        <w:gridCol w:w="2011"/>
        <w:gridCol w:w="426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使用年限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预计净残值率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合同权利并预计给企业带来经济利益的期限</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合同期限以及预计给企业带来经济利息的期限孰短</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合同权利</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5-10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预计给企业带来经济利益的期限</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5-10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合同权利并预计给企业带来经济利益的期限</w:t>
            </w:r>
          </w:p>
        </w:tc>
      </w:tr>
    </w:tbl>
    <w:p>
      <w:pPr>
        <w:widowControl w:val="0"/>
        <w:spacing w:after="359" w:line="1" w:lineRule="exact"/>
      </w:pPr>
    </w:p>
    <w:p>
      <w:pPr>
        <w:pStyle w:val="Style54"/>
        <w:keepNext w:val="0"/>
        <w:keepLines w:val="0"/>
        <w:widowControl w:val="0"/>
        <w:shd w:val="clear" w:color="auto" w:fill="auto"/>
        <w:bidi w:val="0"/>
        <w:spacing w:before="0" w:after="260" w:line="240" w:lineRule="auto"/>
        <w:ind w:left="0" w:right="0" w:firstLine="0"/>
        <w:jc w:val="both"/>
        <w:rPr>
          <w:sz w:val="20"/>
          <w:szCs w:val="20"/>
        </w:rPr>
      </w:pPr>
      <w:bookmarkStart w:id="892" w:name="bookmark892"/>
      <w:r>
        <w:rPr>
          <w:b/>
          <w:bCs/>
          <w:i w:val="0"/>
          <w:iCs w:val="0"/>
          <w:color w:val="000000"/>
          <w:spacing w:val="0"/>
          <w:w w:val="100"/>
          <w:position w:val="0"/>
          <w:sz w:val="20"/>
          <w:szCs w:val="20"/>
        </w:rPr>
        <w:t>（</w:t>
      </w:r>
      <w:bookmarkEnd w:id="892"/>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）内部研究开发支出会计政策</w:t>
      </w:r>
    </w:p>
    <w:p>
      <w:pPr>
        <w:pStyle w:val="Style29"/>
        <w:keepNext w:val="0"/>
        <w:keepLines w:val="0"/>
        <w:widowControl w:val="0"/>
        <w:numPr>
          <w:ilvl w:val="0"/>
          <w:numId w:val="47"/>
        </w:numPr>
        <w:shd w:val="clear" w:color="auto" w:fill="auto"/>
        <w:tabs>
          <w:tab w:pos="753" w:val="left"/>
        </w:tabs>
        <w:bidi w:val="0"/>
        <w:spacing w:before="0" w:after="0" w:line="318" w:lineRule="exact"/>
        <w:ind w:left="0" w:right="0"/>
        <w:jc w:val="both"/>
      </w:pPr>
      <w:bookmarkStart w:id="893" w:name="bookmark893"/>
      <w:bookmarkEnd w:id="893"/>
      <w:r>
        <w:rPr>
          <w:color w:val="000000"/>
          <w:spacing w:val="0"/>
          <w:w w:val="100"/>
          <w:position w:val="0"/>
        </w:rPr>
        <w:t>内部研究开发项目的支出，包括研究阶段支出与开发阶段支出，其中：</w:t>
      </w:r>
    </w:p>
    <w:p>
      <w:pPr>
        <w:pStyle w:val="Style29"/>
        <w:keepNext w:val="0"/>
        <w:keepLines w:val="0"/>
        <w:widowControl w:val="0"/>
        <w:shd w:val="clear" w:color="auto" w:fill="auto"/>
        <w:tabs>
          <w:tab w:pos="729" w:val="left"/>
        </w:tabs>
        <w:bidi w:val="0"/>
        <w:spacing w:before="0" w:after="0" w:line="318" w:lineRule="exact"/>
        <w:ind w:left="0" w:right="0"/>
        <w:jc w:val="both"/>
      </w:pPr>
      <w:bookmarkStart w:id="894" w:name="bookmark894"/>
      <w:r>
        <w:rPr>
          <w:color w:val="000000"/>
          <w:spacing w:val="0"/>
          <w:w w:val="100"/>
          <w:position w:val="0"/>
          <w:sz w:val="18"/>
          <w:szCs w:val="18"/>
        </w:rPr>
        <w:t>1</w:t>
      </w:r>
      <w:bookmarkEnd w:id="894"/>
      <w:r>
        <w:rPr>
          <w:color w:val="000000"/>
          <w:spacing w:val="0"/>
          <w:w w:val="100"/>
          <w:position w:val="0"/>
        </w:rPr>
        <w:t>）</w:t>
        <w:tab/>
        <w:t>研究是指为获取并理解新的科学或技术知识而进行的独创性的有计划调查。</w:t>
      </w:r>
    </w:p>
    <w:p>
      <w:pPr>
        <w:pStyle w:val="Style29"/>
        <w:keepNext w:val="0"/>
        <w:keepLines w:val="0"/>
        <w:widowControl w:val="0"/>
        <w:shd w:val="clear" w:color="auto" w:fill="auto"/>
        <w:tabs>
          <w:tab w:pos="714" w:val="left"/>
        </w:tabs>
        <w:bidi w:val="0"/>
        <w:spacing w:before="0" w:after="0" w:line="318" w:lineRule="exact"/>
        <w:ind w:left="0" w:right="0"/>
        <w:jc w:val="both"/>
      </w:pPr>
      <w:bookmarkStart w:id="895" w:name="bookmark895"/>
      <w:r>
        <w:rPr>
          <w:color w:val="000000"/>
          <w:spacing w:val="0"/>
          <w:w w:val="100"/>
          <w:position w:val="0"/>
          <w:sz w:val="18"/>
          <w:szCs w:val="18"/>
        </w:rPr>
        <w:t>2</w:t>
      </w:r>
      <w:bookmarkEnd w:id="895"/>
      <w:r>
        <w:rPr>
          <w:color w:val="000000"/>
          <w:spacing w:val="0"/>
          <w:w w:val="100"/>
          <w:position w:val="0"/>
          <w:sz w:val="18"/>
          <w:szCs w:val="18"/>
        </w:rPr>
        <w:t>）</w:t>
        <w:tab/>
      </w:r>
      <w:r>
        <w:rPr>
          <w:color w:val="000000"/>
          <w:spacing w:val="0"/>
          <w:w w:val="100"/>
          <w:position w:val="0"/>
        </w:rPr>
        <w:t>开发是指在进行商业性生产或使用前，将研究成果或其他知识应用于某项计划或设计，以生产出新的或具有实质性 改进的材料、装置、产品等。</w:t>
      </w:r>
    </w:p>
    <w:p>
      <w:pPr>
        <w:pStyle w:val="Style29"/>
        <w:keepNext w:val="0"/>
        <w:keepLines w:val="0"/>
        <w:widowControl w:val="0"/>
        <w:numPr>
          <w:ilvl w:val="0"/>
          <w:numId w:val="47"/>
        </w:numPr>
        <w:shd w:val="clear" w:color="auto" w:fill="auto"/>
        <w:tabs>
          <w:tab w:pos="728" w:val="left"/>
        </w:tabs>
        <w:bidi w:val="0"/>
        <w:spacing w:before="0" w:after="0" w:line="318" w:lineRule="exact"/>
        <w:ind w:left="0" w:right="0"/>
        <w:jc w:val="both"/>
      </w:pPr>
      <w:bookmarkStart w:id="896" w:name="bookmark896"/>
      <w:bookmarkEnd w:id="896"/>
      <w:r>
        <w:rPr>
          <w:color w:val="000000"/>
          <w:spacing w:val="0"/>
          <w:w w:val="100"/>
          <w:position w:val="0"/>
        </w:rPr>
        <w:t>内部研究开发项目在研究阶段的支出于发生时计入当期损益；开发阶段的支出，同时满足下列条件的，确认为无形资 产：</w:t>
      </w:r>
    </w:p>
    <w:p>
      <w:pPr>
        <w:pStyle w:val="Style29"/>
        <w:keepNext w:val="0"/>
        <w:keepLines w:val="0"/>
        <w:widowControl w:val="0"/>
        <w:shd w:val="clear" w:color="auto" w:fill="auto"/>
        <w:tabs>
          <w:tab w:pos="718" w:val="left"/>
        </w:tabs>
        <w:bidi w:val="0"/>
        <w:spacing w:before="0" w:after="0" w:line="318" w:lineRule="exact"/>
        <w:ind w:left="0" w:right="0"/>
        <w:jc w:val="both"/>
      </w:pPr>
      <w:bookmarkStart w:id="897" w:name="bookmark897"/>
      <w:r>
        <w:rPr>
          <w:rFonts w:ascii="Times New Roman" w:eastAsia="Times New Roman" w:hAnsi="Times New Roman" w:cs="Times New Roman"/>
          <w:color w:val="000000"/>
          <w:spacing w:val="0"/>
          <w:w w:val="100"/>
          <w:position w:val="0"/>
          <w:sz w:val="18"/>
          <w:szCs w:val="18"/>
        </w:rPr>
        <w:t>1</w:t>
      </w:r>
      <w:bookmarkEnd w:id="897"/>
      <w:r>
        <w:rPr>
          <w:color w:val="000000"/>
          <w:spacing w:val="0"/>
          <w:w w:val="100"/>
          <w:position w:val="0"/>
        </w:rPr>
        <w:t>）</w:t>
        <w:tab/>
        <w:t>公司对该项目方案所采用技术的分析，从技术的角度讲是完全能够生产出产品的，且公司已经对该项目方案所需采 用的技术进行了充分的分析论证和测试，即该项目从技术的角度来讲完全是可行的；</w:t>
      </w:r>
    </w:p>
    <w:p>
      <w:pPr>
        <w:pStyle w:val="Style29"/>
        <w:keepNext w:val="0"/>
        <w:keepLines w:val="0"/>
        <w:widowControl w:val="0"/>
        <w:shd w:val="clear" w:color="auto" w:fill="auto"/>
        <w:bidi w:val="0"/>
        <w:spacing w:before="0" w:after="260" w:line="318" w:lineRule="exact"/>
        <w:ind w:left="0" w:right="0"/>
        <w:jc w:val="both"/>
      </w:pPr>
      <w:bookmarkStart w:id="898" w:name="bookmark898"/>
      <w:r>
        <w:rPr>
          <w:rFonts w:ascii="Times New Roman" w:eastAsia="Times New Roman" w:hAnsi="Times New Roman" w:cs="Times New Roman"/>
          <w:color w:val="000000"/>
          <w:spacing w:val="0"/>
          <w:w w:val="100"/>
          <w:position w:val="0"/>
          <w:sz w:val="18"/>
          <w:szCs w:val="18"/>
        </w:rPr>
        <w:t>2</w:t>
      </w:r>
      <w:bookmarkEnd w:id="898"/>
      <w:r>
        <w:rPr>
          <w:color w:val="000000"/>
          <w:spacing w:val="0"/>
          <w:w w:val="100"/>
          <w:position w:val="0"/>
        </w:rPr>
        <w:t>） 公司在完成项目方案的开发，取得技术成功并形成样品后交由部分下游客户试用，能够带来稳定的经济效益。对于 经济效益的评价，公司在确认直接经济效益达到或超过项目投入（包括项目研发阶段和项目市场化开发阶段）的所有成本时, 认为该项目的市场化开发达到预定的经济效益；</w:t>
      </w:r>
    </w:p>
    <w:p>
      <w:pPr>
        <w:pStyle w:val="Style29"/>
        <w:keepNext w:val="0"/>
        <w:keepLines w:val="0"/>
        <w:widowControl w:val="0"/>
        <w:shd w:val="clear" w:color="auto" w:fill="auto"/>
        <w:tabs>
          <w:tab w:pos="720" w:val="left"/>
        </w:tabs>
        <w:bidi w:val="0"/>
        <w:spacing w:before="0" w:after="0" w:line="326" w:lineRule="exact"/>
        <w:ind w:left="0" w:right="0"/>
        <w:jc w:val="both"/>
      </w:pPr>
      <w:bookmarkStart w:id="899" w:name="bookmark899"/>
      <w:r>
        <w:rPr>
          <w:rFonts w:ascii="Times New Roman" w:eastAsia="Times New Roman" w:hAnsi="Times New Roman" w:cs="Times New Roman"/>
          <w:color w:val="000000"/>
          <w:spacing w:val="0"/>
          <w:w w:val="100"/>
          <w:position w:val="0"/>
          <w:sz w:val="18"/>
          <w:szCs w:val="18"/>
        </w:rPr>
        <w:t>3</w:t>
      </w:r>
      <w:bookmarkEnd w:id="899"/>
      <w:r>
        <w:rPr>
          <w:color w:val="000000"/>
          <w:spacing w:val="0"/>
          <w:w w:val="100"/>
          <w:position w:val="0"/>
        </w:rPr>
        <w:t>）</w:t>
        <w:tab/>
        <w:t>本公司市场部通过市场调研，确认该项目方案进入市场化开发阶段后三年内，能够持续为本公司带来稳定的收益；</w:t>
      </w:r>
    </w:p>
    <w:p>
      <w:pPr>
        <w:pStyle w:val="Style29"/>
        <w:keepNext w:val="0"/>
        <w:keepLines w:val="0"/>
        <w:widowControl w:val="0"/>
        <w:shd w:val="clear" w:color="auto" w:fill="auto"/>
        <w:tabs>
          <w:tab w:pos="700" w:val="left"/>
        </w:tabs>
        <w:bidi w:val="0"/>
        <w:spacing w:before="0" w:after="0" w:line="326" w:lineRule="exact"/>
        <w:ind w:left="0" w:right="0"/>
        <w:jc w:val="both"/>
      </w:pPr>
      <w:bookmarkStart w:id="900" w:name="bookmark900"/>
      <w:r>
        <w:rPr>
          <w:rFonts w:ascii="Times New Roman" w:eastAsia="Times New Roman" w:hAnsi="Times New Roman" w:cs="Times New Roman"/>
          <w:color w:val="000000"/>
          <w:spacing w:val="0"/>
          <w:w w:val="100"/>
          <w:position w:val="0"/>
          <w:sz w:val="18"/>
          <w:szCs w:val="18"/>
        </w:rPr>
        <w:t>4</w:t>
      </w:r>
      <w:bookmarkEnd w:id="900"/>
      <w:r>
        <w:rPr>
          <w:color w:val="000000"/>
          <w:spacing w:val="0"/>
          <w:w w:val="100"/>
          <w:position w:val="0"/>
        </w:rPr>
        <w:t>）</w:t>
        <w:tab/>
        <w:t>本公司研发中心、市场部配备专业人员来完成开发和推广，同时本公司财务部门在年度的预算中也为项目技术方案 开发及市场化开发阶段提供了资金预算，从人、财、物上保证项目的顺利开发；</w:t>
      </w:r>
    </w:p>
    <w:p>
      <w:pPr>
        <w:pStyle w:val="Style29"/>
        <w:keepNext w:val="0"/>
        <w:keepLines w:val="0"/>
        <w:widowControl w:val="0"/>
        <w:shd w:val="clear" w:color="auto" w:fill="auto"/>
        <w:tabs>
          <w:tab w:pos="710" w:val="left"/>
        </w:tabs>
        <w:bidi w:val="0"/>
        <w:spacing w:before="0" w:after="380" w:line="317" w:lineRule="exact"/>
        <w:ind w:left="0" w:right="0"/>
        <w:jc w:val="both"/>
      </w:pPr>
      <w:bookmarkStart w:id="901" w:name="bookmark901"/>
      <w:r>
        <w:rPr>
          <w:rFonts w:ascii="Times New Roman" w:eastAsia="Times New Roman" w:hAnsi="Times New Roman" w:cs="Times New Roman"/>
          <w:color w:val="000000"/>
          <w:spacing w:val="0"/>
          <w:w w:val="100"/>
          <w:position w:val="0"/>
          <w:sz w:val="18"/>
          <w:szCs w:val="18"/>
        </w:rPr>
        <w:t>5</w:t>
      </w:r>
      <w:bookmarkEnd w:id="901"/>
      <w:r>
        <w:rPr>
          <w:color w:val="000000"/>
          <w:spacing w:val="0"/>
          <w:w w:val="100"/>
          <w:position w:val="0"/>
        </w:rPr>
        <w:t>）</w:t>
        <w:tab/>
        <w:t>本公司对各个研发项目方案，已经按照直接人工、直接材料投入、设计费、试制费、折旧摊销、调试费等费用明细 进行归集，在核算过程中，如果发生的某笔费用系为多个项目而发生，能够按照一定比例分摊的，分摊后归集到该项目中， 不能够按照一定比例分摊的，则直接计入当期管理费用。只有同时符合以上五个条件，公司才将开发阶段的支出资本化，不 满足上述条件的开发支出，计入当期损益。</w:t>
      </w:r>
    </w:p>
    <w:p>
      <w:pPr>
        <w:pStyle w:val="Style33"/>
        <w:keepNext/>
        <w:keepLines/>
        <w:widowControl w:val="0"/>
        <w:shd w:val="clear" w:color="auto" w:fill="auto"/>
        <w:tabs>
          <w:tab w:pos="465" w:val="left"/>
        </w:tabs>
        <w:bidi w:val="0"/>
        <w:spacing w:before="0" w:after="26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02"/>
      <w:bookmarkEnd w:id="903"/>
      <w:bookmarkEnd w:id="905"/>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长期股权投资、固定资产、在建工程、使用寿命有限的无形资产等长期资产，于资产负债表日存在减值迹象的，进行减 值测试。减值测试结果表明资产的可收回金额低于其账面价值的，按其差额计提减值准备并计入减值损失。可收回金额为资 产的公允价值减去处置费用后的净额与资产预计未来现金流量的现值两者之间的较高者。资产减值准备按单项资产为基础计 算并确认，如果难以对单项资产的可收回金额进行估计的，以该资产所属的资产组确定资产组的可收回金额。资产组是能够 独立产生现金流入的最小资产组合。</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商誉和使用寿命不确定的无形资产至少在每年年度终了进行减值测试。</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29"/>
        <w:keepNext w:val="0"/>
        <w:keepLines w:val="0"/>
        <w:widowControl w:val="0"/>
        <w:shd w:val="clear" w:color="auto" w:fill="auto"/>
        <w:bidi w:val="0"/>
        <w:spacing w:before="0" w:after="380" w:line="311" w:lineRule="exact"/>
        <w:ind w:left="0" w:right="0"/>
        <w:jc w:val="both"/>
      </w:pPr>
      <w:r>
        <w:rPr>
          <w:color w:val="000000"/>
          <w:spacing w:val="0"/>
          <w:w w:val="100"/>
          <w:position w:val="0"/>
        </w:rPr>
        <w:t>上述资产减值损失一经确认，在以后会计期间不予转回。</w:t>
      </w:r>
    </w:p>
    <w:p>
      <w:pPr>
        <w:pStyle w:val="Style33"/>
        <w:keepNext/>
        <w:keepLines/>
        <w:widowControl w:val="0"/>
        <w:shd w:val="clear" w:color="auto" w:fill="auto"/>
        <w:tabs>
          <w:tab w:pos="465" w:val="left"/>
        </w:tabs>
        <w:bidi w:val="0"/>
        <w:spacing w:before="0" w:after="2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06"/>
      <w:bookmarkEnd w:id="907"/>
      <w:bookmarkEnd w:id="909"/>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长期待摊费用是公司已经发生但应由本期和以后各期负担的分摊期限在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的各项费用。长期待摊费用在 受益期内平均摊销。如果长期待摊费用项目不能使以后会计期间受益的，则将其尚未摊销的摊余价值全部转入当期损益。</w:t>
      </w:r>
    </w:p>
    <w:p>
      <w:pPr>
        <w:pStyle w:val="Style33"/>
        <w:keepNext/>
        <w:keepLines/>
        <w:widowControl w:val="0"/>
        <w:shd w:val="clear" w:color="auto" w:fill="auto"/>
        <w:tabs>
          <w:tab w:pos="465" w:val="left"/>
        </w:tabs>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0"/>
      <w:bookmarkEnd w:id="911"/>
      <w:bookmarkEnd w:id="913"/>
    </w:p>
    <w:p>
      <w:pPr>
        <w:pStyle w:val="Style33"/>
        <w:keepNext/>
        <w:keepLines/>
        <w:widowControl w:val="0"/>
        <w:shd w:val="clear" w:color="auto" w:fill="auto"/>
        <w:tabs>
          <w:tab w:pos="474" w:val="left"/>
        </w:tabs>
        <w:bidi w:val="0"/>
        <w:spacing w:before="0" w:after="260" w:line="240" w:lineRule="auto"/>
        <w:ind w:left="0" w:right="0" w:firstLine="0"/>
        <w:jc w:val="left"/>
      </w:pPr>
      <w:bookmarkStart w:id="910" w:name="bookmark910"/>
      <w:bookmarkStart w:id="911" w:name="bookmark911"/>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0"/>
      <w:bookmarkEnd w:id="911"/>
      <w:bookmarkEnd w:id="915"/>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短期薪酬是指公司在职工提供相关服务的年度报告期间结束后十二个月内需要全部予以支付的职工薪酬。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短期薪酬包括职工工资、奖金、津贴和补贴，职工福利费、医疗保险费、工伤保险费和生育保险费等社会保险费，住房 公积金、工会经费和职工教育经费，短期带薪缺勤、短期利润分享计划，非货币性福利以及其他短期薪酬。</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短期薪酬在职工为公司提供服务的会计期间，将实际发生的短期薪酬确认为负债，并计入当期损益或相关资产成本。</w:t>
      </w:r>
    </w:p>
    <w:p>
      <w:pPr>
        <w:pStyle w:val="Style33"/>
        <w:keepNext/>
        <w:keepLines/>
        <w:widowControl w:val="0"/>
        <w:shd w:val="clear" w:color="auto" w:fill="auto"/>
        <w:tabs>
          <w:tab w:pos="474" w:val="left"/>
        </w:tabs>
        <w:bidi w:val="0"/>
        <w:spacing w:before="0" w:after="26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6"/>
      <w:bookmarkEnd w:id="917"/>
      <w:bookmarkEnd w:id="919"/>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离职后福利是指公司为获得员工提供的服务而在职工退休或与公司解除劳动关系后，提供的各种形式的报酬和福利，短 期薪酬和辞退福利除外。</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离职后福利计划包括设定提存计划和设定受益计划。其中，设定提存计划，是指向独立的基金缴存固定费用后，公司不 </w:t>
      </w:r>
      <w:r>
        <w:rPr>
          <w:color w:val="000000"/>
          <w:spacing w:val="0"/>
          <w:w w:val="100"/>
          <w:position w:val="0"/>
        </w:rPr>
        <w:t>再承担进一步支付义务的离职后福利计划；设定受益计划，是指除设定提存计划以外的离职后福利计划。</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设定提存计划包括基本养老保险、失业保险等。在职工提供服务的会计期间，根据设定提存计划计算的应缴存金额确认 为负债，并计入当期损益或相关资产成本。</w:t>
      </w:r>
    </w:p>
    <w:p>
      <w:pPr>
        <w:pStyle w:val="Style33"/>
        <w:keepNext/>
        <w:keepLines/>
        <w:widowControl w:val="0"/>
        <w:shd w:val="clear" w:color="auto" w:fill="auto"/>
        <w:tabs>
          <w:tab w:pos="493" w:val="left"/>
        </w:tabs>
        <w:bidi w:val="0"/>
        <w:spacing w:before="0" w:after="2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0"/>
      <w:bookmarkEnd w:id="921"/>
      <w:bookmarkEnd w:id="923"/>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是指公司在职工劳动合同到期之前解除与职工的劳动关系，或者为鼓励职工自愿接受裁减而给予职工的补偿。</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公司向职工提供辞退福利的，在下列两者孰早日确认辞退福利产生的职工薪酬负债，并计入当期损益：公司不能单方面 撤回因解除劳动关系计划或裁减建议所提供的辞退福利时；公司确认与涉及支付辞退福利的重组相关的成本或费用时。</w:t>
      </w:r>
    </w:p>
    <w:p>
      <w:pPr>
        <w:pStyle w:val="Style33"/>
        <w:keepNext/>
        <w:keepLines/>
        <w:widowControl w:val="0"/>
        <w:shd w:val="clear" w:color="auto" w:fill="auto"/>
        <w:tabs>
          <w:tab w:pos="49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4"/>
      <w:bookmarkEnd w:id="925"/>
      <w:bookmarkEnd w:id="927"/>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是指除短期薪酬、离职后福利、辞退福利之外所有的职工薪酬，包括长期带薪缺勤、长期残疾福利、长期利润分享计划 等。</w:t>
      </w:r>
    </w:p>
    <w:p>
      <w:pPr>
        <w:pStyle w:val="Style29"/>
        <w:keepNext w:val="0"/>
        <w:keepLines w:val="0"/>
        <w:widowControl w:val="0"/>
        <w:shd w:val="clear" w:color="auto" w:fill="auto"/>
        <w:bidi w:val="0"/>
        <w:spacing w:before="0" w:after="380" w:line="317" w:lineRule="exact"/>
        <w:ind w:left="0" w:right="0"/>
        <w:jc w:val="left"/>
      </w:pPr>
      <w:r>
        <w:rPr>
          <w:color w:val="000000"/>
          <w:spacing w:val="0"/>
          <w:w w:val="100"/>
          <w:position w:val="0"/>
        </w:rPr>
        <w:t>企业向职工提供的其他长期职工福利，符合设定提存计划条件的，适用于上述设定提存计划的有关规定进行处理。</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28"/>
      <w:bookmarkEnd w:id="929"/>
      <w:bookmarkEnd w:id="931"/>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与或有事项相关的义务同时满足下列条件的，确认为预计负债：</w:t>
      </w:r>
    </w:p>
    <w:p>
      <w:pPr>
        <w:pStyle w:val="Style29"/>
        <w:keepNext w:val="0"/>
        <w:keepLines w:val="0"/>
        <w:widowControl w:val="0"/>
        <w:shd w:val="clear" w:color="auto" w:fill="auto"/>
        <w:tabs>
          <w:tab w:pos="825" w:val="left"/>
        </w:tabs>
        <w:bidi w:val="0"/>
        <w:spacing w:before="0" w:after="0" w:line="313" w:lineRule="exact"/>
        <w:ind w:left="0" w:right="0"/>
        <w:jc w:val="both"/>
      </w:pPr>
      <w:bookmarkStart w:id="932" w:name="bookmark932"/>
      <w:r>
        <w:rPr>
          <w:color w:val="000000"/>
          <w:spacing w:val="0"/>
          <w:w w:val="100"/>
          <w:position w:val="0"/>
          <w:sz w:val="18"/>
          <w:szCs w:val="18"/>
        </w:rPr>
        <w:t>（</w:t>
      </w:r>
      <w:bookmarkEnd w:id="932"/>
      <w:r>
        <w:rPr>
          <w:color w:val="000000"/>
          <w:spacing w:val="0"/>
          <w:w w:val="100"/>
          <w:position w:val="0"/>
          <w:sz w:val="18"/>
          <w:szCs w:val="18"/>
        </w:rPr>
        <w:t>1）</w:t>
        <w:tab/>
      </w:r>
      <w:r>
        <w:rPr>
          <w:color w:val="000000"/>
          <w:spacing w:val="0"/>
          <w:w w:val="100"/>
          <w:position w:val="0"/>
        </w:rPr>
        <w:t>该义务是企业承担的现时义务；</w:t>
      </w:r>
    </w:p>
    <w:p>
      <w:pPr>
        <w:pStyle w:val="Style29"/>
        <w:keepNext w:val="0"/>
        <w:keepLines w:val="0"/>
        <w:widowControl w:val="0"/>
        <w:shd w:val="clear" w:color="auto" w:fill="auto"/>
        <w:tabs>
          <w:tab w:pos="825" w:val="left"/>
        </w:tabs>
        <w:bidi w:val="0"/>
        <w:spacing w:before="0" w:after="0" w:line="313" w:lineRule="exact"/>
        <w:ind w:left="0" w:right="0"/>
        <w:jc w:val="both"/>
      </w:pPr>
      <w:bookmarkStart w:id="933" w:name="bookmark933"/>
      <w:r>
        <w:rPr>
          <w:color w:val="000000"/>
          <w:spacing w:val="0"/>
          <w:w w:val="100"/>
          <w:position w:val="0"/>
          <w:sz w:val="18"/>
          <w:szCs w:val="18"/>
        </w:rPr>
        <w:t>（</w:t>
      </w:r>
      <w:bookmarkEnd w:id="933"/>
      <w:r>
        <w:rPr>
          <w:color w:val="000000"/>
          <w:spacing w:val="0"/>
          <w:w w:val="100"/>
          <w:position w:val="0"/>
          <w:sz w:val="18"/>
          <w:szCs w:val="18"/>
        </w:rPr>
        <w:t>2）</w:t>
        <w:tab/>
      </w:r>
      <w:r>
        <w:rPr>
          <w:color w:val="000000"/>
          <w:spacing w:val="0"/>
          <w:w w:val="100"/>
          <w:position w:val="0"/>
        </w:rPr>
        <w:t>履行该义务很可能导致经济利益流出企业；</w:t>
      </w:r>
    </w:p>
    <w:p>
      <w:pPr>
        <w:pStyle w:val="Style29"/>
        <w:keepNext w:val="0"/>
        <w:keepLines w:val="0"/>
        <w:widowControl w:val="0"/>
        <w:shd w:val="clear" w:color="auto" w:fill="auto"/>
        <w:tabs>
          <w:tab w:pos="825" w:val="left"/>
        </w:tabs>
        <w:bidi w:val="0"/>
        <w:spacing w:before="0" w:after="0" w:line="313" w:lineRule="exact"/>
        <w:ind w:left="0" w:right="0"/>
        <w:jc w:val="both"/>
      </w:pPr>
      <w:bookmarkStart w:id="934" w:name="bookmark934"/>
      <w:r>
        <w:rPr>
          <w:color w:val="000000"/>
          <w:spacing w:val="0"/>
          <w:w w:val="100"/>
          <w:position w:val="0"/>
          <w:sz w:val="18"/>
          <w:szCs w:val="18"/>
        </w:rPr>
        <w:t>（</w:t>
      </w:r>
      <w:bookmarkEnd w:id="934"/>
      <w:r>
        <w:rPr>
          <w:color w:val="000000"/>
          <w:spacing w:val="0"/>
          <w:w w:val="100"/>
          <w:position w:val="0"/>
          <w:sz w:val="18"/>
          <w:szCs w:val="18"/>
        </w:rPr>
        <w:t>3）</w:t>
        <w:tab/>
      </w:r>
      <w:r>
        <w:rPr>
          <w:color w:val="000000"/>
          <w:spacing w:val="0"/>
          <w:w w:val="100"/>
          <w:position w:val="0"/>
        </w:rPr>
        <w:t>该义务的金额能够可靠地计量。</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预计负债应当按照履行相关现时义务所需支出的最佳估计数进行初始计量。</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本公司在确定最佳估计数时，综合考虑与或有事项有关的风险、不确定性和货币时间价值等因素对于货币时间价值影响 重大的，通过对相关未来现金流出进行折现后确定最佳估计数。</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即上下限金额的平均数确定。所需支出不存在一个连续范围（或区间），或虽然存在一个连续范围但该范围内各种结果发生 的可能性不相同的，如或有事项涉及单个项目的，则最佳估计数按照最可能发生金额确定；如或有事项涉及多个项目的，则 最佳估计数按各种可能结果及相关概率计算确定。</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35"/>
      <w:bookmarkEnd w:id="936"/>
      <w:bookmarkEnd w:id="938"/>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本公司的股份支付是为了获取职工提供服务而授予权益工具或者承担以权益工具为基础确定的负债的交易。本公司的股 份支付为以权益结算的股份支付。</w:t>
      </w:r>
    </w:p>
    <w:p>
      <w:pPr>
        <w:pStyle w:val="Style29"/>
        <w:keepNext w:val="0"/>
        <w:keepLines w:val="0"/>
        <w:widowControl w:val="0"/>
        <w:shd w:val="clear" w:color="auto" w:fill="auto"/>
        <w:tabs>
          <w:tab w:pos="825" w:val="left"/>
        </w:tabs>
        <w:bidi w:val="0"/>
        <w:spacing w:before="0" w:after="0" w:line="311" w:lineRule="exact"/>
        <w:ind w:left="0" w:right="0"/>
        <w:jc w:val="both"/>
      </w:pPr>
      <w:bookmarkStart w:id="939" w:name="bookmark939"/>
      <w:r>
        <w:rPr>
          <w:color w:val="000000"/>
          <w:spacing w:val="0"/>
          <w:w w:val="100"/>
          <w:position w:val="0"/>
          <w:sz w:val="18"/>
          <w:szCs w:val="18"/>
        </w:rPr>
        <w:t>（</w:t>
      </w:r>
      <w:bookmarkEnd w:id="939"/>
      <w:r>
        <w:rPr>
          <w:color w:val="000000"/>
          <w:spacing w:val="0"/>
          <w:w w:val="100"/>
          <w:position w:val="0"/>
          <w:sz w:val="18"/>
          <w:szCs w:val="18"/>
        </w:rPr>
        <w:t>1）</w:t>
        <w:tab/>
      </w:r>
      <w:r>
        <w:rPr>
          <w:color w:val="000000"/>
          <w:spacing w:val="0"/>
          <w:w w:val="100"/>
          <w:position w:val="0"/>
        </w:rPr>
        <w:t>权益工具公允价值的确定方法</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个资产负债表日，本公司根据最新取得的可行权职工人数变动、是否达到规定业绩条件等后续信息对可行权权益工具数量作 出最佳估计，以此为基础，按照授予日的公允价值，将当期取得的服务计入相关成本或费用，相应计入资本公积。权益工具 的公允价值采用</w:t>
      </w:r>
      <w:r>
        <w:rPr>
          <w:color w:val="000000"/>
          <w:spacing w:val="0"/>
          <w:w w:val="100"/>
          <w:position w:val="0"/>
          <w:sz w:val="18"/>
          <w:szCs w:val="18"/>
        </w:rPr>
        <w:t>Black-Scholes</w:t>
      </w:r>
      <w:r>
        <w:rPr>
          <w:color w:val="000000"/>
          <w:spacing w:val="0"/>
          <w:w w:val="100"/>
          <w:position w:val="0"/>
        </w:rPr>
        <w:t>模型确定。</w:t>
      </w:r>
    </w:p>
    <w:p>
      <w:pPr>
        <w:pStyle w:val="Style29"/>
        <w:keepNext w:val="0"/>
        <w:keepLines w:val="0"/>
        <w:widowControl w:val="0"/>
        <w:shd w:val="clear" w:color="auto" w:fill="auto"/>
        <w:tabs>
          <w:tab w:pos="825" w:val="left"/>
        </w:tabs>
        <w:bidi w:val="0"/>
        <w:spacing w:before="0" w:after="0" w:line="311" w:lineRule="exact"/>
        <w:ind w:left="0" w:right="0"/>
        <w:jc w:val="both"/>
      </w:pPr>
      <w:bookmarkStart w:id="940" w:name="bookmark940"/>
      <w:r>
        <w:rPr>
          <w:color w:val="000000"/>
          <w:spacing w:val="0"/>
          <w:w w:val="100"/>
          <w:position w:val="0"/>
          <w:sz w:val="18"/>
          <w:szCs w:val="18"/>
        </w:rPr>
        <w:t>（</w:t>
      </w:r>
      <w:bookmarkEnd w:id="940"/>
      <w:r>
        <w:rPr>
          <w:color w:val="000000"/>
          <w:spacing w:val="0"/>
          <w:w w:val="100"/>
          <w:position w:val="0"/>
          <w:sz w:val="18"/>
          <w:szCs w:val="18"/>
        </w:rPr>
        <w:t>2）</w:t>
        <w:tab/>
      </w:r>
      <w:r>
        <w:rPr>
          <w:color w:val="000000"/>
          <w:spacing w:val="0"/>
          <w:w w:val="100"/>
          <w:position w:val="0"/>
        </w:rPr>
        <w:t>确认可行权权益工具最佳估计的依据</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在满足业绩条件或服务期限条件的期间，应确认以权益结算的股份支付的成本或费用，并相应增加资本公积。可行权日 </w:t>
      </w:r>
      <w:r>
        <w:rPr>
          <w:color w:val="000000"/>
          <w:spacing w:val="0"/>
          <w:w w:val="100"/>
          <w:position w:val="0"/>
        </w:rPr>
        <w:t>之前，于每个资产负债表日为以权益结算的股份支付确认的累计金额反映了等待期已届满的部分以及本公司对最终可行权的 权益工具数量的最佳估计。</w:t>
      </w:r>
    </w:p>
    <w:p>
      <w:pPr>
        <w:pStyle w:val="Style29"/>
        <w:keepNext w:val="0"/>
        <w:keepLines w:val="0"/>
        <w:widowControl w:val="0"/>
        <w:shd w:val="clear" w:color="auto" w:fill="auto"/>
        <w:bidi w:val="0"/>
        <w:spacing w:before="0" w:after="0" w:line="313" w:lineRule="exact"/>
        <w:ind w:left="0" w:right="0"/>
        <w:jc w:val="both"/>
      </w:pPr>
      <w:bookmarkStart w:id="941" w:name="bookmark941"/>
      <w:r>
        <w:rPr>
          <w:color w:val="000000"/>
          <w:spacing w:val="0"/>
          <w:w w:val="100"/>
          <w:position w:val="0"/>
          <w:sz w:val="18"/>
          <w:szCs w:val="18"/>
        </w:rPr>
        <w:t>（</w:t>
      </w:r>
      <w:bookmarkEnd w:id="941"/>
      <w:r>
        <w:rPr>
          <w:color w:val="000000"/>
          <w:spacing w:val="0"/>
          <w:w w:val="100"/>
          <w:position w:val="0"/>
          <w:sz w:val="18"/>
          <w:szCs w:val="18"/>
        </w:rPr>
        <w:t>3）</w:t>
      </w:r>
      <w:r>
        <w:rPr>
          <w:color w:val="000000"/>
          <w:spacing w:val="0"/>
          <w:w w:val="100"/>
          <w:position w:val="0"/>
        </w:rPr>
        <w:t>实施、修改、终止股份支付计划的相关会计处理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3"/>
        <w:keepNext/>
        <w:keepLines/>
        <w:widowControl w:val="0"/>
        <w:shd w:val="clear" w:color="auto" w:fill="auto"/>
        <w:tabs>
          <w:tab w:pos="572" w:val="left"/>
        </w:tabs>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优先股、永续债等其他金融工具：无。</w:t>
      </w:r>
      <w:bookmarkEnd w:id="942"/>
      <w:bookmarkEnd w:id="943"/>
      <w:bookmarkEnd w:id="945"/>
    </w:p>
    <w:p>
      <w:pPr>
        <w:pStyle w:val="Style33"/>
        <w:keepNext/>
        <w:keepLines/>
        <w:widowControl w:val="0"/>
        <w:shd w:val="clear" w:color="auto" w:fill="auto"/>
        <w:tabs>
          <w:tab w:pos="572" w:val="left"/>
        </w:tabs>
        <w:bidi w:val="0"/>
        <w:spacing w:before="0" w:after="280" w:line="240" w:lineRule="auto"/>
        <w:ind w:left="0" w:right="0" w:firstLine="0"/>
        <w:jc w:val="left"/>
      </w:pPr>
      <w:bookmarkStart w:id="942" w:name="bookmark942"/>
      <w:bookmarkStart w:id="943" w:name="bookmark943"/>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42"/>
      <w:bookmarkEnd w:id="943"/>
      <w:bookmarkEnd w:id="94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825" w:val="left"/>
        </w:tabs>
        <w:bidi w:val="0"/>
        <w:spacing w:before="0" w:after="0" w:line="312" w:lineRule="exact"/>
        <w:ind w:left="0" w:right="0"/>
        <w:jc w:val="left"/>
      </w:pPr>
      <w:bookmarkStart w:id="948" w:name="bookmark948"/>
      <w:r>
        <w:rPr>
          <w:color w:val="000000"/>
          <w:spacing w:val="0"/>
          <w:w w:val="100"/>
          <w:position w:val="0"/>
          <w:sz w:val="18"/>
          <w:szCs w:val="18"/>
        </w:rPr>
        <w:t>（</w:t>
      </w:r>
      <w:bookmarkEnd w:id="948"/>
      <w:r>
        <w:rPr>
          <w:color w:val="000000"/>
          <w:spacing w:val="0"/>
          <w:w w:val="100"/>
          <w:position w:val="0"/>
          <w:sz w:val="18"/>
          <w:szCs w:val="18"/>
        </w:rPr>
        <w:t>1）</w:t>
        <w:tab/>
      </w:r>
      <w:r>
        <w:rPr>
          <w:color w:val="000000"/>
          <w:spacing w:val="0"/>
          <w:w w:val="100"/>
          <w:position w:val="0"/>
        </w:rPr>
        <w:t>销售商品收入的确认</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销售商品收入同时满足下列条件的，予以确认：</w:t>
      </w:r>
    </w:p>
    <w:p>
      <w:pPr>
        <w:pStyle w:val="Style29"/>
        <w:keepNext w:val="0"/>
        <w:keepLines w:val="0"/>
        <w:widowControl w:val="0"/>
        <w:numPr>
          <w:ilvl w:val="0"/>
          <w:numId w:val="49"/>
        </w:numPr>
        <w:shd w:val="clear" w:color="auto" w:fill="auto"/>
        <w:tabs>
          <w:tab w:pos="753" w:val="left"/>
        </w:tabs>
        <w:bidi w:val="0"/>
        <w:spacing w:before="0" w:after="0" w:line="312" w:lineRule="exact"/>
        <w:ind w:left="0" w:right="0"/>
        <w:jc w:val="left"/>
      </w:pPr>
      <w:bookmarkStart w:id="949" w:name="bookmark949"/>
      <w:bookmarkEnd w:id="949"/>
      <w:r>
        <w:rPr>
          <w:color w:val="000000"/>
          <w:spacing w:val="0"/>
          <w:w w:val="100"/>
          <w:position w:val="0"/>
        </w:rPr>
        <w:t>企业已将商品所有权上的主要风险和报酬转移给购货方；</w:t>
      </w:r>
    </w:p>
    <w:p>
      <w:pPr>
        <w:pStyle w:val="Style29"/>
        <w:keepNext w:val="0"/>
        <w:keepLines w:val="0"/>
        <w:widowControl w:val="0"/>
        <w:numPr>
          <w:ilvl w:val="0"/>
          <w:numId w:val="49"/>
        </w:numPr>
        <w:shd w:val="clear" w:color="auto" w:fill="auto"/>
        <w:tabs>
          <w:tab w:pos="753" w:val="left"/>
        </w:tabs>
        <w:bidi w:val="0"/>
        <w:spacing w:before="0" w:after="0" w:line="312" w:lineRule="exact"/>
        <w:ind w:left="0" w:right="0"/>
        <w:jc w:val="left"/>
      </w:pPr>
      <w:bookmarkStart w:id="950" w:name="bookmark950"/>
      <w:bookmarkEnd w:id="950"/>
      <w:r>
        <w:rPr>
          <w:color w:val="000000"/>
          <w:spacing w:val="0"/>
          <w:w w:val="100"/>
          <w:position w:val="0"/>
        </w:rPr>
        <w:t>企业既没有保留通常与所有权相联系的继续管理权，也没有对已售出的商品实施有效控制；</w:t>
      </w:r>
    </w:p>
    <w:p>
      <w:pPr>
        <w:pStyle w:val="Style29"/>
        <w:keepNext w:val="0"/>
        <w:keepLines w:val="0"/>
        <w:widowControl w:val="0"/>
        <w:numPr>
          <w:ilvl w:val="0"/>
          <w:numId w:val="49"/>
        </w:numPr>
        <w:shd w:val="clear" w:color="auto" w:fill="auto"/>
        <w:tabs>
          <w:tab w:pos="753" w:val="left"/>
        </w:tabs>
        <w:bidi w:val="0"/>
        <w:spacing w:before="0" w:after="0" w:line="312" w:lineRule="exact"/>
        <w:ind w:left="0" w:right="0"/>
        <w:jc w:val="left"/>
      </w:pPr>
      <w:bookmarkStart w:id="951" w:name="bookmark951"/>
      <w:bookmarkEnd w:id="951"/>
      <w:r>
        <w:rPr>
          <w:color w:val="000000"/>
          <w:spacing w:val="0"/>
          <w:w w:val="100"/>
          <w:position w:val="0"/>
        </w:rPr>
        <w:t>收入的金额能够可靠地计量；</w:t>
      </w:r>
    </w:p>
    <w:p>
      <w:pPr>
        <w:pStyle w:val="Style29"/>
        <w:keepNext w:val="0"/>
        <w:keepLines w:val="0"/>
        <w:widowControl w:val="0"/>
        <w:numPr>
          <w:ilvl w:val="0"/>
          <w:numId w:val="49"/>
        </w:numPr>
        <w:shd w:val="clear" w:color="auto" w:fill="auto"/>
        <w:tabs>
          <w:tab w:pos="753" w:val="left"/>
        </w:tabs>
        <w:bidi w:val="0"/>
        <w:spacing w:before="0" w:after="0" w:line="312" w:lineRule="exact"/>
        <w:ind w:left="0" w:right="0"/>
        <w:jc w:val="left"/>
      </w:pPr>
      <w:bookmarkStart w:id="952" w:name="bookmark952"/>
      <w:bookmarkEnd w:id="952"/>
      <w:r>
        <w:rPr>
          <w:color w:val="000000"/>
          <w:spacing w:val="0"/>
          <w:w w:val="100"/>
          <w:position w:val="0"/>
        </w:rPr>
        <w:t>相关的经济利益很可能流入企业；</w:t>
      </w:r>
    </w:p>
    <w:p>
      <w:pPr>
        <w:pStyle w:val="Style29"/>
        <w:keepNext w:val="0"/>
        <w:keepLines w:val="0"/>
        <w:widowControl w:val="0"/>
        <w:numPr>
          <w:ilvl w:val="0"/>
          <w:numId w:val="49"/>
        </w:numPr>
        <w:shd w:val="clear" w:color="auto" w:fill="auto"/>
        <w:tabs>
          <w:tab w:pos="753" w:val="left"/>
        </w:tabs>
        <w:bidi w:val="0"/>
        <w:spacing w:before="0" w:after="0" w:line="312" w:lineRule="exact"/>
        <w:ind w:left="0" w:right="0"/>
        <w:jc w:val="left"/>
      </w:pPr>
      <w:bookmarkStart w:id="953" w:name="bookmark953"/>
      <w:bookmarkEnd w:id="953"/>
      <w:r>
        <w:rPr>
          <w:color w:val="000000"/>
          <w:spacing w:val="0"/>
          <w:w w:val="100"/>
          <w:position w:val="0"/>
        </w:rPr>
        <w:t>相关的已发生或将发生的成本能够可靠地计量。</w:t>
      </w:r>
    </w:p>
    <w:p>
      <w:pPr>
        <w:pStyle w:val="Style29"/>
        <w:keepNext w:val="0"/>
        <w:keepLines w:val="0"/>
        <w:widowControl w:val="0"/>
        <w:shd w:val="clear" w:color="auto" w:fill="auto"/>
        <w:tabs>
          <w:tab w:pos="825" w:val="left"/>
        </w:tabs>
        <w:bidi w:val="0"/>
        <w:spacing w:before="0" w:after="0" w:line="312" w:lineRule="exact"/>
        <w:ind w:left="0" w:right="0"/>
        <w:jc w:val="left"/>
      </w:pPr>
      <w:bookmarkStart w:id="954" w:name="bookmark954"/>
      <w:r>
        <w:rPr>
          <w:color w:val="000000"/>
          <w:spacing w:val="0"/>
          <w:w w:val="100"/>
          <w:position w:val="0"/>
          <w:sz w:val="18"/>
          <w:szCs w:val="18"/>
        </w:rPr>
        <w:t>（</w:t>
      </w:r>
      <w:bookmarkEnd w:id="954"/>
      <w:r>
        <w:rPr>
          <w:color w:val="000000"/>
          <w:spacing w:val="0"/>
          <w:w w:val="100"/>
          <w:position w:val="0"/>
          <w:sz w:val="18"/>
          <w:szCs w:val="18"/>
        </w:rPr>
        <w:t>2）</w:t>
        <w:tab/>
      </w:r>
      <w:r>
        <w:rPr>
          <w:color w:val="000000"/>
          <w:spacing w:val="0"/>
          <w:w w:val="100"/>
          <w:position w:val="0"/>
        </w:rPr>
        <w:t>提供劳务收入的确认</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在资产负债表日提供劳务交易的结果能够可靠估计的，采用完工百分比法确认提供劳务收入。提供劳务交易的完工进度， 依据已经提供的劳务占应提供劳务总量的比例确定。</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在资产负债表日提供劳务交易结果不能够可靠估计的，分别下列情况处理：</w:t>
      </w:r>
    </w:p>
    <w:p>
      <w:pPr>
        <w:pStyle w:val="Style29"/>
        <w:keepNext w:val="0"/>
        <w:keepLines w:val="0"/>
        <w:widowControl w:val="0"/>
        <w:numPr>
          <w:ilvl w:val="0"/>
          <w:numId w:val="51"/>
        </w:numPr>
        <w:shd w:val="clear" w:color="auto" w:fill="auto"/>
        <w:tabs>
          <w:tab w:pos="728" w:val="left"/>
        </w:tabs>
        <w:bidi w:val="0"/>
        <w:spacing w:before="0" w:after="0" w:line="312" w:lineRule="exact"/>
        <w:ind w:left="0" w:right="0"/>
        <w:jc w:val="left"/>
      </w:pPr>
      <w:bookmarkStart w:id="955" w:name="bookmark955"/>
      <w:bookmarkEnd w:id="955"/>
      <w:r>
        <w:rPr>
          <w:color w:val="000000"/>
          <w:spacing w:val="0"/>
          <w:w w:val="100"/>
          <w:position w:val="0"/>
        </w:rPr>
        <w:t>已经发生的劳务成本预计能够得到补偿的，按照已经发生的劳务成本金额确认提供劳务收入，并按相同金额结转劳务 成本；</w:t>
      </w:r>
    </w:p>
    <w:p>
      <w:pPr>
        <w:pStyle w:val="Style29"/>
        <w:keepNext w:val="0"/>
        <w:keepLines w:val="0"/>
        <w:widowControl w:val="0"/>
        <w:numPr>
          <w:ilvl w:val="0"/>
          <w:numId w:val="51"/>
        </w:numPr>
        <w:shd w:val="clear" w:color="auto" w:fill="auto"/>
        <w:tabs>
          <w:tab w:pos="753" w:val="left"/>
        </w:tabs>
        <w:bidi w:val="0"/>
        <w:spacing w:before="0" w:after="0" w:line="312" w:lineRule="exact"/>
        <w:ind w:left="0" w:right="0"/>
        <w:jc w:val="left"/>
      </w:pPr>
      <w:bookmarkStart w:id="956" w:name="bookmark956"/>
      <w:bookmarkEnd w:id="956"/>
      <w:r>
        <w:rPr>
          <w:color w:val="000000"/>
          <w:spacing w:val="0"/>
          <w:w w:val="100"/>
          <w:position w:val="0"/>
        </w:rPr>
        <w:t>已经发生的劳务成本预计不能够得到补偿的，应当将已经发生的劳务成本计入当期损益，不确认提供劳务收入。</w:t>
      </w:r>
    </w:p>
    <w:p>
      <w:pPr>
        <w:pStyle w:val="Style29"/>
        <w:keepNext w:val="0"/>
        <w:keepLines w:val="0"/>
        <w:widowControl w:val="0"/>
        <w:shd w:val="clear" w:color="auto" w:fill="auto"/>
        <w:tabs>
          <w:tab w:pos="825" w:val="left"/>
        </w:tabs>
        <w:bidi w:val="0"/>
        <w:spacing w:before="0" w:after="0" w:line="312" w:lineRule="exact"/>
        <w:ind w:left="0" w:right="0"/>
        <w:jc w:val="both"/>
      </w:pPr>
      <w:bookmarkStart w:id="957" w:name="bookmark957"/>
      <w:r>
        <w:rPr>
          <w:color w:val="000000"/>
          <w:spacing w:val="0"/>
          <w:w w:val="100"/>
          <w:position w:val="0"/>
          <w:sz w:val="18"/>
          <w:szCs w:val="18"/>
        </w:rPr>
        <w:t>（</w:t>
      </w:r>
      <w:bookmarkEnd w:id="957"/>
      <w:r>
        <w:rPr>
          <w:color w:val="000000"/>
          <w:spacing w:val="0"/>
          <w:w w:val="100"/>
          <w:position w:val="0"/>
          <w:sz w:val="18"/>
          <w:szCs w:val="18"/>
        </w:rPr>
        <w:t>3）</w:t>
        <w:tab/>
      </w:r>
      <w:r>
        <w:rPr>
          <w:color w:val="000000"/>
          <w:spacing w:val="0"/>
          <w:w w:val="100"/>
          <w:position w:val="0"/>
        </w:rPr>
        <w:t>让渡资产使用权收入的确认</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让渡资产使用权收入包括利息收入、使用费收入等。让渡资产使用权收入同时满足下列条件的，才能予以确认：</w:t>
      </w:r>
    </w:p>
    <w:p>
      <w:pPr>
        <w:pStyle w:val="Style29"/>
        <w:keepNext w:val="0"/>
        <w:keepLines w:val="0"/>
        <w:widowControl w:val="0"/>
        <w:numPr>
          <w:ilvl w:val="0"/>
          <w:numId w:val="53"/>
        </w:numPr>
        <w:shd w:val="clear" w:color="auto" w:fill="auto"/>
        <w:tabs>
          <w:tab w:pos="753" w:val="left"/>
        </w:tabs>
        <w:bidi w:val="0"/>
        <w:spacing w:before="0" w:after="0" w:line="312" w:lineRule="exact"/>
        <w:ind w:left="0" w:right="0"/>
        <w:jc w:val="both"/>
      </w:pPr>
      <w:bookmarkStart w:id="958" w:name="bookmark958"/>
      <w:bookmarkEnd w:id="958"/>
      <w:r>
        <w:rPr>
          <w:color w:val="000000"/>
          <w:spacing w:val="0"/>
          <w:w w:val="100"/>
          <w:position w:val="0"/>
        </w:rPr>
        <w:t>相关的经济利益很可能流入企业；</w:t>
      </w:r>
    </w:p>
    <w:p>
      <w:pPr>
        <w:pStyle w:val="Style29"/>
        <w:keepNext w:val="0"/>
        <w:keepLines w:val="0"/>
        <w:widowControl w:val="0"/>
        <w:numPr>
          <w:ilvl w:val="0"/>
          <w:numId w:val="53"/>
        </w:numPr>
        <w:shd w:val="clear" w:color="auto" w:fill="auto"/>
        <w:tabs>
          <w:tab w:pos="753" w:val="left"/>
        </w:tabs>
        <w:bidi w:val="0"/>
        <w:spacing w:before="0" w:after="0" w:line="312" w:lineRule="exact"/>
        <w:ind w:left="0" w:right="0"/>
        <w:jc w:val="both"/>
      </w:pPr>
      <w:bookmarkStart w:id="959" w:name="bookmark959"/>
      <w:bookmarkEnd w:id="959"/>
      <w:r>
        <w:rPr>
          <w:color w:val="000000"/>
          <w:spacing w:val="0"/>
          <w:w w:val="100"/>
          <w:position w:val="0"/>
        </w:rPr>
        <w:t>收入的金额能够可靠地计量。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公司分别下列情况确定让渡资产使用权收入金额：</w:t>
      </w:r>
    </w:p>
    <w:p>
      <w:pPr>
        <w:pStyle w:val="Style29"/>
        <w:keepNext w:val="0"/>
        <w:keepLines w:val="0"/>
        <w:widowControl w:val="0"/>
        <w:numPr>
          <w:ilvl w:val="0"/>
          <w:numId w:val="55"/>
        </w:numPr>
        <w:shd w:val="clear" w:color="auto" w:fill="auto"/>
        <w:tabs>
          <w:tab w:pos="753" w:val="left"/>
        </w:tabs>
        <w:bidi w:val="0"/>
        <w:spacing w:before="0" w:after="0" w:line="312" w:lineRule="exact"/>
        <w:ind w:left="0" w:right="0"/>
        <w:jc w:val="both"/>
      </w:pPr>
      <w:bookmarkStart w:id="960" w:name="bookmark960"/>
      <w:bookmarkEnd w:id="960"/>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55"/>
        </w:numPr>
        <w:shd w:val="clear" w:color="auto" w:fill="auto"/>
        <w:tabs>
          <w:tab w:pos="753" w:val="left"/>
        </w:tabs>
        <w:bidi w:val="0"/>
        <w:spacing w:before="0" w:after="0" w:line="312" w:lineRule="exact"/>
        <w:ind w:left="0" w:right="0"/>
        <w:jc w:val="both"/>
      </w:pPr>
      <w:bookmarkStart w:id="961" w:name="bookmark961"/>
      <w:bookmarkEnd w:id="961"/>
      <w:r>
        <w:rPr>
          <w:color w:val="000000"/>
          <w:spacing w:val="0"/>
          <w:w w:val="100"/>
          <w:position w:val="0"/>
        </w:rPr>
        <w:t>使用费收入金额，按照有关合同或协议约定的收费时间和方法计算确定；</w:t>
      </w:r>
    </w:p>
    <w:p>
      <w:pPr>
        <w:pStyle w:val="Style29"/>
        <w:keepNext w:val="0"/>
        <w:keepLines w:val="0"/>
        <w:widowControl w:val="0"/>
        <w:numPr>
          <w:ilvl w:val="0"/>
          <w:numId w:val="55"/>
        </w:numPr>
        <w:shd w:val="clear" w:color="auto" w:fill="auto"/>
        <w:tabs>
          <w:tab w:pos="753" w:val="left"/>
        </w:tabs>
        <w:bidi w:val="0"/>
        <w:spacing w:before="0" w:after="0" w:line="312" w:lineRule="exact"/>
        <w:ind w:left="0" w:right="0"/>
        <w:jc w:val="both"/>
      </w:pPr>
      <w:bookmarkStart w:id="962" w:name="bookmark962"/>
      <w:bookmarkEnd w:id="962"/>
      <w:r>
        <w:rPr>
          <w:color w:val="000000"/>
          <w:spacing w:val="0"/>
          <w:w w:val="100"/>
          <w:position w:val="0"/>
        </w:rPr>
        <w:t>房屋租赁收入，按照租赁合同或协议约定的租赁期间及租赁额确认。</w:t>
      </w:r>
    </w:p>
    <w:p>
      <w:pPr>
        <w:pStyle w:val="Style29"/>
        <w:keepNext w:val="0"/>
        <w:keepLines w:val="0"/>
        <w:widowControl w:val="0"/>
        <w:shd w:val="clear" w:color="auto" w:fill="auto"/>
        <w:tabs>
          <w:tab w:pos="825" w:val="left"/>
        </w:tabs>
        <w:bidi w:val="0"/>
        <w:spacing w:before="0" w:after="0" w:line="312" w:lineRule="exact"/>
        <w:ind w:left="0" w:right="0"/>
        <w:jc w:val="both"/>
      </w:pPr>
      <w:bookmarkStart w:id="963" w:name="bookmark963"/>
      <w:r>
        <w:rPr>
          <w:color w:val="000000"/>
          <w:spacing w:val="0"/>
          <w:w w:val="100"/>
          <w:position w:val="0"/>
          <w:sz w:val="18"/>
          <w:szCs w:val="18"/>
        </w:rPr>
        <w:t>（</w:t>
      </w:r>
      <w:bookmarkEnd w:id="963"/>
      <w:r>
        <w:rPr>
          <w:color w:val="000000"/>
          <w:spacing w:val="0"/>
          <w:w w:val="100"/>
          <w:position w:val="0"/>
          <w:sz w:val="18"/>
          <w:szCs w:val="18"/>
        </w:rPr>
        <w:t>4）</w:t>
        <w:tab/>
      </w:r>
      <w:r>
        <w:rPr>
          <w:color w:val="000000"/>
          <w:spacing w:val="0"/>
          <w:w w:val="100"/>
          <w:position w:val="0"/>
        </w:rPr>
        <w:t>公司的收入类型及具体确认原则。</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本公司销售商品收入包括电力行业产品（电力设备类）销售。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电力行业产品（电力设备类）销售确认方式：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①国内销售：</w:t>
      </w:r>
    </w:p>
    <w:p>
      <w:pPr>
        <w:pStyle w:val="Style29"/>
        <w:keepNext w:val="0"/>
        <w:keepLines w:val="0"/>
        <w:widowControl w:val="0"/>
        <w:shd w:val="clear" w:color="auto" w:fill="auto"/>
        <w:tabs>
          <w:tab w:pos="718" w:val="left"/>
        </w:tabs>
        <w:bidi w:val="0"/>
        <w:spacing w:before="0" w:after="0" w:line="317" w:lineRule="exact"/>
        <w:ind w:left="0" w:right="0"/>
        <w:jc w:val="both"/>
      </w:pPr>
      <w:bookmarkStart w:id="964" w:name="bookmark964"/>
      <w:r>
        <w:rPr>
          <w:color w:val="000000"/>
          <w:spacing w:val="0"/>
          <w:w w:val="100"/>
          <w:position w:val="0"/>
          <w:sz w:val="18"/>
          <w:szCs w:val="18"/>
        </w:rPr>
        <w:t>1</w:t>
      </w:r>
      <w:bookmarkEnd w:id="964"/>
      <w:r>
        <w:rPr>
          <w:color w:val="000000"/>
          <w:spacing w:val="0"/>
          <w:w w:val="100"/>
          <w:position w:val="0"/>
          <w:sz w:val="18"/>
          <w:szCs w:val="18"/>
        </w:rPr>
        <w:t>）</w:t>
        <w:tab/>
      </w:r>
      <w:r>
        <w:rPr>
          <w:color w:val="000000"/>
          <w:spacing w:val="0"/>
          <w:w w:val="100"/>
          <w:position w:val="0"/>
        </w:rPr>
        <w:t>非工程项目类：合同商品已移交给客户，客户验收合格后，与本公司确认商品数量及结算金额，本公司获得收取货 款权利后确认收入实现。</w:t>
      </w:r>
    </w:p>
    <w:p>
      <w:pPr>
        <w:pStyle w:val="Style29"/>
        <w:keepNext w:val="0"/>
        <w:keepLines w:val="0"/>
        <w:widowControl w:val="0"/>
        <w:shd w:val="clear" w:color="auto" w:fill="auto"/>
        <w:tabs>
          <w:tab w:pos="718" w:val="left"/>
        </w:tabs>
        <w:bidi w:val="0"/>
        <w:spacing w:before="0" w:after="0" w:line="317" w:lineRule="exact"/>
        <w:ind w:left="0" w:right="0"/>
        <w:jc w:val="both"/>
      </w:pPr>
      <w:bookmarkStart w:id="965" w:name="bookmark965"/>
      <w:r>
        <w:rPr>
          <w:color w:val="000000"/>
          <w:spacing w:val="0"/>
          <w:w w:val="100"/>
          <w:position w:val="0"/>
          <w:sz w:val="18"/>
          <w:szCs w:val="18"/>
        </w:rPr>
        <w:t>2</w:t>
      </w:r>
      <w:bookmarkEnd w:id="965"/>
      <w:r>
        <w:rPr>
          <w:color w:val="000000"/>
          <w:spacing w:val="0"/>
          <w:w w:val="100"/>
          <w:position w:val="0"/>
          <w:sz w:val="18"/>
          <w:szCs w:val="18"/>
        </w:rPr>
        <w:t>）</w:t>
        <w:tab/>
      </w:r>
      <w:r>
        <w:rPr>
          <w:color w:val="000000"/>
          <w:spacing w:val="0"/>
          <w:w w:val="100"/>
          <w:position w:val="0"/>
        </w:rPr>
        <w:t>工程项目类：合同商品已移交给购买方施工单位并进行安装调试后，与本公司确认商品数量及结算金额，本公司获 得收取货款权利后确认收入实现。</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②国外销售：以出口报关时间为销售收入的确认时间。</w:t>
      </w:r>
    </w:p>
    <w:p>
      <w:pPr>
        <w:pStyle w:val="Style33"/>
        <w:keepNext/>
        <w:keepLines/>
        <w:widowControl w:val="0"/>
        <w:shd w:val="clear" w:color="auto" w:fill="auto"/>
        <w:tabs>
          <w:tab w:pos="512" w:val="left"/>
        </w:tabs>
        <w:bidi w:val="0"/>
        <w:spacing w:before="0" w:after="3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66"/>
      <w:bookmarkEnd w:id="967"/>
      <w:bookmarkEnd w:id="969"/>
    </w:p>
    <w:p>
      <w:pPr>
        <w:pStyle w:val="Style33"/>
        <w:keepNext/>
        <w:keepLines/>
        <w:widowControl w:val="0"/>
        <w:shd w:val="clear" w:color="auto" w:fill="auto"/>
        <w:tabs>
          <w:tab w:pos="512" w:val="left"/>
        </w:tabs>
        <w:bidi w:val="0"/>
        <w:spacing w:before="0" w:after="260" w:line="240" w:lineRule="auto"/>
        <w:ind w:left="0" w:right="0" w:firstLine="0"/>
        <w:jc w:val="left"/>
      </w:pPr>
      <w:bookmarkStart w:id="966" w:name="bookmark966"/>
      <w:bookmarkStart w:id="967" w:name="bookmark967"/>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66"/>
      <w:bookmarkEnd w:id="967"/>
      <w:bookmarkEnd w:id="971"/>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与资产相关的政府补助，应当确认为递延收益，并在相关资产使用寿命内平均分配，计入当期损益。</w:t>
      </w:r>
    </w:p>
    <w:p>
      <w:pPr>
        <w:pStyle w:val="Style33"/>
        <w:keepNext/>
        <w:keepLines/>
        <w:widowControl w:val="0"/>
        <w:shd w:val="clear" w:color="auto" w:fill="auto"/>
        <w:tabs>
          <w:tab w:pos="512" w:val="left"/>
        </w:tabs>
        <w:bidi w:val="0"/>
        <w:spacing w:before="0" w:after="26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72"/>
      <w:bookmarkEnd w:id="973"/>
      <w:bookmarkEnd w:id="975"/>
    </w:p>
    <w:p>
      <w:pPr>
        <w:pStyle w:val="Style29"/>
        <w:keepNext w:val="0"/>
        <w:keepLines w:val="0"/>
        <w:widowControl w:val="0"/>
        <w:numPr>
          <w:ilvl w:val="0"/>
          <w:numId w:val="57"/>
        </w:numPr>
        <w:shd w:val="clear" w:color="auto" w:fill="auto"/>
        <w:tabs>
          <w:tab w:pos="753" w:val="left"/>
        </w:tabs>
        <w:bidi w:val="0"/>
        <w:spacing w:before="0" w:after="0" w:line="314" w:lineRule="exact"/>
        <w:ind w:left="0" w:right="0"/>
        <w:jc w:val="both"/>
      </w:pPr>
      <w:bookmarkStart w:id="976" w:name="bookmark976"/>
      <w:bookmarkEnd w:id="976"/>
      <w:r>
        <w:rPr>
          <w:color w:val="000000"/>
          <w:spacing w:val="0"/>
          <w:w w:val="100"/>
          <w:position w:val="0"/>
        </w:rPr>
        <w:t>用于补偿企业以后期间的相关费用或损失的，确认为递延收益，并在确认相关费用的期间，计入当期损益；</w:t>
      </w:r>
    </w:p>
    <w:p>
      <w:pPr>
        <w:pStyle w:val="Style29"/>
        <w:keepNext w:val="0"/>
        <w:keepLines w:val="0"/>
        <w:widowControl w:val="0"/>
        <w:numPr>
          <w:ilvl w:val="0"/>
          <w:numId w:val="57"/>
        </w:numPr>
        <w:shd w:val="clear" w:color="auto" w:fill="auto"/>
        <w:tabs>
          <w:tab w:pos="753" w:val="left"/>
        </w:tabs>
        <w:bidi w:val="0"/>
        <w:spacing w:before="0" w:after="380" w:line="314" w:lineRule="exact"/>
        <w:ind w:left="0" w:right="0"/>
        <w:jc w:val="both"/>
      </w:pPr>
      <w:bookmarkStart w:id="977" w:name="bookmark977"/>
      <w:bookmarkEnd w:id="977"/>
      <w:r>
        <w:rPr>
          <w:color w:val="000000"/>
          <w:spacing w:val="0"/>
          <w:w w:val="100"/>
          <w:position w:val="0"/>
        </w:rPr>
        <w:t>用于补偿企业已发生的相关费用或损失的，直接计入当期损益。</w:t>
      </w:r>
    </w:p>
    <w:p>
      <w:pPr>
        <w:pStyle w:val="Style33"/>
        <w:keepNext/>
        <w:keepLines/>
        <w:widowControl w:val="0"/>
        <w:shd w:val="clear" w:color="auto" w:fill="auto"/>
        <w:tabs>
          <w:tab w:pos="512" w:val="left"/>
        </w:tabs>
        <w:bidi w:val="0"/>
        <w:spacing w:before="0" w:after="26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8"/>
      <w:bookmarkEnd w:id="979"/>
      <w:bookmarkEnd w:id="981"/>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所得税采用资产负债表债务法进行核算。于资产负债表日，分析比较资产、负债的账面价值与其计税基础，两者之间存 在差异的，确认递延所得税资产、递延所得税负债及相应的递延所得税费用（或收益）。在计算确定当期所得税（即当期应交 所得税）以及递延所得税费用（或收益）的基础上，将两者之和确认为利润表中的所得税费用（或收益），但不包括直接计入所 有者权益的交易或事项的所得税影响。</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资产负债表日，对递延所得税资产的账面价值进行复核。如果未来期间很可能无法获得足够的应纳税所得额用以抵扣递 延所得税资产的利益，应当减记递延所得税资产的账面价值。</w:t>
      </w:r>
    </w:p>
    <w:p>
      <w:pPr>
        <w:pStyle w:val="Style33"/>
        <w:keepNext/>
        <w:keepLines/>
        <w:widowControl w:val="0"/>
        <w:shd w:val="clear" w:color="auto" w:fill="auto"/>
        <w:tabs>
          <w:tab w:pos="512" w:val="left"/>
        </w:tabs>
        <w:bidi w:val="0"/>
        <w:spacing w:before="0" w:after="3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82"/>
      <w:bookmarkEnd w:id="983"/>
      <w:bookmarkEnd w:id="985"/>
    </w:p>
    <w:p>
      <w:pPr>
        <w:pStyle w:val="Style33"/>
        <w:keepNext/>
        <w:keepLines/>
        <w:widowControl w:val="0"/>
        <w:shd w:val="clear" w:color="auto" w:fill="auto"/>
        <w:bidi w:val="0"/>
        <w:spacing w:before="0" w:after="260" w:line="240" w:lineRule="auto"/>
        <w:ind w:left="0" w:right="0" w:firstLine="0"/>
        <w:jc w:val="left"/>
      </w:pPr>
      <w:bookmarkStart w:id="982" w:name="bookmark982"/>
      <w:bookmarkStart w:id="983" w:name="bookmark983"/>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2"/>
      <w:bookmarkEnd w:id="983"/>
      <w:bookmarkEnd w:id="987"/>
    </w:p>
    <w:p>
      <w:pPr>
        <w:pStyle w:val="Style29"/>
        <w:keepNext w:val="0"/>
        <w:keepLines w:val="0"/>
        <w:widowControl w:val="0"/>
        <w:numPr>
          <w:ilvl w:val="0"/>
          <w:numId w:val="59"/>
        </w:numPr>
        <w:shd w:val="clear" w:color="auto" w:fill="auto"/>
        <w:tabs>
          <w:tab w:pos="753" w:val="left"/>
        </w:tabs>
        <w:bidi w:val="0"/>
        <w:spacing w:before="0" w:after="0" w:line="314" w:lineRule="exact"/>
        <w:ind w:left="0" w:right="0"/>
        <w:jc w:val="left"/>
      </w:pPr>
      <w:bookmarkStart w:id="988" w:name="bookmark988"/>
      <w:bookmarkEnd w:id="988"/>
      <w:r>
        <w:rPr>
          <w:color w:val="000000"/>
          <w:spacing w:val="0"/>
          <w:w w:val="100"/>
          <w:position w:val="0"/>
        </w:rPr>
        <w:t>本公司作为承租人对经营租赁的处理</w:t>
      </w:r>
    </w:p>
    <w:p>
      <w:pPr>
        <w:pStyle w:val="Style29"/>
        <w:keepNext w:val="0"/>
        <w:keepLines w:val="0"/>
        <w:widowControl w:val="0"/>
        <w:shd w:val="clear" w:color="auto" w:fill="auto"/>
        <w:tabs>
          <w:tab w:pos="705" w:val="left"/>
        </w:tabs>
        <w:bidi w:val="0"/>
        <w:spacing w:before="0" w:after="0" w:line="314" w:lineRule="exact"/>
        <w:ind w:left="0" w:right="0"/>
        <w:jc w:val="both"/>
      </w:pPr>
      <w:bookmarkStart w:id="989" w:name="bookmark989"/>
      <w:r>
        <w:rPr>
          <w:color w:val="000000"/>
          <w:spacing w:val="0"/>
          <w:w w:val="100"/>
          <w:position w:val="0"/>
          <w:sz w:val="18"/>
          <w:szCs w:val="18"/>
        </w:rPr>
        <w:t>1</w:t>
      </w:r>
      <w:bookmarkEnd w:id="989"/>
      <w:r>
        <w:rPr>
          <w:color w:val="000000"/>
          <w:spacing w:val="0"/>
          <w:w w:val="100"/>
          <w:position w:val="0"/>
          <w:sz w:val="18"/>
          <w:szCs w:val="18"/>
        </w:rPr>
        <w:t>）</w:t>
        <w:tab/>
      </w:r>
      <w:r>
        <w:rPr>
          <w:color w:val="000000"/>
          <w:spacing w:val="0"/>
          <w:w w:val="100"/>
          <w:position w:val="0"/>
        </w:rPr>
        <w:t>租金的处理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在经营租赁下需将支付或应付的租金计入相关资产成本或当期损益。</w:t>
      </w:r>
    </w:p>
    <w:p>
      <w:pPr>
        <w:pStyle w:val="Style29"/>
        <w:keepNext w:val="0"/>
        <w:keepLines w:val="0"/>
        <w:widowControl w:val="0"/>
        <w:shd w:val="clear" w:color="auto" w:fill="auto"/>
        <w:tabs>
          <w:tab w:pos="714" w:val="left"/>
        </w:tabs>
        <w:bidi w:val="0"/>
        <w:spacing w:before="0" w:after="0" w:line="314" w:lineRule="exact"/>
        <w:ind w:left="0" w:right="0"/>
        <w:jc w:val="both"/>
      </w:pPr>
      <w:bookmarkStart w:id="990" w:name="bookmark990"/>
      <w:r>
        <w:rPr>
          <w:color w:val="000000"/>
          <w:spacing w:val="0"/>
          <w:w w:val="100"/>
          <w:position w:val="0"/>
          <w:sz w:val="18"/>
          <w:szCs w:val="18"/>
        </w:rPr>
        <w:t>2</w:t>
      </w:r>
      <w:bookmarkEnd w:id="990"/>
      <w:r>
        <w:rPr>
          <w:color w:val="000000"/>
          <w:spacing w:val="0"/>
          <w:w w:val="100"/>
          <w:position w:val="0"/>
          <w:sz w:val="18"/>
          <w:szCs w:val="18"/>
        </w:rPr>
        <w:t>）</w:t>
        <w:tab/>
      </w:r>
      <w:r>
        <w:rPr>
          <w:color w:val="000000"/>
          <w:spacing w:val="0"/>
          <w:w w:val="100"/>
          <w:position w:val="0"/>
        </w:rPr>
        <w:t>初始直接费用的处理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对于承租人在经营租赁中发生的初始直接费用，计入当期损益。</w:t>
      </w:r>
    </w:p>
    <w:p>
      <w:pPr>
        <w:pStyle w:val="Style29"/>
        <w:keepNext w:val="0"/>
        <w:keepLines w:val="0"/>
        <w:widowControl w:val="0"/>
        <w:shd w:val="clear" w:color="auto" w:fill="auto"/>
        <w:tabs>
          <w:tab w:pos="714" w:val="left"/>
        </w:tabs>
        <w:bidi w:val="0"/>
        <w:spacing w:before="0" w:after="0" w:line="314" w:lineRule="exact"/>
        <w:ind w:left="0" w:right="0"/>
        <w:jc w:val="both"/>
      </w:pPr>
      <w:bookmarkStart w:id="991" w:name="bookmark991"/>
      <w:r>
        <w:rPr>
          <w:color w:val="000000"/>
          <w:spacing w:val="0"/>
          <w:w w:val="100"/>
          <w:position w:val="0"/>
          <w:sz w:val="18"/>
          <w:szCs w:val="18"/>
        </w:rPr>
        <w:t>3</w:t>
      </w:r>
      <w:bookmarkEnd w:id="991"/>
      <w:r>
        <w:rPr>
          <w:color w:val="000000"/>
          <w:spacing w:val="0"/>
          <w:w w:val="100"/>
          <w:position w:val="0"/>
          <w:sz w:val="18"/>
          <w:szCs w:val="18"/>
        </w:rPr>
        <w:t>）</w:t>
        <w:tab/>
      </w:r>
      <w:r>
        <w:rPr>
          <w:color w:val="000000"/>
          <w:spacing w:val="0"/>
          <w:w w:val="100"/>
          <w:position w:val="0"/>
        </w:rPr>
        <w:t>或有租金的处理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在经营租赁下，承租人对或有租金在实际发生时计入当期损益。</w:t>
      </w:r>
    </w:p>
    <w:p>
      <w:pPr>
        <w:pStyle w:val="Style29"/>
        <w:keepNext w:val="0"/>
        <w:keepLines w:val="0"/>
        <w:widowControl w:val="0"/>
        <w:shd w:val="clear" w:color="auto" w:fill="auto"/>
        <w:tabs>
          <w:tab w:pos="719" w:val="left"/>
        </w:tabs>
        <w:bidi w:val="0"/>
        <w:spacing w:before="0" w:after="0" w:line="314" w:lineRule="exact"/>
        <w:ind w:left="0" w:right="0"/>
        <w:jc w:val="both"/>
      </w:pPr>
      <w:bookmarkStart w:id="992" w:name="bookmark992"/>
      <w:r>
        <w:rPr>
          <w:color w:val="000000"/>
          <w:spacing w:val="0"/>
          <w:w w:val="100"/>
          <w:position w:val="0"/>
          <w:sz w:val="18"/>
          <w:szCs w:val="18"/>
        </w:rPr>
        <w:t>4</w:t>
      </w:r>
      <w:bookmarkEnd w:id="992"/>
      <w:r>
        <w:rPr>
          <w:color w:val="000000"/>
          <w:spacing w:val="0"/>
          <w:w w:val="100"/>
          <w:position w:val="0"/>
          <w:sz w:val="18"/>
          <w:szCs w:val="18"/>
        </w:rPr>
        <w:t>）</w:t>
        <w:tab/>
      </w:r>
      <w:r>
        <w:rPr>
          <w:color w:val="000000"/>
          <w:spacing w:val="0"/>
          <w:w w:val="100"/>
          <w:position w:val="0"/>
        </w:rPr>
        <w:t>出租人提供激励措施的处理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出租人提供免租期的，承租人应将租金总额在不扣除免租期的整个租赁期内，按直线法或其他合理的方法进行分摊，免 租期内应当确认租金费用及相应的负债。出租人承担了承租人某些费用的，承租人将该费用从租金费用总额中扣除，按扣除 后的租金费用余额在租赁期内进行分摊。</w:t>
      </w:r>
    </w:p>
    <w:p>
      <w:pPr>
        <w:pStyle w:val="Style29"/>
        <w:keepNext w:val="0"/>
        <w:keepLines w:val="0"/>
        <w:widowControl w:val="0"/>
        <w:numPr>
          <w:ilvl w:val="0"/>
          <w:numId w:val="59"/>
        </w:numPr>
        <w:shd w:val="clear" w:color="auto" w:fill="auto"/>
        <w:tabs>
          <w:tab w:pos="753" w:val="left"/>
        </w:tabs>
        <w:bidi w:val="0"/>
        <w:spacing w:before="0" w:after="0" w:line="314" w:lineRule="exact"/>
        <w:ind w:left="0" w:right="0"/>
        <w:jc w:val="both"/>
      </w:pPr>
      <w:bookmarkStart w:id="993" w:name="bookmark993"/>
      <w:bookmarkEnd w:id="993"/>
      <w:r>
        <w:rPr>
          <w:color w:val="000000"/>
          <w:spacing w:val="0"/>
          <w:w w:val="100"/>
          <w:position w:val="0"/>
        </w:rPr>
        <w:t>本公司作为出租人对经营租赁的处理</w:t>
      </w:r>
    </w:p>
    <w:p>
      <w:pPr>
        <w:pStyle w:val="Style29"/>
        <w:keepNext w:val="0"/>
        <w:keepLines w:val="0"/>
        <w:widowControl w:val="0"/>
        <w:shd w:val="clear" w:color="auto" w:fill="auto"/>
        <w:tabs>
          <w:tab w:pos="705" w:val="left"/>
        </w:tabs>
        <w:bidi w:val="0"/>
        <w:spacing w:before="0" w:after="0" w:line="314" w:lineRule="exact"/>
        <w:ind w:left="0" w:right="0"/>
        <w:jc w:val="both"/>
      </w:pPr>
      <w:bookmarkStart w:id="994" w:name="bookmark994"/>
      <w:r>
        <w:rPr>
          <w:color w:val="000000"/>
          <w:spacing w:val="0"/>
          <w:w w:val="100"/>
          <w:position w:val="0"/>
          <w:sz w:val="18"/>
          <w:szCs w:val="18"/>
        </w:rPr>
        <w:t>1</w:t>
      </w:r>
      <w:bookmarkEnd w:id="994"/>
      <w:r>
        <w:rPr>
          <w:color w:val="000000"/>
          <w:spacing w:val="0"/>
          <w:w w:val="100"/>
          <w:position w:val="0"/>
          <w:sz w:val="18"/>
          <w:szCs w:val="18"/>
        </w:rPr>
        <w:t>）</w:t>
        <w:tab/>
      </w:r>
      <w:r>
        <w:rPr>
          <w:color w:val="000000"/>
          <w:spacing w:val="0"/>
          <w:w w:val="100"/>
          <w:position w:val="0"/>
        </w:rPr>
        <w:t>租金的处理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出租人应采用直线法将收到的租金在租赁期内确认为收益。</w:t>
      </w:r>
    </w:p>
    <w:p>
      <w:pPr>
        <w:pStyle w:val="Style29"/>
        <w:keepNext w:val="0"/>
        <w:keepLines w:val="0"/>
        <w:widowControl w:val="0"/>
        <w:shd w:val="clear" w:color="auto" w:fill="auto"/>
        <w:tabs>
          <w:tab w:pos="714" w:val="left"/>
        </w:tabs>
        <w:bidi w:val="0"/>
        <w:spacing w:before="0" w:after="320" w:line="314" w:lineRule="exact"/>
        <w:ind w:left="0" w:right="0"/>
        <w:jc w:val="both"/>
      </w:pPr>
      <w:bookmarkStart w:id="995" w:name="bookmark995"/>
      <w:r>
        <w:rPr>
          <w:color w:val="000000"/>
          <w:spacing w:val="0"/>
          <w:w w:val="100"/>
          <w:position w:val="0"/>
          <w:sz w:val="18"/>
          <w:szCs w:val="18"/>
        </w:rPr>
        <w:t>2</w:t>
      </w:r>
      <w:bookmarkEnd w:id="995"/>
      <w:r>
        <w:rPr>
          <w:color w:val="000000"/>
          <w:spacing w:val="0"/>
          <w:w w:val="100"/>
          <w:position w:val="0"/>
          <w:sz w:val="18"/>
          <w:szCs w:val="18"/>
        </w:rPr>
        <w:t>）</w:t>
        <w:tab/>
      </w:r>
      <w:r>
        <w:rPr>
          <w:color w:val="000000"/>
          <w:spacing w:val="0"/>
          <w:w w:val="100"/>
          <w:position w:val="0"/>
        </w:rPr>
        <w:t>初始直接费用的处理</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经营租赁中出租人发生的初始直接费用，是指在租赁谈判和签订租赁合同的过程中发生的可归属于租赁项目的手续费、 律师费、差旅费、印花税等，计入当期损益。金额较大的应当资本化，在整个经营租赁期内按照与确认租金收入相同的基础 分期计入当期损益。</w:t>
      </w:r>
    </w:p>
    <w:p>
      <w:pPr>
        <w:pStyle w:val="Style29"/>
        <w:keepNext w:val="0"/>
        <w:keepLines w:val="0"/>
        <w:widowControl w:val="0"/>
        <w:shd w:val="clear" w:color="auto" w:fill="auto"/>
        <w:tabs>
          <w:tab w:pos="714" w:val="left"/>
        </w:tabs>
        <w:bidi w:val="0"/>
        <w:spacing w:before="0" w:after="0" w:line="311" w:lineRule="exact"/>
        <w:ind w:left="0" w:right="0"/>
        <w:jc w:val="left"/>
      </w:pPr>
      <w:bookmarkStart w:id="996" w:name="bookmark996"/>
      <w:r>
        <w:rPr>
          <w:color w:val="000000"/>
          <w:spacing w:val="0"/>
          <w:w w:val="100"/>
          <w:position w:val="0"/>
          <w:sz w:val="18"/>
          <w:szCs w:val="18"/>
        </w:rPr>
        <w:t>3</w:t>
      </w:r>
      <w:bookmarkEnd w:id="996"/>
      <w:r>
        <w:rPr>
          <w:color w:val="000000"/>
          <w:spacing w:val="0"/>
          <w:w w:val="100"/>
          <w:position w:val="0"/>
          <w:sz w:val="18"/>
          <w:szCs w:val="18"/>
        </w:rPr>
        <w:t>）</w:t>
        <w:tab/>
      </w:r>
      <w:r>
        <w:rPr>
          <w:color w:val="000000"/>
          <w:spacing w:val="0"/>
          <w:w w:val="100"/>
          <w:position w:val="0"/>
        </w:rPr>
        <w:t>租赁资产折旧的计提</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对于经营租赁资产中的固定资产，采用出租人对类似应折旧资产通常所采用的折旧政策计提折旧。</w:t>
      </w:r>
    </w:p>
    <w:p>
      <w:pPr>
        <w:pStyle w:val="Style29"/>
        <w:keepNext w:val="0"/>
        <w:keepLines w:val="0"/>
        <w:widowControl w:val="0"/>
        <w:shd w:val="clear" w:color="auto" w:fill="auto"/>
        <w:tabs>
          <w:tab w:pos="719" w:val="left"/>
        </w:tabs>
        <w:bidi w:val="0"/>
        <w:spacing w:before="0" w:after="0" w:line="311" w:lineRule="exact"/>
        <w:ind w:left="0" w:right="0"/>
        <w:jc w:val="left"/>
      </w:pPr>
      <w:bookmarkStart w:id="997" w:name="bookmark997"/>
      <w:r>
        <w:rPr>
          <w:color w:val="000000"/>
          <w:spacing w:val="0"/>
          <w:w w:val="100"/>
          <w:position w:val="0"/>
          <w:sz w:val="18"/>
          <w:szCs w:val="18"/>
        </w:rPr>
        <w:t>4</w:t>
      </w:r>
      <w:bookmarkEnd w:id="997"/>
      <w:r>
        <w:rPr>
          <w:color w:val="000000"/>
          <w:spacing w:val="0"/>
          <w:w w:val="100"/>
          <w:position w:val="0"/>
          <w:sz w:val="18"/>
          <w:szCs w:val="18"/>
        </w:rPr>
        <w:t>）</w:t>
        <w:tab/>
      </w:r>
      <w:r>
        <w:rPr>
          <w:color w:val="000000"/>
          <w:spacing w:val="0"/>
          <w:w w:val="100"/>
          <w:position w:val="0"/>
        </w:rPr>
        <w:t>或有租金的处理</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在实际发生时计入当期收益。</w:t>
      </w:r>
    </w:p>
    <w:p>
      <w:pPr>
        <w:pStyle w:val="Style29"/>
        <w:keepNext w:val="0"/>
        <w:keepLines w:val="0"/>
        <w:widowControl w:val="0"/>
        <w:shd w:val="clear" w:color="auto" w:fill="auto"/>
        <w:tabs>
          <w:tab w:pos="719" w:val="left"/>
        </w:tabs>
        <w:bidi w:val="0"/>
        <w:spacing w:before="0" w:after="0" w:line="311" w:lineRule="exact"/>
        <w:ind w:left="0" w:right="0"/>
        <w:jc w:val="left"/>
      </w:pPr>
      <w:bookmarkStart w:id="998" w:name="bookmark998"/>
      <w:r>
        <w:rPr>
          <w:color w:val="000000"/>
          <w:spacing w:val="0"/>
          <w:w w:val="100"/>
          <w:position w:val="0"/>
          <w:sz w:val="18"/>
          <w:szCs w:val="18"/>
        </w:rPr>
        <w:t>5</w:t>
      </w:r>
      <w:bookmarkEnd w:id="998"/>
      <w:r>
        <w:rPr>
          <w:color w:val="000000"/>
          <w:spacing w:val="0"/>
          <w:w w:val="100"/>
          <w:position w:val="0"/>
          <w:sz w:val="18"/>
          <w:szCs w:val="18"/>
        </w:rPr>
        <w:t>）</w:t>
        <w:tab/>
      </w:r>
      <w:r>
        <w:rPr>
          <w:color w:val="000000"/>
          <w:spacing w:val="0"/>
          <w:w w:val="100"/>
          <w:position w:val="0"/>
        </w:rPr>
        <w:t>出租人对经营租赁提供激励措施的处理</w:t>
      </w:r>
    </w:p>
    <w:p>
      <w:pPr>
        <w:pStyle w:val="Style29"/>
        <w:keepNext w:val="0"/>
        <w:keepLines w:val="0"/>
        <w:widowControl w:val="0"/>
        <w:shd w:val="clear" w:color="auto" w:fill="auto"/>
        <w:bidi w:val="0"/>
        <w:spacing w:before="0" w:after="380" w:line="311" w:lineRule="exact"/>
        <w:ind w:left="0" w:right="0"/>
        <w:jc w:val="left"/>
      </w:pPr>
      <w:r>
        <w:rPr>
          <w:color w:val="000000"/>
          <w:spacing w:val="0"/>
          <w:w w:val="100"/>
          <w:position w:val="0"/>
        </w:rPr>
        <w:t>出租人提供免租期的，出租人将租金总额在不扣除免租期的整个租赁期内，按直线法或其他合理的方法进行分配，免租 期内出租人确认租金收入。出租人承担了承租人某些费用的，出租人将该费用自租金收入总额中扣除，按扣除后的租金收入 余额在租赁期内进行分配。</w:t>
      </w:r>
    </w:p>
    <w:p>
      <w:pPr>
        <w:pStyle w:val="Style54"/>
        <w:keepNext w:val="0"/>
        <w:keepLines w:val="0"/>
        <w:widowControl w:val="0"/>
        <w:shd w:val="clear" w:color="auto" w:fill="auto"/>
        <w:bidi w:val="0"/>
        <w:spacing w:before="0" w:after="380" w:line="240" w:lineRule="auto"/>
        <w:ind w:left="0" w:right="0" w:firstLine="0"/>
        <w:jc w:val="left"/>
        <w:rPr>
          <w:sz w:val="20"/>
          <w:szCs w:val="20"/>
        </w:rPr>
      </w:pPr>
      <w:bookmarkStart w:id="999" w:name="bookmark999"/>
      <w:r>
        <w:rPr>
          <w:b/>
          <w:bCs/>
          <w:i w:val="0"/>
          <w:iCs w:val="0"/>
          <w:color w:val="000000"/>
          <w:spacing w:val="0"/>
          <w:w w:val="100"/>
          <w:position w:val="0"/>
          <w:sz w:val="20"/>
          <w:szCs w:val="20"/>
        </w:rPr>
        <w:t>（</w:t>
      </w:r>
      <w:bookmarkEnd w:id="999"/>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）融资租赁的会计处理方法：无。</w:t>
      </w:r>
    </w:p>
    <w:p>
      <w:pPr>
        <w:pStyle w:val="Style54"/>
        <w:keepNext w:val="0"/>
        <w:keepLines w:val="0"/>
        <w:widowControl w:val="0"/>
        <w:shd w:val="clear" w:color="auto" w:fill="auto"/>
        <w:tabs>
          <w:tab w:pos="504" w:val="left"/>
        </w:tabs>
        <w:bidi w:val="0"/>
        <w:spacing w:before="0" w:after="380" w:line="240" w:lineRule="auto"/>
        <w:ind w:left="0" w:right="0" w:firstLine="0"/>
        <w:jc w:val="left"/>
        <w:rPr>
          <w:sz w:val="20"/>
          <w:szCs w:val="20"/>
        </w:rPr>
      </w:pPr>
      <w:bookmarkStart w:id="1000" w:name="bookmark1000"/>
      <w:r>
        <w:rPr>
          <w:rFonts w:ascii="Times New Roman" w:eastAsia="Times New Roman" w:hAnsi="Times New Roman" w:cs="Times New Roman"/>
          <w:b/>
          <w:bCs/>
          <w:i w:val="0"/>
          <w:iCs w:val="0"/>
          <w:color w:val="000000"/>
          <w:spacing w:val="0"/>
          <w:w w:val="100"/>
          <w:position w:val="0"/>
          <w:sz w:val="20"/>
          <w:szCs w:val="20"/>
        </w:rPr>
        <w:t>3</w:t>
      </w:r>
      <w:bookmarkEnd w:id="100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其他重要的会计政策和会计估计：无。</w:t>
      </w:r>
    </w:p>
    <w:p>
      <w:pPr>
        <w:pStyle w:val="Style54"/>
        <w:keepNext w:val="0"/>
        <w:keepLines w:val="0"/>
        <w:widowControl w:val="0"/>
        <w:shd w:val="clear" w:color="auto" w:fill="auto"/>
        <w:tabs>
          <w:tab w:pos="504" w:val="left"/>
        </w:tabs>
        <w:bidi w:val="0"/>
        <w:spacing w:before="0" w:after="380" w:line="240" w:lineRule="auto"/>
        <w:ind w:left="0" w:right="0" w:firstLine="0"/>
        <w:jc w:val="left"/>
        <w:rPr>
          <w:sz w:val="20"/>
          <w:szCs w:val="20"/>
        </w:rPr>
      </w:pPr>
      <w:bookmarkStart w:id="1001" w:name="bookmark1001"/>
      <w:r>
        <w:rPr>
          <w:rFonts w:ascii="Times New Roman" w:eastAsia="Times New Roman" w:hAnsi="Times New Roman" w:cs="Times New Roman"/>
          <w:b/>
          <w:bCs/>
          <w:i w:val="0"/>
          <w:iCs w:val="0"/>
          <w:color w:val="000000"/>
          <w:spacing w:val="0"/>
          <w:w w:val="100"/>
          <w:position w:val="0"/>
          <w:sz w:val="20"/>
          <w:szCs w:val="20"/>
        </w:rPr>
        <w:t>3</w:t>
      </w:r>
      <w:bookmarkEnd w:id="1001"/>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重要会计政策和会计估计变更</w:t>
      </w:r>
    </w:p>
    <w:p>
      <w:pPr>
        <w:pStyle w:val="Style54"/>
        <w:keepNext w:val="0"/>
        <w:keepLines w:val="0"/>
        <w:widowControl w:val="0"/>
        <w:shd w:val="clear" w:color="auto" w:fill="auto"/>
        <w:bidi w:val="0"/>
        <w:spacing w:before="0" w:after="380" w:line="240" w:lineRule="auto"/>
        <w:ind w:left="0" w:right="0" w:firstLine="0"/>
        <w:jc w:val="left"/>
        <w:rPr>
          <w:sz w:val="20"/>
          <w:szCs w:val="20"/>
        </w:rPr>
      </w:pPr>
      <w:bookmarkStart w:id="1002" w:name="bookmark1002"/>
      <w:r>
        <w:rPr>
          <w:b/>
          <w:bCs/>
          <w:i w:val="0"/>
          <w:iCs w:val="0"/>
          <w:color w:val="000000"/>
          <w:spacing w:val="0"/>
          <w:w w:val="100"/>
          <w:position w:val="0"/>
          <w:sz w:val="20"/>
          <w:szCs w:val="20"/>
        </w:rPr>
        <w:t>（</w:t>
      </w:r>
      <w:bookmarkEnd w:id="1002"/>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）重要会计政策变更</w:t>
      </w:r>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根据本公司第五届董事会第二十九次会 议决议，本公司自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日起对 投资性房地产由成本法进行后续计量转 换为采用公允价值模式进行后续计量。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经本公司第五届董事会第二十九次会议 决议批准。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为了更好、更客观地反映公司持有的投资 性房地产的真实价值，增强公司财务信息 的准确性。</w:t>
            </w:r>
          </w:p>
        </w:tc>
      </w:tr>
    </w:tbl>
    <w:p>
      <w:pPr>
        <w:pStyle w:val="Style27"/>
        <w:keepNext w:val="0"/>
        <w:keepLines w:val="0"/>
        <w:widowControl w:val="0"/>
        <w:shd w:val="clear" w:color="auto" w:fill="auto"/>
        <w:bidi w:val="0"/>
        <w:spacing w:before="0" w:after="0" w:line="240" w:lineRule="auto"/>
        <w:ind w:left="374" w:right="0" w:firstLine="0"/>
        <w:jc w:val="left"/>
      </w:pPr>
      <w:r>
        <w:rPr>
          <w:color w:val="000000"/>
          <w:spacing w:val="0"/>
          <w:w w:val="100"/>
          <w:position w:val="0"/>
        </w:rPr>
        <w:t>据企业会计准则规定，本次会计政策变更应当对财务报表进行追溯调整。追溯调整后对定期报告合并资产负债表及合并</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净利润的影响情况如下：</w:t>
      </w:r>
    </w:p>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日合并资产负债表及</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年度合并净利润的影响。</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064"/>
        <w:gridCol w:w="2064"/>
        <w:gridCol w:w="171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影响金额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10,552,368.08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55,487,500.00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44,935,131.92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11,606,791.19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10,744,704.38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-862,086.81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4,063,311.90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4,063,311.90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329,522,674.41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357,433,267.06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27,910,592.65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-88,736.08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12,010,404.48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12,099,140.56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1,160,617,682.91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1,200,627,416.12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40,009,733.21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137,875,211.36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137,030,089.16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-845,122.20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7,421,850.00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7,421,850.00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12,073,106.72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13,313,152.55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1,240,045.83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128,331,538.12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135,358,464.49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7,026,926.37</w:t>
            </w:r>
          </w:p>
        </w:tc>
      </w:tr>
    </w:tbl>
    <w:p>
      <w:pPr>
        <w:pStyle w:val="Style27"/>
        <w:keepNext w:val="0"/>
        <w:keepLines w:val="0"/>
        <w:widowControl w:val="0"/>
        <w:shd w:val="clear" w:color="auto" w:fill="auto"/>
        <w:bidi w:val="0"/>
        <w:spacing w:before="0" w:after="0" w:line="240" w:lineRule="auto"/>
        <w:ind w:left="360" w:right="0" w:firstLine="0"/>
        <w:jc w:val="left"/>
      </w:pPr>
      <w:r>
        <w:rPr>
          <w:color w:val="000000"/>
          <w:spacing w:val="0"/>
          <w:w w:val="100"/>
          <w:position w:val="0"/>
        </w:rPr>
        <w:t>除上述外，本期无其他会计政策、会计估计变更，无重大会计差错更正。</w:t>
      </w:r>
      <w:r>
        <w:br w:type="page"/>
      </w:r>
    </w:p>
    <w:p>
      <w:pPr>
        <w:pStyle w:val="Style33"/>
        <w:keepNext/>
        <w:keepLines/>
        <w:widowControl w:val="0"/>
        <w:shd w:val="clear" w:color="auto" w:fill="auto"/>
        <w:bidi w:val="0"/>
        <w:spacing w:before="0" w:after="380" w:line="240" w:lineRule="auto"/>
        <w:ind w:left="0" w:right="0" w:firstLine="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03"/>
      <w:bookmarkEnd w:id="1004"/>
      <w:bookmarkEnd w:id="100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、其他：无。</w:t>
      </w:r>
      <w:bookmarkEnd w:id="1007"/>
      <w:bookmarkEnd w:id="1008"/>
      <w:bookmarkEnd w:id="1010"/>
    </w:p>
    <w:p>
      <w:pPr>
        <w:pStyle w:val="Style33"/>
        <w:keepNext/>
        <w:keepLines/>
        <w:widowControl w:val="0"/>
        <w:shd w:val="clear" w:color="auto" w:fill="auto"/>
        <w:bidi w:val="0"/>
        <w:spacing w:before="0" w:after="380" w:line="240" w:lineRule="auto"/>
        <w:ind w:left="0" w:right="0" w:firstLine="0"/>
        <w:jc w:val="both"/>
      </w:pPr>
      <w:bookmarkStart w:id="1007" w:name="bookmark1007"/>
      <w:bookmarkStart w:id="1008" w:name="bookmark1008"/>
      <w:bookmarkStart w:id="1011" w:name="bookmark1011"/>
      <w:r>
        <w:rPr>
          <w:color w:val="000000"/>
          <w:spacing w:val="0"/>
          <w:w w:val="100"/>
          <w:position w:val="0"/>
        </w:rPr>
        <w:t>六、税项</w:t>
      </w:r>
      <w:bookmarkEnd w:id="1007"/>
      <w:bookmarkEnd w:id="1008"/>
      <w:bookmarkEnd w:id="1011"/>
    </w:p>
    <w:p>
      <w:pPr>
        <w:pStyle w:val="Style33"/>
        <w:keepNext/>
        <w:keepLines/>
        <w:widowControl w:val="0"/>
        <w:shd w:val="clear" w:color="auto" w:fill="auto"/>
        <w:bidi w:val="0"/>
        <w:spacing w:before="0" w:after="300" w:line="240" w:lineRule="auto"/>
        <w:ind w:left="0" w:right="0" w:firstLine="0"/>
        <w:jc w:val="both"/>
      </w:pPr>
      <w:bookmarkStart w:id="1007" w:name="bookmark1007"/>
      <w:bookmarkStart w:id="1008" w:name="bookmark1008"/>
      <w:bookmarkStart w:id="1012" w:name="bookmark1012"/>
      <w:bookmarkStart w:id="1013" w:name="bookmark1013"/>
      <w:r>
        <w:rPr>
          <w:rFonts w:ascii="Times New Roman" w:eastAsia="Times New Roman" w:hAnsi="Times New Roman" w:cs="Times New Roman"/>
          <w:color w:val="000000"/>
          <w:spacing w:val="0"/>
          <w:w w:val="100"/>
          <w:position w:val="0"/>
        </w:rPr>
        <w:t>1</w:t>
      </w:r>
      <w:bookmarkEnd w:id="1012"/>
      <w:r>
        <w:rPr>
          <w:color w:val="000000"/>
          <w:spacing w:val="0"/>
          <w:w w:val="100"/>
          <w:position w:val="0"/>
        </w:rPr>
        <w:t>、主要税种及税率</w:t>
      </w:r>
      <w:bookmarkEnd w:id="1007"/>
      <w:bookmarkEnd w:id="1008"/>
      <w:bookmarkEnd w:id="1013"/>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见下表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存在不同企业所得税税率纳税主体的，披露情况说明</w:t>
      </w:r>
    </w:p>
    <w:p>
      <w:pPr>
        <w:widowControl w:val="0"/>
        <w:spacing w:after="159" w:line="1" w:lineRule="exact"/>
      </w:pPr>
    </w:p>
    <w:tbl>
      <w:tblPr>
        <w:tblOverlap w:val="never"/>
        <w:jc w:val="center"/>
        <w:tblLayout w:type="fixed"/>
      </w:tblPr>
      <w:tblGrid>
        <w:gridCol w:w="4853"/>
        <w:gridCol w:w="48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喀什中汇联银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惠程智能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香港惠程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北京中汇联银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中行置盛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中融建银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豪琛投资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鹏胤投资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永耀惠程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color w:val="000000"/>
          <w:spacing w:val="0"/>
          <w:w w:val="100"/>
          <w:position w:val="0"/>
        </w:rPr>
        <w:t>、税收优惠</w:t>
      </w:r>
      <w:bookmarkEnd w:id="1014"/>
      <w:bookmarkEnd w:id="1015"/>
      <w:bookmarkEnd w:id="1017"/>
    </w:p>
    <w:p>
      <w:pPr>
        <w:pStyle w:val="Style29"/>
        <w:keepNext w:val="0"/>
        <w:keepLines w:val="0"/>
        <w:widowControl w:val="0"/>
        <w:shd w:val="clear" w:color="auto" w:fill="auto"/>
        <w:tabs>
          <w:tab w:pos="901" w:val="left"/>
        </w:tabs>
        <w:bidi w:val="0"/>
        <w:spacing w:before="0" w:after="0" w:line="312" w:lineRule="exact"/>
        <w:ind w:left="0" w:right="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日取得深圳市科技创新委员会、深圳市财政委员会、深圳市国家税务局和深圳市地方税务局 联合批准颁发的高新技术企业证书，证书编号</w:t>
      </w:r>
      <w:r>
        <w:rPr>
          <w:rFonts w:ascii="Times New Roman" w:eastAsia="Times New Roman" w:hAnsi="Times New Roman" w:cs="Times New Roman"/>
          <w:color w:val="000000"/>
          <w:spacing w:val="0"/>
          <w:w w:val="100"/>
          <w:position w:val="0"/>
          <w:sz w:val="18"/>
          <w:szCs w:val="18"/>
        </w:rPr>
        <w:t>GR201444200952</w:t>
      </w:r>
      <w:r>
        <w:rPr>
          <w:color w:val="000000"/>
          <w:spacing w:val="0"/>
          <w:w w:val="100"/>
          <w:position w:val="0"/>
        </w:rPr>
        <w:t>；根据高新技术企业所得税优惠政策，本公司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执行企业所得税率为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9"/>
        <w:keepNext w:val="0"/>
        <w:keepLines w:val="0"/>
        <w:widowControl w:val="0"/>
        <w:shd w:val="clear" w:color="auto" w:fill="auto"/>
        <w:tabs>
          <w:tab w:pos="445" w:val="left"/>
        </w:tabs>
        <w:bidi w:val="0"/>
        <w:spacing w:before="0" w:after="380" w:line="312" w:lineRule="exact"/>
        <w:ind w:left="0" w:right="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喀什中汇联银依据《关于新疆喀什霍尔果斯两个特殊经济开发区企业所得税优惠政策的通知》（财税【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号）和《关于公布新疆困难地区重点鼓励发展产业企业所得税优惠目录（试行）的通知》（财税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号）文件的规定， 《目录》范围内的企业，自取得第一笔生产经营收入所属纳税年度起，第一年至第五年免征企业所得税，免税期满后，再免 征企业五年所得税地方分享部分。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年度为第一年享受该项优惠政策。</w:t>
      </w:r>
    </w:p>
    <w:p>
      <w:pPr>
        <w:pStyle w:val="Style33"/>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color w:val="000000"/>
          <w:spacing w:val="0"/>
          <w:w w:val="100"/>
          <w:position w:val="0"/>
        </w:rPr>
        <w:t>、其他：无。</w:t>
      </w:r>
      <w:bookmarkEnd w:id="1020"/>
      <w:bookmarkEnd w:id="1021"/>
      <w:bookmarkEnd w:id="1023"/>
    </w:p>
    <w:p>
      <w:pPr>
        <w:pStyle w:val="Style33"/>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4" w:name="bookmark1024"/>
      <w:r>
        <w:rPr>
          <w:color w:val="000000"/>
          <w:spacing w:val="0"/>
          <w:w w:val="100"/>
          <w:position w:val="0"/>
        </w:rPr>
        <w:t>七、合并财务报表项目注释</w:t>
      </w:r>
      <w:bookmarkEnd w:id="1020"/>
      <w:bookmarkEnd w:id="1021"/>
      <w:bookmarkEnd w:id="1024"/>
    </w:p>
    <w:p>
      <w:pPr>
        <w:pStyle w:val="Style33"/>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5" w:name="bookmark102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0"/>
      <w:bookmarkEnd w:id="1021"/>
      <w:bookmarkEnd w:id="10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50,575,040.17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165,474,860.23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16,818,212.26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241,141,573.99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67,402,733.52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406,626,084.56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33,415.88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其中受到限制的货币资金明细如下: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8"/>
        <w:gridCol w:w="3072"/>
        <w:gridCol w:w="2597"/>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13,060,018.63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5,825,024.18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14,941.38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3,734,914.07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8,308,656.49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16,809,919.70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39,148,622.05</w:t>
            </w:r>
          </w:p>
        </w:tc>
      </w:tr>
    </w:tbl>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sz w:val="18"/>
          <w:szCs w:val="18"/>
        </w:rPr>
        <w:t>3,734,914.07</w:t>
      </w:r>
      <w:r>
        <w:rPr>
          <w:color w:val="000000"/>
          <w:spacing w:val="0"/>
          <w:w w:val="100"/>
          <w:position w:val="0"/>
        </w:rPr>
        <w:t>元为本公司向银行申请开具无条件、不可撤销的担保函所存 入的保证金存款。</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color w:val="000000"/>
          <w:spacing w:val="0"/>
          <w:w w:val="100"/>
          <w:position w:val="0"/>
        </w:rPr>
        <w:t>、以公允价值计量且其变动计入当期损益的金融资产</w:t>
      </w:r>
      <w:bookmarkEnd w:id="1026"/>
      <w:bookmarkEnd w:id="1027"/>
      <w:bookmarkEnd w:id="10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99,371,765.40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99,371,765.40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99,371,765.40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color w:val="000000"/>
          <w:spacing w:val="0"/>
          <w:w w:val="100"/>
          <w:position w:val="0"/>
        </w:rPr>
        <w:t>、衍生金融资产</w:t>
      </w:r>
      <w:bookmarkEnd w:id="1030"/>
      <w:bookmarkEnd w:id="1031"/>
      <w:bookmarkEnd w:id="103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color w:val="000000"/>
          <w:spacing w:val="0"/>
          <w:w w:val="100"/>
          <w:position w:val="0"/>
        </w:rPr>
        <w:t>、应收票据</w:t>
      </w:r>
      <w:bookmarkEnd w:id="1034"/>
      <w:bookmarkEnd w:id="1035"/>
      <w:bookmarkEnd w:id="1037"/>
    </w:p>
    <w:p>
      <w:pPr>
        <w:pStyle w:val="Style33"/>
        <w:keepNext/>
        <w:keepLines/>
        <w:widowControl w:val="0"/>
        <w:numPr>
          <w:ilvl w:val="0"/>
          <w:numId w:val="61"/>
        </w:numPr>
        <w:shd w:val="clear" w:color="auto" w:fill="auto"/>
        <w:bidi w:val="0"/>
        <w:spacing w:before="0" w:after="380" w:line="240" w:lineRule="auto"/>
        <w:ind w:left="0" w:right="0" w:firstLine="0"/>
        <w:jc w:val="left"/>
      </w:pPr>
      <w:bookmarkStart w:id="1034" w:name="bookmark1034"/>
      <w:bookmarkStart w:id="1035" w:name="bookmark1035"/>
      <w:bookmarkStart w:id="1038" w:name="bookmark1038"/>
      <w:bookmarkStart w:id="1039" w:name="bookmark1039"/>
      <w:bookmarkEnd w:id="1038"/>
      <w:r>
        <w:rPr>
          <w:color w:val="000000"/>
          <w:spacing w:val="0"/>
          <w:w w:val="100"/>
          <w:position w:val="0"/>
        </w:rPr>
        <w:t>应收票据分类列示</w:t>
      </w:r>
      <w:bookmarkEnd w:id="1034"/>
      <w:bookmarkEnd w:id="1035"/>
      <w:bookmarkEnd w:id="10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3,178,756.57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3,178,756.57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859,530.00</w:t>
            </w:r>
          </w:p>
        </w:tc>
      </w:tr>
    </w:tbl>
    <w:p>
      <w:pPr>
        <w:widowControl w:val="0"/>
        <w:spacing w:after="319" w:line="1" w:lineRule="exact"/>
      </w:pPr>
    </w:p>
    <w:p>
      <w:pPr>
        <w:pStyle w:val="Style33"/>
        <w:keepNext/>
        <w:keepLines/>
        <w:widowControl w:val="0"/>
        <w:numPr>
          <w:ilvl w:val="0"/>
          <w:numId w:val="61"/>
        </w:numPr>
        <w:shd w:val="clear" w:color="auto" w:fill="auto"/>
        <w:tabs>
          <w:tab w:pos="633" w:val="left"/>
        </w:tabs>
        <w:bidi w:val="0"/>
        <w:spacing w:before="0" w:after="380" w:line="240" w:lineRule="auto"/>
        <w:ind w:left="0" w:right="0" w:firstLine="14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期末公司已质押的应收票据：无。</w:t>
      </w:r>
      <w:bookmarkEnd w:id="1040"/>
      <w:bookmarkEnd w:id="1041"/>
      <w:bookmarkEnd w:id="1043"/>
    </w:p>
    <w:p>
      <w:pPr>
        <w:pStyle w:val="Style33"/>
        <w:keepNext/>
        <w:keepLines/>
        <w:widowControl w:val="0"/>
        <w:numPr>
          <w:ilvl w:val="0"/>
          <w:numId w:val="61"/>
        </w:numPr>
        <w:shd w:val="clear" w:color="auto" w:fill="auto"/>
        <w:tabs>
          <w:tab w:pos="633" w:val="left"/>
        </w:tabs>
        <w:bidi w:val="0"/>
        <w:spacing w:before="0" w:after="380" w:line="240" w:lineRule="auto"/>
        <w:ind w:left="0" w:right="0" w:firstLine="140"/>
        <w:jc w:val="left"/>
      </w:pPr>
      <w:bookmarkStart w:id="1040" w:name="bookmark1040"/>
      <w:bookmarkStart w:id="1041" w:name="bookmark1041"/>
      <w:bookmarkStart w:id="1044" w:name="bookmark1044"/>
      <w:bookmarkStart w:id="1045" w:name="bookmark1045"/>
      <w:bookmarkEnd w:id="1044"/>
      <w:r>
        <w:rPr>
          <w:color w:val="000000"/>
          <w:spacing w:val="0"/>
          <w:w w:val="100"/>
          <w:position w:val="0"/>
        </w:rPr>
        <w:t>期末公司已背书或贴现且在资产负债表日尚未到期的应收票据</w:t>
      </w:r>
      <w:bookmarkEnd w:id="1040"/>
      <w:bookmarkEnd w:id="1041"/>
      <w:bookmarkEnd w:id="10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3"/>
        <w:keepNext/>
        <w:keepLines/>
        <w:widowControl w:val="0"/>
        <w:numPr>
          <w:ilvl w:val="0"/>
          <w:numId w:val="61"/>
        </w:numPr>
        <w:shd w:val="clear" w:color="auto" w:fill="auto"/>
        <w:bidi w:val="0"/>
        <w:spacing w:before="0" w:after="380" w:line="240" w:lineRule="auto"/>
        <w:ind w:left="0" w:right="0" w:firstLine="140"/>
        <w:jc w:val="left"/>
        <w:sectPr>
          <w:headerReference w:type="default" r:id="rId29"/>
          <w:footerReference w:type="default" r:id="rId30"/>
          <w:footnotePr>
            <w:pos w:val="pageBottom"/>
            <w:numFmt w:val="decimal"/>
            <w:numRestart w:val="continuous"/>
          </w:footnotePr>
          <w:pgSz w:w="11900" w:h="16840"/>
          <w:pgMar w:top="1355" w:right="1029" w:bottom="1465" w:left="1084" w:header="0" w:footer="3" w:gutter="0"/>
          <w:cols w:space="720"/>
          <w:noEndnote/>
          <w:rtlGutter w:val="0"/>
          <w:docGrid w:linePitch="360"/>
        </w:sectPr>
      </w:pPr>
      <w:bookmarkStart w:id="1046" w:name="bookmark1046"/>
      <w:bookmarkStart w:id="1047" w:name="bookmark1047"/>
      <w:bookmarkStart w:id="1048" w:name="bookmark1048"/>
      <w:bookmarkStart w:id="1049" w:name="bookmark1049"/>
      <w:bookmarkEnd w:id="1048"/>
      <w:r>
        <w:rPr>
          <w:color w:val="000000"/>
          <w:spacing w:val="0"/>
          <w:w w:val="100"/>
          <w:position w:val="0"/>
        </w:rPr>
        <w:t>期末公司因出票人未履约而将其转应收账款的票据：无。</w:t>
      </w:r>
      <w:bookmarkEnd w:id="1046"/>
      <w:bookmarkEnd w:id="1047"/>
      <w:bookmarkEnd w:id="1049"/>
    </w:p>
    <w:p>
      <w:pPr>
        <w:pStyle w:val="Style33"/>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5</w:t>
      </w:r>
      <w:bookmarkEnd w:id="1052"/>
      <w:r>
        <w:rPr>
          <w:color w:val="000000"/>
          <w:spacing w:val="0"/>
          <w:w w:val="100"/>
          <w:position w:val="0"/>
        </w:rPr>
        <w:t>、应收账款</w:t>
      </w:r>
      <w:bookmarkEnd w:id="1050"/>
      <w:bookmarkEnd w:id="1051"/>
      <w:bookmarkEnd w:id="1053"/>
    </w:p>
    <w:p>
      <w:pPr>
        <w:pStyle w:val="Style33"/>
        <w:keepNext/>
        <w:keepLines/>
        <w:widowControl w:val="0"/>
        <w:numPr>
          <w:ilvl w:val="0"/>
          <w:numId w:val="63"/>
        </w:numPr>
        <w:shd w:val="clear" w:color="auto" w:fill="auto"/>
        <w:bidi w:val="0"/>
        <w:spacing w:before="0" w:line="240" w:lineRule="auto"/>
        <w:ind w:left="0" w:right="0" w:firstLine="140"/>
        <w:jc w:val="left"/>
      </w:pPr>
      <w:bookmarkStart w:id="1050" w:name="bookmark1050"/>
      <w:bookmarkStart w:id="1051" w:name="bookmark1051"/>
      <w:bookmarkStart w:id="1054" w:name="bookmark1054"/>
      <w:bookmarkStart w:id="1055" w:name="bookmark1055"/>
      <w:bookmarkEnd w:id="1054"/>
      <w:r>
        <w:rPr>
          <w:color w:val="000000"/>
          <w:spacing w:val="0"/>
          <w:w w:val="100"/>
          <w:position w:val="0"/>
        </w:rPr>
        <w:t>应收账款分类披露</w:t>
      </w:r>
      <w:bookmarkEnd w:id="1050"/>
      <w:bookmarkEnd w:id="1051"/>
      <w:bookmarkEnd w:id="1055"/>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366"/>
        <w:gridCol w:w="1181"/>
        <w:gridCol w:w="1075"/>
        <w:gridCol w:w="1094"/>
        <w:gridCol w:w="1066"/>
        <w:gridCol w:w="1176"/>
        <w:gridCol w:w="1181"/>
        <w:gridCol w:w="1080"/>
        <w:gridCol w:w="1301"/>
        <w:gridCol w:w="1176"/>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单项金额重大并单独计提坏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4,543,829.01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2,916,449.21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1,627,379.80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8,940,204.01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6,222,491.61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2,717,712.40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按信用风险特征组合计提坏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128,753,714.06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17,572,804.10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111,180,909.96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108,070,428.42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15,296,509.30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92,773,919.12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单项金额不重大但单独计提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6,433,130.73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4,152,847.44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2,280,283.29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7,915,365.50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6,074,664.35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1,840,701.15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139,730,673.80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24,642,100.75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115,088,573.05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124,925,997.93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27,593,665.26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97,332,332.67</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期末单项金额重大并单项计提坏账准备的应收账款:</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 元</w:t>
      </w:r>
    </w:p>
    <w:tbl>
      <w:tblPr>
        <w:tblOverlap w:val="never"/>
        <w:jc w:val="center"/>
        <w:tblLayout w:type="fixed"/>
      </w:tblPr>
      <w:tblGrid>
        <w:gridCol w:w="3014"/>
        <w:gridCol w:w="2602"/>
        <w:gridCol w:w="2362"/>
        <w:gridCol w:w="2410"/>
        <w:gridCol w:w="364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贵州电网有限责任公司贵阳供电局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1,181,274.00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催款困难，全部收回的可能性很小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贵州电网有限责任公司六盘水供电局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1,214,106.00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催款困难，全部收回的可能性很小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吉林省电科电气有限公司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2,148,449.01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1,718,759.21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催款困难，全部收回的可能性很小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4,543,829.01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2,916,449.21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31"/>
          <w:footerReference w:type="default" r:id="rId32"/>
          <w:footnotePr>
            <w:pos w:val="pageBottom"/>
            <w:numFmt w:val="decimal"/>
            <w:numRestart w:val="continuous"/>
          </w:footnotePr>
          <w:pgSz w:w="16840" w:h="11900" w:orient="landscape"/>
          <w:pgMar w:top="1158" w:right="1402" w:bottom="1363" w:left="1402"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4"/>
        <w:gridCol w:w="2424"/>
        <w:gridCol w:w="24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75,906,223.75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3,795,311.19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75,906,223.75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3,795,311.19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17,047,345.21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1,704,734.52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15,926,736.01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3,185,347.20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10,995,348.58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3,298,604.57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5,482,089.82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2,192,835.93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3,395,970.69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3,395,970.69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128,753,714.06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17,572,804.10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组合中，采用其他方法计提坏账准备的应收账款：无。</w:t>
      </w:r>
    </w:p>
    <w:p>
      <w:pPr>
        <w:pStyle w:val="Style33"/>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6"/>
      <w:bookmarkEnd w:id="1057"/>
      <w:bookmarkEnd w:id="105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4,870,557.58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168,930.00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贵州天毅企业有限责任公司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银行转账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168,930.00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60"/>
      <w:bookmarkEnd w:id="1061"/>
      <w:bookmarkEnd w:id="1063"/>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4858"/>
        <w:gridCol w:w="48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应收账款的核销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7,653,192.09</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850"/>
        <w:gridCol w:w="1277"/>
        <w:gridCol w:w="3826"/>
        <w:gridCol w:w="965"/>
        <w:gridCol w:w="162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应收账款 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2,978,384.00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债务人公司注销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831,861.00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超过</w:t>
            </w:r>
            <w:r>
              <w:rPr>
                <w:color w:val="000000"/>
                <w:spacing w:val="0"/>
                <w:w w:val="100"/>
                <w:position w:val="0"/>
                <w:sz w:val="18"/>
                <w:szCs w:val="18"/>
              </w:rPr>
              <w:t>5</w:t>
            </w:r>
            <w:r>
              <w:rPr>
                <w:rFonts w:ascii="SimSun" w:eastAsia="SimSun" w:hAnsi="SimSun" w:cs="SimSun"/>
                <w:color w:val="000000"/>
                <w:spacing w:val="0"/>
                <w:w w:val="100"/>
                <w:position w:val="0"/>
                <w:sz w:val="17"/>
                <w:szCs w:val="17"/>
              </w:rPr>
              <w:t>年，因产品质量问题与客户达成赔偿协议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债务人公司注销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超过</w:t>
            </w:r>
            <w:r>
              <w:rPr>
                <w:color w:val="000000"/>
                <w:spacing w:val="0"/>
                <w:w w:val="100"/>
                <w:position w:val="0"/>
                <w:sz w:val="18"/>
                <w:szCs w:val="18"/>
              </w:rPr>
              <w:t>5</w:t>
            </w:r>
            <w:r>
              <w:rPr>
                <w:rFonts w:ascii="SimSun" w:eastAsia="SimSun" w:hAnsi="SimSun" w:cs="SimSun"/>
                <w:color w:val="000000"/>
                <w:spacing w:val="0"/>
                <w:w w:val="100"/>
                <w:position w:val="0"/>
                <w:sz w:val="17"/>
                <w:szCs w:val="17"/>
              </w:rPr>
              <w:t>年，产品质量问题客户拒付款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369,794.00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败诉</w:t>
            </w:r>
            <w:r>
              <w:rPr>
                <w:color w:val="000000"/>
                <w:spacing w:val="0"/>
                <w:w w:val="100"/>
                <w:position w:val="0"/>
              </w:rPr>
              <w:t>（</w:t>
            </w:r>
            <w:r>
              <w:rPr>
                <w:rFonts w:ascii="SimSun" w:eastAsia="SimSun" w:hAnsi="SimSun" w:cs="SimSun"/>
                <w:color w:val="000000"/>
                <w:spacing w:val="0"/>
                <w:w w:val="100"/>
                <w:position w:val="0"/>
                <w:sz w:val="17"/>
                <w:szCs w:val="17"/>
              </w:rPr>
              <w:t>南通仲裁委员会调解书</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5,163,939.00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应收账款核销说明：无。</w:t>
      </w:r>
    </w:p>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140"/>
        <w:jc w:val="left"/>
        <w:rPr>
          <w:sz w:val="20"/>
          <w:szCs w:val="20"/>
        </w:rPr>
      </w:pPr>
      <w:bookmarkStart w:id="1064" w:name="bookmark1064"/>
      <w:r>
        <w:rPr>
          <w:rFonts w:ascii="Times New Roman" w:eastAsia="Times New Roman" w:hAnsi="Times New Roman" w:cs="Times New Roman"/>
          <w:b/>
          <w:bCs/>
          <w:i w:val="0"/>
          <w:iCs w:val="0"/>
          <w:color w:val="000000"/>
          <w:spacing w:val="0"/>
          <w:w w:val="100"/>
          <w:position w:val="0"/>
          <w:sz w:val="20"/>
          <w:szCs w:val="20"/>
        </w:rPr>
        <w:t>（</w:t>
      </w:r>
      <w:bookmarkEnd w:id="1064"/>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）按欠款方归集的期末余额前五名的应收账款情况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2794"/>
        <w:gridCol w:w="2352"/>
        <w:gridCol w:w="260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占总金额比例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13,329,280.41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1,544,444.87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13,112,030.17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655,601.51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7,626,349.00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1,618,160.90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7,118,707.54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631,506.68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4,514,557.68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1,747,205.76</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45,700,924.80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6,196,919.72</w:t>
            </w:r>
          </w:p>
        </w:tc>
      </w:tr>
    </w:tbl>
    <w:p>
      <w:pPr>
        <w:widowControl w:val="0"/>
        <w:spacing w:after="359" w:line="1" w:lineRule="exact"/>
      </w:pP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65" w:name="bookmark1065"/>
      <w:r>
        <w:rPr>
          <w:b/>
          <w:bCs/>
          <w:i w:val="0"/>
          <w:iCs w:val="0"/>
          <w:color w:val="000000"/>
          <w:spacing w:val="0"/>
          <w:w w:val="100"/>
          <w:position w:val="0"/>
          <w:sz w:val="20"/>
          <w:szCs w:val="20"/>
        </w:rPr>
        <w:t>（</w:t>
      </w:r>
      <w:bookmarkEnd w:id="1065"/>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因金融资产转移而终止确认的应收账款：无。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66" w:name="bookmark1066"/>
      <w:r>
        <w:rPr>
          <w:b/>
          <w:bCs/>
          <w:i w:val="0"/>
          <w:iCs w:val="0"/>
          <w:color w:val="000000"/>
          <w:spacing w:val="0"/>
          <w:w w:val="100"/>
          <w:position w:val="0"/>
          <w:sz w:val="20"/>
          <w:szCs w:val="20"/>
        </w:rPr>
        <w:t>（</w:t>
      </w:r>
      <w:bookmarkEnd w:id="1066"/>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转移应收账款且继续涉入形成的资产、负债金额：无。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67" w:name="bookmark1067"/>
      <w:r>
        <w:rPr>
          <w:rFonts w:ascii="Times New Roman" w:eastAsia="Times New Roman" w:hAnsi="Times New Roman" w:cs="Times New Roman"/>
          <w:b/>
          <w:bCs/>
          <w:i w:val="0"/>
          <w:iCs w:val="0"/>
          <w:color w:val="000000"/>
          <w:spacing w:val="0"/>
          <w:w w:val="100"/>
          <w:position w:val="0"/>
          <w:sz w:val="20"/>
          <w:szCs w:val="20"/>
        </w:rPr>
        <w:t>6</w:t>
      </w:r>
      <w:bookmarkEnd w:id="1067"/>
      <w:r>
        <w:rPr>
          <w:b/>
          <w:bCs/>
          <w:i w:val="0"/>
          <w:iCs w:val="0"/>
          <w:color w:val="000000"/>
          <w:spacing w:val="0"/>
          <w:w w:val="100"/>
          <w:position w:val="0"/>
          <w:sz w:val="20"/>
          <w:szCs w:val="20"/>
        </w:rPr>
        <w:t>、预付款项</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68" w:name="bookmark1068"/>
      <w:r>
        <w:rPr>
          <w:b/>
          <w:bCs/>
          <w:i w:val="0"/>
          <w:iCs w:val="0"/>
          <w:color w:val="000000"/>
          <w:spacing w:val="0"/>
          <w:w w:val="100"/>
          <w:position w:val="0"/>
          <w:sz w:val="20"/>
          <w:szCs w:val="20"/>
        </w:rPr>
        <w:t>（</w:t>
      </w:r>
      <w:bookmarkEnd w:id="1068"/>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）预付款项按账龄列示</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944"/>
        <w:gridCol w:w="1944"/>
        <w:gridCol w:w="1939"/>
        <w:gridCol w:w="1939"/>
        <w:gridCol w:w="19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229,428.60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598,827.61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683,167.45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186,384.74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496,989.62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248,248.60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1,965,369.42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69" w:name="bookmark1069"/>
      <w:r>
        <w:rPr>
          <w:b/>
          <w:bCs/>
          <w:i w:val="0"/>
          <w:iCs w:val="0"/>
          <w:color w:val="000000"/>
          <w:spacing w:val="0"/>
          <w:w w:val="100"/>
          <w:position w:val="0"/>
          <w:sz w:val="20"/>
          <w:szCs w:val="20"/>
        </w:rPr>
        <w:t>（</w:t>
      </w:r>
      <w:bookmarkEnd w:id="1069"/>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）按预付对象归集的期末余额前五名的预付款情况</w:t>
      </w:r>
    </w:p>
    <w:tbl>
      <w:tblPr>
        <w:tblOverlap w:val="never"/>
        <w:jc w:val="center"/>
        <w:tblLayout w:type="fixed"/>
      </w:tblPr>
      <w:tblGrid>
        <w:gridCol w:w="2290"/>
        <w:gridCol w:w="3826"/>
        <w:gridCol w:w="356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占预付款年末余额合计数的比例（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left"/>
            </w:pPr>
            <w:r>
              <w:rPr>
                <w:color w:val="000000"/>
                <w:spacing w:val="0"/>
                <w:w w:val="100"/>
                <w:position w:val="0"/>
              </w:rPr>
              <w:t>54,233.08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lef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left"/>
            </w:pPr>
            <w:r>
              <w:rPr>
                <w:color w:val="000000"/>
                <w:spacing w:val="0"/>
                <w:w w:val="100"/>
                <w:position w:val="0"/>
              </w:rPr>
              <w:t>41,000.00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left"/>
            </w:pPr>
            <w:r>
              <w:rPr>
                <w:color w:val="000000"/>
                <w:spacing w:val="0"/>
                <w:w w:val="100"/>
                <w:position w:val="0"/>
              </w:rPr>
              <w:t>18,054.46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left"/>
            </w:pPr>
            <w:r>
              <w:rPr>
                <w:color w:val="000000"/>
                <w:spacing w:val="0"/>
                <w:w w:val="100"/>
                <w:position w:val="0"/>
              </w:rPr>
              <w:t>12,000.00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175,287.54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70" w:name="bookmark1070"/>
      <w:r>
        <w:rPr>
          <w:rFonts w:ascii="Times New Roman" w:eastAsia="Times New Roman" w:hAnsi="Times New Roman" w:cs="Times New Roman"/>
          <w:b/>
          <w:bCs/>
          <w:i w:val="0"/>
          <w:iCs w:val="0"/>
          <w:color w:val="000000"/>
          <w:spacing w:val="0"/>
          <w:w w:val="100"/>
          <w:position w:val="0"/>
          <w:sz w:val="20"/>
          <w:szCs w:val="20"/>
        </w:rPr>
        <w:t>7</w:t>
      </w:r>
      <w:bookmarkEnd w:id="1070"/>
      <w:r>
        <w:rPr>
          <w:b/>
          <w:bCs/>
          <w:i w:val="0"/>
          <w:iCs w:val="0"/>
          <w:color w:val="000000"/>
          <w:spacing w:val="0"/>
          <w:w w:val="100"/>
          <w:position w:val="0"/>
          <w:sz w:val="20"/>
          <w:szCs w:val="20"/>
        </w:rPr>
        <w:t>、应收利息</w:t>
      </w:r>
    </w:p>
    <w:p>
      <w:pPr>
        <w:pStyle w:val="Style54"/>
        <w:keepNext w:val="0"/>
        <w:keepLines w:val="0"/>
        <w:widowControl w:val="0"/>
        <w:shd w:val="clear" w:color="auto" w:fill="auto"/>
        <w:bidi w:val="0"/>
        <w:spacing w:before="0" w:after="360" w:line="240" w:lineRule="auto"/>
        <w:ind w:left="0" w:right="0" w:firstLine="140"/>
        <w:jc w:val="left"/>
        <w:rPr>
          <w:sz w:val="20"/>
          <w:szCs w:val="20"/>
        </w:rPr>
      </w:pPr>
      <w:bookmarkStart w:id="1071" w:name="bookmark1071"/>
      <w:r>
        <w:rPr>
          <w:rFonts w:ascii="Times New Roman" w:eastAsia="Times New Roman" w:hAnsi="Times New Roman" w:cs="Times New Roman"/>
          <w:b/>
          <w:bCs/>
          <w:i w:val="0"/>
          <w:iCs w:val="0"/>
          <w:color w:val="000000"/>
          <w:spacing w:val="0"/>
          <w:w w:val="100"/>
          <w:position w:val="0"/>
          <w:sz w:val="20"/>
          <w:szCs w:val="20"/>
        </w:rPr>
        <w:t>（</w:t>
      </w:r>
      <w:bookmarkEnd w:id="1071"/>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）应收利息分类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735,616.44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735,616.44</w:t>
            </w:r>
          </w:p>
        </w:tc>
      </w:tr>
    </w:tbl>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72" w:name="bookmark1072"/>
      <w:r>
        <w:rPr>
          <w:b/>
          <w:bCs/>
          <w:i w:val="0"/>
          <w:iCs w:val="0"/>
          <w:color w:val="000000"/>
          <w:spacing w:val="0"/>
          <w:w w:val="100"/>
          <w:position w:val="0"/>
          <w:sz w:val="20"/>
          <w:szCs w:val="20"/>
        </w:rPr>
        <w:t>（</w:t>
      </w:r>
      <w:bookmarkEnd w:id="1072"/>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）重要逾期利息：无。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73" w:name="bookmark1073"/>
      <w:r>
        <w:rPr>
          <w:rFonts w:ascii="Times New Roman" w:eastAsia="Times New Roman" w:hAnsi="Times New Roman" w:cs="Times New Roman"/>
          <w:b/>
          <w:bCs/>
          <w:i w:val="0"/>
          <w:iCs w:val="0"/>
          <w:color w:val="000000"/>
          <w:spacing w:val="0"/>
          <w:w w:val="100"/>
          <w:position w:val="0"/>
          <w:sz w:val="20"/>
          <w:szCs w:val="20"/>
        </w:rPr>
        <w:t>8</w:t>
      </w:r>
      <w:bookmarkEnd w:id="1073"/>
      <w:r>
        <w:rPr>
          <w:b/>
          <w:bCs/>
          <w:i w:val="0"/>
          <w:iCs w:val="0"/>
          <w:color w:val="000000"/>
          <w:spacing w:val="0"/>
          <w:w w:val="100"/>
          <w:position w:val="0"/>
          <w:sz w:val="20"/>
          <w:szCs w:val="20"/>
        </w:rPr>
        <w:t>、应收股利</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74" w:name="bookmark1074"/>
      <w:r>
        <w:rPr>
          <w:b/>
          <w:bCs/>
          <w:i w:val="0"/>
          <w:iCs w:val="0"/>
          <w:color w:val="000000"/>
          <w:spacing w:val="0"/>
          <w:w w:val="100"/>
          <w:position w:val="0"/>
          <w:sz w:val="20"/>
          <w:szCs w:val="20"/>
        </w:rPr>
        <w:t>（</w:t>
      </w:r>
      <w:bookmarkEnd w:id="1074"/>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应收股利：无。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sectPr>
          <w:headerReference w:type="default" r:id="rId33"/>
          <w:footerReference w:type="default" r:id="rId34"/>
          <w:footnotePr>
            <w:pos w:val="pageBottom"/>
            <w:numFmt w:val="decimal"/>
            <w:numRestart w:val="continuous"/>
          </w:footnotePr>
          <w:pgSz w:w="11900" w:h="16840"/>
          <w:pgMar w:top="1484" w:right="1095" w:bottom="1566" w:left="1090" w:header="0" w:footer="3" w:gutter="0"/>
          <w:cols w:space="720"/>
          <w:noEndnote/>
          <w:rtlGutter w:val="0"/>
          <w:docGrid w:linePitch="360"/>
        </w:sectPr>
      </w:pPr>
      <w:bookmarkStart w:id="1075" w:name="bookmark1075"/>
      <w:r>
        <w:rPr>
          <w:b/>
          <w:bCs/>
          <w:i w:val="0"/>
          <w:iCs w:val="0"/>
          <w:color w:val="000000"/>
          <w:spacing w:val="0"/>
          <w:w w:val="100"/>
          <w:position w:val="0"/>
          <w:sz w:val="20"/>
          <w:szCs w:val="20"/>
        </w:rPr>
        <w:t>（</w:t>
      </w:r>
      <w:bookmarkEnd w:id="1075"/>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重要的账龄超过</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年的应收股利：无。</w:t>
      </w:r>
    </w:p>
    <w:p>
      <w:pPr>
        <w:pStyle w:val="Style33"/>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9</w:t>
      </w:r>
      <w:bookmarkEnd w:id="1078"/>
      <w:r>
        <w:rPr>
          <w:color w:val="000000"/>
          <w:spacing w:val="0"/>
          <w:w w:val="100"/>
          <w:position w:val="0"/>
        </w:rPr>
        <w:t>、其他应收款</w:t>
      </w:r>
      <w:bookmarkEnd w:id="1076"/>
      <w:bookmarkEnd w:id="1077"/>
      <w:bookmarkEnd w:id="1079"/>
    </w:p>
    <w:p>
      <w:pPr>
        <w:pStyle w:val="Style33"/>
        <w:keepNext/>
        <w:keepLines/>
        <w:widowControl w:val="0"/>
        <w:shd w:val="clear" w:color="auto" w:fill="auto"/>
        <w:bidi w:val="0"/>
        <w:spacing w:before="0" w:line="240" w:lineRule="auto"/>
        <w:ind w:left="0" w:right="0" w:firstLine="140"/>
        <w:jc w:val="left"/>
      </w:pPr>
      <w:bookmarkStart w:id="1076" w:name="bookmark1076"/>
      <w:bookmarkStart w:id="1077" w:name="bookmark1077"/>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6"/>
      <w:bookmarkEnd w:id="1077"/>
      <w:bookmarkEnd w:id="1081"/>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390"/>
        <w:gridCol w:w="1104"/>
        <w:gridCol w:w="1099"/>
        <w:gridCol w:w="1104"/>
        <w:gridCol w:w="1104"/>
        <w:gridCol w:w="1142"/>
        <w:gridCol w:w="1094"/>
        <w:gridCol w:w="1104"/>
        <w:gridCol w:w="1176"/>
        <w:gridCol w:w="1354"/>
        <w:gridCol w:w="136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单项金额重大并单独计提坏 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按信用风险特征组合计提坏 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17,272,689.78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1,233,336.07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16,039,353.71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10,921,252.01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2,157,306.05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8,763,945.96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单项金额不重大但单独计提 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1,690,672.22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1,690,672.22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18,963,362.00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2,924,008.29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16,039,353.71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10,921,252.01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2,157,306.05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8,763,945.96</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期末单项金额重大并单项计提坏账准备的其他应收款:</w:t>
      </w:r>
    </w:p>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sectPr>
          <w:headerReference w:type="default" r:id="rId35"/>
          <w:footerReference w:type="default" r:id="rId36"/>
          <w:footnotePr>
            <w:pos w:val="pageBottom"/>
            <w:numFmt w:val="decimal"/>
            <w:numRestart w:val="continuous"/>
          </w:footnotePr>
          <w:pgSz w:w="16840" w:h="11900" w:orient="landscape"/>
          <w:pgMar w:top="1158" w:right="1402" w:bottom="1363"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24"/>
        <w:gridCol w:w="24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16,539,786.31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826,989.31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16,539,786.31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826,989.31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96,302.95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96,302.95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17,040,032.49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1,000,678.78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 元</w:t>
      </w:r>
    </w:p>
    <w:tbl>
      <w:tblPr>
        <w:tblOverlap w:val="never"/>
        <w:jc w:val="center"/>
        <w:tblLayout w:type="fixed"/>
      </w:tblPr>
      <w:tblGrid>
        <w:gridCol w:w="3317"/>
        <w:gridCol w:w="2347"/>
        <w:gridCol w:w="2021"/>
        <w:gridCol w:w="1992"/>
      </w:tblGrid>
      <w:tr>
        <w:trPr>
          <w:trHeight w:val="341" w:hRule="exact"/>
        </w:trPr>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6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2"/>
      <w:bookmarkEnd w:id="1083"/>
      <w:bookmarkEnd w:id="10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1,998,297.88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1,231,595.64</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暂未取得发票的业务费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1,231,595.64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收到发票冲销款项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1,231,595.64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140" w:line="240" w:lineRule="auto"/>
        <w:ind w:left="0" w:right="0" w:firstLine="14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）本期实际核销的其他应收款情况：无。</w:t>
      </w:r>
      <w:bookmarkEnd w:id="1086"/>
      <w:bookmarkEnd w:id="1087"/>
      <w:bookmarkEnd w:id="1089"/>
      <w:r>
        <w:br w:type="page"/>
      </w:r>
    </w:p>
    <w:p>
      <w:pPr>
        <w:pStyle w:val="Style54"/>
        <w:keepNext w:val="0"/>
        <w:keepLines w:val="0"/>
        <w:widowControl w:val="0"/>
        <w:shd w:val="clear" w:color="auto" w:fill="auto"/>
        <w:bidi w:val="0"/>
        <w:spacing w:before="0" w:after="360" w:line="240" w:lineRule="auto"/>
        <w:ind w:left="0" w:right="0" w:firstLine="140"/>
        <w:jc w:val="left"/>
        <w:rPr>
          <w:sz w:val="20"/>
          <w:szCs w:val="20"/>
        </w:rPr>
      </w:pPr>
      <w:bookmarkStart w:id="1090" w:name="bookmark1090"/>
      <w:r>
        <w:rPr>
          <w:rFonts w:ascii="Times New Roman" w:eastAsia="Times New Roman" w:hAnsi="Times New Roman" w:cs="Times New Roman"/>
          <w:b/>
          <w:bCs/>
          <w:i w:val="0"/>
          <w:iCs w:val="0"/>
          <w:color w:val="000000"/>
          <w:spacing w:val="0"/>
          <w:w w:val="100"/>
          <w:position w:val="0"/>
          <w:sz w:val="20"/>
          <w:szCs w:val="20"/>
        </w:rPr>
        <w:t>（</w:t>
      </w:r>
      <w:bookmarkEnd w:id="1090"/>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）其他应收款按款项性质分类情况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5"/>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房产处置款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9,220,000.00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6,851,037.28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6,522,629.99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1,481,869.59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297,980.62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531,989.48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528,951.14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453,480.10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2,340,094.62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232,657.29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1,231,595.64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148,728.26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18,963,362.00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10,921,252.01</w:t>
            </w:r>
          </w:p>
        </w:tc>
      </w:tr>
    </w:tbl>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140"/>
        <w:jc w:val="left"/>
        <w:rPr>
          <w:sz w:val="20"/>
          <w:szCs w:val="20"/>
        </w:rPr>
      </w:pPr>
      <w:bookmarkStart w:id="1091" w:name="bookmark1091"/>
      <w:r>
        <w:rPr>
          <w:b/>
          <w:bCs/>
          <w:i w:val="0"/>
          <w:iCs w:val="0"/>
          <w:color w:val="000000"/>
          <w:spacing w:val="0"/>
          <w:w w:val="100"/>
          <w:position w:val="0"/>
          <w:sz w:val="20"/>
          <w:szCs w:val="20"/>
        </w:rPr>
        <w:t>（</w:t>
      </w:r>
      <w:bookmarkEnd w:id="1091"/>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）按欠款方归集的期末余额前五名的其他应收款情况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3"/>
        <w:gridCol w:w="1618"/>
        <w:gridCol w:w="1618"/>
        <w:gridCol w:w="162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房屋销售款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房屋销售款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12,480,000.00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624,000.00</w:t>
            </w:r>
          </w:p>
        </w:tc>
      </w:tr>
    </w:tbl>
    <w:p>
      <w:pPr>
        <w:widowControl w:val="0"/>
        <w:spacing w:after="359" w:line="1" w:lineRule="exact"/>
      </w:pP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92" w:name="bookmark1092"/>
      <w:r>
        <w:rPr>
          <w:b/>
          <w:bCs/>
          <w:i w:val="0"/>
          <w:iCs w:val="0"/>
          <w:color w:val="000000"/>
          <w:spacing w:val="0"/>
          <w:w w:val="100"/>
          <w:position w:val="0"/>
          <w:sz w:val="20"/>
          <w:szCs w:val="20"/>
        </w:rPr>
        <w:t>（</w:t>
      </w:r>
      <w:bookmarkEnd w:id="1092"/>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涉及政府补助的应收款项：无。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93" w:name="bookmark1093"/>
      <w:r>
        <w:rPr>
          <w:b/>
          <w:bCs/>
          <w:i w:val="0"/>
          <w:iCs w:val="0"/>
          <w:color w:val="000000"/>
          <w:spacing w:val="0"/>
          <w:w w:val="100"/>
          <w:position w:val="0"/>
          <w:sz w:val="20"/>
          <w:szCs w:val="20"/>
        </w:rPr>
        <w:t>（</w:t>
      </w:r>
      <w:bookmarkEnd w:id="1093"/>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因金融资产转移而终止确认的其他应收款：无。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094" w:name="bookmark1094"/>
      <w:r>
        <w:rPr>
          <w:b/>
          <w:bCs/>
          <w:i w:val="0"/>
          <w:iCs w:val="0"/>
          <w:color w:val="000000"/>
          <w:spacing w:val="0"/>
          <w:w w:val="100"/>
          <w:position w:val="0"/>
          <w:sz w:val="20"/>
          <w:szCs w:val="20"/>
        </w:rPr>
        <w:t>（</w:t>
      </w:r>
      <w:bookmarkEnd w:id="1094"/>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 转移其他应收款且继续涉入形成的资产、负债金额：无。</w:t>
      </w:r>
    </w:p>
    <w:p>
      <w:pPr>
        <w:pStyle w:val="Style54"/>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10</w:t>
      </w:r>
      <w:r>
        <w:rPr>
          <w:b/>
          <w:bCs/>
          <w:i w:val="0"/>
          <w:iCs w:val="0"/>
          <w:color w:val="000000"/>
          <w:spacing w:val="0"/>
          <w:w w:val="100"/>
          <w:position w:val="0"/>
          <w:sz w:val="20"/>
          <w:szCs w:val="20"/>
        </w:rPr>
        <w:t>、存货</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r>
        <w:br w:type="page"/>
      </w:r>
    </w:p>
    <w:p>
      <w:pPr>
        <w:pStyle w:val="Style54"/>
        <w:keepNext w:val="0"/>
        <w:keepLines w:val="0"/>
        <w:widowControl w:val="0"/>
        <w:shd w:val="clear" w:color="auto" w:fill="auto"/>
        <w:bidi w:val="0"/>
        <w:spacing w:before="0" w:after="360" w:line="240" w:lineRule="auto"/>
        <w:ind w:left="0" w:right="0" w:firstLine="140"/>
        <w:jc w:val="left"/>
        <w:rPr>
          <w:sz w:val="20"/>
          <w:szCs w:val="20"/>
        </w:rPr>
      </w:pPr>
      <w:bookmarkStart w:id="1095" w:name="bookmark1095"/>
      <w:r>
        <w:rPr>
          <w:b/>
          <w:bCs/>
          <w:i w:val="0"/>
          <w:iCs w:val="0"/>
          <w:color w:val="000000"/>
          <w:spacing w:val="0"/>
          <w:w w:val="100"/>
          <w:position w:val="0"/>
          <w:sz w:val="20"/>
          <w:szCs w:val="20"/>
        </w:rPr>
        <w:t>（</w:t>
      </w:r>
      <w:bookmarkEnd w:id="1095"/>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）存货分类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387"/>
        <w:gridCol w:w="1382"/>
        <w:gridCol w:w="1387"/>
        <w:gridCol w:w="1382"/>
        <w:gridCol w:w="1382"/>
        <w:gridCol w:w="139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22,578,654.64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1,461,287.91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21,117,366.73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19,499,297.22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1,099,383.47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18,399,913.75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11,224,003.15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11,224,003.15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6,794,149.02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6,794,149.02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1,535,130.48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962,736.13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572,394.35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1,781,783.87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1,724,795.11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12,050,074.80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1,811,844.86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10,238,229.94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13,041,225.19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1,620,779.14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11,420,446.05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24,572,432.80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1,372,498.27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23,199,934.53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12,793,257.93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885,016.17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11,908,241.76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71,960,295.87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5,608,367.17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66,351,928.70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53,909,713.23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3,662,167.54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50,247,545.69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4"/>
        <w:keepNext w:val="0"/>
        <w:keepLines w:val="0"/>
        <w:widowControl w:val="0"/>
        <w:shd w:val="clear" w:color="auto" w:fill="auto"/>
        <w:bidi w:val="0"/>
        <w:spacing w:before="0" w:after="360" w:line="240" w:lineRule="auto"/>
        <w:ind w:left="0" w:right="0" w:firstLine="140"/>
        <w:jc w:val="left"/>
        <w:rPr>
          <w:sz w:val="20"/>
          <w:szCs w:val="20"/>
        </w:rPr>
      </w:pPr>
      <w:bookmarkStart w:id="1096" w:name="bookmark1096"/>
      <w:r>
        <w:rPr>
          <w:b/>
          <w:bCs/>
          <w:i w:val="0"/>
          <w:iCs w:val="0"/>
          <w:color w:val="000000"/>
          <w:spacing w:val="0"/>
          <w:w w:val="100"/>
          <w:position w:val="0"/>
          <w:sz w:val="20"/>
          <w:szCs w:val="20"/>
        </w:rPr>
        <w:t>（</w:t>
      </w:r>
      <w:bookmarkEnd w:id="1096"/>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）存货跌价准备</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397"/>
        <w:gridCol w:w="1387"/>
        <w:gridCol w:w="1382"/>
        <w:gridCol w:w="1387"/>
        <w:gridCol w:w="1382"/>
        <w:gridCol w:w="1382"/>
        <w:gridCol w:w="139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1,099,383.47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1,461,287.91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1,099,383.47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1,461,287.91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962,736.13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962,736.13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自制半成品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1,620,779.14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1,193,176.61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1,002,110.89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1,811,844.86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885,016.17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487,482.10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1,372,498.27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3,662,167.54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4,104,682.75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2,158,483.12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5,608,367.17</w:t>
            </w:r>
          </w:p>
        </w:tc>
      </w:tr>
    </w:tbl>
    <w:p>
      <w:pPr>
        <w:widowControl w:val="0"/>
        <w:spacing w:after="359" w:line="1" w:lineRule="exact"/>
      </w:pP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97" w:name="bookmark1097"/>
      <w:r>
        <w:rPr>
          <w:b/>
          <w:bCs/>
          <w:i w:val="0"/>
          <w:iCs w:val="0"/>
          <w:color w:val="000000"/>
          <w:spacing w:val="0"/>
          <w:w w:val="100"/>
          <w:position w:val="0"/>
          <w:sz w:val="20"/>
          <w:szCs w:val="20"/>
        </w:rPr>
        <w:t>（</w:t>
      </w:r>
      <w:bookmarkEnd w:id="1097"/>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存货期末余额含有借款费用资本化金额的说明：无。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098" w:name="bookmark1098"/>
      <w:r>
        <w:rPr>
          <w:b/>
          <w:bCs/>
          <w:i w:val="0"/>
          <w:iCs w:val="0"/>
          <w:color w:val="000000"/>
          <w:spacing w:val="0"/>
          <w:w w:val="100"/>
          <w:position w:val="0"/>
          <w:sz w:val="20"/>
          <w:szCs w:val="20"/>
        </w:rPr>
        <w:t>（</w:t>
      </w:r>
      <w:bookmarkEnd w:id="1098"/>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期末建造合同形成的已完工未结算资产情况：无。</w:t>
      </w:r>
    </w:p>
    <w:p>
      <w:pPr>
        <w:pStyle w:val="Style54"/>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099" w:name="bookmark1099"/>
      <w:r>
        <w:rPr>
          <w:rFonts w:ascii="Times New Roman" w:eastAsia="Times New Roman" w:hAnsi="Times New Roman" w:cs="Times New Roman"/>
          <w:b/>
          <w:bCs/>
          <w:i w:val="0"/>
          <w:iCs w:val="0"/>
          <w:color w:val="000000"/>
          <w:spacing w:val="0"/>
          <w:w w:val="100"/>
          <w:position w:val="0"/>
          <w:sz w:val="20"/>
          <w:szCs w:val="20"/>
        </w:rPr>
        <w:t>1</w:t>
      </w:r>
      <w:bookmarkEnd w:id="109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划分为持有待售的资产：无。</w:t>
      </w:r>
    </w:p>
    <w:p>
      <w:pPr>
        <w:pStyle w:val="Style54"/>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100" w:name="bookmark1100"/>
      <w:r>
        <w:rPr>
          <w:rFonts w:ascii="Times New Roman" w:eastAsia="Times New Roman" w:hAnsi="Times New Roman" w:cs="Times New Roman"/>
          <w:b/>
          <w:bCs/>
          <w:i w:val="0"/>
          <w:iCs w:val="0"/>
          <w:color w:val="000000"/>
          <w:spacing w:val="0"/>
          <w:w w:val="100"/>
          <w:position w:val="0"/>
          <w:sz w:val="20"/>
          <w:szCs w:val="20"/>
        </w:rPr>
        <w:t>1</w:t>
      </w:r>
      <w:bookmarkEnd w:id="110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一年内到期的非流动资产：无。</w:t>
      </w:r>
    </w:p>
    <w:p>
      <w:pPr>
        <w:pStyle w:val="Style54"/>
        <w:keepNext w:val="0"/>
        <w:keepLines w:val="0"/>
        <w:widowControl w:val="0"/>
        <w:shd w:val="clear" w:color="auto" w:fill="auto"/>
        <w:tabs>
          <w:tab w:pos="474" w:val="left"/>
        </w:tabs>
        <w:bidi w:val="0"/>
        <w:spacing w:before="0" w:after="360" w:line="240" w:lineRule="auto"/>
        <w:ind w:left="0" w:right="0" w:firstLine="0"/>
        <w:jc w:val="left"/>
        <w:rPr>
          <w:sz w:val="20"/>
          <w:szCs w:val="20"/>
        </w:rPr>
      </w:pPr>
      <w:bookmarkStart w:id="1101" w:name="bookmark1101"/>
      <w:r>
        <w:rPr>
          <w:rFonts w:ascii="Times New Roman" w:eastAsia="Times New Roman" w:hAnsi="Times New Roman" w:cs="Times New Roman"/>
          <w:b/>
          <w:bCs/>
          <w:i w:val="0"/>
          <w:iCs w:val="0"/>
          <w:color w:val="000000"/>
          <w:spacing w:val="0"/>
          <w:w w:val="100"/>
          <w:position w:val="0"/>
          <w:sz w:val="20"/>
          <w:szCs w:val="20"/>
        </w:rPr>
        <w:t>1</w:t>
      </w:r>
      <w:bookmarkEnd w:id="1101"/>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其他流动资产</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575,427,912.05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543,398,916.58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股本登记完成应收入资款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增值税留底税额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824,861.22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10,361.43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805,561.43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266,375.64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其他预付款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73,348.74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585,168,059.08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543,409,278.01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、期末留存金融理财产品明细:</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73"/>
        <w:gridCol w:w="2650"/>
        <w:gridCol w:w="265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兴业银行金雪球理财产品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招商银行点金公司理财计划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230,390,000.00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招商银行朝招金理财计划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陆家嘴信托</w:t>
            </w:r>
            <w:r>
              <w:rPr>
                <w:color w:val="000000"/>
                <w:spacing w:val="0"/>
                <w:w w:val="100"/>
                <w:position w:val="0"/>
                <w:sz w:val="18"/>
                <w:szCs w:val="18"/>
              </w:rPr>
              <w:t>-</w:t>
            </w:r>
            <w:r>
              <w:rPr>
                <w:rFonts w:ascii="SimSun" w:eastAsia="SimSun" w:hAnsi="SimSun" w:cs="SimSun"/>
                <w:color w:val="000000"/>
                <w:spacing w:val="0"/>
                <w:w w:val="100"/>
                <w:position w:val="0"/>
                <w:sz w:val="17"/>
                <w:szCs w:val="17"/>
              </w:rPr>
              <w:t>招同集合资金信托计划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平安信托私募投资基金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300,000,000.00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植瑞投资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180,000,000.00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工商银行稳步添利产品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招行景鑫海口</w:t>
            </w:r>
            <w:r>
              <w:rPr>
                <w:color w:val="000000"/>
                <w:spacing w:val="0"/>
                <w:w w:val="100"/>
                <w:position w:val="0"/>
                <w:sz w:val="18"/>
                <w:szCs w:val="18"/>
              </w:rPr>
              <w:t>1</w:t>
            </w:r>
            <w:r>
              <w:rPr>
                <w:rFonts w:ascii="SimSun" w:eastAsia="SimSun" w:hAnsi="SimSun" w:cs="SimSun"/>
                <w:color w:val="000000"/>
                <w:spacing w:val="0"/>
                <w:w w:val="100"/>
                <w:position w:val="0"/>
                <w:sz w:val="17"/>
                <w:szCs w:val="17"/>
              </w:rPr>
              <w:t>号理财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3,987,912.05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3,398,916.58</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575,427,912.05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543,398,916.58</w:t>
            </w:r>
          </w:p>
        </w:tc>
      </w:tr>
    </w:tbl>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、本年年末股本登记完成应收入资款</w:t>
      </w:r>
      <w:r>
        <w:rPr>
          <w:color w:val="000000"/>
          <w:spacing w:val="0"/>
          <w:w w:val="100"/>
          <w:position w:val="0"/>
          <w:sz w:val="18"/>
          <w:szCs w:val="18"/>
        </w:rPr>
        <w:t xml:space="preserve">7, 770,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元系公司</w:t>
      </w:r>
      <w:r>
        <w:rPr>
          <w:color w:val="000000"/>
          <w:spacing w:val="0"/>
          <w:w w:val="100"/>
          <w:position w:val="0"/>
          <w:sz w:val="18"/>
          <w:szCs w:val="18"/>
        </w:rPr>
        <w:t>2015</w:t>
      </w:r>
      <w:r>
        <w:rPr>
          <w:color w:val="000000"/>
          <w:spacing w:val="0"/>
          <w:w w:val="100"/>
          <w:position w:val="0"/>
        </w:rPr>
        <w:t>年第二期股票期权部分授予对象截止本年年末已出资行权 完成股本登记，款项尚未结算至公司账户。</w:t>
      </w:r>
    </w:p>
    <w:p>
      <w:pPr>
        <w:widowControl w:val="0"/>
        <w:spacing w:after="279" w:line="1" w:lineRule="exact"/>
      </w:pPr>
    </w:p>
    <w:p>
      <w:pPr>
        <w:pStyle w:val="Style33"/>
        <w:keepNext/>
        <w:keepLines/>
        <w:widowControl w:val="0"/>
        <w:shd w:val="clear" w:color="auto" w:fill="auto"/>
        <w:tabs>
          <w:tab w:pos="474"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可供出售金融资产：无。</w:t>
      </w:r>
      <w:bookmarkEnd w:id="1102"/>
      <w:bookmarkEnd w:id="1103"/>
      <w:bookmarkEnd w:id="1105"/>
    </w:p>
    <w:p>
      <w:pPr>
        <w:pStyle w:val="Style33"/>
        <w:keepNext/>
        <w:keepLines/>
        <w:widowControl w:val="0"/>
        <w:shd w:val="clear" w:color="auto" w:fill="auto"/>
        <w:tabs>
          <w:tab w:pos="474" w:val="left"/>
        </w:tabs>
        <w:bidi w:val="0"/>
        <w:spacing w:before="0" w:line="240" w:lineRule="auto"/>
        <w:ind w:left="0" w:right="0" w:firstLine="0"/>
        <w:jc w:val="left"/>
      </w:pPr>
      <w:bookmarkStart w:id="1102" w:name="bookmark1102"/>
      <w:bookmarkStart w:id="1103" w:name="bookmark1103"/>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持有至到期投资：无。</w:t>
      </w:r>
      <w:bookmarkEnd w:id="1102"/>
      <w:bookmarkEnd w:id="1103"/>
      <w:bookmarkEnd w:id="1107"/>
    </w:p>
    <w:p>
      <w:pPr>
        <w:pStyle w:val="Style33"/>
        <w:keepNext/>
        <w:keepLines/>
        <w:widowControl w:val="0"/>
        <w:shd w:val="clear" w:color="auto" w:fill="auto"/>
        <w:tabs>
          <w:tab w:pos="474" w:val="left"/>
        </w:tabs>
        <w:bidi w:val="0"/>
        <w:spacing w:before="0" w:after="22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441" w:right="1095" w:bottom="1475" w:left="1090" w:header="0" w:footer="3" w:gutter="0"/>
          <w:cols w:space="720"/>
          <w:noEndnote/>
          <w:rtlGutter w:val="0"/>
          <w:docGrid w:linePitch="360"/>
        </w:sectPr>
      </w:pPr>
      <w:bookmarkStart w:id="1102" w:name="bookmark1102"/>
      <w:bookmarkStart w:id="1103" w:name="bookmark1103"/>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长期应收款：无。</w:t>
      </w:r>
      <w:bookmarkEnd w:id="1102"/>
      <w:bookmarkEnd w:id="1103"/>
      <w:bookmarkEnd w:id="1109"/>
    </w:p>
    <w:p>
      <w:pPr>
        <w:pStyle w:val="Style33"/>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10"/>
      <w:bookmarkEnd w:id="1111"/>
      <w:bookmarkEnd w:id="1113"/>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1171"/>
        <w:gridCol w:w="1162"/>
        <w:gridCol w:w="1181"/>
        <w:gridCol w:w="1166"/>
        <w:gridCol w:w="1166"/>
        <w:gridCol w:w="1166"/>
        <w:gridCol w:w="1166"/>
        <w:gridCol w:w="1166"/>
        <w:gridCol w:w="1166"/>
        <w:gridCol w:w="1166"/>
        <w:gridCol w:w="1181"/>
        <w:gridCol w:w="117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权益法下确认 的投资损益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其他权益变动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宣告发放现金 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北京金喜凯德</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北京信中利赞 信股权投资中 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93,820,568.83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10,799,355.00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93,820,568.83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10,799,355.00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109,093.66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109,093.66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93,820,568.83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10,799,355.00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684,619,923.83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19" w:right="0" w:firstLine="0"/>
        <w:jc w:val="left"/>
        <w:sectPr>
          <w:headerReference w:type="default" r:id="rId39"/>
          <w:footerReference w:type="default" r:id="rId40"/>
          <w:footnotePr>
            <w:pos w:val="pageBottom"/>
            <w:numFmt w:val="decimal"/>
            <w:numRestart w:val="continuous"/>
          </w:footnotePr>
          <w:pgSz w:w="16840" w:h="11900" w:orient="landscape"/>
          <w:pgMar w:top="1158" w:right="1402" w:bottom="1363" w:left="1402" w:header="0" w:footer="3" w:gutter="0"/>
          <w:cols w:space="720"/>
          <w:noEndnote/>
          <w:rtlGutter w:val="0"/>
          <w:docGrid w:linePitch="360"/>
        </w:sectPr>
      </w:pPr>
      <w:r>
        <w:rPr>
          <w:color w:val="000000"/>
          <w:spacing w:val="0"/>
          <w:w w:val="100"/>
          <w:position w:val="0"/>
        </w:rPr>
        <w:t>其他说明：无。</w:t>
      </w:r>
    </w:p>
    <w:p>
      <w:pPr>
        <w:pStyle w:val="Style33"/>
        <w:keepNext/>
        <w:keepLines/>
        <w:widowControl w:val="0"/>
        <w:shd w:val="clear" w:color="auto" w:fill="auto"/>
        <w:bidi w:val="0"/>
        <w:spacing w:before="26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14"/>
      <w:bookmarkEnd w:id="1115"/>
      <w:bookmarkEnd w:id="1117"/>
    </w:p>
    <w:p>
      <w:pPr>
        <w:pStyle w:val="Style33"/>
        <w:keepNext/>
        <w:keepLines/>
        <w:widowControl w:val="0"/>
        <w:shd w:val="clear" w:color="auto" w:fill="auto"/>
        <w:tabs>
          <w:tab w:pos="493" w:val="left"/>
        </w:tabs>
        <w:bidi w:val="0"/>
        <w:spacing w:before="0" w:after="380" w:line="240" w:lineRule="auto"/>
        <w:ind w:left="0" w:right="0" w:firstLine="0"/>
        <w:jc w:val="left"/>
      </w:pPr>
      <w:bookmarkStart w:id="1114" w:name="bookmark1114"/>
      <w:bookmarkStart w:id="1115" w:name="bookmark1115"/>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14"/>
      <w:bookmarkEnd w:id="1115"/>
      <w:bookmarkEnd w:id="111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20"/>
      <w:bookmarkEnd w:id="1121"/>
      <w:bookmarkEnd w:id="112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843"/>
        <w:gridCol w:w="1416"/>
        <w:gridCol w:w="1560"/>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55,487,500.00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55,487,500.00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二、本期变动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209,424,886.01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209,424,886.01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加：外购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15,534,690.24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15,534,690.24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196,471,916.00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196,471,916.00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19,401,269.61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19,401,269.61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16,819,549.38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16,819,549.38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264,912,386.01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264,912,386.01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24"/>
      <w:bookmarkEnd w:id="1125"/>
      <w:bookmarkEnd w:id="11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北京绿地中心</w:t>
            </w:r>
            <w:r>
              <w:rPr>
                <w:color w:val="000000"/>
                <w:spacing w:val="0"/>
                <w:w w:val="100"/>
                <w:position w:val="0"/>
              </w:rPr>
              <w:t>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25,400,077.00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北京绿地中心</w:t>
            </w:r>
            <w:r>
              <w:rPr>
                <w:color w:val="000000"/>
                <w:spacing w:val="0"/>
                <w:w w:val="100"/>
                <w:position w:val="0"/>
              </w:rPr>
              <w:t>5107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19,119,383.00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北京绿地中心</w:t>
            </w:r>
            <w:r>
              <w:rPr>
                <w:color w:val="000000"/>
                <w:spacing w:val="0"/>
                <w:w w:val="100"/>
                <w:position w:val="0"/>
              </w:rPr>
              <w:t>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24,893,888.00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北京绿地中心</w:t>
            </w:r>
            <w:r>
              <w:rPr>
                <w:color w:val="000000"/>
                <w:spacing w:val="0"/>
                <w:w w:val="100"/>
                <w:position w:val="0"/>
              </w:rPr>
              <w:t>5108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19,089,369.00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上海极富富力虹桥</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15,301,807.00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r>
        <w:br w:type="page"/>
      </w:r>
    </w:p>
    <w:p>
      <w:pPr>
        <w:pStyle w:val="Style33"/>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28"/>
      <w:bookmarkEnd w:id="1129"/>
      <w:bookmarkEnd w:id="1131"/>
    </w:p>
    <w:p>
      <w:pPr>
        <w:pStyle w:val="Style33"/>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8"/>
      <w:bookmarkEnd w:id="1129"/>
      <w:bookmarkEnd w:id="11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1315"/>
        <w:gridCol w:w="1171"/>
        <w:gridCol w:w="1171"/>
        <w:gridCol w:w="1507"/>
        <w:gridCol w:w="1171"/>
        <w:gridCol w:w="128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模具</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147,318,404.96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70,786,596.95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11,570,066.18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19,630,942.33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17,702,457.87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267,008,468.29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427,037.71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4,687,105.47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1,115,869.99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199,802.79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6,429,815.96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427,037.71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4,687,105.47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1,115,869.99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199,802.79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6,429,815.96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13,616,410.67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2,082,919.25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895,475.63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106,223.81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16,722,099.27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9,126,406.27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2,082,919.25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895,475.63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106,223.81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12,232,094.87</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4,490,004.40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4,490,004.40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133,701,994.29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71,192,564.75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14,174,252.40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19,851,336.69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17,796,036.85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256,716,184.98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51,663,941.90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47,250,109.78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9,829,912.65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18,159,730.16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15,525,006.09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142,428,700.58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6,493,233.69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2,763,488.13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948,862.01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562,565.77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319,600.71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11,087,750.31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6,493,233.69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2,763,488.13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948,862.01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562,565.77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319,600.71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11,087,750.31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5,998,225.55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1,874,627.33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875,699.55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8,808,108.19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4,096,692.16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1,874,627.33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875,699.55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6,906,574.80</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1,901,533.39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1,901,533.39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52,158,950.04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50,005,321.54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8,904,147.33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17,846,596.38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15,793,327.41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144,708,342.70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6,550,551.46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201,916.97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457,695.15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7,210,163.58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42,265.35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40,733.57</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6,549,019.68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201,916.97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416,961.58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7,167,898.23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81,543,044.25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14,638,223.53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5,270,105.07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1,802,823.34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1,585,747.86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104,839,944.05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95,654,463.06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16,985,935.71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1,740,153.53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1,269,295.20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1,719,756.63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117,369,604.13</w:t>
            </w:r>
          </w:p>
        </w:tc>
      </w:tr>
    </w:tbl>
    <w:p>
      <w:pPr>
        <w:pStyle w:val="Style54"/>
        <w:keepNext w:val="0"/>
        <w:keepLines w:val="0"/>
        <w:widowControl w:val="0"/>
        <w:numPr>
          <w:ilvl w:val="0"/>
          <w:numId w:val="65"/>
        </w:numPr>
        <w:shd w:val="clear" w:color="auto" w:fill="auto"/>
        <w:tabs>
          <w:tab w:pos="633" w:val="left"/>
        </w:tabs>
        <w:bidi w:val="0"/>
        <w:spacing w:before="0" w:after="360" w:line="240" w:lineRule="auto"/>
        <w:ind w:left="0" w:right="0" w:firstLine="140"/>
        <w:jc w:val="left"/>
        <w:rPr>
          <w:sz w:val="20"/>
          <w:szCs w:val="20"/>
        </w:rPr>
      </w:pPr>
      <w:bookmarkStart w:id="1134" w:name="bookmark1134"/>
      <w:bookmarkEnd w:id="1134"/>
      <w:r>
        <w:rPr>
          <w:b/>
          <w:bCs/>
          <w:i w:val="0"/>
          <w:iCs w:val="0"/>
          <w:color w:val="000000"/>
          <w:spacing w:val="0"/>
          <w:w w:val="100"/>
          <w:position w:val="0"/>
          <w:sz w:val="20"/>
          <w:szCs w:val="20"/>
        </w:rPr>
        <w:t>暂时闲置的固定资产情况：无。</w:t>
      </w:r>
    </w:p>
    <w:p>
      <w:pPr>
        <w:pStyle w:val="Style54"/>
        <w:keepNext w:val="0"/>
        <w:keepLines w:val="0"/>
        <w:widowControl w:val="0"/>
        <w:numPr>
          <w:ilvl w:val="0"/>
          <w:numId w:val="65"/>
        </w:numPr>
        <w:shd w:val="clear" w:color="auto" w:fill="auto"/>
        <w:tabs>
          <w:tab w:pos="633" w:val="left"/>
        </w:tabs>
        <w:bidi w:val="0"/>
        <w:spacing w:before="0" w:after="360" w:line="240" w:lineRule="auto"/>
        <w:ind w:left="0" w:right="0" w:firstLine="140"/>
        <w:jc w:val="left"/>
        <w:rPr>
          <w:sz w:val="20"/>
          <w:szCs w:val="20"/>
        </w:rPr>
      </w:pPr>
      <w:bookmarkStart w:id="1135" w:name="bookmark1135"/>
      <w:bookmarkEnd w:id="1135"/>
      <w:r>
        <w:rPr>
          <w:b/>
          <w:bCs/>
          <w:i w:val="0"/>
          <w:iCs w:val="0"/>
          <w:color w:val="000000"/>
          <w:spacing w:val="0"/>
          <w:w w:val="100"/>
          <w:position w:val="0"/>
          <w:sz w:val="20"/>
          <w:szCs w:val="20"/>
        </w:rPr>
        <w:t>通过融资租赁租入的固定资产情况：无。</w:t>
      </w:r>
    </w:p>
    <w:p>
      <w:pPr>
        <w:pStyle w:val="Style54"/>
        <w:keepNext w:val="0"/>
        <w:keepLines w:val="0"/>
        <w:widowControl w:val="0"/>
        <w:numPr>
          <w:ilvl w:val="0"/>
          <w:numId w:val="65"/>
        </w:numPr>
        <w:shd w:val="clear" w:color="auto" w:fill="auto"/>
        <w:tabs>
          <w:tab w:pos="633" w:val="left"/>
        </w:tabs>
        <w:bidi w:val="0"/>
        <w:spacing w:before="0" w:after="360" w:line="240" w:lineRule="auto"/>
        <w:ind w:left="0" w:right="0" w:firstLine="140"/>
        <w:jc w:val="left"/>
        <w:rPr>
          <w:sz w:val="20"/>
          <w:szCs w:val="20"/>
        </w:rPr>
      </w:pPr>
      <w:bookmarkStart w:id="1136" w:name="bookmark1136"/>
      <w:bookmarkEnd w:id="1136"/>
      <w:r>
        <w:rPr>
          <w:b/>
          <w:bCs/>
          <w:i w:val="0"/>
          <w:iCs w:val="0"/>
          <w:color w:val="000000"/>
          <w:spacing w:val="0"/>
          <w:w w:val="100"/>
          <w:position w:val="0"/>
          <w:sz w:val="20"/>
          <w:szCs w:val="20"/>
        </w:rPr>
        <w:t>通过经营租赁租出的固定资产：无。</w:t>
      </w:r>
    </w:p>
    <w:p>
      <w:pPr>
        <w:pStyle w:val="Style54"/>
        <w:keepNext w:val="0"/>
        <w:keepLines w:val="0"/>
        <w:widowControl w:val="0"/>
        <w:numPr>
          <w:ilvl w:val="0"/>
          <w:numId w:val="65"/>
        </w:numPr>
        <w:shd w:val="clear" w:color="auto" w:fill="auto"/>
        <w:tabs>
          <w:tab w:pos="633" w:val="left"/>
        </w:tabs>
        <w:bidi w:val="0"/>
        <w:spacing w:before="0" w:after="360" w:line="240" w:lineRule="auto"/>
        <w:ind w:left="0" w:right="0" w:firstLine="140"/>
        <w:jc w:val="left"/>
        <w:rPr>
          <w:sz w:val="20"/>
          <w:szCs w:val="20"/>
        </w:rPr>
      </w:pPr>
      <w:bookmarkStart w:id="1137" w:name="bookmark1137"/>
      <w:bookmarkEnd w:id="1137"/>
      <w:r>
        <w:rPr>
          <w:b/>
          <w:bCs/>
          <w:i w:val="0"/>
          <w:iCs w:val="0"/>
          <w:color w:val="000000"/>
          <w:spacing w:val="0"/>
          <w:w w:val="100"/>
          <w:position w:val="0"/>
          <w:sz w:val="20"/>
          <w:szCs w:val="20"/>
        </w:rPr>
        <w:t>未办妥产权证书的固定资产情况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兆丰国际</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r>
              <w:rPr>
                <w:color w:val="000000"/>
                <w:spacing w:val="0"/>
                <w:w w:val="100"/>
                <w:position w:val="0"/>
                <w:sz w:val="18"/>
                <w:szCs w:val="18"/>
              </w:rPr>
              <w:t>1106-1107</w:t>
            </w:r>
            <w:r>
              <w:rPr>
                <w:rFonts w:ascii="SimSun" w:eastAsia="SimSun" w:hAnsi="SimSun" w:cs="SimSun"/>
                <w:color w:val="000000"/>
                <w:spacing w:val="0"/>
                <w:w w:val="100"/>
                <w:position w:val="0"/>
                <w:sz w:val="17"/>
                <w:szCs w:val="17"/>
              </w:rPr>
              <w:t>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2,187,863.00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办理中</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其他说明：该房产系以前年度购买，未办妥证书系历史遗留问题。</w:t>
      </w:r>
    </w:p>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138" w:name="bookmark1138"/>
      <w:r>
        <w:rPr>
          <w:rFonts w:ascii="Times New Roman" w:eastAsia="Times New Roman" w:hAnsi="Times New Roman" w:cs="Times New Roman"/>
          <w:b/>
          <w:bCs/>
          <w:i w:val="0"/>
          <w:iCs w:val="0"/>
          <w:color w:val="000000"/>
          <w:spacing w:val="0"/>
          <w:w w:val="100"/>
          <w:position w:val="0"/>
          <w:sz w:val="20"/>
          <w:szCs w:val="20"/>
        </w:rPr>
        <w:t>2</w:t>
      </w:r>
      <w:bookmarkEnd w:id="1138"/>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、在建工程</w:t>
      </w:r>
    </w:p>
    <w:p>
      <w:pPr>
        <w:pStyle w:val="Style54"/>
        <w:keepNext w:val="0"/>
        <w:keepLines w:val="0"/>
        <w:widowControl w:val="0"/>
        <w:numPr>
          <w:ilvl w:val="0"/>
          <w:numId w:val="67"/>
        </w:numPr>
        <w:shd w:val="clear" w:color="auto" w:fill="auto"/>
        <w:bidi w:val="0"/>
        <w:spacing w:before="0" w:after="360" w:line="240" w:lineRule="auto"/>
        <w:ind w:left="0" w:right="0" w:firstLine="0"/>
        <w:jc w:val="left"/>
        <w:rPr>
          <w:sz w:val="20"/>
          <w:szCs w:val="20"/>
        </w:rPr>
      </w:pPr>
      <w:bookmarkStart w:id="1139" w:name="bookmark1139"/>
      <w:bookmarkEnd w:id="1139"/>
      <w:r>
        <w:rPr>
          <w:b/>
          <w:bCs/>
          <w:i w:val="0"/>
          <w:iCs w:val="0"/>
          <w:color w:val="000000"/>
          <w:spacing w:val="0"/>
          <w:w w:val="100"/>
          <w:position w:val="0"/>
          <w:sz w:val="20"/>
          <w:szCs w:val="20"/>
        </w:rPr>
        <w:t>在建工程情况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387"/>
        <w:gridCol w:w="1382"/>
        <w:gridCol w:w="1387"/>
        <w:gridCol w:w="1382"/>
        <w:gridCol w:w="1382"/>
        <w:gridCol w:w="139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场所</w:t>
            </w:r>
            <w:r>
              <w:rPr>
                <w:color w:val="000000"/>
                <w:spacing w:val="0"/>
                <w:w w:val="100"/>
                <w:position w:val="0"/>
              </w:rPr>
              <w:t>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23,294,560.00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23,294,560.00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场所</w:t>
            </w:r>
            <w:r>
              <w:rPr>
                <w:color w:val="000000"/>
                <w:spacing w:val="0"/>
                <w:w w:val="100"/>
                <w:position w:val="0"/>
              </w:rPr>
              <w:t>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23,295,900.00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23,295,900.00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场所</w:t>
            </w:r>
            <w:r>
              <w:rPr>
                <w:color w:val="000000"/>
                <w:spacing w:val="0"/>
                <w:w w:val="100"/>
                <w:position w:val="0"/>
              </w:rPr>
              <w:t>5107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17,688,670.00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17,688,670.00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场所</w:t>
            </w:r>
            <w:r>
              <w:rPr>
                <w:color w:val="000000"/>
                <w:spacing w:val="0"/>
                <w:w w:val="100"/>
                <w:position w:val="0"/>
              </w:rPr>
              <w:t>5108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17,690,010.00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17,690,010.00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充电桩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903,218.56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903,218.56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903,218.56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903,218.56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81,969,140.00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81,969,140.00</w:t>
            </w:r>
          </w:p>
        </w:tc>
      </w:tr>
    </w:tbl>
    <w:p>
      <w:pPr>
        <w:sectPr>
          <w:headerReference w:type="default" r:id="rId41"/>
          <w:footerReference w:type="default" r:id="rId42"/>
          <w:footnotePr>
            <w:pos w:val="pageBottom"/>
            <w:numFmt w:val="decimal"/>
            <w:numRestart w:val="continuous"/>
          </w:footnotePr>
          <w:pgSz w:w="11900" w:h="16840"/>
          <w:pgMar w:top="1470" w:right="1095" w:bottom="1748" w:left="1090" w:header="0" w:footer="3" w:gutter="0"/>
          <w:cols w:space="720"/>
          <w:noEndnote/>
          <w:rtlGutter w:val="0"/>
          <w:docGrid w:linePitch="360"/>
        </w:sectPr>
      </w:pPr>
    </w:p>
    <w:p>
      <w:pPr>
        <w:pStyle w:val="Style33"/>
        <w:keepNext/>
        <w:keepLines/>
        <w:widowControl w:val="0"/>
        <w:numPr>
          <w:ilvl w:val="0"/>
          <w:numId w:val="67"/>
        </w:numPr>
        <w:shd w:val="clear" w:color="auto" w:fill="auto"/>
        <w:bidi w:val="0"/>
        <w:spacing w:before="0" w:line="240" w:lineRule="auto"/>
        <w:ind w:left="0" w:right="0" w:firstLine="14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重要在建工程项目本期变动情况</w:t>
      </w:r>
      <w:bookmarkEnd w:id="1140"/>
      <w:bookmarkEnd w:id="1141"/>
      <w:bookmarkEnd w:id="1143"/>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021"/>
        <w:gridCol w:w="1277"/>
        <w:gridCol w:w="1277"/>
        <w:gridCol w:w="1277"/>
        <w:gridCol w:w="1133"/>
        <w:gridCol w:w="1282"/>
        <w:gridCol w:w="970"/>
        <w:gridCol w:w="778"/>
        <w:gridCol w:w="811"/>
        <w:gridCol w:w="806"/>
        <w:gridCol w:w="811"/>
        <w:gridCol w:w="811"/>
        <w:gridCol w:w="78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本期转入固 定资产金额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本期其他减少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工程累计 投入占预 算比例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利息资本</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化累计金</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期利息资 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本期利息 资本化率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绿地中心购办公场所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23,294,560.00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23,294,560.00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绿地中心购办公场所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23,295,900.00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23,295,900.00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绿地中心购办公场所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17,688,670.00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17,688,670.00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绿地中心购办公场所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17,690,010.00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17,690,010.00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19,346,257.00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19,346,257.00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2,237,214.00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2,237,214.00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19,310,094.00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19,310,094.00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2,234,371.00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2,234,371.00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19,346,257.00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19,346,257.00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19,063,456.00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19,063,456.00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上海旭弘</w:t>
            </w:r>
            <w:r>
              <w:rPr>
                <w:color w:val="000000"/>
                <w:spacing w:val="0"/>
                <w:w w:val="100"/>
                <w:position w:val="0"/>
              </w:rPr>
              <w:t>18#102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1,462,351.00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1,462,351.00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上海极富富力虹桥</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7,671,807.00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7,671,807.00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充电桩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903,218.56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903,218.56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81,969,140.00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91,575,025.56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172,640,947.00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903,218.56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43"/>
          <w:footerReference w:type="default" r:id="rId44"/>
          <w:footnotePr>
            <w:pos w:val="pageBottom"/>
            <w:numFmt w:val="decimal"/>
            <w:numRestart w:val="continuous"/>
          </w:footnotePr>
          <w:pgSz w:w="16840" w:h="11900" w:orient="landscape"/>
          <w:pgMar w:top="1158" w:right="1402" w:bottom="1363" w:left="1402" w:header="0" w:footer="3" w:gutter="0"/>
          <w:cols w:space="720"/>
          <w:noEndnote/>
          <w:rtlGutter w:val="0"/>
          <w:docGrid w:linePitch="360"/>
        </w:sectPr>
      </w:pPr>
    </w:p>
    <w:p>
      <w:pPr>
        <w:pStyle w:val="Style54"/>
        <w:keepNext w:val="0"/>
        <w:keepLines w:val="0"/>
        <w:widowControl w:val="0"/>
        <w:numPr>
          <w:ilvl w:val="0"/>
          <w:numId w:val="67"/>
        </w:numPr>
        <w:shd w:val="clear" w:color="auto" w:fill="auto"/>
        <w:bidi w:val="0"/>
        <w:spacing w:before="80" w:after="360" w:line="240" w:lineRule="auto"/>
        <w:ind w:left="0" w:right="0" w:firstLine="0"/>
        <w:jc w:val="left"/>
        <w:rPr>
          <w:sz w:val="20"/>
          <w:szCs w:val="20"/>
        </w:rPr>
      </w:pPr>
      <w:bookmarkStart w:id="1144" w:name="bookmark1144"/>
      <w:bookmarkEnd w:id="1144"/>
      <w:r>
        <w:rPr>
          <w:b/>
          <w:bCs/>
          <w:i w:val="0"/>
          <w:iCs w:val="0"/>
          <w:color w:val="000000"/>
          <w:spacing w:val="0"/>
          <w:w w:val="100"/>
          <w:position w:val="0"/>
          <w:sz w:val="20"/>
          <w:szCs w:val="20"/>
        </w:rPr>
        <w:t>本期计提在建工程减值准备情况：无。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145" w:name="bookmark1145"/>
      <w:r>
        <w:rPr>
          <w:rFonts w:ascii="Times New Roman" w:eastAsia="Times New Roman" w:hAnsi="Times New Roman" w:cs="Times New Roman"/>
          <w:b/>
          <w:bCs/>
          <w:i w:val="0"/>
          <w:iCs w:val="0"/>
          <w:color w:val="000000"/>
          <w:spacing w:val="0"/>
          <w:w w:val="100"/>
          <w:position w:val="0"/>
          <w:sz w:val="20"/>
          <w:szCs w:val="20"/>
        </w:rPr>
        <w:t>2</w:t>
      </w:r>
      <w:bookmarkEnd w:id="1145"/>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工程物资：无。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146" w:name="bookmark1146"/>
      <w:r>
        <w:rPr>
          <w:rFonts w:ascii="Times New Roman" w:eastAsia="Times New Roman" w:hAnsi="Times New Roman" w:cs="Times New Roman"/>
          <w:b/>
          <w:bCs/>
          <w:i w:val="0"/>
          <w:iCs w:val="0"/>
          <w:color w:val="000000"/>
          <w:spacing w:val="0"/>
          <w:w w:val="100"/>
          <w:position w:val="0"/>
          <w:sz w:val="20"/>
          <w:szCs w:val="20"/>
        </w:rPr>
        <w:t>2</w:t>
      </w:r>
      <w:bookmarkEnd w:id="1146"/>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固定资产清理：无。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147" w:name="bookmark1147"/>
      <w:r>
        <w:rPr>
          <w:rFonts w:ascii="Times New Roman" w:eastAsia="Times New Roman" w:hAnsi="Times New Roman" w:cs="Times New Roman"/>
          <w:b/>
          <w:bCs/>
          <w:i w:val="0"/>
          <w:iCs w:val="0"/>
          <w:color w:val="000000"/>
          <w:spacing w:val="0"/>
          <w:w w:val="100"/>
          <w:position w:val="0"/>
          <w:sz w:val="20"/>
          <w:szCs w:val="20"/>
        </w:rPr>
        <w:t>2</w:t>
      </w:r>
      <w:bookmarkEnd w:id="1147"/>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生产性生物资产</w:t>
      </w:r>
    </w:p>
    <w:p>
      <w:pPr>
        <w:pStyle w:val="Style54"/>
        <w:keepNext w:val="0"/>
        <w:keepLines w:val="0"/>
        <w:widowControl w:val="0"/>
        <w:numPr>
          <w:ilvl w:val="0"/>
          <w:numId w:val="69"/>
        </w:numPr>
        <w:shd w:val="clear" w:color="auto" w:fill="auto"/>
        <w:tabs>
          <w:tab w:pos="493" w:val="left"/>
        </w:tabs>
        <w:bidi w:val="0"/>
        <w:spacing w:before="0" w:after="360" w:line="240" w:lineRule="auto"/>
        <w:ind w:left="0" w:right="0" w:firstLine="0"/>
        <w:jc w:val="left"/>
        <w:rPr>
          <w:sz w:val="20"/>
          <w:szCs w:val="20"/>
        </w:rPr>
      </w:pPr>
      <w:bookmarkStart w:id="1148" w:name="bookmark1148"/>
      <w:bookmarkEnd w:id="1148"/>
      <w:r>
        <w:rPr>
          <w:b/>
          <w:bCs/>
          <w:i w:val="0"/>
          <w:iCs w:val="0"/>
          <w:color w:val="000000"/>
          <w:spacing w:val="0"/>
          <w:w w:val="100"/>
          <w:position w:val="0"/>
          <w:sz w:val="20"/>
          <w:szCs w:val="20"/>
        </w:rPr>
        <w:t>采用成本计量模式的生产性生物资产</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val="0"/>
        <w:keepLines w:val="0"/>
        <w:widowControl w:val="0"/>
        <w:numPr>
          <w:ilvl w:val="0"/>
          <w:numId w:val="69"/>
        </w:numPr>
        <w:shd w:val="clear" w:color="auto" w:fill="auto"/>
        <w:tabs>
          <w:tab w:pos="493" w:val="left"/>
        </w:tabs>
        <w:bidi w:val="0"/>
        <w:spacing w:before="0" w:after="360" w:line="240" w:lineRule="auto"/>
        <w:ind w:left="0" w:right="0" w:firstLine="0"/>
        <w:jc w:val="left"/>
        <w:rPr>
          <w:sz w:val="20"/>
          <w:szCs w:val="20"/>
        </w:rPr>
      </w:pPr>
      <w:bookmarkStart w:id="1149" w:name="bookmark1149"/>
      <w:bookmarkEnd w:id="1149"/>
      <w:r>
        <w:rPr>
          <w:b/>
          <w:bCs/>
          <w:i w:val="0"/>
          <w:iCs w:val="0"/>
          <w:color w:val="000000"/>
          <w:spacing w:val="0"/>
          <w:w w:val="100"/>
          <w:position w:val="0"/>
          <w:sz w:val="20"/>
          <w:szCs w:val="20"/>
        </w:rPr>
        <w:t>采用公允价值计量模式的生产性生物资产</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150" w:name="bookmark1150"/>
      <w:r>
        <w:rPr>
          <w:rFonts w:ascii="Times New Roman" w:eastAsia="Times New Roman" w:hAnsi="Times New Roman" w:cs="Times New Roman"/>
          <w:b/>
          <w:bCs/>
          <w:i w:val="0"/>
          <w:iCs w:val="0"/>
          <w:color w:val="000000"/>
          <w:spacing w:val="0"/>
          <w:w w:val="100"/>
          <w:position w:val="0"/>
          <w:sz w:val="20"/>
          <w:szCs w:val="20"/>
        </w:rPr>
        <w:t>2</w:t>
      </w:r>
      <w:bookmarkEnd w:id="1150"/>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油气资产</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151" w:name="bookmark1151"/>
      <w:r>
        <w:rPr>
          <w:rFonts w:ascii="Times New Roman" w:eastAsia="Times New Roman" w:hAnsi="Times New Roman" w:cs="Times New Roman"/>
          <w:b/>
          <w:bCs/>
          <w:i w:val="0"/>
          <w:iCs w:val="0"/>
          <w:color w:val="000000"/>
          <w:spacing w:val="0"/>
          <w:w w:val="100"/>
          <w:position w:val="0"/>
          <w:sz w:val="20"/>
          <w:szCs w:val="20"/>
        </w:rPr>
        <w:t>2</w:t>
      </w:r>
      <w:bookmarkEnd w:id="1151"/>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无形资产</w:t>
      </w:r>
    </w:p>
    <w:p>
      <w:pPr>
        <w:pStyle w:val="Style54"/>
        <w:keepNext w:val="0"/>
        <w:keepLines w:val="0"/>
        <w:widowControl w:val="0"/>
        <w:numPr>
          <w:ilvl w:val="0"/>
          <w:numId w:val="71"/>
        </w:numPr>
        <w:shd w:val="clear" w:color="auto" w:fill="auto"/>
        <w:bidi w:val="0"/>
        <w:spacing w:before="0" w:after="360" w:line="240" w:lineRule="auto"/>
        <w:ind w:left="0" w:right="0" w:firstLine="0"/>
        <w:jc w:val="left"/>
        <w:rPr>
          <w:sz w:val="20"/>
          <w:szCs w:val="20"/>
        </w:rPr>
      </w:pPr>
      <w:bookmarkStart w:id="1152" w:name="bookmark1152"/>
      <w:bookmarkEnd w:id="1152"/>
      <w:r>
        <w:rPr>
          <w:b/>
          <w:bCs/>
          <w:i w:val="0"/>
          <w:iCs w:val="0"/>
          <w:color w:val="000000"/>
          <w:spacing w:val="0"/>
          <w:w w:val="100"/>
          <w:position w:val="0"/>
          <w:sz w:val="20"/>
          <w:szCs w:val="20"/>
        </w:rPr>
        <w:t>无形资产情况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38"/>
        <w:gridCol w:w="1152"/>
        <w:gridCol w:w="1253"/>
        <w:gridCol w:w="1104"/>
        <w:gridCol w:w="1152"/>
        <w:gridCol w:w="1157"/>
        <w:gridCol w:w="787"/>
        <w:gridCol w:w="127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专有技术</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5,025,922.33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11,376,595.77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3,270,646.33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3,975,636.93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23,648,801.36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239,762.24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158,166.56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397,928.80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239,762.24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158,166.56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397,928.80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5,025,922.33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11,616,358.01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3,270,646.33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4,133,803.49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24,046,730.16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1,128,639.73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8,645,182.45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1,707,146.33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879,716.01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12,360,684.52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100,518.48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809,682.38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399,538.21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1,627,739.07</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100,518.48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809,682.38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399,538.21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1,627,739.07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838"/>
        <w:gridCol w:w="1152"/>
        <w:gridCol w:w="1253"/>
        <w:gridCol w:w="1104"/>
        <w:gridCol w:w="1152"/>
        <w:gridCol w:w="1157"/>
        <w:gridCol w:w="787"/>
        <w:gridCol w:w="127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1,229,158.21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9,454,864.83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2,025,146.33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1,279,254.22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13,988,423.59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3,796,764.12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2,161,493.18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1,245,500.00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2,854,549.27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10,058,306.57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3,897,282.60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2,731,413.32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1,563,500.00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3,095,920.92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11,288,116.84</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153" w:name="bookmark1153"/>
      <w:r>
        <w:rPr>
          <w:b/>
          <w:bCs/>
          <w:i w:val="0"/>
          <w:iCs w:val="0"/>
          <w:color w:val="000000"/>
          <w:spacing w:val="0"/>
          <w:w w:val="100"/>
          <w:position w:val="0"/>
          <w:sz w:val="20"/>
          <w:szCs w:val="20"/>
        </w:rPr>
        <w:t>（</w:t>
      </w:r>
      <w:bookmarkEnd w:id="1153"/>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）未办妥产权证书的土地使用权情况：无。</w:t>
      </w:r>
    </w:p>
    <w:p>
      <w:pPr>
        <w:pStyle w:val="Style54"/>
        <w:keepNext w:val="0"/>
        <w:keepLines w:val="0"/>
        <w:widowControl w:val="0"/>
        <w:shd w:val="clear" w:color="auto" w:fill="auto"/>
        <w:tabs>
          <w:tab w:pos="492" w:val="left"/>
        </w:tabs>
        <w:bidi w:val="0"/>
        <w:spacing w:before="0" w:after="360" w:line="240" w:lineRule="auto"/>
        <w:ind w:left="0" w:right="0" w:firstLine="0"/>
        <w:jc w:val="left"/>
        <w:rPr>
          <w:sz w:val="20"/>
          <w:szCs w:val="20"/>
        </w:rPr>
      </w:pPr>
      <w:bookmarkStart w:id="1154" w:name="bookmark1154"/>
      <w:r>
        <w:rPr>
          <w:rFonts w:ascii="Times New Roman" w:eastAsia="Times New Roman" w:hAnsi="Times New Roman" w:cs="Times New Roman"/>
          <w:b/>
          <w:bCs/>
          <w:i w:val="0"/>
          <w:iCs w:val="0"/>
          <w:color w:val="000000"/>
          <w:spacing w:val="0"/>
          <w:w w:val="100"/>
          <w:position w:val="0"/>
          <w:sz w:val="20"/>
          <w:szCs w:val="20"/>
        </w:rPr>
        <w:t>2</w:t>
      </w:r>
      <w:bookmarkEnd w:id="1154"/>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开发支出：无。</w:t>
      </w:r>
    </w:p>
    <w:p>
      <w:pPr>
        <w:pStyle w:val="Style54"/>
        <w:keepNext w:val="0"/>
        <w:keepLines w:val="0"/>
        <w:widowControl w:val="0"/>
        <w:shd w:val="clear" w:color="auto" w:fill="auto"/>
        <w:tabs>
          <w:tab w:pos="492" w:val="left"/>
        </w:tabs>
        <w:bidi w:val="0"/>
        <w:spacing w:before="0" w:after="360" w:line="240" w:lineRule="auto"/>
        <w:ind w:left="0" w:right="0" w:firstLine="0"/>
        <w:jc w:val="left"/>
        <w:rPr>
          <w:sz w:val="20"/>
          <w:szCs w:val="20"/>
        </w:rPr>
      </w:pPr>
      <w:bookmarkStart w:id="1155" w:name="bookmark1155"/>
      <w:r>
        <w:rPr>
          <w:rFonts w:ascii="Times New Roman" w:eastAsia="Times New Roman" w:hAnsi="Times New Roman" w:cs="Times New Roman"/>
          <w:b/>
          <w:bCs/>
          <w:i w:val="0"/>
          <w:iCs w:val="0"/>
          <w:color w:val="000000"/>
          <w:spacing w:val="0"/>
          <w:w w:val="100"/>
          <w:position w:val="0"/>
          <w:sz w:val="20"/>
          <w:szCs w:val="20"/>
        </w:rPr>
        <w:t>2</w:t>
      </w:r>
      <w:bookmarkEnd w:id="1155"/>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商誉</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156" w:name="bookmark1156"/>
      <w:r>
        <w:rPr>
          <w:b/>
          <w:bCs/>
          <w:i w:val="0"/>
          <w:iCs w:val="0"/>
          <w:color w:val="000000"/>
          <w:spacing w:val="0"/>
          <w:w w:val="100"/>
          <w:position w:val="0"/>
          <w:sz w:val="20"/>
          <w:szCs w:val="20"/>
        </w:rPr>
        <w:t>（</w:t>
      </w:r>
      <w:bookmarkEnd w:id="1156"/>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）商誉账面原值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2731"/>
        <w:gridCol w:w="2736"/>
        <w:gridCol w:w="1378"/>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 形成商誉的事项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r>
    </w:tbl>
    <w:p>
      <w:pPr>
        <w:widowControl w:val="0"/>
        <w:spacing w:after="299" w:line="1" w:lineRule="exact"/>
      </w:pPr>
    </w:p>
    <w:p>
      <w:pPr>
        <w:pStyle w:val="Style54"/>
        <w:keepNext w:val="0"/>
        <w:keepLines w:val="0"/>
        <w:widowControl w:val="0"/>
        <w:shd w:val="clear" w:color="auto" w:fill="auto"/>
        <w:bidi w:val="0"/>
        <w:spacing w:before="0" w:after="300" w:line="240" w:lineRule="auto"/>
        <w:ind w:left="0" w:right="0" w:firstLine="0"/>
        <w:jc w:val="left"/>
        <w:rPr>
          <w:sz w:val="20"/>
          <w:szCs w:val="20"/>
        </w:rPr>
      </w:pPr>
      <w:bookmarkStart w:id="1157" w:name="bookmark1157"/>
      <w:r>
        <w:rPr>
          <w:b/>
          <w:bCs/>
          <w:i w:val="0"/>
          <w:iCs w:val="0"/>
          <w:color w:val="000000"/>
          <w:spacing w:val="0"/>
          <w:w w:val="100"/>
          <w:position w:val="0"/>
          <w:sz w:val="20"/>
          <w:szCs w:val="20"/>
        </w:rPr>
        <w:t>（</w:t>
      </w:r>
      <w:bookmarkEnd w:id="1157"/>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）商誉减值准备</w:t>
      </w:r>
    </w:p>
    <w:p>
      <w:pPr>
        <w:pStyle w:val="Style29"/>
        <w:keepNext w:val="0"/>
        <w:keepLines w:val="0"/>
        <w:widowControl w:val="0"/>
        <w:shd w:val="clear" w:color="auto" w:fill="auto"/>
        <w:bidi w:val="0"/>
        <w:spacing w:before="0" w:line="302" w:lineRule="exact"/>
        <w:ind w:left="0" w:right="0" w:firstLine="0"/>
        <w:jc w:val="left"/>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line="302" w:lineRule="exact"/>
        <w:ind w:left="0" w:right="0"/>
        <w:jc w:val="left"/>
      </w:pPr>
      <w:r>
        <w:rPr>
          <w:color w:val="000000"/>
          <w:spacing w:val="0"/>
          <w:w w:val="100"/>
          <w:position w:val="0"/>
        </w:rPr>
        <w:t>本公司测试商誉减值严格按以下步骤执行：</w:t>
      </w:r>
    </w:p>
    <w:p>
      <w:pPr>
        <w:pStyle w:val="Style29"/>
        <w:keepNext w:val="0"/>
        <w:keepLines w:val="0"/>
        <w:widowControl w:val="0"/>
        <w:numPr>
          <w:ilvl w:val="0"/>
          <w:numId w:val="73"/>
        </w:numPr>
        <w:shd w:val="clear" w:color="auto" w:fill="auto"/>
        <w:tabs>
          <w:tab w:pos="681" w:val="left"/>
        </w:tabs>
        <w:bidi w:val="0"/>
        <w:spacing w:before="0" w:line="302" w:lineRule="exact"/>
        <w:ind w:left="0" w:right="0"/>
        <w:jc w:val="left"/>
      </w:pPr>
      <w:bookmarkStart w:id="1158" w:name="bookmark1158"/>
      <w:bookmarkEnd w:id="1158"/>
      <w:r>
        <w:rPr>
          <w:color w:val="000000"/>
          <w:spacing w:val="0"/>
          <w:w w:val="100"/>
          <w:position w:val="0"/>
        </w:rPr>
        <w:t>先计算不包含商誉在内的资产组是否发生减值；</w:t>
      </w:r>
    </w:p>
    <w:p>
      <w:pPr>
        <w:pStyle w:val="Style29"/>
        <w:keepNext w:val="0"/>
        <w:keepLines w:val="0"/>
        <w:widowControl w:val="0"/>
        <w:numPr>
          <w:ilvl w:val="0"/>
          <w:numId w:val="73"/>
        </w:numPr>
        <w:shd w:val="clear" w:color="auto" w:fill="auto"/>
        <w:tabs>
          <w:tab w:pos="700" w:val="left"/>
        </w:tabs>
        <w:bidi w:val="0"/>
        <w:spacing w:before="0" w:line="302" w:lineRule="exact"/>
        <w:ind w:left="0" w:right="0"/>
        <w:jc w:val="left"/>
      </w:pPr>
      <w:bookmarkStart w:id="1159" w:name="bookmark1159"/>
      <w:bookmarkEnd w:id="1159"/>
      <w:r>
        <w:rPr>
          <w:color w:val="000000"/>
          <w:spacing w:val="0"/>
          <w:w w:val="100"/>
          <w:position w:val="0"/>
        </w:rPr>
        <w:t>比较包含商誉在内的资产组的账面价值与包含商誉在内的资产组的可收回金额确定资产组的整体减值损失；</w:t>
      </w:r>
    </w:p>
    <w:p>
      <w:pPr>
        <w:pStyle w:val="Style29"/>
        <w:keepNext w:val="0"/>
        <w:keepLines w:val="0"/>
        <w:widowControl w:val="0"/>
        <w:numPr>
          <w:ilvl w:val="0"/>
          <w:numId w:val="73"/>
        </w:numPr>
        <w:shd w:val="clear" w:color="auto" w:fill="auto"/>
        <w:tabs>
          <w:tab w:pos="700" w:val="left"/>
        </w:tabs>
        <w:bidi w:val="0"/>
        <w:spacing w:before="0" w:line="302" w:lineRule="exact"/>
        <w:ind w:left="0" w:right="0"/>
        <w:jc w:val="left"/>
      </w:pPr>
      <w:bookmarkStart w:id="1160" w:name="bookmark1160"/>
      <w:bookmarkEnd w:id="1160"/>
      <w:r>
        <w:rPr>
          <w:color w:val="000000"/>
          <w:spacing w:val="0"/>
          <w:w w:val="100"/>
          <w:position w:val="0"/>
        </w:rPr>
        <w:t>计算出来的整体资产减值损失首先抵减商誉的账面价值，其余的减值再由子公司其他的可辨认资产来分担；</w:t>
      </w:r>
    </w:p>
    <w:p>
      <w:pPr>
        <w:pStyle w:val="Style29"/>
        <w:keepNext w:val="0"/>
        <w:keepLines w:val="0"/>
        <w:widowControl w:val="0"/>
        <w:numPr>
          <w:ilvl w:val="0"/>
          <w:numId w:val="73"/>
        </w:numPr>
        <w:shd w:val="clear" w:color="auto" w:fill="auto"/>
        <w:tabs>
          <w:tab w:pos="700" w:val="left"/>
        </w:tabs>
        <w:bidi w:val="0"/>
        <w:spacing w:before="0" w:line="302" w:lineRule="exact"/>
        <w:ind w:left="0" w:right="0"/>
        <w:jc w:val="left"/>
      </w:pPr>
      <w:bookmarkStart w:id="1161" w:name="bookmark1161"/>
      <w:bookmarkEnd w:id="1161"/>
      <w:r>
        <w:rPr>
          <w:color w:val="000000"/>
          <w:spacing w:val="0"/>
          <w:w w:val="100"/>
          <w:position w:val="0"/>
        </w:rPr>
        <w:t>但是合并报表中只反映母公司承担的商誉减值损失。</w:t>
      </w:r>
    </w:p>
    <w:p>
      <w:pPr>
        <w:pStyle w:val="Style29"/>
        <w:keepNext w:val="0"/>
        <w:keepLines w:val="0"/>
        <w:widowControl w:val="0"/>
        <w:shd w:val="clear" w:color="auto" w:fill="auto"/>
        <w:bidi w:val="0"/>
        <w:spacing w:before="0" w:after="300" w:line="302" w:lineRule="exact"/>
        <w:ind w:left="0" w:right="0" w:firstLine="0"/>
        <w:jc w:val="left"/>
      </w:pPr>
      <w:r>
        <w:rPr>
          <w:color w:val="000000"/>
          <w:spacing w:val="0"/>
          <w:w w:val="100"/>
          <w:position w:val="0"/>
        </w:rPr>
        <w:t>其他说明：商誉系公司子公司北京中汇联银支付的取得非同一控制下孙公司中汇同盈合并成本</w:t>
      </w:r>
      <w:r>
        <w:rPr>
          <w:rFonts w:ascii="Times New Roman" w:eastAsia="Times New Roman" w:hAnsi="Times New Roman" w:cs="Times New Roman"/>
          <w:color w:val="000000"/>
          <w:spacing w:val="0"/>
          <w:w w:val="100"/>
          <w:position w:val="0"/>
          <w:sz w:val="18"/>
          <w:szCs w:val="18"/>
        </w:rPr>
        <w:t>360,000.00</w:t>
      </w:r>
      <w:r>
        <w:rPr>
          <w:color w:val="000000"/>
          <w:spacing w:val="0"/>
          <w:w w:val="100"/>
          <w:position w:val="0"/>
        </w:rPr>
        <w:t>元与购买日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日取得的被购买方可辨认净资产公允价值</w:t>
      </w:r>
      <w:r>
        <w:rPr>
          <w:rFonts w:ascii="Times New Roman" w:eastAsia="Times New Roman" w:hAnsi="Times New Roman" w:cs="Times New Roman"/>
          <w:color w:val="000000"/>
          <w:spacing w:val="0"/>
          <w:w w:val="100"/>
          <w:position w:val="0"/>
          <w:sz w:val="18"/>
          <w:szCs w:val="18"/>
        </w:rPr>
        <w:t>27.42</w:t>
      </w:r>
      <w:r>
        <w:rPr>
          <w:color w:val="000000"/>
          <w:spacing w:val="0"/>
          <w:w w:val="100"/>
          <w:position w:val="0"/>
        </w:rPr>
        <w:t>元之间的差额。</w:t>
      </w:r>
      <w:r>
        <w:br w:type="page"/>
      </w:r>
    </w:p>
    <w:p>
      <w:pPr>
        <w:pStyle w:val="Style33"/>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bookmarkEnd w:id="116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62"/>
      <w:bookmarkEnd w:id="1163"/>
      <w:bookmarkEnd w:id="1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618"/>
        <w:gridCol w:w="1613"/>
        <w:gridCol w:w="1618"/>
        <w:gridCol w:w="1613"/>
        <w:gridCol w:w="162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房屋改造等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1,216,031.56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136,214.20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769,486.65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582,759.11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1,216,031.56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136,214.20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769,486.65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582,759.11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6"/>
      <w:bookmarkEnd w:id="1167"/>
      <w:bookmarkEnd w:id="1169"/>
    </w:p>
    <w:p>
      <w:pPr>
        <w:pStyle w:val="Style33"/>
        <w:keepNext/>
        <w:keepLines/>
        <w:widowControl w:val="0"/>
        <w:numPr>
          <w:ilvl w:val="0"/>
          <w:numId w:val="75"/>
        </w:numPr>
        <w:shd w:val="clear" w:color="auto" w:fill="auto"/>
        <w:bidi w:val="0"/>
        <w:spacing w:before="0" w:line="240" w:lineRule="auto"/>
        <w:ind w:left="0" w:right="0" w:firstLine="140"/>
        <w:jc w:val="left"/>
      </w:pPr>
      <w:bookmarkStart w:id="1166" w:name="bookmark1166"/>
      <w:bookmarkStart w:id="1167" w:name="bookmark1167"/>
      <w:bookmarkStart w:id="1170" w:name="bookmark1170"/>
      <w:bookmarkStart w:id="1171" w:name="bookmark1171"/>
      <w:bookmarkEnd w:id="1170"/>
      <w:r>
        <w:rPr>
          <w:color w:val="000000"/>
          <w:spacing w:val="0"/>
          <w:w w:val="100"/>
          <w:position w:val="0"/>
        </w:rPr>
        <w:t>未经抵销的递延所得税资产</w:t>
      </w:r>
      <w:bookmarkEnd w:id="1166"/>
      <w:bookmarkEnd w:id="1167"/>
      <w:bookmarkEnd w:id="1171"/>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944"/>
        <w:gridCol w:w="1944"/>
        <w:gridCol w:w="1939"/>
        <w:gridCol w:w="1939"/>
        <w:gridCol w:w="19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39,203,760.92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5,880,564.14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39,485,730.98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5,927,733.85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19,426,974.52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3,073,314.42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16,346,489.35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2,451,973.40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43,322,661.38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6,498,399.21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7,492,626.92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1,123,894.04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16,143,162.53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2,421,474.38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8,274,020.60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1,241,103.09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118,096,559.35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17,873,752.15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71,598,867.85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10,744,704.38</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24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color w:val="000000"/>
          <w:spacing w:val="0"/>
          <w:w w:val="100"/>
          <w:position w:val="0"/>
        </w:rPr>
        <w:t>)未经抵销的递延所得税负债</w:t>
      </w:r>
      <w:bookmarkEnd w:id="1172"/>
      <w:bookmarkEnd w:id="1173"/>
      <w:bookmarkEnd w:id="1175"/>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731"/>
        <w:gridCol w:w="1843"/>
        <w:gridCol w:w="1699"/>
        <w:gridCol w:w="1843"/>
        <w:gridCol w:w="159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70,501,847.13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13,558,623.34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27,088,746.00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4,063,311.90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权益法确认的有限合伙企业收益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13,486,116.06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2,022,917.41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未实现理财收益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3,987,912.05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598,186.81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87,975,875.24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16,179,727.56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27,088,746.00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4,063,311.90</w:t>
            </w:r>
          </w:p>
        </w:tc>
      </w:tr>
    </w:tbl>
    <w:p>
      <w:pPr>
        <w:widowControl w:val="0"/>
        <w:spacing w:after="359" w:line="1" w:lineRule="exact"/>
      </w:pPr>
    </w:p>
    <w:p>
      <w:pPr>
        <w:pStyle w:val="Style33"/>
        <w:keepNext/>
        <w:keepLines/>
        <w:widowControl w:val="0"/>
        <w:numPr>
          <w:ilvl w:val="0"/>
          <w:numId w:val="69"/>
        </w:numPr>
        <w:shd w:val="clear" w:color="auto" w:fill="auto"/>
        <w:bidi w:val="0"/>
        <w:spacing w:before="0" w:line="240" w:lineRule="auto"/>
        <w:ind w:left="0" w:right="0" w:firstLine="14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未确认递延所得税资产明细</w:t>
      </w:r>
      <w:bookmarkEnd w:id="1176"/>
      <w:bookmarkEnd w:id="1177"/>
      <w:bookmarkEnd w:id="1179"/>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1,138,613.52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1,137,571.44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11,879,429.50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6,682,243.71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13,018,043.02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7,819,815.15</w:t>
            </w:r>
          </w:p>
        </w:tc>
      </w:tr>
    </w:tbl>
    <w:p>
      <w:pPr>
        <w:spacing w:lineRule="exact" w:line="1"/>
        <w:rPr>
          <w:sz w:val="2"/>
          <w:szCs w:val="2"/>
        </w:rPr>
      </w:pPr>
      <w:r>
        <w:br w:type="page"/>
      </w:r>
    </w:p>
    <w:p>
      <w:pPr>
        <w:pStyle w:val="Style33"/>
        <w:keepNext/>
        <w:keepLines/>
        <w:widowControl w:val="0"/>
        <w:numPr>
          <w:ilvl w:val="0"/>
          <w:numId w:val="69"/>
        </w:numPr>
        <w:shd w:val="clear" w:color="auto" w:fill="auto"/>
        <w:bidi w:val="0"/>
        <w:spacing w:before="0" w:after="380" w:line="240" w:lineRule="auto"/>
        <w:ind w:left="0" w:right="0" w:firstLine="14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未确认递延所得税资产的可抵扣亏损将于以下年度到期</w:t>
      </w:r>
      <w:bookmarkEnd w:id="1180"/>
      <w:bookmarkEnd w:id="1181"/>
      <w:bookmarkEnd w:id="11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433,308.58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389,046.23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389,046.23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442,271.09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442,271.09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418,219.11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385,523.03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524,750.35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2,514,148.47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7,598,548.72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2,506,594.00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2,517,946.31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11,879,429.50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6,682,243.71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84"/>
      <w:bookmarkEnd w:id="1185"/>
      <w:bookmarkEnd w:id="1187"/>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5,256,696.97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预付购买办公场所款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41,503,500.00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预付停车位费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5,288,696.97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43,503,500.00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88"/>
      <w:bookmarkEnd w:id="1189"/>
      <w:bookmarkEnd w:id="1191"/>
    </w:p>
    <w:p>
      <w:pPr>
        <w:pStyle w:val="Style33"/>
        <w:keepNext/>
        <w:keepLines/>
        <w:widowControl w:val="0"/>
        <w:numPr>
          <w:ilvl w:val="0"/>
          <w:numId w:val="77"/>
        </w:numPr>
        <w:shd w:val="clear" w:color="auto" w:fill="auto"/>
        <w:bidi w:val="0"/>
        <w:spacing w:before="0" w:after="380" w:line="240" w:lineRule="auto"/>
        <w:ind w:left="0" w:right="0" w:firstLine="140"/>
        <w:jc w:val="left"/>
      </w:pPr>
      <w:bookmarkStart w:id="1188" w:name="bookmark1188"/>
      <w:bookmarkStart w:id="1189" w:name="bookmark1189"/>
      <w:bookmarkStart w:id="1192" w:name="bookmark1192"/>
      <w:bookmarkStart w:id="1193" w:name="bookmark1193"/>
      <w:bookmarkEnd w:id="1192"/>
      <w:r>
        <w:rPr>
          <w:color w:val="000000"/>
          <w:spacing w:val="0"/>
          <w:w w:val="100"/>
          <w:position w:val="0"/>
        </w:rPr>
        <w:t>短期借款分类</w:t>
      </w:r>
      <w:bookmarkEnd w:id="1188"/>
      <w:bookmarkEnd w:id="1189"/>
      <w:bookmarkEnd w:id="1193"/>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35"/>
        <w:gridCol w:w="3240"/>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53,650,554.82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53,650,554.82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平安银行股份有限公司深圳分行同本公司签订合同编号为《平银龙岗额字</w:t>
      </w:r>
      <w:r>
        <w:rPr>
          <w:rFonts w:ascii="Times New Roman" w:eastAsia="Times New Roman" w:hAnsi="Times New Roman" w:cs="Times New Roman"/>
          <w:color w:val="000000"/>
          <w:spacing w:val="0"/>
          <w:w w:val="100"/>
          <w:position w:val="0"/>
          <w:sz w:val="18"/>
          <w:szCs w:val="18"/>
        </w:rPr>
        <w:t>20160829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号》的授信合同，合同约定本 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日期间，可以向平安银行股份有限公司深圳分行申请不超过</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元综合授 信额度，额度使用仅限于采购原材料及日常经营周转，贷款利率为贷款发放日的人民银行同档次贷款基准利率上浮</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 截止资产负债表日，本公司已向平安银行股份有限公司深圳分行申请贷款</w:t>
      </w:r>
      <w:r>
        <w:rPr>
          <w:rFonts w:ascii="Times New Roman" w:eastAsia="Times New Roman" w:hAnsi="Times New Roman" w:cs="Times New Roman"/>
          <w:color w:val="000000"/>
          <w:spacing w:val="0"/>
          <w:w w:val="100"/>
          <w:position w:val="0"/>
          <w:sz w:val="18"/>
          <w:szCs w:val="18"/>
        </w:rPr>
        <w:t>53,650,554.8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元。本公司为本次贷款提供抵押保证, </w:t>
      </w:r>
      <w:r>
        <w:rPr>
          <w:color w:val="000000"/>
          <w:spacing w:val="0"/>
          <w:w w:val="100"/>
          <w:position w:val="0"/>
        </w:rPr>
        <w:t>抵押合同编号为《平银龙岗额字</w:t>
      </w:r>
      <w:r>
        <w:rPr>
          <w:rFonts w:ascii="Times New Roman" w:eastAsia="Times New Roman" w:hAnsi="Times New Roman" w:cs="Times New Roman"/>
          <w:color w:val="000000"/>
          <w:spacing w:val="0"/>
          <w:w w:val="100"/>
          <w:position w:val="0"/>
          <w:sz w:val="18"/>
          <w:szCs w:val="18"/>
        </w:rPr>
        <w:t>20160829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号》。本次抵押物为位于深圳市大工业区兰景路以东、锦绣路以南惠程科技 工业厂区办公楼、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号厂房、厂房、宿舍楼房地产，《房地产证》号为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深房地字第</w:t>
      </w:r>
      <w:r>
        <w:rPr>
          <w:rFonts w:ascii="Times New Roman" w:eastAsia="Times New Roman" w:hAnsi="Times New Roman" w:cs="Times New Roman"/>
          <w:color w:val="000000"/>
          <w:spacing w:val="0"/>
          <w:w w:val="100"/>
          <w:position w:val="0"/>
          <w:sz w:val="18"/>
          <w:szCs w:val="18"/>
        </w:rPr>
        <w:t>6000495405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numPr>
          <w:ilvl w:val="0"/>
          <w:numId w:val="77"/>
        </w:numPr>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已逾期未偿还的短期借款情况：无。</w:t>
      </w:r>
      <w:bookmarkEnd w:id="1194"/>
      <w:bookmarkEnd w:id="1195"/>
      <w:bookmarkEnd w:id="1197"/>
    </w:p>
    <w:p>
      <w:pPr>
        <w:pStyle w:val="Style33"/>
        <w:keepNext/>
        <w:keepLines/>
        <w:widowControl w:val="0"/>
        <w:shd w:val="clear" w:color="auto" w:fill="auto"/>
        <w:tabs>
          <w:tab w:pos="483" w:val="left"/>
        </w:tabs>
        <w:bidi w:val="0"/>
        <w:spacing w:before="0" w:after="380" w:line="240" w:lineRule="auto"/>
        <w:ind w:left="0" w:right="0" w:firstLine="0"/>
        <w:jc w:val="left"/>
      </w:pPr>
      <w:bookmarkStart w:id="1194" w:name="bookmark1194"/>
      <w:bookmarkStart w:id="1195" w:name="bookmark1195"/>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以公允价值计量且其变动计入当期损益的金融负债：无。</w:t>
      </w:r>
      <w:bookmarkEnd w:id="1194"/>
      <w:bookmarkEnd w:id="1195"/>
      <w:bookmarkEnd w:id="1199"/>
    </w:p>
    <w:p>
      <w:pPr>
        <w:pStyle w:val="Style33"/>
        <w:keepNext/>
        <w:keepLines/>
        <w:widowControl w:val="0"/>
        <w:shd w:val="clear" w:color="auto" w:fill="auto"/>
        <w:tabs>
          <w:tab w:pos="483" w:val="left"/>
        </w:tabs>
        <w:bidi w:val="0"/>
        <w:spacing w:before="0" w:after="380" w:line="240" w:lineRule="auto"/>
        <w:ind w:left="0" w:right="0" w:firstLine="0"/>
        <w:jc w:val="left"/>
      </w:pPr>
      <w:bookmarkStart w:id="1194" w:name="bookmark1194"/>
      <w:bookmarkStart w:id="1195" w:name="bookmark1195"/>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194"/>
      <w:bookmarkEnd w:id="1195"/>
      <w:bookmarkEnd w:id="1201"/>
    </w:p>
    <w:p>
      <w:pPr>
        <w:pStyle w:val="Style29"/>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02"/>
      <w:bookmarkEnd w:id="1203"/>
      <w:bookmarkEnd w:id="12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34,501,968.28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11,372,048.74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34,501,968.28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11,372,048.74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06"/>
      <w:bookmarkEnd w:id="1207"/>
      <w:bookmarkEnd w:id="1209"/>
    </w:p>
    <w:p>
      <w:pPr>
        <w:pStyle w:val="Style33"/>
        <w:keepNext/>
        <w:keepLines/>
        <w:widowControl w:val="0"/>
        <w:numPr>
          <w:ilvl w:val="0"/>
          <w:numId w:val="79"/>
        </w:numPr>
        <w:shd w:val="clear" w:color="auto" w:fill="auto"/>
        <w:bidi w:val="0"/>
        <w:spacing w:before="0" w:after="380" w:line="240" w:lineRule="auto"/>
        <w:ind w:left="0" w:right="0" w:firstLine="140"/>
        <w:jc w:val="left"/>
      </w:pPr>
      <w:bookmarkStart w:id="1206" w:name="bookmark1206"/>
      <w:bookmarkStart w:id="1207" w:name="bookmark1207"/>
      <w:bookmarkStart w:id="1210" w:name="bookmark1210"/>
      <w:bookmarkStart w:id="1211" w:name="bookmark1211"/>
      <w:bookmarkEnd w:id="1210"/>
      <w:r>
        <w:rPr>
          <w:color w:val="000000"/>
          <w:spacing w:val="0"/>
          <w:w w:val="100"/>
          <w:position w:val="0"/>
        </w:rPr>
        <w:t>应付账款列示</w:t>
      </w:r>
      <w:bookmarkEnd w:id="1206"/>
      <w:bookmarkEnd w:id="1207"/>
      <w:bookmarkEnd w:id="1211"/>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72,626,449.67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31,544,629.98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1,321,541.17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5,551,550.29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94,046.38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5,165,314.19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3,528,916.54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2,459,254.76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77,570,953.76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44,720,749.22</w:t>
            </w:r>
          </w:p>
        </w:tc>
      </w:tr>
    </w:tbl>
    <w:p>
      <w:pPr>
        <w:widowControl w:val="0"/>
        <w:spacing w:after="299" w:line="1" w:lineRule="exact"/>
      </w:pPr>
    </w:p>
    <w:p>
      <w:pPr>
        <w:pStyle w:val="Style33"/>
        <w:keepNext/>
        <w:keepLines/>
        <w:widowControl w:val="0"/>
        <w:numPr>
          <w:ilvl w:val="0"/>
          <w:numId w:val="79"/>
        </w:numPr>
        <w:shd w:val="clear" w:color="auto" w:fill="auto"/>
        <w:bidi w:val="0"/>
        <w:spacing w:before="0" w:after="380" w:line="240" w:lineRule="auto"/>
        <w:ind w:left="0" w:right="0" w:firstLine="14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2"/>
      <w:bookmarkEnd w:id="1213"/>
      <w:bookmarkEnd w:id="1215"/>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河南华盛隆源电气有限公司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1,015,127.92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浙江群力电气有限公司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3,404,464.18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未到期尚未结算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4,419,592.10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r>
        <w:br w:type="page"/>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216" w:name="bookmark1216"/>
      <w:r>
        <w:rPr>
          <w:rFonts w:ascii="Times New Roman" w:eastAsia="Times New Roman" w:hAnsi="Times New Roman" w:cs="Times New Roman"/>
          <w:b/>
          <w:bCs/>
          <w:i w:val="0"/>
          <w:iCs w:val="0"/>
          <w:color w:val="000000"/>
          <w:spacing w:val="0"/>
          <w:w w:val="100"/>
          <w:position w:val="0"/>
          <w:sz w:val="20"/>
          <w:szCs w:val="20"/>
        </w:rPr>
        <w:t>3</w:t>
      </w:r>
      <w:bookmarkEnd w:id="1216"/>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、预收款项</w:t>
      </w:r>
    </w:p>
    <w:p>
      <w:pPr>
        <w:pStyle w:val="Style54"/>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）预收款项列示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3,297,605.88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2,621,668.70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344,763.68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195,745.85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101,260.50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171,569.81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3,642,369.56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3,090,244.86</w:t>
            </w:r>
          </w:p>
        </w:tc>
      </w:tr>
    </w:tbl>
    <w:p>
      <w:pPr>
        <w:widowControl w:val="0"/>
        <w:spacing w:after="359" w:line="1" w:lineRule="exact"/>
      </w:pP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217" w:name="bookmark1217"/>
      <w:r>
        <w:rPr>
          <w:b/>
          <w:bCs/>
          <w:i w:val="0"/>
          <w:iCs w:val="0"/>
          <w:color w:val="000000"/>
          <w:spacing w:val="0"/>
          <w:w w:val="100"/>
          <w:position w:val="0"/>
          <w:sz w:val="20"/>
          <w:szCs w:val="20"/>
        </w:rPr>
        <w:t>（</w:t>
      </w:r>
      <w:bookmarkEnd w:id="1217"/>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账龄超过</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年的重要预收款项：无。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218" w:name="bookmark1218"/>
      <w:r>
        <w:rPr>
          <w:b/>
          <w:bCs/>
          <w:i w:val="0"/>
          <w:iCs w:val="0"/>
          <w:color w:val="000000"/>
          <w:spacing w:val="0"/>
          <w:w w:val="100"/>
          <w:position w:val="0"/>
          <w:sz w:val="20"/>
          <w:szCs w:val="20"/>
        </w:rPr>
        <w:t>（</w:t>
      </w:r>
      <w:bookmarkEnd w:id="1218"/>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期末建造合同形成的已结算未完工项目情况：无。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219" w:name="bookmark1219"/>
      <w:r>
        <w:rPr>
          <w:rFonts w:ascii="Times New Roman" w:eastAsia="Times New Roman" w:hAnsi="Times New Roman" w:cs="Times New Roman"/>
          <w:b/>
          <w:bCs/>
          <w:i w:val="0"/>
          <w:iCs w:val="0"/>
          <w:color w:val="000000"/>
          <w:spacing w:val="0"/>
          <w:w w:val="100"/>
          <w:position w:val="0"/>
          <w:sz w:val="20"/>
          <w:szCs w:val="20"/>
        </w:rPr>
        <w:t>3</w:t>
      </w:r>
      <w:bookmarkEnd w:id="1219"/>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、应付职工薪酬</w:t>
      </w:r>
    </w:p>
    <w:p>
      <w:pPr>
        <w:pStyle w:val="Style54"/>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）应付职工薪酬列示</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592"/>
        <w:gridCol w:w="1843"/>
        <w:gridCol w:w="1843"/>
        <w:gridCol w:w="1699"/>
        <w:gridCol w:w="17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7,965,301.51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51,984,710.54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51,271,759.57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8,678,252.48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4,261,557.19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4,249,540.93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269,173.71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269,173.71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四、一年内到期的其他福利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7,980,444.51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56,515,441.44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55,790,474.21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8,705,411.74</w:t>
            </w:r>
          </w:p>
        </w:tc>
      </w:tr>
    </w:tbl>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140"/>
        <w:jc w:val="left"/>
        <w:rPr>
          <w:sz w:val="20"/>
          <w:szCs w:val="20"/>
        </w:rPr>
      </w:pPr>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）短期薪酬列示</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587"/>
        <w:gridCol w:w="1848"/>
        <w:gridCol w:w="1838"/>
        <w:gridCol w:w="1704"/>
        <w:gridCol w:w="17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7,899,704.13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44,752,862.00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44,075,917.89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8,576,648.24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1,475,281.84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1,475,281.84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1,451,106.51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1,439,694.87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1,162,827.73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1,152,357.24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157,153.46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157,049.96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131,125.32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130,287.67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1,120.04</w:t>
            </w:r>
          </w:p>
        </w:tc>
      </w:tr>
    </w:tbl>
    <w:p>
      <w:pPr>
        <w:spacing w:lineRule="exact" w:line="1"/>
        <w:rPr>
          <w:sz w:val="2"/>
          <w:szCs w:val="2"/>
        </w:rPr>
      </w:pPr>
      <w:r>
        <w:br w:type="page"/>
      </w:r>
    </w:p>
    <w:tbl>
      <w:tblPr>
        <w:tblOverlap w:val="never"/>
        <w:jc w:val="center"/>
        <w:tblLayout w:type="fixed"/>
      </w:tblPr>
      <w:tblGrid>
        <w:gridCol w:w="2587"/>
        <w:gridCol w:w="1848"/>
        <w:gridCol w:w="1838"/>
        <w:gridCol w:w="1704"/>
        <w:gridCol w:w="17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3,222,760.60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3,227,640.60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56,728.58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1,082,699.59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1,053,224.37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7,965,301.51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51,984,710.54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51,271,759.57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8,678,252.48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20"/>
      <w:bookmarkEnd w:id="1221"/>
      <w:bookmarkEnd w:id="12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1848"/>
        <w:gridCol w:w="1838"/>
        <w:gridCol w:w="1704"/>
        <w:gridCol w:w="17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13,686.00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4,091,159.91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4,078,783.99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26,061.92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170,397.28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170,756.94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15,143.00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4,261,557.19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4,249,540.93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27,159.26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24"/>
      <w:bookmarkEnd w:id="1225"/>
      <w:bookmarkEnd w:id="12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5,947,512.41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2,669,516.61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10,675,728.02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809,822.13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167,792.24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363,311.50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192,244.10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257,907.30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137,317.23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220,711.36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202,085.07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46,879.48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2,175,412.51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9,839,416.91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14,112,874.55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28"/>
      <w:bookmarkEnd w:id="1229"/>
      <w:bookmarkEnd w:id="1231"/>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68,404.96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重要的已逾期未支付的利息情况：无。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2" w:name="bookmark1232"/>
      <w:r>
        <w:rPr>
          <w:rFonts w:ascii="Times New Roman" w:eastAsia="Times New Roman" w:hAnsi="Times New Roman" w:cs="Times New Roman"/>
          <w:b/>
          <w:bCs/>
          <w:i w:val="0"/>
          <w:iCs w:val="0"/>
          <w:color w:val="000000"/>
          <w:spacing w:val="0"/>
          <w:w w:val="100"/>
          <w:position w:val="0"/>
          <w:sz w:val="20"/>
          <w:szCs w:val="20"/>
        </w:rPr>
        <w:t>4</w:t>
      </w:r>
      <w:bookmarkEnd w:id="1232"/>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应付股利：无。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3" w:name="bookmark1233"/>
      <w:r>
        <w:rPr>
          <w:rFonts w:ascii="Times New Roman" w:eastAsia="Times New Roman" w:hAnsi="Times New Roman" w:cs="Times New Roman"/>
          <w:b/>
          <w:bCs/>
          <w:i w:val="0"/>
          <w:iCs w:val="0"/>
          <w:color w:val="000000"/>
          <w:spacing w:val="0"/>
          <w:w w:val="100"/>
          <w:position w:val="0"/>
          <w:sz w:val="20"/>
          <w:szCs w:val="20"/>
        </w:rPr>
        <w:t>4</w:t>
      </w:r>
      <w:bookmarkEnd w:id="1233"/>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其他应付款</w:t>
      </w:r>
    </w:p>
    <w:p>
      <w:pPr>
        <w:pStyle w:val="Style54"/>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)按款项性质列示其他应付款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463,253,424.80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81,762,800.00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16,143,162.53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8,835,427.52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974,743.27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1,300,078.54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596,037.73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311,492.00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322,634.00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194,245.47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股份支付激励对象认购款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51,168,000.00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81,531.43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color w:val="000000"/>
                <w:spacing w:val="0"/>
                <w:w w:val="100"/>
                <w:position w:val="0"/>
              </w:rPr>
              <w:t>373,634.96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321,363.36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481,928,272.19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143,710,303.42</w:t>
            </w:r>
          </w:p>
        </w:tc>
      </w:tr>
    </w:tbl>
    <w:p>
      <w:pPr>
        <w:widowControl w:val="0"/>
        <w:spacing w:after="359" w:line="1" w:lineRule="exact"/>
      </w:pPr>
    </w:p>
    <w:p>
      <w:pPr>
        <w:pStyle w:val="Style54"/>
        <w:keepNext w:val="0"/>
        <w:keepLines w:val="0"/>
        <w:widowControl w:val="0"/>
        <w:shd w:val="clear" w:color="auto" w:fill="auto"/>
        <w:bidi w:val="0"/>
        <w:spacing w:before="0" w:after="360" w:line="240" w:lineRule="auto"/>
        <w:ind w:left="0" w:right="0" w:firstLine="140"/>
        <w:jc w:val="left"/>
        <w:rPr>
          <w:sz w:val="20"/>
          <w:szCs w:val="20"/>
        </w:rPr>
      </w:pPr>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)账龄超过</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年的重要其他应付款</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35"/>
        <w:gridCol w:w="2616"/>
        <w:gridCol w:w="38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59,276,318.00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系员工股权激励限制性股票回购义务未解除所致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59,276,318.00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4" w:name="bookmark1234"/>
      <w:r>
        <w:rPr>
          <w:rFonts w:ascii="Times New Roman" w:eastAsia="Times New Roman" w:hAnsi="Times New Roman" w:cs="Times New Roman"/>
          <w:b/>
          <w:bCs/>
          <w:i w:val="0"/>
          <w:iCs w:val="0"/>
          <w:color w:val="000000"/>
          <w:spacing w:val="0"/>
          <w:w w:val="100"/>
          <w:position w:val="0"/>
          <w:sz w:val="20"/>
          <w:szCs w:val="20"/>
        </w:rPr>
        <w:t>4</w:t>
      </w:r>
      <w:bookmarkEnd w:id="1234"/>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划分为持有待售的负债：无。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5" w:name="bookmark1235"/>
      <w:r>
        <w:rPr>
          <w:rFonts w:ascii="Times New Roman" w:eastAsia="Times New Roman" w:hAnsi="Times New Roman" w:cs="Times New Roman"/>
          <w:b/>
          <w:bCs/>
          <w:i w:val="0"/>
          <w:iCs w:val="0"/>
          <w:color w:val="000000"/>
          <w:spacing w:val="0"/>
          <w:w w:val="100"/>
          <w:position w:val="0"/>
          <w:sz w:val="20"/>
          <w:szCs w:val="20"/>
        </w:rPr>
        <w:t>4</w:t>
      </w:r>
      <w:bookmarkEnd w:id="1235"/>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一年内到期的非流动负债：无。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6" w:name="bookmark1236"/>
      <w:r>
        <w:rPr>
          <w:rFonts w:ascii="Times New Roman" w:eastAsia="Times New Roman" w:hAnsi="Times New Roman" w:cs="Times New Roman"/>
          <w:b/>
          <w:bCs/>
          <w:i w:val="0"/>
          <w:iCs w:val="0"/>
          <w:color w:val="000000"/>
          <w:spacing w:val="0"/>
          <w:w w:val="100"/>
          <w:position w:val="0"/>
          <w:sz w:val="20"/>
          <w:szCs w:val="20"/>
        </w:rPr>
        <w:t>4</w:t>
      </w:r>
      <w:bookmarkEnd w:id="1236"/>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其他流动负债：无。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7" w:name="bookmark1237"/>
      <w:r>
        <w:rPr>
          <w:rFonts w:ascii="Times New Roman" w:eastAsia="Times New Roman" w:hAnsi="Times New Roman" w:cs="Times New Roman"/>
          <w:b/>
          <w:bCs/>
          <w:i w:val="0"/>
          <w:iCs w:val="0"/>
          <w:color w:val="000000"/>
          <w:spacing w:val="0"/>
          <w:w w:val="100"/>
          <w:position w:val="0"/>
          <w:sz w:val="20"/>
          <w:szCs w:val="20"/>
        </w:rPr>
        <w:t>4</w:t>
      </w:r>
      <w:bookmarkEnd w:id="1237"/>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长期借款：无。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8" w:name="bookmark1238"/>
      <w:r>
        <w:rPr>
          <w:rFonts w:ascii="Times New Roman" w:eastAsia="Times New Roman" w:hAnsi="Times New Roman" w:cs="Times New Roman"/>
          <w:b/>
          <w:bCs/>
          <w:i w:val="0"/>
          <w:iCs w:val="0"/>
          <w:color w:val="000000"/>
          <w:spacing w:val="0"/>
          <w:w w:val="100"/>
          <w:position w:val="0"/>
          <w:sz w:val="20"/>
          <w:szCs w:val="20"/>
        </w:rPr>
        <w:t>4</w:t>
      </w:r>
      <w:bookmarkEnd w:id="1238"/>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应付债券：无。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39" w:name="bookmark1239"/>
      <w:r>
        <w:rPr>
          <w:rFonts w:ascii="Times New Roman" w:eastAsia="Times New Roman" w:hAnsi="Times New Roman" w:cs="Times New Roman"/>
          <w:b/>
          <w:bCs/>
          <w:i w:val="0"/>
          <w:iCs w:val="0"/>
          <w:color w:val="000000"/>
          <w:spacing w:val="0"/>
          <w:w w:val="100"/>
          <w:position w:val="0"/>
          <w:sz w:val="20"/>
          <w:szCs w:val="20"/>
        </w:rPr>
        <w:t>4</w:t>
      </w:r>
      <w:bookmarkEnd w:id="1239"/>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长期应付款：无。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40" w:name="bookmark1240"/>
      <w:r>
        <w:rPr>
          <w:rFonts w:ascii="Times New Roman" w:eastAsia="Times New Roman" w:hAnsi="Times New Roman" w:cs="Times New Roman"/>
          <w:b/>
          <w:bCs/>
          <w:i w:val="0"/>
          <w:iCs w:val="0"/>
          <w:color w:val="000000"/>
          <w:spacing w:val="0"/>
          <w:w w:val="100"/>
          <w:position w:val="0"/>
          <w:sz w:val="20"/>
          <w:szCs w:val="20"/>
        </w:rPr>
        <w:t>4</w:t>
      </w:r>
      <w:bookmarkEnd w:id="1240"/>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长期应付职工薪酬：无。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41" w:name="bookmark1241"/>
      <w:r>
        <w:rPr>
          <w:rFonts w:ascii="Times New Roman" w:eastAsia="Times New Roman" w:hAnsi="Times New Roman" w:cs="Times New Roman"/>
          <w:b/>
          <w:bCs/>
          <w:i w:val="0"/>
          <w:iCs w:val="0"/>
          <w:color w:val="000000"/>
          <w:spacing w:val="0"/>
          <w:w w:val="100"/>
          <w:position w:val="0"/>
          <w:sz w:val="20"/>
          <w:szCs w:val="20"/>
        </w:rPr>
        <w:t>4</w:t>
      </w:r>
      <w:bookmarkEnd w:id="1241"/>
      <w:r>
        <w:rPr>
          <w:rFonts w:ascii="Times New Roman" w:eastAsia="Times New Roman" w:hAnsi="Times New Roman" w:cs="Times New Roman"/>
          <w:b/>
          <w:bCs/>
          <w:i w:val="0"/>
          <w:iCs w:val="0"/>
          <w:color w:val="000000"/>
          <w:spacing w:val="0"/>
          <w:w w:val="100"/>
          <w:position w:val="0"/>
          <w:sz w:val="20"/>
          <w:szCs w:val="20"/>
        </w:rPr>
        <w:t>9</w:t>
      </w:r>
      <w:r>
        <w:rPr>
          <w:b/>
          <w:bCs/>
          <w:i w:val="0"/>
          <w:iCs w:val="0"/>
          <w:color w:val="000000"/>
          <w:spacing w:val="0"/>
          <w:w w:val="100"/>
          <w:position w:val="0"/>
          <w:sz w:val="20"/>
          <w:szCs w:val="20"/>
        </w:rPr>
        <w:t>、</w:t>
        <w:tab/>
        <w:t>专项应付款：无。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42" w:name="bookmark1242"/>
      <w:r>
        <w:rPr>
          <w:rFonts w:ascii="Times New Roman" w:eastAsia="Times New Roman" w:hAnsi="Times New Roman" w:cs="Times New Roman"/>
          <w:b/>
          <w:bCs/>
          <w:i w:val="0"/>
          <w:iCs w:val="0"/>
          <w:color w:val="000000"/>
          <w:spacing w:val="0"/>
          <w:w w:val="100"/>
          <w:position w:val="0"/>
          <w:sz w:val="20"/>
          <w:szCs w:val="20"/>
        </w:rPr>
        <w:t>5</w:t>
      </w:r>
      <w:bookmarkEnd w:id="1242"/>
      <w:r>
        <w:rPr>
          <w:rFonts w:ascii="Times New Roman" w:eastAsia="Times New Roman" w:hAnsi="Times New Roman" w:cs="Times New Roman"/>
          <w:b/>
          <w:bCs/>
          <w:i w:val="0"/>
          <w:iCs w:val="0"/>
          <w:color w:val="000000"/>
          <w:spacing w:val="0"/>
          <w:w w:val="100"/>
          <w:position w:val="0"/>
          <w:sz w:val="20"/>
          <w:szCs w:val="20"/>
        </w:rPr>
        <w:t>0</w:t>
      </w:r>
      <w:r>
        <w:rPr>
          <w:b/>
          <w:bCs/>
          <w:i w:val="0"/>
          <w:iCs w:val="0"/>
          <w:color w:val="000000"/>
          <w:spacing w:val="0"/>
          <w:w w:val="100"/>
          <w:position w:val="0"/>
          <w:sz w:val="20"/>
          <w:szCs w:val="20"/>
        </w:rPr>
        <w:t>、</w:t>
        <w:tab/>
        <w:t>预计负债：无。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43" w:name="bookmark1243"/>
      <w:r>
        <w:rPr>
          <w:rFonts w:ascii="Times New Roman" w:eastAsia="Times New Roman" w:hAnsi="Times New Roman" w:cs="Times New Roman"/>
          <w:b/>
          <w:bCs/>
          <w:i w:val="0"/>
          <w:iCs w:val="0"/>
          <w:color w:val="000000"/>
          <w:spacing w:val="0"/>
          <w:w w:val="100"/>
          <w:position w:val="0"/>
          <w:sz w:val="20"/>
          <w:szCs w:val="20"/>
        </w:rPr>
        <w:t>5</w:t>
      </w:r>
      <w:bookmarkEnd w:id="1243"/>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递延收益</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1,850,517.87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1,850,517.87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90"/>
        <w:gridCol w:w="1003"/>
        <w:gridCol w:w="1142"/>
        <w:gridCol w:w="1637"/>
        <w:gridCol w:w="648"/>
        <w:gridCol w:w="1003"/>
        <w:gridCol w:w="13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本期计入营业外收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、产学研合作项目资助资金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、高性能聚酰亚胺</w:t>
            </w:r>
            <w:r>
              <w:rPr>
                <w:color w:val="000000"/>
                <w:spacing w:val="0"/>
                <w:w w:val="100"/>
                <w:position w:val="0"/>
                <w:sz w:val="18"/>
                <w:szCs w:val="18"/>
              </w:rPr>
              <w:t>3D</w:t>
            </w:r>
            <w:r>
              <w:rPr>
                <w:rFonts w:ascii="SimSun" w:eastAsia="SimSun" w:hAnsi="SimSun" w:cs="SimSun"/>
                <w:color w:val="000000"/>
                <w:spacing w:val="0"/>
                <w:w w:val="100"/>
                <w:position w:val="0"/>
                <w:sz w:val="17"/>
                <w:szCs w:val="17"/>
              </w:rPr>
              <w:t>打印耗材的 制备与应用开发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1,400,517.87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99,482.13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1,850,517.87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本期减少的递延收益系公司高性能聚酰亚胺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打印耗材的制备与应用开发项目，在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年度获得深圳市发展和改革委 员会资金补助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万元，在本年度验收完成，公司按与资产相关的政府补助政策计入营业外收入。</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44" w:name="bookmark1244"/>
      <w:r>
        <w:rPr>
          <w:rFonts w:ascii="Times New Roman" w:eastAsia="Times New Roman" w:hAnsi="Times New Roman" w:cs="Times New Roman"/>
          <w:b/>
          <w:bCs/>
          <w:i w:val="0"/>
          <w:iCs w:val="0"/>
          <w:color w:val="000000"/>
          <w:spacing w:val="0"/>
          <w:w w:val="100"/>
          <w:position w:val="0"/>
          <w:sz w:val="20"/>
          <w:szCs w:val="20"/>
        </w:rPr>
        <w:t>5</w:t>
      </w:r>
      <w:bookmarkEnd w:id="1244"/>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其他非流动负债：无。</w:t>
      </w:r>
    </w:p>
    <w:p>
      <w:pPr>
        <w:pStyle w:val="Style54"/>
        <w:keepNext w:val="0"/>
        <w:keepLines w:val="0"/>
        <w:widowControl w:val="0"/>
        <w:shd w:val="clear" w:color="auto" w:fill="auto"/>
        <w:tabs>
          <w:tab w:pos="483" w:val="left"/>
        </w:tabs>
        <w:bidi w:val="0"/>
        <w:spacing w:before="0" w:after="360" w:line="240" w:lineRule="auto"/>
        <w:ind w:left="0" w:right="0" w:firstLine="0"/>
        <w:jc w:val="left"/>
        <w:rPr>
          <w:sz w:val="20"/>
          <w:szCs w:val="20"/>
        </w:rPr>
      </w:pPr>
      <w:bookmarkStart w:id="1245" w:name="bookmark1245"/>
      <w:r>
        <w:rPr>
          <w:rFonts w:ascii="Times New Roman" w:eastAsia="Times New Roman" w:hAnsi="Times New Roman" w:cs="Times New Roman"/>
          <w:b/>
          <w:bCs/>
          <w:i w:val="0"/>
          <w:iCs w:val="0"/>
          <w:color w:val="000000"/>
          <w:spacing w:val="0"/>
          <w:w w:val="100"/>
          <w:position w:val="0"/>
          <w:sz w:val="20"/>
          <w:szCs w:val="20"/>
        </w:rPr>
        <w:t>5</w:t>
      </w:r>
      <w:bookmarkEnd w:id="1245"/>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股本</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1214"/>
        <w:gridCol w:w="1210"/>
        <w:gridCol w:w="1214"/>
        <w:gridCol w:w="1210"/>
        <w:gridCol w:w="1214"/>
        <w:gridCol w:w="1210"/>
        <w:gridCol w:w="122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772,804,768.00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52,940,000.00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825,744,768.00</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本期增加</w:t>
      </w:r>
      <w:r>
        <w:rPr>
          <w:rFonts w:ascii="Times New Roman" w:eastAsia="Times New Roman" w:hAnsi="Times New Roman" w:cs="Times New Roman"/>
          <w:color w:val="000000"/>
          <w:spacing w:val="0"/>
          <w:w w:val="100"/>
          <w:position w:val="0"/>
          <w:sz w:val="18"/>
          <w:szCs w:val="18"/>
        </w:rPr>
        <w:t>52,940,000.00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8,200,000.00</w:t>
      </w:r>
      <w:r>
        <w:rPr>
          <w:color w:val="000000"/>
          <w:spacing w:val="0"/>
          <w:w w:val="100"/>
          <w:position w:val="0"/>
        </w:rPr>
        <w:t>元已经立信会计师事务所（特殊普通合伙）于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日出具信会师报字 </w:t>
      </w:r>
      <w:r>
        <w:rPr>
          <w:rFonts w:ascii="Times New Roman" w:eastAsia="Times New Roman" w:hAnsi="Times New Roman" w:cs="Times New Roman"/>
          <w:color w:val="000000"/>
          <w:spacing w:val="0"/>
          <w:w w:val="100"/>
          <w:position w:val="0"/>
          <w:sz w:val="18"/>
          <w:szCs w:val="18"/>
        </w:rPr>
        <w:t>[2016]310022</w:t>
      </w:r>
      <w:r>
        <w:rPr>
          <w:color w:val="000000"/>
          <w:spacing w:val="0"/>
          <w:w w:val="100"/>
          <w:position w:val="0"/>
        </w:rPr>
        <w:t>号验资报告验证确认，经立信会计师事务所（特殊普通合伙）审计，截至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日止，公司已收到纪晓文 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名激励对象以货币资金缴纳的款项合计人民币</w:t>
      </w:r>
      <w:r>
        <w:rPr>
          <w:rFonts w:ascii="Times New Roman" w:eastAsia="Times New Roman" w:hAnsi="Times New Roman" w:cs="Times New Roman"/>
          <w:color w:val="000000"/>
          <w:spacing w:val="0"/>
          <w:w w:val="100"/>
          <w:position w:val="0"/>
          <w:sz w:val="18"/>
          <w:szCs w:val="18"/>
        </w:rPr>
        <w:t>51,168,000.00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8,200,000.00</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 xml:space="preserve">42,968,000.00 </w:t>
      </w:r>
      <w:r>
        <w:rPr>
          <w:color w:val="000000"/>
          <w:spacing w:val="0"/>
          <w:w w:val="100"/>
          <w:position w:val="0"/>
        </w:rPr>
        <w:t>元；其中本期增加</w:t>
      </w:r>
      <w:r>
        <w:rPr>
          <w:rFonts w:ascii="Times New Roman" w:eastAsia="Times New Roman" w:hAnsi="Times New Roman" w:cs="Times New Roman"/>
          <w:color w:val="000000"/>
          <w:spacing w:val="0"/>
          <w:w w:val="100"/>
          <w:position w:val="0"/>
          <w:sz w:val="18"/>
          <w:szCs w:val="18"/>
        </w:rPr>
        <w:t>43,900,000.00</w:t>
      </w:r>
      <w:r>
        <w:rPr>
          <w:color w:val="000000"/>
          <w:spacing w:val="0"/>
          <w:w w:val="100"/>
          <w:position w:val="0"/>
        </w:rPr>
        <w:t>元已经上会会计师事务所（特殊普通合伙）于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日出具上会师报字</w:t>
      </w:r>
      <w:r>
        <w:rPr>
          <w:rFonts w:ascii="Times New Roman" w:eastAsia="Times New Roman" w:hAnsi="Times New Roman" w:cs="Times New Roman"/>
          <w:color w:val="000000"/>
          <w:spacing w:val="0"/>
          <w:w w:val="100"/>
          <w:position w:val="0"/>
          <w:sz w:val="18"/>
          <w:szCs w:val="18"/>
        </w:rPr>
        <w:t>[2016]4725</w:t>
      </w:r>
      <w:r>
        <w:rPr>
          <w:color w:val="000000"/>
          <w:spacing w:val="0"/>
          <w:w w:val="100"/>
          <w:position w:val="0"/>
        </w:rPr>
        <w:t>号 验资报告验证确认，经上会会计师事务所（特殊普通合伙）审计，截至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日止，公司已收到倪龙轶等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名激励对 </w:t>
      </w:r>
      <w:r>
        <w:rPr>
          <w:color w:val="000000"/>
          <w:spacing w:val="0"/>
          <w:w w:val="100"/>
          <w:position w:val="0"/>
        </w:rPr>
        <w:t>象以货币资金缴纳的款项合计人民币</w:t>
      </w:r>
      <w:r>
        <w:rPr>
          <w:rFonts w:ascii="Times New Roman" w:eastAsia="Times New Roman" w:hAnsi="Times New Roman" w:cs="Times New Roman"/>
          <w:color w:val="000000"/>
          <w:spacing w:val="0"/>
          <w:w w:val="100"/>
          <w:position w:val="0"/>
          <w:sz w:val="18"/>
          <w:szCs w:val="18"/>
        </w:rPr>
        <w:t>326,776,000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43,900,000</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282,876,000</w:t>
      </w:r>
      <w:r>
        <w:rPr>
          <w:color w:val="000000"/>
          <w:spacing w:val="0"/>
          <w:w w:val="100"/>
          <w:position w:val="0"/>
        </w:rPr>
        <w:t xml:space="preserve">元；另本年增加 </w:t>
      </w:r>
      <w:r>
        <w:rPr>
          <w:color w:val="000000"/>
          <w:spacing w:val="0"/>
          <w:w w:val="100"/>
          <w:position w:val="0"/>
          <w:sz w:val="18"/>
          <w:szCs w:val="18"/>
        </w:rPr>
        <w:t xml:space="preserve">840,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元系公司</w:t>
      </w:r>
      <w:r>
        <w:rPr>
          <w:color w:val="000000"/>
          <w:spacing w:val="0"/>
          <w:w w:val="100"/>
          <w:position w:val="0"/>
          <w:sz w:val="18"/>
          <w:szCs w:val="18"/>
        </w:rPr>
        <w:t>2015</w:t>
      </w:r>
      <w:r>
        <w:rPr>
          <w:color w:val="000000"/>
          <w:spacing w:val="0"/>
          <w:w w:val="100"/>
          <w:position w:val="0"/>
        </w:rPr>
        <w:t>年第二期股票期权部分授予对象截止本年末已自主行权完成股份登记的金额，尚未验资及增加注册 资本。</w:t>
      </w:r>
    </w:p>
    <w:p>
      <w:pPr>
        <w:pStyle w:val="Style33"/>
        <w:keepNext/>
        <w:keepLines/>
        <w:widowControl w:val="0"/>
        <w:shd w:val="clear" w:color="auto" w:fill="auto"/>
        <w:tabs>
          <w:tab w:pos="427" w:val="left"/>
        </w:tabs>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5</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其他权益工具：无。</w:t>
      </w:r>
      <w:bookmarkEnd w:id="1246"/>
      <w:bookmarkEnd w:id="1247"/>
      <w:bookmarkEnd w:id="1249"/>
    </w:p>
    <w:p>
      <w:pPr>
        <w:pStyle w:val="Style33"/>
        <w:keepNext/>
        <w:keepLines/>
        <w:widowControl w:val="0"/>
        <w:shd w:val="clear" w:color="auto" w:fill="auto"/>
        <w:tabs>
          <w:tab w:pos="427" w:val="left"/>
        </w:tabs>
        <w:bidi w:val="0"/>
        <w:spacing w:before="0" w:after="380" w:line="240" w:lineRule="auto"/>
        <w:ind w:left="0" w:right="0" w:firstLine="0"/>
        <w:jc w:val="both"/>
      </w:pPr>
      <w:bookmarkStart w:id="1246" w:name="bookmark1246"/>
      <w:bookmarkStart w:id="1247" w:name="bookmark1247"/>
      <w:bookmarkStart w:id="1250" w:name="bookmark1250"/>
      <w:bookmarkStart w:id="1251" w:name="bookmark1251"/>
      <w:r>
        <w:rPr>
          <w:rFonts w:ascii="Times New Roman" w:eastAsia="Times New Roman" w:hAnsi="Times New Roman" w:cs="Times New Roman"/>
          <w:color w:val="000000"/>
          <w:spacing w:val="0"/>
          <w:w w:val="100"/>
          <w:position w:val="0"/>
        </w:rPr>
        <w:t>5</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246"/>
      <w:bookmarkEnd w:id="1247"/>
      <w:bookmarkEnd w:id="12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9"/>
        <w:gridCol w:w="19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61,825,127.62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354,255,911.51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416,081,039.13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57,311,972.89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21,481,911.51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43,322,661.38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69,317,727.62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411,567,884.40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21,481,911.51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459,403,700.51</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tabs>
          <w:tab w:pos="850" w:val="left"/>
        </w:tabs>
        <w:bidi w:val="0"/>
        <w:spacing w:before="0" w:after="100" w:line="350" w:lineRule="exact"/>
        <w:ind w:left="0" w:right="0"/>
        <w:jc w:val="both"/>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股本溢价本年增加金额为</w:t>
      </w:r>
      <w:r>
        <w:rPr>
          <w:rFonts w:ascii="Times New Roman" w:eastAsia="Times New Roman" w:hAnsi="Times New Roman" w:cs="Times New Roman"/>
          <w:color w:val="000000"/>
          <w:spacing w:val="0"/>
          <w:w w:val="100"/>
          <w:position w:val="0"/>
          <w:sz w:val="18"/>
          <w:szCs w:val="18"/>
        </w:rPr>
        <w:t>354,255,911.51</w:t>
      </w:r>
      <w:r>
        <w:rPr>
          <w:color w:val="000000"/>
          <w:spacing w:val="0"/>
          <w:w w:val="100"/>
          <w:position w:val="0"/>
        </w:rPr>
        <w:t>元：系本公司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年第一期股权激励计划首次授予激励对 象限制性股票</w:t>
      </w:r>
      <w:r>
        <w:rPr>
          <w:rFonts w:ascii="Times New Roman" w:eastAsia="Times New Roman" w:hAnsi="Times New Roman" w:cs="Times New Roman"/>
          <w:color w:val="000000"/>
          <w:spacing w:val="0"/>
          <w:w w:val="100"/>
          <w:position w:val="0"/>
          <w:sz w:val="18"/>
          <w:szCs w:val="18"/>
        </w:rPr>
        <w:t>8,200,000.00</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8,200,000.00</w:t>
      </w:r>
      <w:r>
        <w:rPr>
          <w:color w:val="000000"/>
          <w:spacing w:val="0"/>
          <w:w w:val="100"/>
          <w:position w:val="0"/>
        </w:rPr>
        <w:t>元，增加股本溢价</w:t>
      </w:r>
      <w:r>
        <w:rPr>
          <w:rFonts w:ascii="Times New Roman" w:eastAsia="Times New Roman" w:hAnsi="Times New Roman" w:cs="Times New Roman"/>
          <w:color w:val="000000"/>
          <w:spacing w:val="0"/>
          <w:w w:val="100"/>
          <w:position w:val="0"/>
          <w:sz w:val="18"/>
          <w:szCs w:val="18"/>
        </w:rPr>
        <w:t>42,968,000.00</w:t>
      </w:r>
      <w:r>
        <w:rPr>
          <w:color w:val="000000"/>
          <w:spacing w:val="0"/>
          <w:w w:val="100"/>
          <w:position w:val="0"/>
        </w:rPr>
        <w:t>元；本公司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年第一期、第二期 股权激励计划分别授予激励对象预留限制性股票</w:t>
      </w:r>
      <w:r>
        <w:rPr>
          <w:rFonts w:ascii="Times New Roman" w:eastAsia="Times New Roman" w:hAnsi="Times New Roman" w:cs="Times New Roman"/>
          <w:color w:val="000000"/>
          <w:spacing w:val="0"/>
          <w:w w:val="100"/>
          <w:position w:val="0"/>
          <w:sz w:val="18"/>
          <w:szCs w:val="18"/>
        </w:rPr>
        <w:t>1,600,000.00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年实施股权激励计划授予激励对象限制性股票 </w:t>
      </w:r>
      <w:r>
        <w:rPr>
          <w:rFonts w:ascii="Times New Roman" w:eastAsia="Times New Roman" w:hAnsi="Times New Roman" w:cs="Times New Roman"/>
          <w:color w:val="000000"/>
          <w:spacing w:val="0"/>
          <w:w w:val="100"/>
          <w:position w:val="0"/>
          <w:sz w:val="18"/>
          <w:szCs w:val="18"/>
        </w:rPr>
        <w:t>40,700,000.00</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43,900,000.00</w:t>
      </w:r>
      <w:r>
        <w:rPr>
          <w:color w:val="000000"/>
          <w:spacing w:val="0"/>
          <w:w w:val="100"/>
          <w:position w:val="0"/>
        </w:rPr>
        <w:t>元，增加股本溢价</w:t>
      </w:r>
      <w:r>
        <w:rPr>
          <w:rFonts w:ascii="Times New Roman" w:eastAsia="Times New Roman" w:hAnsi="Times New Roman" w:cs="Times New Roman"/>
          <w:color w:val="000000"/>
          <w:spacing w:val="0"/>
          <w:w w:val="100"/>
          <w:position w:val="0"/>
          <w:sz w:val="18"/>
          <w:szCs w:val="18"/>
        </w:rPr>
        <w:t>282,876,000.00</w:t>
      </w:r>
      <w:r>
        <w:rPr>
          <w:color w:val="000000"/>
          <w:spacing w:val="0"/>
          <w:w w:val="100"/>
          <w:position w:val="0"/>
        </w:rPr>
        <w:t xml:space="preserve">元；因股权激励行权或解锁从其他资本公积转入 </w:t>
      </w:r>
      <w:r>
        <w:rPr>
          <w:rFonts w:ascii="Times New Roman" w:eastAsia="Times New Roman" w:hAnsi="Times New Roman" w:cs="Times New Roman"/>
          <w:color w:val="000000"/>
          <w:spacing w:val="0"/>
          <w:w w:val="100"/>
          <w:position w:val="0"/>
          <w:sz w:val="18"/>
          <w:szCs w:val="18"/>
        </w:rPr>
        <w:t>21,481,911.51</w:t>
      </w:r>
      <w:r>
        <w:rPr>
          <w:color w:val="000000"/>
          <w:spacing w:val="0"/>
          <w:w w:val="100"/>
          <w:position w:val="0"/>
        </w:rPr>
        <w:t>元；因公司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年第二期股票期权部分授予对象截止本年末已自主行权完成股份登记增加股本溢价 </w:t>
      </w:r>
      <w:r>
        <w:rPr>
          <w:rFonts w:ascii="Times New Roman" w:eastAsia="Times New Roman" w:hAnsi="Times New Roman" w:cs="Times New Roman"/>
          <w:color w:val="000000"/>
          <w:spacing w:val="0"/>
          <w:w w:val="100"/>
          <w:position w:val="0"/>
          <w:sz w:val="18"/>
          <w:szCs w:val="18"/>
        </w:rPr>
        <w:t xml:space="preserve">6,930,000.00 </w:t>
      </w:r>
      <w:r>
        <w:rPr>
          <w:color w:val="000000"/>
          <w:spacing w:val="0"/>
          <w:w w:val="100"/>
          <w:position w:val="0"/>
        </w:rPr>
        <w:t>元。</w:t>
      </w:r>
    </w:p>
    <w:p>
      <w:pPr>
        <w:pStyle w:val="Style29"/>
        <w:keepNext w:val="0"/>
        <w:keepLines w:val="0"/>
        <w:widowControl w:val="0"/>
        <w:shd w:val="clear" w:color="auto" w:fill="auto"/>
        <w:tabs>
          <w:tab w:pos="841" w:val="left"/>
        </w:tabs>
        <w:bidi w:val="0"/>
        <w:spacing w:before="0" w:after="380" w:line="319" w:lineRule="exact"/>
        <w:ind w:left="0" w:right="0"/>
        <w:jc w:val="both"/>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其他资本公积增加金额为</w:t>
      </w:r>
      <w:r>
        <w:rPr>
          <w:rFonts w:ascii="Times New Roman" w:eastAsia="Times New Roman" w:hAnsi="Times New Roman" w:cs="Times New Roman"/>
          <w:color w:val="000000"/>
          <w:spacing w:val="0"/>
          <w:w w:val="100"/>
          <w:position w:val="0"/>
          <w:sz w:val="18"/>
          <w:szCs w:val="18"/>
        </w:rPr>
        <w:t>57,311,972.89</w:t>
      </w:r>
      <w:r>
        <w:rPr>
          <w:color w:val="000000"/>
          <w:spacing w:val="0"/>
          <w:w w:val="100"/>
          <w:position w:val="0"/>
        </w:rPr>
        <w:t>元：因股权激励确认期权费用确认增加</w:t>
      </w:r>
      <w:r>
        <w:rPr>
          <w:rFonts w:ascii="Times New Roman" w:eastAsia="Times New Roman" w:hAnsi="Times New Roman" w:cs="Times New Roman"/>
          <w:color w:val="000000"/>
          <w:spacing w:val="0"/>
          <w:w w:val="100"/>
          <w:position w:val="0"/>
          <w:sz w:val="18"/>
          <w:szCs w:val="18"/>
        </w:rPr>
        <w:t>65,769,100.00</w:t>
      </w:r>
      <w:r>
        <w:rPr>
          <w:color w:val="000000"/>
          <w:spacing w:val="0"/>
          <w:w w:val="100"/>
          <w:position w:val="0"/>
        </w:rPr>
        <w:t>元、股权激励回购纪晓 文放弃未到期股权激励冲减计提成本</w:t>
      </w:r>
      <w:r>
        <w:rPr>
          <w:rFonts w:ascii="Times New Roman" w:eastAsia="Times New Roman" w:hAnsi="Times New Roman" w:cs="Times New Roman"/>
          <w:color w:val="000000"/>
          <w:spacing w:val="0"/>
          <w:w w:val="100"/>
          <w:position w:val="0"/>
          <w:sz w:val="18"/>
          <w:szCs w:val="18"/>
        </w:rPr>
        <w:t>8,457,127.11</w:t>
      </w:r>
      <w:r>
        <w:rPr>
          <w:color w:val="000000"/>
          <w:spacing w:val="0"/>
          <w:w w:val="100"/>
          <w:position w:val="0"/>
        </w:rPr>
        <w:t>元；本年减少</w:t>
      </w:r>
      <w:r>
        <w:rPr>
          <w:rFonts w:ascii="Times New Roman" w:eastAsia="Times New Roman" w:hAnsi="Times New Roman" w:cs="Times New Roman"/>
          <w:color w:val="000000"/>
          <w:spacing w:val="0"/>
          <w:w w:val="100"/>
          <w:position w:val="0"/>
          <w:sz w:val="18"/>
          <w:szCs w:val="18"/>
        </w:rPr>
        <w:t>21,481,911.5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元系本公司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年第二期股权激励首次解锁行权 或解锁将其他资本公积转入股本溢价。</w:t>
      </w:r>
    </w:p>
    <w:p>
      <w:pPr>
        <w:pStyle w:val="Style33"/>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5</w:t>
      </w:r>
      <w:bookmarkEnd w:id="125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254"/>
      <w:bookmarkEnd w:id="1255"/>
      <w:bookmarkEnd w:id="1257"/>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944"/>
        <w:gridCol w:w="1944"/>
        <w:gridCol w:w="1939"/>
        <w:gridCol w:w="1939"/>
        <w:gridCol w:w="19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81,762,800.00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403,977,106.80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22,486,482.00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463,253,424.80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81,762,800.00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403,977,106.80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22,486,482.00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463,253,424.80</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80" w:line="322" w:lineRule="exact"/>
        <w:ind w:left="0" w:right="0"/>
        <w:jc w:val="both"/>
      </w:pPr>
      <w:r>
        <w:rPr>
          <w:color w:val="000000"/>
          <w:spacing w:val="0"/>
          <w:w w:val="100"/>
          <w:position w:val="0"/>
        </w:rPr>
        <w:t>本期增加</w:t>
      </w:r>
      <w:r>
        <w:rPr>
          <w:rFonts w:ascii="Times New Roman" w:eastAsia="Times New Roman" w:hAnsi="Times New Roman" w:cs="Times New Roman"/>
          <w:color w:val="000000"/>
          <w:spacing w:val="0"/>
          <w:w w:val="100"/>
          <w:position w:val="0"/>
          <w:sz w:val="18"/>
          <w:szCs w:val="18"/>
        </w:rPr>
        <w:t>403,977,106.80</w:t>
      </w:r>
      <w:r>
        <w:rPr>
          <w:color w:val="000000"/>
          <w:spacing w:val="0"/>
          <w:w w:val="100"/>
          <w:position w:val="0"/>
        </w:rPr>
        <w:t>元系本公司实施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年第一期及其预留、</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年第二期预留及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年授予的股权激励计划限制 性股票的回购义务；本期减少系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年第二期股权激励计划第一批解锁的限制性股票冲销回购义务。</w:t>
      </w:r>
      <w:r>
        <w:br w:type="page"/>
      </w:r>
    </w:p>
    <w:p>
      <w:pPr>
        <w:pStyle w:val="Style33"/>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5</w:t>
      </w:r>
      <w:bookmarkEnd w:id="126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81"/>
        <w:gridCol w:w="1090"/>
        <w:gridCol w:w="1229"/>
        <w:gridCol w:w="1589"/>
        <w:gridCol w:w="1070"/>
        <w:gridCol w:w="1186"/>
        <w:gridCol w:w="667"/>
        <w:gridCol w:w="110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本期所得税前 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 xml:space="preserve">减:前期计入其他综 合收益当期转入损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减：所得税费 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税后归属于母 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税后归</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属于少</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 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12,010,404.48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29,126,773.95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11,005,755.27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1,845,492.29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16,275,526.39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28,285,930.87</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其中：权益法下在被投 资单位以后将重分类 进损益的其他综合收 益中享有的份额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10,799,355.00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10,799,355.00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10,799,355.00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-88,736.08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-149,041.56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自用转投资性房地产 引起的其他综合收益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12,099,140.56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18,387,724.43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11,005,755.27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1,845,492.29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5,536,476.87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17,635,617.43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12,010,404.48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29,126,773.95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11,005,755.27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1,845,492.29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16,275,526.39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28,285,930.87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5</w:t>
      </w:r>
      <w:bookmarkEnd w:id="1264"/>
      <w:r>
        <w:rPr>
          <w:rFonts w:ascii="Times New Roman" w:eastAsia="Times New Roman" w:hAnsi="Times New Roman" w:cs="Times New Roman"/>
          <w:color w:val="000000"/>
          <w:spacing w:val="0"/>
          <w:w w:val="100"/>
          <w:position w:val="0"/>
        </w:rPr>
        <w:t>8</w:t>
      </w:r>
      <w:r>
        <w:rPr>
          <w:color w:val="000000"/>
          <w:spacing w:val="0"/>
          <w:w w:val="100"/>
          <w:position w:val="0"/>
        </w:rPr>
        <w:t>、</w:t>
        <w:tab/>
        <w:t>专项储备：无。</w:t>
      </w:r>
      <w:bookmarkEnd w:id="1262"/>
      <w:bookmarkEnd w:id="1263"/>
      <w:bookmarkEnd w:id="1265"/>
    </w:p>
    <w:p>
      <w:pPr>
        <w:pStyle w:val="Style33"/>
        <w:keepNext/>
        <w:keepLines/>
        <w:widowControl w:val="0"/>
        <w:shd w:val="clear" w:color="auto" w:fill="auto"/>
        <w:tabs>
          <w:tab w:pos="483" w:val="left"/>
        </w:tabs>
        <w:bidi w:val="0"/>
        <w:spacing w:before="0" w:after="380" w:line="240" w:lineRule="auto"/>
        <w:ind w:left="0" w:right="0" w:firstLine="0"/>
        <w:jc w:val="left"/>
      </w:pPr>
      <w:bookmarkStart w:id="1262" w:name="bookmark1262"/>
      <w:bookmarkStart w:id="1263" w:name="bookmark1263"/>
      <w:bookmarkStart w:id="1266" w:name="bookmark1266"/>
      <w:bookmarkStart w:id="1267" w:name="bookmark1267"/>
      <w:r>
        <w:rPr>
          <w:rFonts w:ascii="Times New Roman" w:eastAsia="Times New Roman" w:hAnsi="Times New Roman" w:cs="Times New Roman"/>
          <w:color w:val="000000"/>
          <w:spacing w:val="0"/>
          <w:w w:val="100"/>
          <w:position w:val="0"/>
        </w:rPr>
        <w:t>5</w:t>
      </w:r>
      <w:bookmarkEnd w:id="1266"/>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262"/>
      <w:bookmarkEnd w:id="1263"/>
      <w:bookmarkEnd w:id="1267"/>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944"/>
        <w:gridCol w:w="1944"/>
        <w:gridCol w:w="1939"/>
        <w:gridCol w:w="1939"/>
        <w:gridCol w:w="19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58,669,273.30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6,828,052.62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65,497,325.92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12,154,775.66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12,154,775.66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70,824,048.96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6,828,052.62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77,652,101.58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盈余公积说明，包括本期增减变动情况、变动原因说明：无。</w:t>
      </w:r>
    </w:p>
    <w:p>
      <w:pPr>
        <w:pStyle w:val="Style33"/>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6</w:t>
      </w:r>
      <w:bookmarkEnd w:id="127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268"/>
      <w:bookmarkEnd w:id="1269"/>
      <w:bookmarkEnd w:id="1271"/>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782"/>
        <w:gridCol w:w="2962"/>
        <w:gridCol w:w="297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329,522,674.41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201,191,136.29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27,910,592.65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20,883,666.28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357,433,267.06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222,074,802.57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75,912,490.21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135,358,464.49</w:t>
            </w:r>
          </w:p>
        </w:tc>
      </w:tr>
    </w:tbl>
    <w:p>
      <w:pPr>
        <w:spacing w:lineRule="exact" w:line="1"/>
        <w:rPr>
          <w:sz w:val="2"/>
          <w:szCs w:val="2"/>
        </w:rPr>
      </w:pPr>
      <w:r>
        <w:br w:type="page"/>
      </w:r>
    </w:p>
    <w:tbl>
      <w:tblPr>
        <w:tblOverlap w:val="never"/>
        <w:jc w:val="center"/>
        <w:tblLayout w:type="fixed"/>
      </w:tblPr>
      <w:tblGrid>
        <w:gridCol w:w="3782"/>
        <w:gridCol w:w="2962"/>
        <w:gridCol w:w="297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6,828,052.62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426,517,704.65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357,433,267.06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bidi w:val="0"/>
        <w:spacing w:before="0" w:after="140" w:line="240" w:lineRule="auto"/>
        <w:ind w:left="0" w:right="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825" w:val="left"/>
        </w:tabs>
        <w:bidi w:val="0"/>
        <w:spacing w:before="0" w:after="140" w:line="240" w:lineRule="auto"/>
        <w:ind w:left="0" w:right="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18"/>
          <w:szCs w:val="18"/>
        </w:rPr>
        <w:t>27,910,592.65</w:t>
      </w:r>
      <w:r>
        <w:rPr>
          <w:color w:val="000000"/>
          <w:spacing w:val="0"/>
          <w:w w:val="100"/>
          <w:position w:val="0"/>
        </w:rPr>
        <w:t>元。</w:t>
      </w:r>
    </w:p>
    <w:p>
      <w:pPr>
        <w:pStyle w:val="Style29"/>
        <w:keepNext w:val="0"/>
        <w:keepLines w:val="0"/>
        <w:widowControl w:val="0"/>
        <w:shd w:val="clear" w:color="auto" w:fill="auto"/>
        <w:tabs>
          <w:tab w:pos="825" w:val="left"/>
        </w:tabs>
        <w:bidi w:val="0"/>
        <w:spacing w:before="0" w:after="140" w:line="240" w:lineRule="auto"/>
        <w:ind w:left="0" w:right="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825" w:val="left"/>
        </w:tabs>
        <w:bidi w:val="0"/>
        <w:spacing w:before="0" w:after="140" w:line="240" w:lineRule="auto"/>
        <w:ind w:left="0" w:right="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825" w:val="left"/>
        </w:tabs>
        <w:bidi w:val="0"/>
        <w:spacing w:before="0" w:after="380" w:line="240" w:lineRule="auto"/>
        <w:ind w:left="0" w:right="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6</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277"/>
      <w:bookmarkEnd w:id="1278"/>
      <w:bookmarkEnd w:id="12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44"/>
        <w:gridCol w:w="1939"/>
        <w:gridCol w:w="1939"/>
        <w:gridCol w:w="19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259,441,546.48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164,346,451.69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202,992,772.06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134,307,869.51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29,176,879.00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12,483,248.35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6,377,560.28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2,722,219.65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288,618,425.48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176,829,700.04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209,370,332.34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137,030,089.16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6</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281"/>
      <w:bookmarkEnd w:id="1282"/>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1,475,941.92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1,268,563.06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632,546.54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544,105.71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1,303,426.28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310,903.02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359,967.06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421,697.69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362,010.78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2,028,879.84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66,830.49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6,575,903.09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2,241,539.94</w:t>
            </w:r>
          </w:p>
        </w:tc>
      </w:tr>
    </w:tbl>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其他说明：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月财政部发布财会</w:t>
      </w:r>
      <w:r>
        <w:rPr>
          <w:color w:val="000000"/>
          <w:spacing w:val="0"/>
          <w:w w:val="100"/>
          <w:position w:val="0"/>
          <w:sz w:val="18"/>
          <w:szCs w:val="18"/>
        </w:rPr>
        <w:t xml:space="preserve">[2016] </w:t>
      </w:r>
      <w:r>
        <w:rPr>
          <w:color w:val="000000"/>
          <w:spacing w:val="0"/>
          <w:w w:val="100"/>
          <w:position w:val="0"/>
          <w:sz w:val="18"/>
          <w:szCs w:val="18"/>
        </w:rPr>
        <w:t>22</w:t>
      </w:r>
      <w:r>
        <w:rPr>
          <w:color w:val="000000"/>
          <w:spacing w:val="0"/>
          <w:w w:val="100"/>
          <w:position w:val="0"/>
        </w:rPr>
        <w:t>号文，文件规定全面试行营业税改征增值税后，“营业税金及附加”科 目名称调整为“税金及附加”科目，该科目核算企业经营活动发生的消费税、城市维护建设税、资源税、教育费附加及房产 税、土地使用税、车船使用税、印花税等相关税费；利润表中的“营业税金及附加”项目调整为“税金及附加”项目。</w:t>
      </w:r>
      <w:r>
        <w:br w:type="page"/>
      </w:r>
    </w:p>
    <w:p>
      <w:pPr>
        <w:pStyle w:val="Style33"/>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6</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285"/>
      <w:bookmarkEnd w:id="1286"/>
      <w:bookmarkEnd w:id="12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33,833,078.27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31,254,735.81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6,387,753.56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6,479,227.12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3,225,290.69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2,421,768.12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2,497,604.49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2,532,927.41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1,616,566.32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441,630.80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812,746.78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863,794.75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122,626.03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620,207.18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57,905.85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122,510.76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19,683.77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1,634,656.66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832,746.60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1,068,014.42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49,406,002.36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47,439,473.03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6</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289"/>
      <w:bookmarkEnd w:id="1290"/>
      <w:bookmarkEnd w:id="1292"/>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57,311,972.89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7,492,600.00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24,264,874.46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27,574,887.65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9,990,729.58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8,623,691.17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6,815,185.96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10,005,352.18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租赁物管费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6,070,206.54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5,263,123.24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3,355,424.01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4,981,077.23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2,353,399.88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2,406,962.87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1,626,728.29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2,051,241.57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1,183,184.11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1,460,196.71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1,069,649.83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1,270,963.33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429,325.63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470,859.31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207,548.96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368,873.17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156,361.49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1,408,671.34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劳保用品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51,908.42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113,574.56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1,697,159.61</w:t>
            </w:r>
          </w:p>
        </w:tc>
      </w:tr>
    </w:tbl>
    <w:p>
      <w:pPr>
        <w:spacing w:lineRule="exact" w:line="1"/>
        <w:rPr>
          <w:sz w:val="2"/>
          <w:szCs w:val="2"/>
        </w:rPr>
      </w:pPr>
      <w:r>
        <w:br w:type="page"/>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5,788,596.49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6,789,447.38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120,675,096.54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81,978,681.32</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7" w:lineRule="exact"/>
        <w:ind w:left="0" w:right="0"/>
        <w:jc w:val="left"/>
      </w:pPr>
      <w:r>
        <w:rPr>
          <w:color w:val="000000"/>
          <w:spacing w:val="0"/>
          <w:w w:val="100"/>
          <w:position w:val="0"/>
        </w:rPr>
        <w:t>本期期权费用系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年授予的限制性股票于本年摊销的费用加上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年股票期权于本年摊销的费用后减去激励 对象纪晓文离职后冲销的限制性股票费用。</w:t>
      </w:r>
    </w:p>
    <w:p>
      <w:pPr>
        <w:pStyle w:val="Style33"/>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6</w:t>
      </w:r>
      <w:bookmarkEnd w:id="129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93"/>
      <w:bookmarkEnd w:id="1294"/>
      <w:bookmarkEnd w:id="12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297,211.13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1,850,049.80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3,589,580.62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3,337,456.98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-416,430.03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186,593.16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191,378.15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129,295.23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-3,517,421.37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-1,171,518.79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6</w:t>
      </w:r>
      <w:bookmarkEnd w:id="129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297"/>
      <w:bookmarkEnd w:id="1298"/>
      <w:bookmarkEnd w:id="1300"/>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5,468,329.82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4,316,910.62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1,946,199.63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3,045,313.86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6,284,310.33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7,414,529.45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13,646,534.81</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p>
    <w:p>
      <w:pPr>
        <w:widowControl w:val="0"/>
        <w:spacing w:after="719" w:line="1" w:lineRule="exact"/>
      </w:pPr>
    </w:p>
    <w:p>
      <w:pPr>
        <w:pStyle w:val="Style33"/>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6</w:t>
      </w:r>
      <w:bookmarkEnd w:id="130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301"/>
      <w:bookmarkEnd w:id="1302"/>
      <w:bookmarkEnd w:id="1304"/>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6480"/>
        <w:gridCol w:w="1680"/>
        <w:gridCol w:w="155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-851,963.34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16,819,549.37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7,421,850.00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15,967,586.03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7,421,850.00</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139" w:line="1" w:lineRule="exact"/>
      </w:pPr>
    </w:p>
    <w:p>
      <w:pPr>
        <w:pStyle w:val="Style29"/>
        <w:keepNext w:val="0"/>
        <w:keepLines w:val="0"/>
        <w:widowControl w:val="0"/>
        <w:shd w:val="clear" w:color="auto" w:fill="auto"/>
        <w:bidi w:val="0"/>
        <w:spacing w:before="0" w:after="380" w:line="240" w:lineRule="auto"/>
        <w:ind w:left="0" w:right="0"/>
        <w:jc w:val="left"/>
      </w:pPr>
      <w:r>
        <w:rPr>
          <w:color w:val="000000"/>
          <w:spacing w:val="0"/>
          <w:w w:val="100"/>
          <w:position w:val="0"/>
        </w:rPr>
        <w:t>报告期内公司对投资性房地产以公允价值模式进行后续计量，投资性房地产市价产生的变动计入当期公允价值变动损</w:t>
      </w:r>
      <w:r>
        <w:br w:type="page"/>
      </w:r>
    </w:p>
    <w:p>
      <w:pPr>
        <w:pStyle w:val="Style33"/>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6</w:t>
      </w:r>
      <w:bookmarkEnd w:id="130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05"/>
      <w:bookmarkEnd w:id="1306"/>
      <w:bookmarkEnd w:id="13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02"/>
        <w:gridCol w:w="1402"/>
        <w:gridCol w:w="141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3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93,820,568.83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-10,016.72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60,993,562.81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-20,019,886.99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处置以公允价值计量且其变动计入当期损益的金融资产取得的投资收益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4,279,998.32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115,279,552.02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25,112,896.22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25,170,489.88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120,129,482.72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201,433,587.99</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07" w:lineRule="exact"/>
        <w:ind w:left="0" w:right="0"/>
        <w:jc w:val="left"/>
      </w:pPr>
      <w:r>
        <w:rPr>
          <w:color w:val="000000"/>
          <w:spacing w:val="0"/>
          <w:w w:val="100"/>
          <w:position w:val="0"/>
        </w:rPr>
        <w:t>本期处置可供出售金融资产取得的投资收益</w:t>
      </w:r>
      <w:r>
        <w:rPr>
          <w:rFonts w:ascii="Times New Roman" w:eastAsia="Times New Roman" w:hAnsi="Times New Roman" w:cs="Times New Roman"/>
          <w:color w:val="000000"/>
          <w:spacing w:val="0"/>
          <w:w w:val="100"/>
          <w:position w:val="0"/>
          <w:sz w:val="18"/>
          <w:szCs w:val="18"/>
        </w:rPr>
        <w:t>17,000,000.00</w:t>
      </w:r>
      <w:r>
        <w:rPr>
          <w:color w:val="000000"/>
          <w:spacing w:val="0"/>
          <w:w w:val="100"/>
          <w:position w:val="0"/>
        </w:rPr>
        <w:t xml:space="preserve">元，系本公司子公司喀什中汇联银处置武汉纳思股权获取投资 收益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7,000,000.00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6</w:t>
      </w:r>
      <w:bookmarkEnd w:id="131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09"/>
      <w:bookmarkEnd w:id="1310"/>
      <w:bookmarkEnd w:id="1312"/>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13,693,976.92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13,693,976.92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13,693,976.92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13,693,976.92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326,493.93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7,621,921.92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326,493.93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无法支付的应付账款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440,393.65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440,393.65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盘盈利得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25,853.77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14,486,718.27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7,725,816.31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14,486,718.27</w:t>
            </w:r>
          </w:p>
        </w:tc>
      </w:tr>
    </w:tbl>
    <w:p>
      <w:pPr>
        <w:sectPr>
          <w:headerReference w:type="default" r:id="rId45"/>
          <w:footerReference w:type="default" r:id="rId46"/>
          <w:footnotePr>
            <w:pos w:val="pageBottom"/>
            <w:numFmt w:val="decimal"/>
            <w:numRestart w:val="continuous"/>
          </w:footnotePr>
          <w:pgSz w:w="11900" w:h="16840"/>
          <w:pgMar w:top="1383" w:right="1056" w:bottom="1527" w:left="1056" w:header="0" w:footer="3" w:gutter="0"/>
          <w:cols w:space="720"/>
          <w:noEndnote/>
          <w:rtlGutter w:val="0"/>
          <w:docGrid w:linePitch="360"/>
        </w:sectPr>
      </w:pPr>
    </w:p>
    <w:p>
      <w:pPr>
        <w:pStyle w:val="Style29"/>
        <w:keepNext w:val="0"/>
        <w:keepLines w:val="0"/>
        <w:widowControl w:val="0"/>
        <w:shd w:val="clear" w:color="auto" w:fill="auto"/>
        <w:bidi w:val="0"/>
        <w:spacing w:before="80" w:after="140" w:line="240" w:lineRule="auto"/>
        <w:ind w:left="0" w:right="0" w:firstLine="0"/>
        <w:jc w:val="left"/>
      </w:pPr>
      <w:r>
        <w:rPr>
          <w:color w:val="000000"/>
          <w:spacing w:val="0"/>
          <w:w w:val="100"/>
          <w:position w:val="0"/>
        </w:rPr>
        <w:t>计入当期损益的政府补助:</w:t>
      </w:r>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3288"/>
        <w:gridCol w:w="1474"/>
        <w:gridCol w:w="518"/>
        <w:gridCol w:w="3744"/>
        <w:gridCol w:w="1090"/>
        <w:gridCol w:w="710"/>
        <w:gridCol w:w="1008"/>
        <w:gridCol w:w="1075"/>
        <w:gridCol w:w="112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发放 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是否特</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殊补贴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、技术改造补助资金（</w:t>
            </w:r>
            <w:r>
              <w:rPr>
                <w:color w:val="000000"/>
                <w:spacing w:val="0"/>
                <w:w w:val="100"/>
                <w:position w:val="0"/>
                <w:sz w:val="18"/>
                <w:szCs w:val="18"/>
              </w:rPr>
              <w:t>900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吉林经济技术开 发区财政局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、重点产业振兴和技术改造中央预算内 投资计划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吉林市工信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、技术改造补助资金（</w:t>
            </w:r>
            <w:r>
              <w:rPr>
                <w:color w:val="000000"/>
                <w:spacing w:val="0"/>
                <w:w w:val="100"/>
                <w:position w:val="0"/>
                <w:sz w:val="18"/>
                <w:szCs w:val="18"/>
              </w:rPr>
              <w:t>1876</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吉林经济技术开 发区财政局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468,999.99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、战略性新兴产业科技创新专项资金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因从事国家鼓励和扶持特定行业、产业而获得</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的补助（按国家级政策规定依法取得）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、年产</w:t>
            </w:r>
            <w:r>
              <w:rPr>
                <w:color w:val="000000"/>
                <w:spacing w:val="0"/>
                <w:w w:val="100"/>
                <w:position w:val="0"/>
                <w:sz w:val="18"/>
                <w:szCs w:val="18"/>
              </w:rPr>
              <w:t>250</w:t>
            </w:r>
            <w:r>
              <w:rPr>
                <w:rFonts w:ascii="SimSun" w:eastAsia="SimSun" w:hAnsi="SimSun" w:cs="SimSun"/>
                <w:color w:val="000000"/>
                <w:spacing w:val="0"/>
                <w:w w:val="100"/>
                <w:position w:val="0"/>
                <w:sz w:val="17"/>
                <w:szCs w:val="17"/>
              </w:rPr>
              <w:t>吨（一期</w:t>
            </w:r>
            <w:r>
              <w:rPr>
                <w:color w:val="000000"/>
                <w:spacing w:val="0"/>
                <w:w w:val="100"/>
                <w:position w:val="0"/>
                <w:sz w:val="18"/>
                <w:szCs w:val="18"/>
              </w:rPr>
              <w:t>100</w:t>
            </w:r>
            <w:r>
              <w:rPr>
                <w:rFonts w:ascii="SimSun" w:eastAsia="SimSun" w:hAnsi="SimSun" w:cs="SimSun"/>
                <w:color w:val="000000"/>
                <w:spacing w:val="0"/>
                <w:w w:val="100"/>
                <w:position w:val="0"/>
                <w:sz w:val="17"/>
                <w:szCs w:val="17"/>
              </w:rPr>
              <w:t>吨）聚酰亚胺 及中间产品技改项目（</w:t>
            </w:r>
            <w:r>
              <w:rPr>
                <w:color w:val="000000"/>
                <w:spacing w:val="0"/>
                <w:w w:val="100"/>
                <w:position w:val="0"/>
                <w:sz w:val="18"/>
                <w:szCs w:val="18"/>
              </w:rPr>
              <w:t>150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省工信厅规划与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、基础研究项目（高强度聚酰亚胺纤维 结构性能与制备技术研究）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中国纺织工业联 合会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、企业技术创新项目（高性能聚酰亚胺 材料研究中心）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171,428.56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、聚酰亚胺纤维及应用工程实验室项目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深圳市发展和改 革委员会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、双十项目资金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年吉林市战略性新兴产业科技创 新专项资金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、市科技型中小企业技术创新基金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、高强高模聚酰亚胺纤维制备关键技术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国家科技部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322,807.12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3288"/>
        <w:gridCol w:w="1474"/>
        <w:gridCol w:w="518"/>
        <w:gridCol w:w="3744"/>
        <w:gridCol w:w="1090"/>
        <w:gridCol w:w="710"/>
        <w:gridCol w:w="1008"/>
        <w:gridCol w:w="1075"/>
        <w:gridCol w:w="1128"/>
      </w:tblGrid>
      <w:tr>
        <w:trPr>
          <w:trHeight w:val="74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、高强度聚酰亚胺纤维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因从事国家鼓励和扶持特定行业、产业而获得</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的补助（按国家级政策规定依法取得）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103,703.72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、高性能聚酰亚胺特种工程塑料项目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因从事国家鼓励和扶持特定行业、产业而获得</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的补助（按国家级政策规定依法取得）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、就业见习补助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经开区人社局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因符合地方政府招商引资等地方性扶持政策而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、参加国外展会补助款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深圳市经济贸易 和信息化委员会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因从事国家鼓励和扶持特定行业、产业而获得</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的补助（按国家级政策规定依法取得）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、坪山新区创新创业专项扶持资金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深圳市坪山新区 经济服务局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因符合地方政府招商引资等地方性扶持政策而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、科学技术部拨付的政策引导类项目资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因从事国家鼓励和扶持特定行业、产业而获得</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的补助（按国家级政策规定依法取得）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w:t>
            </w:r>
            <w:r>
              <w:rPr>
                <w:color w:val="000000"/>
                <w:spacing w:val="0"/>
                <w:w w:val="100"/>
                <w:position w:val="0"/>
                <w:sz w:val="18"/>
                <w:szCs w:val="18"/>
              </w:rPr>
              <w:t>2014</w:t>
            </w:r>
            <w:r>
              <w:rPr>
                <w:rFonts w:ascii="SimSun" w:eastAsia="SimSun" w:hAnsi="SimSun" w:cs="SimSun"/>
                <w:color w:val="000000"/>
                <w:spacing w:val="0"/>
                <w:w w:val="100"/>
                <w:position w:val="0"/>
                <w:sz w:val="17"/>
                <w:szCs w:val="17"/>
              </w:rPr>
              <w:t>年长春市重点新产品专项项目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、省标准创新贡献奖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吉林省人民政府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、深圳市</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深圳市人力资源 和社会保障局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因承担国家为保障某种公用事业或社会必要产 品供应或价格控制职能而获得的补助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128,625.78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、高性能聚酰亚胺</w:t>
            </w:r>
            <w:r>
              <w:rPr>
                <w:color w:val="000000"/>
                <w:spacing w:val="0"/>
                <w:w w:val="100"/>
                <w:position w:val="0"/>
                <w:sz w:val="18"/>
                <w:szCs w:val="18"/>
              </w:rPr>
              <w:t>3D</w:t>
            </w:r>
            <w:r>
              <w:rPr>
                <w:rFonts w:ascii="SimSun" w:eastAsia="SimSun" w:hAnsi="SimSun" w:cs="SimSun"/>
                <w:color w:val="000000"/>
                <w:spacing w:val="0"/>
                <w:w w:val="100"/>
                <w:position w:val="0"/>
                <w:sz w:val="17"/>
                <w:szCs w:val="17"/>
              </w:rPr>
              <w:t>打印耗材的制备 与应用开发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深圳市发展和改 革委员会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因研究开发、技术更新及改造等获得的补助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99,482.13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、深圳市生育保险津贴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深圳市人力资源 和社会保障局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因承担国家为保障某种公用事业或社会必要产 品供应或价格控制职能而获得的补助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28,386.02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326,493.93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7,621,921.92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sectPr>
          <w:headerReference w:type="default" r:id="rId47"/>
          <w:footerReference w:type="default" r:id="rId48"/>
          <w:footnotePr>
            <w:pos w:val="pageBottom"/>
            <w:numFmt w:val="decimal"/>
            <w:numRestart w:val="continuous"/>
          </w:footnotePr>
          <w:pgSz w:w="16840" w:h="11900" w:orient="landscape"/>
          <w:pgMar w:top="1124" w:right="1402" w:bottom="1685" w:left="1402" w:header="0" w:footer="3" w:gutter="0"/>
          <w:cols w:space="720"/>
          <w:noEndnote/>
          <w:rtlGutter w:val="0"/>
          <w:docGrid w:linePitch="360"/>
        </w:sectPr>
      </w:pPr>
      <w:r>
        <w:rPr>
          <w:color w:val="000000"/>
          <w:spacing w:val="0"/>
          <w:w w:val="100"/>
          <w:position w:val="0"/>
        </w:rPr>
        <w:t>其他说明：无。</w:t>
      </w:r>
    </w:p>
    <w:p>
      <w:pPr>
        <w:pStyle w:val="Style33"/>
        <w:keepNext/>
        <w:keepLines/>
        <w:widowControl w:val="0"/>
        <w:shd w:val="clear" w:color="auto" w:fill="auto"/>
        <w:bidi w:val="0"/>
        <w:spacing w:before="34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7</w:t>
      </w:r>
      <w:bookmarkEnd w:id="131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13"/>
      <w:bookmarkEnd w:id="1314"/>
      <w:bookmarkEnd w:id="13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9"/>
        <w:gridCol w:w="242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105,540.49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949,782.73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105,540.49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105,540.49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949,782.73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105,540.49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303,504.71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303,504.71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841,714.24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841,714.24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45,908.16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245,537.34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1,222,231.31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1,330,000.93</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7</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17"/>
      <w:bookmarkEnd w:id="1318"/>
      <w:bookmarkEnd w:id="1320"/>
    </w:p>
    <w:p>
      <w:pPr>
        <w:pStyle w:val="Style33"/>
        <w:keepNext/>
        <w:keepLines/>
        <w:widowControl w:val="0"/>
        <w:shd w:val="clear" w:color="auto" w:fill="auto"/>
        <w:tabs>
          <w:tab w:pos="8866" w:val="left"/>
        </w:tabs>
        <w:bidi w:val="0"/>
        <w:spacing w:before="0" w:after="300" w:line="240" w:lineRule="auto"/>
        <w:ind w:left="0" w:right="0" w:firstLine="140"/>
        <w:jc w:val="left"/>
        <w:rPr>
          <w:sz w:val="17"/>
          <w:szCs w:val="17"/>
        </w:rPr>
      </w:pPr>
      <w:bookmarkStart w:id="1317" w:name="bookmark1317"/>
      <w:bookmarkStart w:id="1318" w:name="bookmark1318"/>
      <w:bookmarkStart w:id="1321" w:name="bookmark1321"/>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)所得税费用表</w:t>
        <w:tab/>
      </w:r>
      <w:r>
        <w:rPr>
          <w:b w:val="0"/>
          <w:bCs w:val="0"/>
          <w:color w:val="000000"/>
          <w:spacing w:val="0"/>
          <w:w w:val="100"/>
          <w:position w:val="0"/>
          <w:sz w:val="17"/>
          <w:szCs w:val="17"/>
        </w:rPr>
        <w:t>单位：元</w:t>
      </w:r>
      <w:bookmarkEnd w:id="1317"/>
      <w:bookmarkEnd w:id="1318"/>
      <w:bookmarkEnd w:id="1321"/>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4,204,578.08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12,841,051.96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371,333.17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472,100.59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4,575,911.25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13,313,152.55</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14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22"/>
      <w:bookmarkEnd w:id="1323"/>
      <w:bookmarkEnd w:id="1324"/>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5707"/>
        <w:gridCol w:w="400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80,488,401.46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12,073,260.22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both"/>
            </w:pPr>
            <w:r>
              <w:rPr>
                <w:color w:val="000000"/>
                <w:spacing w:val="0"/>
                <w:w w:val="100"/>
                <w:position w:val="0"/>
              </w:rPr>
              <w:t>-159,076.76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both"/>
            </w:pPr>
            <w:r>
              <w:rPr>
                <w:color w:val="000000"/>
                <w:spacing w:val="0"/>
                <w:w w:val="100"/>
                <w:position w:val="0"/>
              </w:rPr>
              <w:t>4,202,334.80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-12,615,439.27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130,727.08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both"/>
            </w:pPr>
            <w:r>
              <w:rPr>
                <w:color w:val="000000"/>
                <w:spacing w:val="0"/>
                <w:w w:val="100"/>
                <w:position w:val="0"/>
              </w:rPr>
              <w:t>-215,366.41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both"/>
            </w:pPr>
            <w:r>
              <w:rPr>
                <w:color w:val="000000"/>
                <w:spacing w:val="0"/>
                <w:w w:val="100"/>
                <w:position w:val="0"/>
              </w:rPr>
              <w:t>1,908,776.30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研发加计扣除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00" w:right="0" w:firstLine="0"/>
              <w:jc w:val="both"/>
            </w:pPr>
            <w:r>
              <w:rPr>
                <w:color w:val="000000"/>
                <w:spacing w:val="0"/>
                <w:w w:val="100"/>
                <w:position w:val="0"/>
              </w:rPr>
              <w:t>-749,304.71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both"/>
            </w:pPr>
            <w:r>
              <w:rPr>
                <w:color w:val="000000"/>
                <w:spacing w:val="0"/>
                <w:w w:val="100"/>
                <w:position w:val="0"/>
              </w:rPr>
              <w:t>4,575,911.25</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r>
        <w:br w:type="page"/>
      </w:r>
    </w:p>
    <w:p>
      <w:pPr>
        <w:pStyle w:val="Style54"/>
        <w:keepNext w:val="0"/>
        <w:keepLines w:val="0"/>
        <w:widowControl w:val="0"/>
        <w:shd w:val="clear" w:color="auto" w:fill="auto"/>
        <w:tabs>
          <w:tab w:pos="478" w:val="left"/>
        </w:tabs>
        <w:bidi w:val="0"/>
        <w:spacing w:before="0" w:after="360" w:line="240" w:lineRule="auto"/>
        <w:ind w:left="0" w:right="0" w:firstLine="0"/>
        <w:jc w:val="left"/>
        <w:rPr>
          <w:sz w:val="20"/>
          <w:szCs w:val="20"/>
        </w:rPr>
      </w:pPr>
      <w:bookmarkStart w:id="1325" w:name="bookmark1325"/>
      <w:r>
        <w:rPr>
          <w:rFonts w:ascii="Times New Roman" w:eastAsia="Times New Roman" w:hAnsi="Times New Roman" w:cs="Times New Roman"/>
          <w:b/>
          <w:bCs/>
          <w:i w:val="0"/>
          <w:iCs w:val="0"/>
          <w:color w:val="000000"/>
          <w:spacing w:val="0"/>
          <w:w w:val="100"/>
          <w:position w:val="0"/>
          <w:sz w:val="20"/>
          <w:szCs w:val="20"/>
        </w:rPr>
        <w:t>7</w:t>
      </w:r>
      <w:bookmarkEnd w:id="1325"/>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其他综合收益</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54"/>
        <w:keepNext w:val="0"/>
        <w:keepLines w:val="0"/>
        <w:widowControl w:val="0"/>
        <w:shd w:val="clear" w:color="auto" w:fill="auto"/>
        <w:tabs>
          <w:tab w:pos="478" w:val="left"/>
        </w:tabs>
        <w:bidi w:val="0"/>
        <w:spacing w:before="0" w:after="360" w:line="240" w:lineRule="auto"/>
        <w:ind w:left="0" w:right="0" w:firstLine="0"/>
        <w:jc w:val="left"/>
        <w:rPr>
          <w:sz w:val="20"/>
          <w:szCs w:val="20"/>
        </w:rPr>
      </w:pPr>
      <w:bookmarkStart w:id="1326" w:name="bookmark1326"/>
      <w:r>
        <w:rPr>
          <w:rFonts w:ascii="Times New Roman" w:eastAsia="Times New Roman" w:hAnsi="Times New Roman" w:cs="Times New Roman"/>
          <w:b/>
          <w:bCs/>
          <w:i w:val="0"/>
          <w:iCs w:val="0"/>
          <w:color w:val="000000"/>
          <w:spacing w:val="0"/>
          <w:w w:val="100"/>
          <w:position w:val="0"/>
          <w:sz w:val="20"/>
          <w:szCs w:val="20"/>
        </w:rPr>
        <w:t>7</w:t>
      </w:r>
      <w:bookmarkEnd w:id="1326"/>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现金流量表项目</w:t>
      </w:r>
    </w:p>
    <w:p>
      <w:pPr>
        <w:pStyle w:val="Style54"/>
        <w:keepNext w:val="0"/>
        <w:keepLines w:val="0"/>
        <w:widowControl w:val="0"/>
        <w:shd w:val="clear" w:color="auto" w:fill="auto"/>
        <w:tabs>
          <w:tab w:pos="8728" w:val="left"/>
        </w:tabs>
        <w:bidi w:val="0"/>
        <w:spacing w:before="0" w:after="360" w:line="240" w:lineRule="auto"/>
        <w:ind w:left="0" w:right="0" w:firstLine="0"/>
        <w:jc w:val="left"/>
        <w:rPr>
          <w:sz w:val="17"/>
          <w:szCs w:val="17"/>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）收到的其他与经营活动有关的现金</w:t>
        <w:tab/>
      </w:r>
      <w:r>
        <w:rPr>
          <w:i w:val="0"/>
          <w:iCs w:val="0"/>
          <w:color w:val="000000"/>
          <w:spacing w:val="0"/>
          <w:w w:val="100"/>
          <w:position w:val="0"/>
          <w:sz w:val="17"/>
          <w:szCs w:val="17"/>
        </w:rPr>
        <w:t>单位：元</w:t>
      </w:r>
    </w:p>
    <w:tbl>
      <w:tblPr>
        <w:tblOverlap w:val="never"/>
        <w:jc w:val="center"/>
        <w:tblLayout w:type="fixed"/>
      </w:tblPr>
      <w:tblGrid>
        <w:gridCol w:w="3235"/>
        <w:gridCol w:w="3240"/>
        <w:gridCol w:w="32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收到与收益相关的政府补助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342,323.00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927,765.65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6,676,882.53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收回的投标保证金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29,018,444.06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26,139,672.12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4,064,181.13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2,601,840.54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收回员工借支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827,386.19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677,078.50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1,048,618.49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384,901.76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1,299,980.93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36,498,309.08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37,737,777.62</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收到的其他与经营活动有关的现金说明：无。</w:t>
      </w:r>
    </w:p>
    <w:p>
      <w:pPr>
        <w:pStyle w:val="Style54"/>
        <w:keepNext w:val="0"/>
        <w:keepLines w:val="0"/>
        <w:widowControl w:val="0"/>
        <w:shd w:val="clear" w:color="auto" w:fill="auto"/>
        <w:tabs>
          <w:tab w:pos="8728" w:val="left"/>
        </w:tabs>
        <w:bidi w:val="0"/>
        <w:spacing w:before="0" w:after="360" w:line="240" w:lineRule="auto"/>
        <w:ind w:left="0" w:right="0" w:firstLine="0"/>
        <w:jc w:val="left"/>
        <w:rPr>
          <w:sz w:val="17"/>
          <w:szCs w:val="17"/>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）支付的其他与经营活动有关的现金</w:t>
        <w:tab/>
      </w:r>
      <w:r>
        <w:rPr>
          <w:i w:val="0"/>
          <w:iCs w:val="0"/>
          <w:color w:val="000000"/>
          <w:spacing w:val="0"/>
          <w:w w:val="100"/>
          <w:position w:val="0"/>
          <w:sz w:val="17"/>
          <w:szCs w:val="17"/>
        </w:rPr>
        <w:t>单位：元</w:t>
      </w:r>
    </w:p>
    <w:tbl>
      <w:tblPr>
        <w:tblOverlap w:val="never"/>
        <w:jc w:val="center"/>
        <w:tblLayout w:type="fixed"/>
      </w:tblPr>
      <w:tblGrid>
        <w:gridCol w:w="3235"/>
        <w:gridCol w:w="3240"/>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付现销管费用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55,796,015.06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65,548,268.90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27,477,423.00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19,519,682.12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1,923,876.45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13,882,009.39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77,071.76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1,156,711.13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1,659,351.17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3,037,799.58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89,410,644.33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100,686,383.34</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支付的其他与经营活动有关的现金说明：无。</w:t>
      </w:r>
    </w:p>
    <w:p>
      <w:pPr>
        <w:widowControl w:val="0"/>
        <w:spacing w:after="359" w:line="1" w:lineRule="exact"/>
      </w:pPr>
    </w:p>
    <w:p>
      <w:pPr>
        <w:pStyle w:val="Style54"/>
        <w:keepNext w:val="0"/>
        <w:keepLines w:val="0"/>
        <w:widowControl w:val="0"/>
        <w:shd w:val="clear" w:color="auto" w:fill="auto"/>
        <w:tabs>
          <w:tab w:pos="633" w:val="left"/>
        </w:tabs>
        <w:bidi w:val="0"/>
        <w:spacing w:before="0" w:after="360" w:line="240" w:lineRule="auto"/>
        <w:ind w:left="0" w:right="0" w:firstLine="140"/>
        <w:jc w:val="left"/>
        <w:rPr>
          <w:sz w:val="20"/>
          <w:szCs w:val="20"/>
        </w:rPr>
      </w:pPr>
      <w:bookmarkStart w:id="1327" w:name="bookmark1327"/>
      <w:r>
        <w:rPr>
          <w:b/>
          <w:bCs/>
          <w:i w:val="0"/>
          <w:iCs w:val="0"/>
          <w:color w:val="000000"/>
          <w:spacing w:val="0"/>
          <w:w w:val="100"/>
          <w:position w:val="0"/>
          <w:sz w:val="20"/>
          <w:szCs w:val="20"/>
        </w:rPr>
        <w:t>（</w:t>
      </w:r>
      <w:bookmarkEnd w:id="1327"/>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收到的其他与投资活动有关的现金：无。</w:t>
      </w:r>
    </w:p>
    <w:p>
      <w:pPr>
        <w:pStyle w:val="Style54"/>
        <w:keepNext w:val="0"/>
        <w:keepLines w:val="0"/>
        <w:widowControl w:val="0"/>
        <w:shd w:val="clear" w:color="auto" w:fill="auto"/>
        <w:tabs>
          <w:tab w:pos="633" w:val="left"/>
          <w:tab w:pos="8728" w:val="left"/>
        </w:tabs>
        <w:bidi w:val="0"/>
        <w:spacing w:before="0" w:after="360" w:line="240" w:lineRule="auto"/>
        <w:ind w:left="0" w:right="0" w:firstLine="140"/>
        <w:jc w:val="left"/>
        <w:rPr>
          <w:sz w:val="17"/>
          <w:szCs w:val="17"/>
        </w:rPr>
      </w:pPr>
      <w:bookmarkStart w:id="1328" w:name="bookmark1328"/>
      <w:r>
        <w:rPr>
          <w:b/>
          <w:bCs/>
          <w:i w:val="0"/>
          <w:iCs w:val="0"/>
          <w:color w:val="000000"/>
          <w:spacing w:val="0"/>
          <w:w w:val="100"/>
          <w:position w:val="0"/>
          <w:sz w:val="20"/>
          <w:szCs w:val="20"/>
        </w:rPr>
        <w:t>（</w:t>
      </w:r>
      <w:bookmarkEnd w:id="1328"/>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支付的其他与投资活动有关的现金</w:t>
        <w:tab/>
      </w:r>
      <w:r>
        <w:rPr>
          <w:i w:val="0"/>
          <w:iCs w:val="0"/>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返还与资产相关的政府补助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收到的其他与筹资活动有关的现金：无。</w:t>
      </w:r>
      <w:bookmarkEnd w:id="1329"/>
      <w:bookmarkEnd w:id="1330"/>
      <w:bookmarkEnd w:id="1332"/>
    </w:p>
    <w:p>
      <w:pPr>
        <w:pStyle w:val="Style33"/>
        <w:keepNext/>
        <w:keepLines/>
        <w:widowControl w:val="0"/>
        <w:shd w:val="clear" w:color="auto" w:fill="auto"/>
        <w:tabs>
          <w:tab w:pos="493" w:val="left"/>
        </w:tabs>
        <w:bidi w:val="0"/>
        <w:spacing w:before="0" w:after="380" w:line="240" w:lineRule="auto"/>
        <w:ind w:left="0" w:right="0" w:firstLine="0"/>
        <w:jc w:val="left"/>
      </w:pPr>
      <w:bookmarkStart w:id="1329" w:name="bookmark1329"/>
      <w:bookmarkStart w:id="1330" w:name="bookmark1330"/>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329"/>
      <w:bookmarkEnd w:id="1330"/>
      <w:bookmarkEnd w:id="13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7,384,294.73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5,822,314.84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13,206,609.57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支付的其他与筹资活动有关的现金说明：无。</w:t>
      </w:r>
    </w:p>
    <w:p>
      <w:pPr>
        <w:pStyle w:val="Style33"/>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7</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335"/>
      <w:bookmarkEnd w:id="1336"/>
      <w:bookmarkEnd w:id="1338"/>
    </w:p>
    <w:p>
      <w:pPr>
        <w:pStyle w:val="Style33"/>
        <w:keepNext/>
        <w:keepLines/>
        <w:widowControl w:val="0"/>
        <w:shd w:val="clear" w:color="auto" w:fill="auto"/>
        <w:bidi w:val="0"/>
        <w:spacing w:before="0" w:after="380" w:line="240" w:lineRule="auto"/>
        <w:ind w:left="0" w:right="0" w:firstLine="140"/>
        <w:jc w:val="left"/>
      </w:pPr>
      <w:bookmarkStart w:id="1335" w:name="bookmark1335"/>
      <w:bookmarkStart w:id="1336" w:name="bookmark1336"/>
      <w:bookmarkStart w:id="1339" w:name="bookmark133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5"/>
      <w:bookmarkEnd w:id="1336"/>
      <w:bookmarkEnd w:id="1339"/>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6734"/>
        <w:gridCol w:w="1483"/>
        <w:gridCol w:w="14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75,912,490.21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130,251,403.31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7,414,529.45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13,646,534.81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11,087,750.31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20,677,847.33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1,627,739.07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4,587,869.11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769,486.65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752,623.72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-13,588,436.43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849,088.52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-15,967,586.03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-7,421,850.00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297,211.13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-120,129,482.72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-201,433,587.99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-7,129,047.77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598,868.92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12,116,415.66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268,155.30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-18,050,582.64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64,819,080.24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-26,618,933.34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-26,185,601.62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34,300,263.28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-6,039,306.07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57,311,972.89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7,492,600.00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-646,210.28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2,863,725.58</w:t>
            </w:r>
          </w:p>
        </w:tc>
      </w:tr>
    </w:tbl>
    <w:p>
      <w:pPr>
        <w:spacing w:lineRule="exact" w:line="1"/>
        <w:rPr>
          <w:sz w:val="2"/>
          <w:szCs w:val="2"/>
        </w:rPr>
      </w:pPr>
      <w:r>
        <w:br w:type="page"/>
      </w:r>
    </w:p>
    <w:tbl>
      <w:tblPr>
        <w:tblOverlap w:val="never"/>
        <w:jc w:val="center"/>
        <w:tblLayout w:type="fixed"/>
      </w:tblPr>
      <w:tblGrid>
        <w:gridCol w:w="6734"/>
        <w:gridCol w:w="1483"/>
        <w:gridCol w:w="149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50,592,813.82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367,477,462.51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367,477,462.51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360,961,121.21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-316,884,648.69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6,516,341.30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340" w:name="bookmark1340"/>
      <w:bookmarkStart w:id="1341" w:name="bookmark1341"/>
      <w:bookmarkStart w:id="1342" w:name="bookmark13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40"/>
      <w:bookmarkEnd w:id="1341"/>
      <w:bookmarkEnd w:id="13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465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本期收到的处置子公司的现金净额：无。</w:t>
      </w:r>
      <w:bookmarkEnd w:id="1343"/>
      <w:bookmarkEnd w:id="1344"/>
      <w:bookmarkEnd w:id="1346"/>
    </w:p>
    <w:p>
      <w:pPr>
        <w:pStyle w:val="Style33"/>
        <w:keepNext/>
        <w:keepLines/>
        <w:widowControl w:val="0"/>
        <w:shd w:val="clear" w:color="auto" w:fill="auto"/>
        <w:tabs>
          <w:tab w:pos="493" w:val="left"/>
        </w:tabs>
        <w:bidi w:val="0"/>
        <w:spacing w:before="0" w:after="380" w:line="240" w:lineRule="auto"/>
        <w:ind w:left="0" w:right="0" w:firstLine="0"/>
        <w:jc w:val="left"/>
      </w:pPr>
      <w:bookmarkStart w:id="1343" w:name="bookmark1343"/>
      <w:bookmarkStart w:id="1344" w:name="bookmark1344"/>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343"/>
      <w:bookmarkEnd w:id="1344"/>
      <w:bookmarkEnd w:id="1348"/>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379"/>
        <w:gridCol w:w="3101"/>
        <w:gridCol w:w="323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50,592,813.82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367,477,462.51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50,575,040.17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140,474,860.23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226,992,951.94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50,592,813.82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367,477,462.51</w:t>
            </w:r>
          </w:p>
        </w:tc>
      </w:tr>
    </w:tbl>
    <w:p>
      <w:pPr>
        <w:pStyle w:val="Style29"/>
        <w:keepNext w:val="0"/>
        <w:keepLines w:val="0"/>
        <w:widowControl w:val="0"/>
        <w:shd w:val="clear" w:color="auto" w:fill="auto"/>
        <w:bidi w:val="0"/>
        <w:spacing w:before="0" w:after="380" w:line="384" w:lineRule="exact"/>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1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7</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349"/>
      <w:bookmarkEnd w:id="1350"/>
      <w:bookmarkEnd w:id="1352"/>
    </w:p>
    <w:p>
      <w:pPr>
        <w:pStyle w:val="Style29"/>
        <w:keepNext w:val="0"/>
        <w:keepLines w:val="0"/>
        <w:widowControl w:val="0"/>
        <w:shd w:val="clear" w:color="auto" w:fill="auto"/>
        <w:bidi w:val="0"/>
        <w:spacing w:before="0" w:after="380" w:line="384"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详见五、</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br w:type="page"/>
      </w:r>
    </w:p>
    <w:p>
      <w:pPr>
        <w:pStyle w:val="Style33"/>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7</w:t>
      </w:r>
      <w:bookmarkEnd w:id="1355"/>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353"/>
      <w:bookmarkEnd w:id="1354"/>
      <w:bookmarkEnd w:id="13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3101"/>
        <w:gridCol w:w="323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16,809,919.70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保函、信用证、银行承兑汇票保证金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62,912,559.87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借款抵押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3,796,764.12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借款抵押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83,519,243.69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7</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357"/>
      <w:bookmarkEnd w:id="1358"/>
      <w:bookmarkEnd w:id="1360"/>
    </w:p>
    <w:p>
      <w:pPr>
        <w:pStyle w:val="Style33"/>
        <w:keepNext/>
        <w:keepLines/>
        <w:widowControl w:val="0"/>
        <w:shd w:val="clear" w:color="auto" w:fill="auto"/>
        <w:bidi w:val="0"/>
        <w:spacing w:before="0" w:line="240" w:lineRule="auto"/>
        <w:ind w:left="0" w:right="0" w:firstLine="140"/>
        <w:jc w:val="left"/>
      </w:pPr>
      <w:bookmarkStart w:id="1357" w:name="bookmark1357"/>
      <w:bookmarkStart w:id="1358" w:name="bookmark1358"/>
      <w:bookmarkStart w:id="1361" w:name="bookmark136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57"/>
      <w:bookmarkEnd w:id="1358"/>
      <w:bookmarkEnd w:id="1361"/>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534"/>
        <w:gridCol w:w="2323"/>
        <w:gridCol w:w="242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5,758,076.86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696,311.87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4,830,315.44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126,972.33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927,761.42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760,430.48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40,820.95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283,174.93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65,316.63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477,255.55</w:t>
            </w:r>
          </w:p>
        </w:tc>
      </w:tr>
    </w:tbl>
    <w:p>
      <w:pPr>
        <w:widowControl w:val="0"/>
        <w:spacing w:after="99" w:line="1" w:lineRule="exact"/>
      </w:pP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line="326" w:lineRule="exact"/>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62"/>
      <w:bookmarkEnd w:id="1363"/>
      <w:bookmarkEnd w:id="136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78" w:val="left"/>
        </w:tabs>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7</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w:t>
        <w:tab/>
        <w:t>套期：无。</w:t>
      </w:r>
      <w:bookmarkEnd w:id="1365"/>
      <w:bookmarkEnd w:id="1366"/>
      <w:bookmarkEnd w:id="1368"/>
    </w:p>
    <w:p>
      <w:pPr>
        <w:pStyle w:val="Style33"/>
        <w:keepNext/>
        <w:keepLines/>
        <w:widowControl w:val="0"/>
        <w:shd w:val="clear" w:color="auto" w:fill="auto"/>
        <w:tabs>
          <w:tab w:pos="478" w:val="left"/>
        </w:tabs>
        <w:bidi w:val="0"/>
        <w:spacing w:before="0" w:line="240" w:lineRule="auto"/>
        <w:ind w:left="0" w:right="0" w:firstLine="0"/>
        <w:jc w:val="left"/>
      </w:pPr>
      <w:bookmarkStart w:id="1365" w:name="bookmark1365"/>
      <w:bookmarkStart w:id="1366" w:name="bookmark1366"/>
      <w:bookmarkStart w:id="1369" w:name="bookmark1369"/>
      <w:bookmarkStart w:id="1370" w:name="bookmark1370"/>
      <w:r>
        <w:rPr>
          <w:rFonts w:ascii="Times New Roman" w:eastAsia="Times New Roman" w:hAnsi="Times New Roman" w:cs="Times New Roman"/>
          <w:color w:val="000000"/>
          <w:spacing w:val="0"/>
          <w:w w:val="100"/>
          <w:position w:val="0"/>
        </w:rPr>
        <w:t>7</w:t>
      </w:r>
      <w:bookmarkEnd w:id="1369"/>
      <w:r>
        <w:rPr>
          <w:rFonts w:ascii="Times New Roman" w:eastAsia="Times New Roman" w:hAnsi="Times New Roman" w:cs="Times New Roman"/>
          <w:color w:val="000000"/>
          <w:spacing w:val="0"/>
          <w:w w:val="100"/>
          <w:position w:val="0"/>
        </w:rPr>
        <w:t>9</w:t>
      </w:r>
      <w:r>
        <w:rPr>
          <w:color w:val="000000"/>
          <w:spacing w:val="0"/>
          <w:w w:val="100"/>
          <w:position w:val="0"/>
        </w:rPr>
        <w:t>、</w:t>
        <w:tab/>
        <w:t>其他：无。</w:t>
      </w:r>
      <w:bookmarkEnd w:id="1365"/>
      <w:bookmarkEnd w:id="1366"/>
      <w:bookmarkEnd w:id="1370"/>
      <w:r>
        <w:br w:type="page"/>
      </w:r>
    </w:p>
    <w:p>
      <w:pPr>
        <w:pStyle w:val="Style25"/>
        <w:keepNext/>
        <w:keepLines/>
        <w:widowControl w:val="0"/>
        <w:shd w:val="clear" w:color="auto" w:fill="auto"/>
        <w:bidi w:val="0"/>
        <w:spacing w:before="0" w:after="360" w:line="240" w:lineRule="auto"/>
        <w:ind w:left="0" w:right="0" w:firstLine="0"/>
        <w:jc w:val="left"/>
      </w:pPr>
      <w:bookmarkStart w:id="1371" w:name="bookmark1371"/>
      <w:bookmarkStart w:id="1372" w:name="bookmark1372"/>
      <w:bookmarkStart w:id="1373" w:name="bookmark1373"/>
      <w:r>
        <w:rPr>
          <w:color w:val="000000"/>
          <w:spacing w:val="0"/>
          <w:w w:val="100"/>
          <w:position w:val="0"/>
        </w:rPr>
        <w:t>八、合并范围的变更</w:t>
      </w:r>
      <w:bookmarkEnd w:id="1371"/>
      <w:bookmarkEnd w:id="1372"/>
      <w:bookmarkEnd w:id="1373"/>
    </w:p>
    <w:p>
      <w:pPr>
        <w:pStyle w:val="Style33"/>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74"/>
      <w:bookmarkEnd w:id="1375"/>
      <w:bookmarkEnd w:id="1376"/>
    </w:p>
    <w:p>
      <w:pPr>
        <w:pStyle w:val="Style33"/>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74"/>
      <w:bookmarkEnd w:id="1375"/>
      <w:bookmarkEnd w:id="1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008"/>
        <w:gridCol w:w="1008"/>
        <w:gridCol w:w="931"/>
        <w:gridCol w:w="710"/>
        <w:gridCol w:w="1003"/>
        <w:gridCol w:w="1186"/>
        <w:gridCol w:w="1435"/>
        <w:gridCol w:w="171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被购买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购买日的确定 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购买日至期末被 购买方的收入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购买日至期末被购买 方的净利润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中汇同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能够对被购买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方实施控制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-2,986.13</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其他说明：无。</w:t>
      </w:r>
    </w:p>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78"/>
      <w:bookmarkEnd w:id="1379"/>
      <w:bookmarkEnd w:id="13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中汇同盈</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359,972.58</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合并成本公允价值的确定方法、或有对价及其变动的说明：无。 大额商誉形成的主要原因：无。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81"/>
      <w:bookmarkEnd w:id="1382"/>
      <w:bookmarkEnd w:id="1384"/>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中汇同盈</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可辨认资产、负债公允价值的确定方法：无关联第三方交易的市场价格。</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企业合并中承担的被购买方的或有负债：无。</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54"/>
        <w:keepNext w:val="0"/>
        <w:keepLines w:val="0"/>
        <w:widowControl w:val="0"/>
        <w:shd w:val="clear" w:color="auto" w:fill="auto"/>
        <w:tabs>
          <w:tab w:pos="493" w:val="left"/>
        </w:tabs>
        <w:bidi w:val="0"/>
        <w:spacing w:before="0" w:after="260" w:line="240" w:lineRule="auto"/>
        <w:ind w:left="0" w:right="0" w:firstLine="0"/>
        <w:jc w:val="left"/>
        <w:rPr>
          <w:sz w:val="20"/>
          <w:szCs w:val="20"/>
        </w:rPr>
      </w:pPr>
      <w:bookmarkStart w:id="1385" w:name="bookmark1385"/>
      <w:r>
        <w:rPr>
          <w:b/>
          <w:bCs/>
          <w:i w:val="0"/>
          <w:iCs w:val="0"/>
          <w:color w:val="000000"/>
          <w:spacing w:val="0"/>
          <w:w w:val="100"/>
          <w:position w:val="0"/>
          <w:sz w:val="20"/>
          <w:szCs w:val="20"/>
        </w:rPr>
        <w:t>（</w:t>
      </w:r>
      <w:bookmarkEnd w:id="1385"/>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购买日之前持有的股权按照公允价值重新计量产生的利得或损失</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4"/>
        <w:keepNext w:val="0"/>
        <w:keepLines w:val="0"/>
        <w:widowControl w:val="0"/>
        <w:shd w:val="clear" w:color="auto" w:fill="auto"/>
        <w:tabs>
          <w:tab w:pos="493" w:val="left"/>
        </w:tabs>
        <w:bidi w:val="0"/>
        <w:spacing w:before="0" w:after="680" w:line="240" w:lineRule="auto"/>
        <w:ind w:left="0" w:right="0" w:firstLine="0"/>
        <w:jc w:val="left"/>
        <w:rPr>
          <w:sz w:val="20"/>
          <w:szCs w:val="20"/>
        </w:rPr>
      </w:pPr>
      <w:bookmarkStart w:id="1386" w:name="bookmark1386"/>
      <w:r>
        <w:rPr>
          <w:b/>
          <w:bCs/>
          <w:i w:val="0"/>
          <w:iCs w:val="0"/>
          <w:color w:val="000000"/>
          <w:spacing w:val="0"/>
          <w:w w:val="100"/>
          <w:position w:val="0"/>
          <w:sz w:val="20"/>
          <w:szCs w:val="20"/>
        </w:rPr>
        <w:t>（</w:t>
      </w:r>
      <w:bookmarkEnd w:id="1386"/>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购买日或合并当期期末无法合理确定合并对价或被购买方可辨认资产、负债公允价值的相关说明：</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87" w:name="bookmark1387"/>
      <w:r>
        <w:rPr>
          <w:b/>
          <w:bCs/>
          <w:i w:val="0"/>
          <w:iCs w:val="0"/>
          <w:color w:val="000000"/>
          <w:spacing w:val="0"/>
          <w:w w:val="100"/>
          <w:position w:val="0"/>
          <w:sz w:val="20"/>
          <w:szCs w:val="20"/>
        </w:rPr>
        <w:t>（</w:t>
      </w:r>
      <w:bookmarkEnd w:id="1387"/>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其他说明：无。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88" w:name="bookmark1388"/>
      <w:r>
        <w:rPr>
          <w:rFonts w:ascii="Times New Roman" w:eastAsia="Times New Roman" w:hAnsi="Times New Roman" w:cs="Times New Roman"/>
          <w:b/>
          <w:bCs/>
          <w:i w:val="0"/>
          <w:iCs w:val="0"/>
          <w:color w:val="000000"/>
          <w:spacing w:val="0"/>
          <w:w w:val="100"/>
          <w:position w:val="0"/>
          <w:sz w:val="20"/>
          <w:szCs w:val="20"/>
        </w:rPr>
        <w:t>2</w:t>
      </w:r>
      <w:bookmarkEnd w:id="1388"/>
      <w:r>
        <w:rPr>
          <w:b/>
          <w:bCs/>
          <w:i w:val="0"/>
          <w:iCs w:val="0"/>
          <w:color w:val="000000"/>
          <w:spacing w:val="0"/>
          <w:w w:val="100"/>
          <w:position w:val="0"/>
          <w:sz w:val="20"/>
          <w:szCs w:val="20"/>
        </w:rPr>
        <w:t>、</w:t>
        <w:tab/>
        <w:t>同一控制下企业合并</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89" w:name="bookmark1389"/>
      <w:r>
        <w:rPr>
          <w:b/>
          <w:bCs/>
          <w:i w:val="0"/>
          <w:iCs w:val="0"/>
          <w:color w:val="000000"/>
          <w:spacing w:val="0"/>
          <w:w w:val="100"/>
          <w:position w:val="0"/>
          <w:sz w:val="20"/>
          <w:szCs w:val="20"/>
        </w:rPr>
        <w:t>（</w:t>
      </w:r>
      <w:bookmarkEnd w:id="1389"/>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本期发生的同一控制下企业合并：无。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390" w:name="bookmark1390"/>
      <w:r>
        <w:rPr>
          <w:b/>
          <w:bCs/>
          <w:i w:val="0"/>
          <w:iCs w:val="0"/>
          <w:color w:val="000000"/>
          <w:spacing w:val="0"/>
          <w:w w:val="100"/>
          <w:position w:val="0"/>
          <w:sz w:val="20"/>
          <w:szCs w:val="20"/>
        </w:rPr>
        <w:t>（</w:t>
      </w:r>
      <w:bookmarkEnd w:id="1390"/>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合并成本：无。</w:t>
      </w:r>
    </w:p>
    <w:p>
      <w:pPr>
        <w:pStyle w:val="Style54"/>
        <w:keepNext w:val="0"/>
        <w:keepLines w:val="0"/>
        <w:widowControl w:val="0"/>
        <w:shd w:val="clear" w:color="auto" w:fill="auto"/>
        <w:bidi w:val="0"/>
        <w:spacing w:before="0" w:after="360" w:line="240" w:lineRule="auto"/>
        <w:ind w:left="0" w:right="0" w:firstLine="0"/>
        <w:jc w:val="left"/>
        <w:rPr>
          <w:sz w:val="20"/>
          <w:szCs w:val="20"/>
        </w:rPr>
      </w:pPr>
      <w:bookmarkStart w:id="1391" w:name="bookmark1391"/>
      <w:r>
        <w:rPr>
          <w:b/>
          <w:bCs/>
          <w:i w:val="0"/>
          <w:iCs w:val="0"/>
          <w:color w:val="000000"/>
          <w:spacing w:val="0"/>
          <w:w w:val="100"/>
          <w:position w:val="0"/>
          <w:sz w:val="20"/>
          <w:szCs w:val="20"/>
        </w:rPr>
        <w:t>（</w:t>
      </w:r>
      <w:bookmarkEnd w:id="1391"/>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 合并日被合并方资产、负债的账面价值：无。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92" w:name="bookmark1392"/>
      <w:r>
        <w:rPr>
          <w:rFonts w:ascii="Times New Roman" w:eastAsia="Times New Roman" w:hAnsi="Times New Roman" w:cs="Times New Roman"/>
          <w:b/>
          <w:bCs/>
          <w:i w:val="0"/>
          <w:iCs w:val="0"/>
          <w:color w:val="000000"/>
          <w:spacing w:val="0"/>
          <w:w w:val="100"/>
          <w:position w:val="0"/>
          <w:sz w:val="20"/>
          <w:szCs w:val="20"/>
        </w:rPr>
        <w:t>3</w:t>
      </w:r>
      <w:bookmarkEnd w:id="1392"/>
      <w:r>
        <w:rPr>
          <w:b/>
          <w:bCs/>
          <w:i w:val="0"/>
          <w:iCs w:val="0"/>
          <w:color w:val="000000"/>
          <w:spacing w:val="0"/>
          <w:w w:val="100"/>
          <w:position w:val="0"/>
          <w:sz w:val="20"/>
          <w:szCs w:val="20"/>
        </w:rPr>
        <w:t>、</w:t>
        <w:tab/>
        <w:t>反向购买：无。</w:t>
      </w:r>
    </w:p>
    <w:p>
      <w:pPr>
        <w:pStyle w:val="Style54"/>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393" w:name="bookmark1393"/>
      <w:r>
        <w:rPr>
          <w:rFonts w:ascii="Times New Roman" w:eastAsia="Times New Roman" w:hAnsi="Times New Roman" w:cs="Times New Roman"/>
          <w:b/>
          <w:bCs/>
          <w:i w:val="0"/>
          <w:iCs w:val="0"/>
          <w:color w:val="000000"/>
          <w:spacing w:val="0"/>
          <w:w w:val="100"/>
          <w:position w:val="0"/>
          <w:sz w:val="20"/>
          <w:szCs w:val="20"/>
        </w:rPr>
        <w:t>4</w:t>
      </w:r>
      <w:bookmarkEnd w:id="1393"/>
      <w:r>
        <w:rPr>
          <w:b/>
          <w:bCs/>
          <w:i w:val="0"/>
          <w:iCs w:val="0"/>
          <w:color w:val="000000"/>
          <w:spacing w:val="0"/>
          <w:w w:val="100"/>
          <w:position w:val="0"/>
          <w:sz w:val="20"/>
          <w:szCs w:val="20"/>
        </w:rPr>
        <w:t>、</w:t>
        <w:tab/>
        <w:t>处置子公司</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4"/>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394" w:name="bookmark1394"/>
      <w:r>
        <w:rPr>
          <w:rFonts w:ascii="Times New Roman" w:eastAsia="Times New Roman" w:hAnsi="Times New Roman" w:cs="Times New Roman"/>
          <w:b/>
          <w:bCs/>
          <w:i w:val="0"/>
          <w:iCs w:val="0"/>
          <w:color w:val="000000"/>
          <w:spacing w:val="0"/>
          <w:w w:val="100"/>
          <w:position w:val="0"/>
          <w:sz w:val="20"/>
          <w:szCs w:val="20"/>
        </w:rPr>
        <w:t>5</w:t>
      </w:r>
      <w:bookmarkEnd w:id="1394"/>
      <w:r>
        <w:rPr>
          <w:b/>
          <w:bCs/>
          <w:i w:val="0"/>
          <w:iCs w:val="0"/>
          <w:color w:val="000000"/>
          <w:spacing w:val="0"/>
          <w:w w:val="100"/>
          <w:position w:val="0"/>
          <w:sz w:val="20"/>
          <w:szCs w:val="20"/>
        </w:rPr>
        <w:t>、</w:t>
        <w:tab/>
        <w:t>其他原因的合并范围变动</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rPr>
        <w:t>经公司总裁办公会批准：</w:t>
      </w:r>
    </w:p>
    <w:p>
      <w:pPr>
        <w:pStyle w:val="Style29"/>
        <w:keepNext w:val="0"/>
        <w:keepLines w:val="0"/>
        <w:widowControl w:val="0"/>
        <w:shd w:val="clear" w:color="auto" w:fill="auto"/>
        <w:tabs>
          <w:tab w:pos="723" w:val="left"/>
        </w:tabs>
        <w:bidi w:val="0"/>
        <w:spacing w:before="0" w:after="0" w:line="326" w:lineRule="exact"/>
        <w:ind w:left="0" w:right="0"/>
        <w:jc w:val="both"/>
      </w:pPr>
      <w:bookmarkStart w:id="1395" w:name="bookmark1395"/>
      <w:r>
        <w:rPr>
          <w:rFonts w:ascii="Times New Roman" w:eastAsia="Times New Roman" w:hAnsi="Times New Roman" w:cs="Times New Roman"/>
          <w:color w:val="000000"/>
          <w:spacing w:val="0"/>
          <w:w w:val="100"/>
          <w:position w:val="0"/>
          <w:sz w:val="18"/>
          <w:szCs w:val="18"/>
        </w:rPr>
        <w:t>1</w:t>
      </w:r>
      <w:bookmarkEnd w:id="139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日与子公司喀什中汇联银共同投资设立合伙企业中汇联鑫，于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日与武汉纳思、宁波 永耀信息科技有限公司共同发起设立子公司永耀惠程。</w:t>
      </w:r>
    </w:p>
    <w:p>
      <w:pPr>
        <w:pStyle w:val="Style29"/>
        <w:keepNext w:val="0"/>
        <w:keepLines w:val="0"/>
        <w:widowControl w:val="0"/>
        <w:shd w:val="clear" w:color="auto" w:fill="auto"/>
        <w:tabs>
          <w:tab w:pos="723" w:val="left"/>
        </w:tabs>
        <w:bidi w:val="0"/>
        <w:spacing w:before="0" w:after="0" w:line="317" w:lineRule="exact"/>
        <w:ind w:left="0" w:right="0"/>
        <w:jc w:val="both"/>
      </w:pPr>
      <w:bookmarkStart w:id="1396" w:name="bookmark1396"/>
      <w:r>
        <w:rPr>
          <w:rFonts w:ascii="Times New Roman" w:eastAsia="Times New Roman" w:hAnsi="Times New Roman" w:cs="Times New Roman"/>
          <w:color w:val="000000"/>
          <w:spacing w:val="0"/>
          <w:w w:val="100"/>
          <w:position w:val="0"/>
          <w:sz w:val="18"/>
          <w:szCs w:val="18"/>
        </w:rPr>
        <w:t>2</w:t>
      </w:r>
      <w:bookmarkEnd w:id="1396"/>
      <w:r>
        <w:rPr>
          <w:color w:val="000000"/>
          <w:spacing w:val="0"/>
          <w:w w:val="100"/>
          <w:position w:val="0"/>
        </w:rPr>
        <w:t>、</w:t>
        <w:tab/>
        <w:t>子公司北京中汇联银于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日在上海发起设立全资孙公司豪琛投资、鹏胤投资，于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日以受让 股权的方式取得孙公司中汇同盈</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公司将以上新成立的合伙企业、子公司、孙公司纳入</w:t>
      </w:r>
      <w:r>
        <w:rPr>
          <w:color w:val="000000"/>
          <w:spacing w:val="0"/>
          <w:w w:val="100"/>
          <w:position w:val="0"/>
          <w:sz w:val="18"/>
          <w:szCs w:val="18"/>
        </w:rPr>
        <w:t>2016</w:t>
      </w:r>
      <w:r>
        <w:rPr>
          <w:color w:val="000000"/>
          <w:spacing w:val="0"/>
          <w:w w:val="100"/>
          <w:position w:val="0"/>
        </w:rPr>
        <w:t>年年度财务报表合并范围。</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97" w:name="bookmark1397"/>
      <w:r>
        <w:rPr>
          <w:rFonts w:ascii="Times New Roman" w:eastAsia="Times New Roman" w:hAnsi="Times New Roman" w:cs="Times New Roman"/>
          <w:b/>
          <w:bCs/>
          <w:i w:val="0"/>
          <w:iCs w:val="0"/>
          <w:color w:val="000000"/>
          <w:spacing w:val="0"/>
          <w:w w:val="100"/>
          <w:position w:val="0"/>
          <w:sz w:val="20"/>
          <w:szCs w:val="20"/>
        </w:rPr>
        <w:t>6</w:t>
      </w:r>
      <w:bookmarkEnd w:id="1397"/>
      <w:r>
        <w:rPr>
          <w:b/>
          <w:bCs/>
          <w:i w:val="0"/>
          <w:iCs w:val="0"/>
          <w:color w:val="000000"/>
          <w:spacing w:val="0"/>
          <w:w w:val="100"/>
          <w:position w:val="0"/>
          <w:sz w:val="20"/>
          <w:szCs w:val="20"/>
        </w:rPr>
        <w:t>、</w:t>
        <w:tab/>
        <w:t>其他：无。</w:t>
      </w:r>
      <w:r>
        <w:br w:type="page"/>
      </w:r>
    </w:p>
    <w:p>
      <w:pPr>
        <w:pStyle w:val="Style25"/>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r>
        <w:rPr>
          <w:color w:val="000000"/>
          <w:spacing w:val="0"/>
          <w:w w:val="100"/>
          <w:position w:val="0"/>
        </w:rPr>
        <w:t>九、在其他主体中的权益</w:t>
      </w:r>
      <w:bookmarkEnd w:id="1398"/>
      <w:bookmarkEnd w:id="1399"/>
      <w:bookmarkEnd w:id="1400"/>
    </w:p>
    <w:p>
      <w:pPr>
        <w:pStyle w:val="Style33"/>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1"/>
      <w:bookmarkEnd w:id="1402"/>
      <w:bookmarkEnd w:id="1403"/>
    </w:p>
    <w:p>
      <w:pPr>
        <w:pStyle w:val="Style33"/>
        <w:keepNext/>
        <w:keepLines/>
        <w:widowControl w:val="0"/>
        <w:shd w:val="clear" w:color="auto" w:fill="auto"/>
        <w:bidi w:val="0"/>
        <w:spacing w:before="0" w:after="320" w:line="240" w:lineRule="auto"/>
        <w:ind w:left="0" w:right="0" w:firstLine="140"/>
        <w:jc w:val="left"/>
      </w:pPr>
      <w:bookmarkStart w:id="1401" w:name="bookmark1401"/>
      <w:bookmarkStart w:id="1402" w:name="bookmark1402"/>
      <w:bookmarkStart w:id="1404" w:name="bookmark14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01"/>
      <w:bookmarkEnd w:id="1402"/>
      <w:bookmarkEnd w:id="1404"/>
    </w:p>
    <w:tbl>
      <w:tblPr>
        <w:tblOverlap w:val="never"/>
        <w:jc w:val="center"/>
        <w:tblLayout w:type="fixed"/>
      </w:tblPr>
      <w:tblGrid>
        <w:gridCol w:w="1397"/>
        <w:gridCol w:w="1387"/>
        <w:gridCol w:w="1080"/>
        <w:gridCol w:w="1277"/>
        <w:gridCol w:w="1133"/>
        <w:gridCol w:w="1133"/>
        <w:gridCol w:w="230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惠程智能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中汇联银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喀什中汇联银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中行置盛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中融建银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中汇联鑫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中汇同盈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非同一控制下企业合并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永耀惠程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鹏胤投资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豪琛投资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本公司持有永耀惠程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的持股比例，同时系永耀惠程第一大股东，虽对被投资方持有半数以下的表决权，但本公司 向子公司推荐董事长及相关董事。</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对于纳入合并范围的重要的结构化主体，控制的依据：无。</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确定公司是代理人还是委托人的依据：无。</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both"/>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05"/>
      <w:bookmarkEnd w:id="1406"/>
      <w:bookmarkEnd w:id="14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1594"/>
        <w:gridCol w:w="2362"/>
        <w:gridCol w:w="2741"/>
        <w:gridCol w:w="1992"/>
      </w:tblGrid>
      <w:tr>
        <w:trPr>
          <w:trHeight w:val="77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本期归属于少数股东的损益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永耀惠程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子公司少数股东的持股比例不同于表决权比例的说明：无。</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3"/>
        <w:keepNext/>
        <w:keepLines/>
        <w:widowControl w:val="0"/>
        <w:numPr>
          <w:ilvl w:val="0"/>
          <w:numId w:val="81"/>
        </w:numPr>
        <w:shd w:val="clear" w:color="auto" w:fill="auto"/>
        <w:bidi w:val="0"/>
        <w:spacing w:before="0" w:after="380" w:line="240" w:lineRule="auto"/>
        <w:ind w:left="0" w:right="0" w:firstLine="14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重要非全资子公司的主要财务信息</w:t>
      </w:r>
      <w:bookmarkEnd w:id="1408"/>
      <w:bookmarkEnd w:id="1409"/>
      <w:bookmarkEnd w:id="1411"/>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其他说明：永耀惠程于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日完成注册，截至报告日尚未开展经营，无财务信息。</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12" w:name="bookmark1412"/>
      <w:r>
        <w:rPr>
          <w:b/>
          <w:bCs/>
          <w:i w:val="0"/>
          <w:iCs w:val="0"/>
          <w:color w:val="000000"/>
          <w:spacing w:val="0"/>
          <w:w w:val="100"/>
          <w:position w:val="0"/>
          <w:sz w:val="20"/>
          <w:szCs w:val="20"/>
        </w:rPr>
        <w:t>（</w:t>
      </w:r>
      <w:bookmarkEnd w:id="1412"/>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使用企业集团资产和清偿企业集团债务的重大限制：无。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13" w:name="bookmark1413"/>
      <w:r>
        <w:rPr>
          <w:b/>
          <w:bCs/>
          <w:i w:val="0"/>
          <w:iCs w:val="0"/>
          <w:color w:val="000000"/>
          <w:spacing w:val="0"/>
          <w:w w:val="100"/>
          <w:position w:val="0"/>
          <w:sz w:val="20"/>
          <w:szCs w:val="20"/>
        </w:rPr>
        <w:t>（</w:t>
      </w:r>
      <w:bookmarkEnd w:id="1413"/>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向纳入合并财务报表范围的结构化主体提供的财务支持或其他支持：无。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414" w:name="bookmark1414"/>
      <w:r>
        <w:rPr>
          <w:rFonts w:ascii="Times New Roman" w:eastAsia="Times New Roman" w:hAnsi="Times New Roman" w:cs="Times New Roman"/>
          <w:b/>
          <w:bCs/>
          <w:i w:val="0"/>
          <w:iCs w:val="0"/>
          <w:color w:val="000000"/>
          <w:spacing w:val="0"/>
          <w:w w:val="100"/>
          <w:position w:val="0"/>
          <w:sz w:val="20"/>
          <w:szCs w:val="20"/>
        </w:rPr>
        <w:t>2</w:t>
      </w:r>
      <w:bookmarkEnd w:id="1414"/>
      <w:r>
        <w:rPr>
          <w:b/>
          <w:bCs/>
          <w:i w:val="0"/>
          <w:iCs w:val="0"/>
          <w:color w:val="000000"/>
          <w:spacing w:val="0"/>
          <w:w w:val="100"/>
          <w:position w:val="0"/>
          <w:sz w:val="20"/>
          <w:szCs w:val="20"/>
        </w:rPr>
        <w:t>、</w:t>
        <w:tab/>
        <w:t>在子公司的所有者权益份额发生变化且仍控制子公司的交易</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15" w:name="bookmark1415"/>
      <w:r>
        <w:rPr>
          <w:b/>
          <w:bCs/>
          <w:i w:val="0"/>
          <w:iCs w:val="0"/>
          <w:color w:val="000000"/>
          <w:spacing w:val="0"/>
          <w:w w:val="100"/>
          <w:position w:val="0"/>
          <w:sz w:val="20"/>
          <w:szCs w:val="20"/>
        </w:rPr>
        <w:t>（</w:t>
      </w:r>
      <w:bookmarkEnd w:id="1415"/>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w:t>
        <w:tab/>
        <w:t>在子公司所有者权益份额发生变化的情况说明：无。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16" w:name="bookmark1416"/>
      <w:r>
        <w:rPr>
          <w:b/>
          <w:bCs/>
          <w:i w:val="0"/>
          <w:iCs w:val="0"/>
          <w:color w:val="000000"/>
          <w:spacing w:val="0"/>
          <w:w w:val="100"/>
          <w:position w:val="0"/>
          <w:sz w:val="20"/>
          <w:szCs w:val="20"/>
        </w:rPr>
        <w:t>（</w:t>
      </w:r>
      <w:bookmarkEnd w:id="1416"/>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交易对于少数股东权益及归属于母公司所有者权益的影响：无。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417" w:name="bookmark1417"/>
      <w:r>
        <w:rPr>
          <w:rFonts w:ascii="Times New Roman" w:eastAsia="Times New Roman" w:hAnsi="Times New Roman" w:cs="Times New Roman"/>
          <w:b/>
          <w:bCs/>
          <w:i w:val="0"/>
          <w:iCs w:val="0"/>
          <w:color w:val="000000"/>
          <w:spacing w:val="0"/>
          <w:w w:val="100"/>
          <w:position w:val="0"/>
          <w:sz w:val="20"/>
          <w:szCs w:val="20"/>
        </w:rPr>
        <w:t>3</w:t>
      </w:r>
      <w:bookmarkEnd w:id="1417"/>
      <w:r>
        <w:rPr>
          <w:b/>
          <w:bCs/>
          <w:i w:val="0"/>
          <w:iCs w:val="0"/>
          <w:color w:val="000000"/>
          <w:spacing w:val="0"/>
          <w:w w:val="100"/>
          <w:position w:val="0"/>
          <w:sz w:val="20"/>
          <w:szCs w:val="20"/>
        </w:rPr>
        <w:t>、</w:t>
        <w:tab/>
        <w:t>在合营安排或联营企业中的权益</w:t>
      </w:r>
    </w:p>
    <w:p>
      <w:pPr>
        <w:pStyle w:val="Style54"/>
        <w:keepNext w:val="0"/>
        <w:keepLines w:val="0"/>
        <w:widowControl w:val="0"/>
        <w:shd w:val="clear" w:color="auto" w:fill="auto"/>
        <w:bidi w:val="0"/>
        <w:spacing w:before="0" w:after="360" w:line="240" w:lineRule="auto"/>
        <w:ind w:left="0" w:right="0" w:firstLine="0"/>
        <w:jc w:val="left"/>
        <w:rPr>
          <w:sz w:val="20"/>
          <w:szCs w:val="20"/>
        </w:rPr>
      </w:pPr>
      <w:r>
        <w:rPr>
          <w:b/>
          <w:bCs/>
          <w:i w:val="0"/>
          <w:iCs w:val="0"/>
          <w:color w:val="000000"/>
          <w:spacing w:val="0"/>
          <w:w w:val="100"/>
          <w:position w:val="0"/>
          <w:sz w:val="20"/>
          <w:szCs w:val="20"/>
        </w:rPr>
        <w:t>（</w:t>
      </w: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）重要的合营企业或联营企业</w:t>
      </w:r>
    </w:p>
    <w:tbl>
      <w:tblPr>
        <w:tblOverlap w:val="never"/>
        <w:jc w:val="center"/>
        <w:tblLayout w:type="fixed"/>
      </w:tblPr>
      <w:tblGrid>
        <w:gridCol w:w="3581"/>
        <w:gridCol w:w="1277"/>
        <w:gridCol w:w="994"/>
        <w:gridCol w:w="1133"/>
        <w:gridCol w:w="710"/>
        <w:gridCol w:w="629"/>
        <w:gridCol w:w="13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北京信中利赞信股权投资中心（有限合伙）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w:t>
            </w:r>
          </w:p>
        </w:tc>
      </w:tr>
    </w:tbl>
    <w:p>
      <w:pPr>
        <w:pStyle w:val="Style27"/>
        <w:keepNext w:val="0"/>
        <w:keepLines w:val="0"/>
        <w:widowControl w:val="0"/>
        <w:shd w:val="clear" w:color="auto" w:fill="auto"/>
        <w:bidi w:val="0"/>
        <w:spacing w:before="0" w:after="0" w:line="240" w:lineRule="auto"/>
        <w:ind w:left="14" w:right="0" w:firstLine="0"/>
        <w:jc w:val="left"/>
      </w:pPr>
      <w:r>
        <w:rPr>
          <w:color w:val="000000"/>
          <w:spacing w:val="0"/>
          <w:w w:val="100"/>
          <w:position w:val="0"/>
        </w:rPr>
        <w:t>在合营企业或联营企业的持股比例不同于表决权比例的说明：无。</w:t>
      </w:r>
    </w:p>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54"/>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418" w:name="bookmark1418"/>
      <w:r>
        <w:rPr>
          <w:b/>
          <w:bCs/>
          <w:i w:val="0"/>
          <w:iCs w:val="0"/>
          <w:color w:val="000000"/>
          <w:spacing w:val="0"/>
          <w:w w:val="100"/>
          <w:position w:val="0"/>
          <w:sz w:val="20"/>
          <w:szCs w:val="20"/>
        </w:rPr>
        <w:t>（</w:t>
      </w:r>
      <w:bookmarkEnd w:id="1418"/>
      <w:r>
        <w:rPr>
          <w:rFonts w:ascii="Times New Roman" w:eastAsia="Times New Roman" w:hAnsi="Times New Roman" w:cs="Times New Roman"/>
          <w:b/>
          <w:bCs/>
          <w:i w:val="0"/>
          <w:iCs w:val="0"/>
          <w:color w:val="000000"/>
          <w:spacing w:val="0"/>
          <w:w w:val="100"/>
          <w:position w:val="0"/>
          <w:sz w:val="20"/>
          <w:szCs w:val="20"/>
        </w:rPr>
        <w:t>2</w:t>
      </w:r>
      <w:r>
        <w:rPr>
          <w:b/>
          <w:bCs/>
          <w:i w:val="0"/>
          <w:iCs w:val="0"/>
          <w:color w:val="000000"/>
          <w:spacing w:val="0"/>
          <w:w w:val="100"/>
          <w:position w:val="0"/>
          <w:sz w:val="20"/>
          <w:szCs w:val="20"/>
        </w:rPr>
        <w:t>）</w:t>
        <w:tab/>
        <w:t>重要合营企业的主要财务信息：无。</w:t>
      </w:r>
    </w:p>
    <w:p>
      <w:pPr>
        <w:pStyle w:val="Style54"/>
        <w:keepNext w:val="0"/>
        <w:keepLines w:val="0"/>
        <w:widowControl w:val="0"/>
        <w:shd w:val="clear" w:color="auto" w:fill="auto"/>
        <w:tabs>
          <w:tab w:pos="493" w:val="left"/>
        </w:tabs>
        <w:bidi w:val="0"/>
        <w:spacing w:before="0" w:after="400" w:line="240" w:lineRule="auto"/>
        <w:ind w:left="0" w:right="0" w:firstLine="0"/>
        <w:jc w:val="left"/>
        <w:rPr>
          <w:sz w:val="20"/>
          <w:szCs w:val="20"/>
        </w:rPr>
      </w:pPr>
      <w:bookmarkStart w:id="1419" w:name="bookmark1419"/>
      <w:r>
        <w:rPr>
          <w:b/>
          <w:bCs/>
          <w:i w:val="0"/>
          <w:iCs w:val="0"/>
          <w:color w:val="000000"/>
          <w:spacing w:val="0"/>
          <w:w w:val="100"/>
          <w:position w:val="0"/>
          <w:sz w:val="20"/>
          <w:szCs w:val="20"/>
        </w:rPr>
        <w:t>（</w:t>
      </w:r>
      <w:bookmarkEnd w:id="1419"/>
      <w:r>
        <w:rPr>
          <w:rFonts w:ascii="Times New Roman" w:eastAsia="Times New Roman" w:hAnsi="Times New Roman" w:cs="Times New Roman"/>
          <w:b/>
          <w:bCs/>
          <w:i w:val="0"/>
          <w:iCs w:val="0"/>
          <w:color w:val="000000"/>
          <w:spacing w:val="0"/>
          <w:w w:val="100"/>
          <w:position w:val="0"/>
          <w:sz w:val="20"/>
          <w:szCs w:val="20"/>
        </w:rPr>
        <w:t>3</w:t>
      </w:r>
      <w:r>
        <w:rPr>
          <w:b/>
          <w:bCs/>
          <w:i w:val="0"/>
          <w:iCs w:val="0"/>
          <w:color w:val="000000"/>
          <w:spacing w:val="0"/>
          <w:w w:val="100"/>
          <w:position w:val="0"/>
          <w:sz w:val="20"/>
          <w:szCs w:val="20"/>
        </w:rPr>
        <w:t>）</w:t>
        <w:tab/>
        <w:t>重要联营企业的主要财务信息</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北京信中利赞信股权投资中心（有限合伙）</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800,583,247.98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1,336,775,700.46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2,137,358,948.44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64,047,938.91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108,987,904.05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173,035,842.96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1,964,323,105.48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148,895,455.48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15,427,650.00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164,323,105.48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40" w:line="314" w:lineRule="exact"/>
        <w:ind w:left="0" w:right="0"/>
        <w:jc w:val="left"/>
      </w:pPr>
      <w:r>
        <w:rPr>
          <w:color w:val="000000"/>
          <w:spacing w:val="0"/>
          <w:w w:val="100"/>
          <w:position w:val="0"/>
        </w:rPr>
        <w:t>本公司按照实际出资持有北京信中利赞信股权投资中心（有限合伙）份额的</w:t>
      </w:r>
      <w:r>
        <w:rPr>
          <w:rFonts w:ascii="Times New Roman" w:eastAsia="Times New Roman" w:hAnsi="Times New Roman" w:cs="Times New Roman"/>
          <w:color w:val="000000"/>
          <w:spacing w:val="0"/>
          <w:w w:val="100"/>
          <w:position w:val="0"/>
          <w:sz w:val="18"/>
          <w:szCs w:val="18"/>
        </w:rPr>
        <w:t xml:space="preserve">32.22% </w:t>
      </w:r>
      <w:r>
        <w:rPr>
          <w:color w:val="000000"/>
          <w:spacing w:val="0"/>
          <w:w w:val="100"/>
          <w:position w:val="0"/>
        </w:rPr>
        <w:t>；按照合伙协议约定，该基金门槛 收益率</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，在超过门槛收益的情况下，本公司可享有剩余收益</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的分配权。上表中按持股比例计算的净资产份额及账面 对北京信中利赞信股权投资中心（有限合伙）的权益投资核算已考虑以上特殊分配方式。</w:t>
      </w:r>
    </w:p>
    <w:p>
      <w:pPr>
        <w:pStyle w:val="Style54"/>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420" w:name="bookmark1420"/>
      <w:r>
        <w:rPr>
          <w:b/>
          <w:bCs/>
          <w:i w:val="0"/>
          <w:iCs w:val="0"/>
          <w:color w:val="000000"/>
          <w:spacing w:val="0"/>
          <w:w w:val="100"/>
          <w:position w:val="0"/>
          <w:sz w:val="20"/>
          <w:szCs w:val="20"/>
        </w:rPr>
        <w:t>（</w:t>
      </w:r>
      <w:bookmarkEnd w:id="1420"/>
      <w:r>
        <w:rPr>
          <w:rFonts w:ascii="Times New Roman" w:eastAsia="Times New Roman" w:hAnsi="Times New Roman" w:cs="Times New Roman"/>
          <w:b/>
          <w:bCs/>
          <w:i w:val="0"/>
          <w:iCs w:val="0"/>
          <w:color w:val="000000"/>
          <w:spacing w:val="0"/>
          <w:w w:val="100"/>
          <w:position w:val="0"/>
          <w:sz w:val="20"/>
          <w:szCs w:val="20"/>
        </w:rPr>
        <w:t>4</w:t>
      </w:r>
      <w:r>
        <w:rPr>
          <w:b/>
          <w:bCs/>
          <w:i w:val="0"/>
          <w:iCs w:val="0"/>
          <w:color w:val="000000"/>
          <w:spacing w:val="0"/>
          <w:w w:val="100"/>
          <w:position w:val="0"/>
          <w:sz w:val="20"/>
          <w:szCs w:val="20"/>
        </w:rPr>
        <w:t>）</w:t>
        <w:tab/>
        <w:t>不重要的合营企业和联营企业的汇总财务信息：无。</w:t>
      </w:r>
    </w:p>
    <w:p>
      <w:pPr>
        <w:pStyle w:val="Style54"/>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421" w:name="bookmark1421"/>
      <w:r>
        <w:rPr>
          <w:b/>
          <w:bCs/>
          <w:i w:val="0"/>
          <w:iCs w:val="0"/>
          <w:color w:val="000000"/>
          <w:spacing w:val="0"/>
          <w:w w:val="100"/>
          <w:position w:val="0"/>
          <w:sz w:val="20"/>
          <w:szCs w:val="20"/>
        </w:rPr>
        <w:t>（</w:t>
      </w:r>
      <w:bookmarkEnd w:id="1421"/>
      <w:r>
        <w:rPr>
          <w:rFonts w:ascii="Times New Roman" w:eastAsia="Times New Roman" w:hAnsi="Times New Roman" w:cs="Times New Roman"/>
          <w:b/>
          <w:bCs/>
          <w:i w:val="0"/>
          <w:iCs w:val="0"/>
          <w:color w:val="000000"/>
          <w:spacing w:val="0"/>
          <w:w w:val="100"/>
          <w:position w:val="0"/>
          <w:sz w:val="20"/>
          <w:szCs w:val="20"/>
        </w:rPr>
        <w:t>5</w:t>
      </w:r>
      <w:r>
        <w:rPr>
          <w:b/>
          <w:bCs/>
          <w:i w:val="0"/>
          <w:iCs w:val="0"/>
          <w:color w:val="000000"/>
          <w:spacing w:val="0"/>
          <w:w w:val="100"/>
          <w:position w:val="0"/>
          <w:sz w:val="20"/>
          <w:szCs w:val="20"/>
        </w:rPr>
        <w:t>）</w:t>
        <w:tab/>
        <w:t>合营企业或联营企业向本公司转移资金的能力存在重大限制的说明：无。</w:t>
      </w:r>
    </w:p>
    <w:p>
      <w:pPr>
        <w:pStyle w:val="Style54"/>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422" w:name="bookmark1422"/>
      <w:r>
        <w:rPr>
          <w:b/>
          <w:bCs/>
          <w:i w:val="0"/>
          <w:iCs w:val="0"/>
          <w:color w:val="000000"/>
          <w:spacing w:val="0"/>
          <w:w w:val="100"/>
          <w:position w:val="0"/>
          <w:sz w:val="20"/>
          <w:szCs w:val="20"/>
        </w:rPr>
        <w:t>（</w:t>
      </w:r>
      <w:bookmarkEnd w:id="1422"/>
      <w:r>
        <w:rPr>
          <w:rFonts w:ascii="Times New Roman" w:eastAsia="Times New Roman" w:hAnsi="Times New Roman" w:cs="Times New Roman"/>
          <w:b/>
          <w:bCs/>
          <w:i w:val="0"/>
          <w:iCs w:val="0"/>
          <w:color w:val="000000"/>
          <w:spacing w:val="0"/>
          <w:w w:val="100"/>
          <w:position w:val="0"/>
          <w:sz w:val="20"/>
          <w:szCs w:val="20"/>
        </w:rPr>
        <w:t>6</w:t>
      </w:r>
      <w:r>
        <w:rPr>
          <w:b/>
          <w:bCs/>
          <w:i w:val="0"/>
          <w:iCs w:val="0"/>
          <w:color w:val="000000"/>
          <w:spacing w:val="0"/>
          <w:w w:val="100"/>
          <w:position w:val="0"/>
          <w:sz w:val="20"/>
          <w:szCs w:val="20"/>
        </w:rPr>
        <w:t>）</w:t>
        <w:tab/>
        <w:t>合营企业或联营企业发生的超额亏损：无。</w:t>
      </w:r>
    </w:p>
    <w:p>
      <w:pPr>
        <w:pStyle w:val="Style54"/>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423" w:name="bookmark1423"/>
      <w:r>
        <w:rPr>
          <w:b/>
          <w:bCs/>
          <w:i w:val="0"/>
          <w:iCs w:val="0"/>
          <w:color w:val="000000"/>
          <w:spacing w:val="0"/>
          <w:w w:val="100"/>
          <w:position w:val="0"/>
          <w:sz w:val="20"/>
          <w:szCs w:val="20"/>
        </w:rPr>
        <w:t>（</w:t>
      </w:r>
      <w:bookmarkEnd w:id="1423"/>
      <w:r>
        <w:rPr>
          <w:rFonts w:ascii="Times New Roman" w:eastAsia="Times New Roman" w:hAnsi="Times New Roman" w:cs="Times New Roman"/>
          <w:b/>
          <w:bCs/>
          <w:i w:val="0"/>
          <w:iCs w:val="0"/>
          <w:color w:val="000000"/>
          <w:spacing w:val="0"/>
          <w:w w:val="100"/>
          <w:position w:val="0"/>
          <w:sz w:val="20"/>
          <w:szCs w:val="20"/>
        </w:rPr>
        <w:t>7</w:t>
      </w:r>
      <w:r>
        <w:rPr>
          <w:b/>
          <w:bCs/>
          <w:i w:val="0"/>
          <w:iCs w:val="0"/>
          <w:color w:val="000000"/>
          <w:spacing w:val="0"/>
          <w:w w:val="100"/>
          <w:position w:val="0"/>
          <w:sz w:val="20"/>
          <w:szCs w:val="20"/>
        </w:rPr>
        <w:t>）</w:t>
        <w:tab/>
        <w:t>与合营企业投资相关的未确认承诺：无。</w:t>
      </w:r>
    </w:p>
    <w:p>
      <w:pPr>
        <w:pStyle w:val="Style54"/>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424" w:name="bookmark1424"/>
      <w:r>
        <w:rPr>
          <w:b/>
          <w:bCs/>
          <w:i w:val="0"/>
          <w:iCs w:val="0"/>
          <w:color w:val="000000"/>
          <w:spacing w:val="0"/>
          <w:w w:val="100"/>
          <w:position w:val="0"/>
          <w:sz w:val="20"/>
          <w:szCs w:val="20"/>
        </w:rPr>
        <w:t>（</w:t>
      </w:r>
      <w:bookmarkEnd w:id="1424"/>
      <w:r>
        <w:rPr>
          <w:rFonts w:ascii="Times New Roman" w:eastAsia="Times New Roman" w:hAnsi="Times New Roman" w:cs="Times New Roman"/>
          <w:b/>
          <w:bCs/>
          <w:i w:val="0"/>
          <w:iCs w:val="0"/>
          <w:color w:val="000000"/>
          <w:spacing w:val="0"/>
          <w:w w:val="100"/>
          <w:position w:val="0"/>
          <w:sz w:val="20"/>
          <w:szCs w:val="20"/>
        </w:rPr>
        <w:t>8</w:t>
      </w:r>
      <w:r>
        <w:rPr>
          <w:b/>
          <w:bCs/>
          <w:i w:val="0"/>
          <w:iCs w:val="0"/>
          <w:color w:val="000000"/>
          <w:spacing w:val="0"/>
          <w:w w:val="100"/>
          <w:position w:val="0"/>
          <w:sz w:val="20"/>
          <w:szCs w:val="20"/>
        </w:rPr>
        <w:t>）</w:t>
        <w:tab/>
        <w:t>与合营企业或联营企业投资相关的或有负债：无。</w:t>
      </w:r>
    </w:p>
    <w:p>
      <w:pPr>
        <w:pStyle w:val="Style54"/>
        <w:keepNext w:val="0"/>
        <w:keepLines w:val="0"/>
        <w:widowControl w:val="0"/>
        <w:shd w:val="clear" w:color="auto" w:fill="auto"/>
        <w:tabs>
          <w:tab w:pos="379" w:val="left"/>
        </w:tabs>
        <w:bidi w:val="0"/>
        <w:spacing w:before="0" w:after="380" w:line="240" w:lineRule="auto"/>
        <w:ind w:left="0" w:right="0" w:firstLine="0"/>
        <w:jc w:val="left"/>
        <w:rPr>
          <w:sz w:val="20"/>
          <w:szCs w:val="20"/>
        </w:rPr>
      </w:pPr>
      <w:bookmarkStart w:id="1425" w:name="bookmark1425"/>
      <w:r>
        <w:rPr>
          <w:rFonts w:ascii="Times New Roman" w:eastAsia="Times New Roman" w:hAnsi="Times New Roman" w:cs="Times New Roman"/>
          <w:b/>
          <w:bCs/>
          <w:i w:val="0"/>
          <w:iCs w:val="0"/>
          <w:color w:val="000000"/>
          <w:spacing w:val="0"/>
          <w:w w:val="100"/>
          <w:position w:val="0"/>
          <w:sz w:val="20"/>
          <w:szCs w:val="20"/>
        </w:rPr>
        <w:t>4</w:t>
      </w:r>
      <w:bookmarkEnd w:id="1425"/>
      <w:r>
        <w:rPr>
          <w:b/>
          <w:bCs/>
          <w:i w:val="0"/>
          <w:iCs w:val="0"/>
          <w:color w:val="000000"/>
          <w:spacing w:val="0"/>
          <w:w w:val="100"/>
          <w:position w:val="0"/>
          <w:sz w:val="20"/>
          <w:szCs w:val="20"/>
        </w:rPr>
        <w:t>、</w:t>
        <w:tab/>
        <w:t>重要的共同经营：无。</w:t>
      </w:r>
    </w:p>
    <w:p>
      <w:pPr>
        <w:pStyle w:val="Style54"/>
        <w:keepNext w:val="0"/>
        <w:keepLines w:val="0"/>
        <w:widowControl w:val="0"/>
        <w:shd w:val="clear" w:color="auto" w:fill="auto"/>
        <w:tabs>
          <w:tab w:pos="379" w:val="left"/>
        </w:tabs>
        <w:bidi w:val="0"/>
        <w:spacing w:before="0" w:after="380" w:line="240" w:lineRule="auto"/>
        <w:ind w:left="0" w:right="0" w:firstLine="0"/>
        <w:jc w:val="left"/>
        <w:rPr>
          <w:sz w:val="20"/>
          <w:szCs w:val="20"/>
        </w:rPr>
      </w:pPr>
      <w:bookmarkStart w:id="1426" w:name="bookmark1426"/>
      <w:r>
        <w:rPr>
          <w:rFonts w:ascii="Times New Roman" w:eastAsia="Times New Roman" w:hAnsi="Times New Roman" w:cs="Times New Roman"/>
          <w:b/>
          <w:bCs/>
          <w:i w:val="0"/>
          <w:iCs w:val="0"/>
          <w:color w:val="000000"/>
          <w:spacing w:val="0"/>
          <w:w w:val="100"/>
          <w:position w:val="0"/>
          <w:sz w:val="20"/>
          <w:szCs w:val="20"/>
        </w:rPr>
        <w:t>5</w:t>
      </w:r>
      <w:bookmarkEnd w:id="1426"/>
      <w:r>
        <w:rPr>
          <w:b/>
          <w:bCs/>
          <w:i w:val="0"/>
          <w:iCs w:val="0"/>
          <w:color w:val="000000"/>
          <w:spacing w:val="0"/>
          <w:w w:val="100"/>
          <w:position w:val="0"/>
          <w:sz w:val="20"/>
          <w:szCs w:val="20"/>
        </w:rPr>
        <w:t>、</w:t>
        <w:tab/>
        <w:t>在未纳入合并财务报表范围的结构化主体中的权益：无。</w:t>
      </w:r>
    </w:p>
    <w:p>
      <w:pPr>
        <w:pStyle w:val="Style54"/>
        <w:keepNext w:val="0"/>
        <w:keepLines w:val="0"/>
        <w:widowControl w:val="0"/>
        <w:shd w:val="clear" w:color="auto" w:fill="auto"/>
        <w:tabs>
          <w:tab w:pos="379" w:val="left"/>
        </w:tabs>
        <w:bidi w:val="0"/>
        <w:spacing w:before="0" w:after="380" w:line="240" w:lineRule="auto"/>
        <w:ind w:left="0" w:right="0" w:firstLine="0"/>
        <w:jc w:val="left"/>
        <w:rPr>
          <w:sz w:val="20"/>
          <w:szCs w:val="20"/>
        </w:rPr>
      </w:pPr>
      <w:bookmarkStart w:id="1427" w:name="bookmark1427"/>
      <w:r>
        <w:rPr>
          <w:rFonts w:ascii="Times New Roman" w:eastAsia="Times New Roman" w:hAnsi="Times New Roman" w:cs="Times New Roman"/>
          <w:b/>
          <w:bCs/>
          <w:i w:val="0"/>
          <w:iCs w:val="0"/>
          <w:color w:val="000000"/>
          <w:spacing w:val="0"/>
          <w:w w:val="100"/>
          <w:position w:val="0"/>
          <w:sz w:val="20"/>
          <w:szCs w:val="20"/>
        </w:rPr>
        <w:t>6</w:t>
      </w:r>
      <w:bookmarkEnd w:id="1427"/>
      <w:r>
        <w:rPr>
          <w:b/>
          <w:bCs/>
          <w:i w:val="0"/>
          <w:iCs w:val="0"/>
          <w:color w:val="000000"/>
          <w:spacing w:val="0"/>
          <w:w w:val="100"/>
          <w:position w:val="0"/>
          <w:sz w:val="20"/>
          <w:szCs w:val="20"/>
        </w:rPr>
        <w:t>、</w:t>
        <w:tab/>
        <w:t>其他：无。</w:t>
      </w:r>
    </w:p>
    <w:p>
      <w:pPr>
        <w:pStyle w:val="Style25"/>
        <w:keepNext/>
        <w:keepLines/>
        <w:widowControl w:val="0"/>
        <w:shd w:val="clear" w:color="auto" w:fill="auto"/>
        <w:bidi w:val="0"/>
        <w:spacing w:before="0" w:after="240" w:line="240" w:lineRule="auto"/>
        <w:ind w:left="0" w:right="0" w:firstLine="0"/>
        <w:jc w:val="left"/>
      </w:pPr>
      <w:bookmarkStart w:id="1428" w:name="bookmark1428"/>
      <w:bookmarkStart w:id="1429" w:name="bookmark1429"/>
      <w:bookmarkStart w:id="1430" w:name="bookmark1430"/>
      <w:r>
        <w:rPr>
          <w:color w:val="000000"/>
          <w:spacing w:val="0"/>
          <w:w w:val="100"/>
          <w:position w:val="0"/>
        </w:rPr>
        <w:t>十、与金融工具相关的风险</w:t>
      </w:r>
      <w:bookmarkEnd w:id="1428"/>
      <w:bookmarkEnd w:id="1429"/>
      <w:bookmarkEnd w:id="1430"/>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的确定，并对风险管理目标和政策承担最终责任，但是董事会已授权本公司战略部门设计和实施能够确保风险管理目标和政 策得以有效执行的程序。本公司的内部审计师审查风险管理的政策和程序，并且将有关发现汇报给审计委员会。</w:t>
      </w:r>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本公司风险管理的总体目标是在不过度影响公司竞争力和应变力的情况下，制定尽可能降低风险的风险管理政策。</w:t>
      </w:r>
    </w:p>
    <w:p>
      <w:pPr>
        <w:pStyle w:val="Style29"/>
        <w:keepNext w:val="0"/>
        <w:keepLines w:val="0"/>
        <w:widowControl w:val="0"/>
        <w:shd w:val="clear" w:color="auto" w:fill="auto"/>
        <w:tabs>
          <w:tab w:pos="724" w:val="left"/>
        </w:tabs>
        <w:bidi w:val="0"/>
        <w:spacing w:before="0" w:after="0" w:line="360" w:lineRule="auto"/>
        <w:ind w:left="0" w:right="0"/>
        <w:jc w:val="both"/>
      </w:pPr>
      <w:bookmarkStart w:id="1431" w:name="bookmark1431"/>
      <w:r>
        <w:rPr>
          <w:rFonts w:ascii="Times New Roman" w:eastAsia="Times New Roman" w:hAnsi="Times New Roman" w:cs="Times New Roman"/>
          <w:b/>
          <w:bCs/>
          <w:color w:val="000000"/>
          <w:spacing w:val="0"/>
          <w:w w:val="100"/>
          <w:position w:val="0"/>
          <w:sz w:val="18"/>
          <w:szCs w:val="18"/>
        </w:rPr>
        <w:t>1</w:t>
      </w:r>
      <w:bookmarkEnd w:id="1431"/>
      <w:r>
        <w:rPr>
          <w:b/>
          <w:bCs/>
          <w:color w:val="000000"/>
          <w:spacing w:val="0"/>
          <w:w w:val="100"/>
          <w:position w:val="0"/>
        </w:rPr>
        <w:t>、</w:t>
        <w:tab/>
        <w:t>信用风险</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w:t>
      </w:r>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9"/>
        <w:keepNext w:val="0"/>
        <w:keepLines w:val="0"/>
        <w:widowControl w:val="0"/>
        <w:shd w:val="clear" w:color="auto" w:fill="auto"/>
        <w:tabs>
          <w:tab w:pos="738" w:val="left"/>
        </w:tabs>
        <w:bidi w:val="0"/>
        <w:spacing w:before="0" w:after="0" w:line="360" w:lineRule="auto"/>
        <w:ind w:left="0" w:right="0"/>
        <w:jc w:val="left"/>
      </w:pPr>
      <w:bookmarkStart w:id="1432" w:name="bookmark1432"/>
      <w:r>
        <w:rPr>
          <w:rFonts w:ascii="Times New Roman" w:eastAsia="Times New Roman" w:hAnsi="Times New Roman" w:cs="Times New Roman"/>
          <w:b/>
          <w:bCs/>
          <w:color w:val="000000"/>
          <w:spacing w:val="0"/>
          <w:w w:val="100"/>
          <w:position w:val="0"/>
          <w:sz w:val="18"/>
          <w:szCs w:val="18"/>
        </w:rPr>
        <w:t>2</w:t>
      </w:r>
      <w:bookmarkEnd w:id="1432"/>
      <w:r>
        <w:rPr>
          <w:b/>
          <w:bCs/>
          <w:color w:val="000000"/>
          <w:spacing w:val="0"/>
          <w:w w:val="100"/>
          <w:position w:val="0"/>
        </w:rPr>
        <w:t>、</w:t>
        <w:tab/>
        <w:t>市场风险</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9"/>
        <w:keepNext w:val="0"/>
        <w:keepLines w:val="0"/>
        <w:widowControl w:val="0"/>
        <w:shd w:val="clear" w:color="auto" w:fill="auto"/>
        <w:tabs>
          <w:tab w:pos="825" w:val="left"/>
        </w:tabs>
        <w:bidi w:val="0"/>
        <w:spacing w:before="0" w:after="0" w:line="314" w:lineRule="exact"/>
        <w:ind w:left="0" w:right="0"/>
        <w:jc w:val="left"/>
      </w:pPr>
      <w:bookmarkStart w:id="1433" w:name="bookmark1433"/>
      <w:r>
        <w:rPr>
          <w:color w:val="000000"/>
          <w:spacing w:val="0"/>
          <w:w w:val="100"/>
          <w:position w:val="0"/>
        </w:rPr>
        <w:t>（</w:t>
      </w:r>
      <w:bookmarkEnd w:id="14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利率风险，是指金融工具的公允价值或未来现金流量因市场利率变动而发生波动的风险。本公司面临的利率风险主要来 源于银行短期借款。公司目前短期借款是固定利率借款，因此不存在利率风险。</w:t>
      </w:r>
    </w:p>
    <w:p>
      <w:pPr>
        <w:pStyle w:val="Style29"/>
        <w:keepNext w:val="0"/>
        <w:keepLines w:val="0"/>
        <w:widowControl w:val="0"/>
        <w:shd w:val="clear" w:color="auto" w:fill="auto"/>
        <w:tabs>
          <w:tab w:pos="825" w:val="left"/>
        </w:tabs>
        <w:bidi w:val="0"/>
        <w:spacing w:before="0" w:after="0" w:line="314" w:lineRule="exact"/>
        <w:ind w:left="0" w:right="0"/>
        <w:jc w:val="left"/>
      </w:pPr>
      <w:bookmarkStart w:id="1434" w:name="bookmark1434"/>
      <w:r>
        <w:rPr>
          <w:color w:val="000000"/>
          <w:spacing w:val="0"/>
          <w:w w:val="100"/>
          <w:position w:val="0"/>
        </w:rPr>
        <w:t>（</w:t>
      </w:r>
      <w:bookmarkEnd w:id="14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汇率风险，是指金融工具的公允价值或未来现金流量因外汇汇率变动而发生波动的风险。本公司尽可能将外币收入与外 币支出相匹配以降低汇率风险。本公司未签署任何远期外汇合约或货币互换合约。本公司以美元计价的金融资产和金融负债 金额较小，因此不存在重大汇率风险。</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243"/>
        <w:gridCol w:w="1243"/>
        <w:gridCol w:w="1243"/>
        <w:gridCol w:w="1248"/>
        <w:gridCol w:w="1243"/>
        <w:gridCol w:w="931"/>
        <w:gridCol w:w="1253"/>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4,830,315.44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927,761.42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5,758,076.86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2,104,103.35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1,808,953.81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5,782.46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3,918,839.62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283,174.93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477,255.55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760,430.48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351,154.36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698,321.05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5,113,490.37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1,405,016.97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6,518,507.34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2,451,270.04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2,160,108.17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5,782.46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4,617,160.67</w:t>
            </w:r>
          </w:p>
        </w:tc>
      </w:tr>
    </w:tbl>
    <w:p>
      <w:pPr>
        <w:pStyle w:val="Style27"/>
        <w:keepNext w:val="0"/>
        <w:keepLines w:val="0"/>
        <w:widowControl w:val="0"/>
        <w:shd w:val="clear" w:color="auto" w:fill="auto"/>
        <w:bidi w:val="0"/>
        <w:spacing w:before="0" w:after="0" w:line="240" w:lineRule="auto"/>
        <w:ind w:left="446" w:right="0" w:firstLine="0"/>
        <w:jc w:val="left"/>
      </w:pPr>
      <w:r>
        <w:rPr>
          <w:color w:val="000000"/>
          <w:spacing w:val="0"/>
          <w:w w:val="100"/>
          <w:position w:val="0"/>
          <w:sz w:val="18"/>
          <w:szCs w:val="18"/>
        </w:rPr>
        <w:t>(3)</w:t>
      </w:r>
      <w:r>
        <w:rPr>
          <w:color w:val="000000"/>
          <w:spacing w:val="0"/>
          <w:w w:val="100"/>
          <w:position w:val="0"/>
        </w:rPr>
        <w:t>流动性风险</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价证券以及对未来现金流量的滚动预测，确保公司在所有合理预测的情况下拥有充足的资金偿还债务。</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本公司各项金融负债以未折现的合同现金流量按到期日列示如下：</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48"/>
        <w:gridCol w:w="1699"/>
        <w:gridCol w:w="1690"/>
        <w:gridCol w:w="1723"/>
        <w:gridCol w:w="1622"/>
        <w:gridCol w:w="1694"/>
      </w:tblGrid>
      <w:tr>
        <w:trPr>
          <w:trHeight w:val="36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53,650,554.82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53,650,554.82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34,501,968.28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34,501,968.28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68,793,957.20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3,832,492.47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4,097,466.57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847,037.52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77,570,953.76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8,705,411.74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8,705,411.74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83,212,879.37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140,255,481.87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258,106,028.89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353,882.06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481,928,272.19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68,404.96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68,404.96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195,282,621.55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197,738,529.16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262,203,495.46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1,200,919.58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656,425,565.75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注：其他应付款包含股权激励回购义务</w:t>
      </w:r>
      <w:r>
        <w:rPr>
          <w:rFonts w:ascii="Times New Roman" w:eastAsia="Times New Roman" w:hAnsi="Times New Roman" w:cs="Times New Roman"/>
          <w:color w:val="000000"/>
          <w:spacing w:val="0"/>
          <w:w w:val="100"/>
          <w:position w:val="0"/>
          <w:sz w:val="18"/>
          <w:szCs w:val="18"/>
        </w:rPr>
        <w:t>463,253,424.8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r>
        <w:rPr>
          <w:color w:val="000000"/>
          <w:spacing w:val="0"/>
          <w:w w:val="100"/>
          <w:position w:val="0"/>
        </w:rPr>
        <w:t>十一、公允价值的披露</w:t>
      </w:r>
      <w:bookmarkEnd w:id="1435"/>
      <w:bookmarkEnd w:id="1436"/>
      <w:bookmarkEnd w:id="1437"/>
    </w:p>
    <w:p>
      <w:pPr>
        <w:pStyle w:val="Style33"/>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38"/>
      <w:bookmarkEnd w:id="1439"/>
      <w:bookmarkEnd w:id="1440"/>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576"/>
        <w:gridCol w:w="1694"/>
        <w:gridCol w:w="1714"/>
        <w:gridCol w:w="1536"/>
        <w:gridCol w:w="119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第二层次公允价值计</w:t>
            </w:r>
          </w:p>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第三层次公允价值 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(一)以公允价值计量且变动计入当期损益的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99,371,765.40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99,371,765.40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99,371,765.40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99,371,765.40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99,371,765.40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99,371,765.40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264,912,386.01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264,912,386.01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出租的建筑物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264,912,386.01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264,912,386.01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99,371,765.40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264,912,386.01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364,284,151.41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二、非持续的公允价值计量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4"/>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441" w:name="bookmark1441"/>
      <w:r>
        <w:rPr>
          <w:rFonts w:ascii="Times New Roman" w:eastAsia="Times New Roman" w:hAnsi="Times New Roman" w:cs="Times New Roman"/>
          <w:b/>
          <w:bCs/>
          <w:i w:val="0"/>
          <w:iCs w:val="0"/>
          <w:color w:val="000000"/>
          <w:spacing w:val="0"/>
          <w:w w:val="100"/>
          <w:position w:val="0"/>
          <w:sz w:val="20"/>
          <w:szCs w:val="20"/>
        </w:rPr>
        <w:t>2</w:t>
      </w:r>
      <w:bookmarkEnd w:id="1441"/>
      <w:r>
        <w:rPr>
          <w:b/>
          <w:bCs/>
          <w:i w:val="0"/>
          <w:iCs w:val="0"/>
          <w:color w:val="000000"/>
          <w:spacing w:val="0"/>
          <w:w w:val="100"/>
          <w:position w:val="0"/>
          <w:sz w:val="20"/>
          <w:szCs w:val="20"/>
        </w:rPr>
        <w:t>、</w:t>
        <w:tab/>
        <w:t>持续和非持续第一层次公允价值计量项目市价的确定依据</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第一层次输入值是企业在计量日能够取得的相同资产或负债在活跃市场上未经调整的报价。活跃市场，是指相关资产或 负债交易量及交易频率足以持续提供定价信息的市场。</w:t>
      </w:r>
    </w:p>
    <w:p>
      <w:pPr>
        <w:pStyle w:val="Style54"/>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442" w:name="bookmark1442"/>
      <w:r>
        <w:rPr>
          <w:rFonts w:ascii="Times New Roman" w:eastAsia="Times New Roman" w:hAnsi="Times New Roman" w:cs="Times New Roman"/>
          <w:b/>
          <w:bCs/>
          <w:i w:val="0"/>
          <w:iCs w:val="0"/>
          <w:color w:val="000000"/>
          <w:spacing w:val="0"/>
          <w:w w:val="100"/>
          <w:position w:val="0"/>
          <w:sz w:val="20"/>
          <w:szCs w:val="20"/>
        </w:rPr>
        <w:t>3</w:t>
      </w:r>
      <w:bookmarkEnd w:id="1442"/>
      <w:r>
        <w:rPr>
          <w:b/>
          <w:bCs/>
          <w:i w:val="0"/>
          <w:iCs w:val="0"/>
          <w:color w:val="000000"/>
          <w:spacing w:val="0"/>
          <w:w w:val="100"/>
          <w:position w:val="0"/>
          <w:sz w:val="20"/>
          <w:szCs w:val="20"/>
        </w:rPr>
        <w:t>、</w:t>
        <w:tab/>
        <w:t>持续和非持续第二层次公允价值计量项目，采用的估值技术和重要参数的定性及定量信息</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第二层次输入值是除第一层次输入值外相关资产或负债直接或间接可观察的输入值。对于具有特定期限（如合同期限） 的相关资产或负债，第二层次输入值必须在其几乎整个期限内是可观察的。第二层次输入值包括：</w:t>
      </w:r>
    </w:p>
    <w:p>
      <w:pPr>
        <w:pStyle w:val="Style29"/>
        <w:keepNext w:val="0"/>
        <w:keepLines w:val="0"/>
        <w:widowControl w:val="0"/>
        <w:shd w:val="clear" w:color="auto" w:fill="auto"/>
        <w:tabs>
          <w:tab w:pos="825" w:val="left"/>
        </w:tabs>
        <w:bidi w:val="0"/>
        <w:spacing w:before="0" w:after="0" w:line="312" w:lineRule="exact"/>
        <w:ind w:left="0" w:right="0"/>
        <w:jc w:val="both"/>
      </w:pPr>
      <w:bookmarkStart w:id="1443" w:name="bookmark1443"/>
      <w:r>
        <w:rPr>
          <w:color w:val="000000"/>
          <w:spacing w:val="0"/>
          <w:w w:val="100"/>
          <w:position w:val="0"/>
          <w:sz w:val="18"/>
          <w:szCs w:val="18"/>
        </w:rPr>
        <w:t>（</w:t>
      </w:r>
      <w:bookmarkEnd w:id="1443"/>
      <w:r>
        <w:rPr>
          <w:color w:val="000000"/>
          <w:spacing w:val="0"/>
          <w:w w:val="100"/>
          <w:position w:val="0"/>
          <w:sz w:val="18"/>
          <w:szCs w:val="18"/>
        </w:rPr>
        <w:t>1）</w:t>
        <w:tab/>
      </w:r>
      <w:r>
        <w:rPr>
          <w:color w:val="000000"/>
          <w:spacing w:val="0"/>
          <w:w w:val="100"/>
          <w:position w:val="0"/>
        </w:rPr>
        <w:t>活跃市场中类似资产或负债的报价；</w:t>
      </w:r>
    </w:p>
    <w:p>
      <w:pPr>
        <w:pStyle w:val="Style29"/>
        <w:keepNext w:val="0"/>
        <w:keepLines w:val="0"/>
        <w:widowControl w:val="0"/>
        <w:shd w:val="clear" w:color="auto" w:fill="auto"/>
        <w:tabs>
          <w:tab w:pos="825" w:val="left"/>
        </w:tabs>
        <w:bidi w:val="0"/>
        <w:spacing w:before="0" w:after="0" w:line="312" w:lineRule="exact"/>
        <w:ind w:left="0" w:right="0"/>
        <w:jc w:val="both"/>
      </w:pPr>
      <w:bookmarkStart w:id="1444" w:name="bookmark1444"/>
      <w:r>
        <w:rPr>
          <w:color w:val="000000"/>
          <w:spacing w:val="0"/>
          <w:w w:val="100"/>
          <w:position w:val="0"/>
          <w:sz w:val="18"/>
          <w:szCs w:val="18"/>
        </w:rPr>
        <w:t>（</w:t>
      </w:r>
      <w:bookmarkEnd w:id="1444"/>
      <w:r>
        <w:rPr>
          <w:color w:val="000000"/>
          <w:spacing w:val="0"/>
          <w:w w:val="100"/>
          <w:position w:val="0"/>
          <w:sz w:val="18"/>
          <w:szCs w:val="18"/>
        </w:rPr>
        <w:t>2）</w:t>
        <w:tab/>
      </w:r>
      <w:r>
        <w:rPr>
          <w:color w:val="000000"/>
          <w:spacing w:val="0"/>
          <w:w w:val="100"/>
          <w:position w:val="0"/>
        </w:rPr>
        <w:t>非活跃市场中相同或类似资产或负债的报价；</w:t>
      </w:r>
    </w:p>
    <w:p>
      <w:pPr>
        <w:pStyle w:val="Style29"/>
        <w:keepNext w:val="0"/>
        <w:keepLines w:val="0"/>
        <w:widowControl w:val="0"/>
        <w:shd w:val="clear" w:color="auto" w:fill="auto"/>
        <w:tabs>
          <w:tab w:pos="825" w:val="left"/>
        </w:tabs>
        <w:bidi w:val="0"/>
        <w:spacing w:before="0" w:after="360" w:line="312" w:lineRule="exact"/>
        <w:ind w:left="0" w:right="0"/>
        <w:jc w:val="left"/>
      </w:pPr>
      <w:bookmarkStart w:id="1445" w:name="bookmark1445"/>
      <w:r>
        <w:rPr>
          <w:color w:val="000000"/>
          <w:spacing w:val="0"/>
          <w:w w:val="100"/>
          <w:position w:val="0"/>
          <w:sz w:val="18"/>
          <w:szCs w:val="18"/>
        </w:rPr>
        <w:t>（</w:t>
      </w:r>
      <w:bookmarkEnd w:id="1445"/>
      <w:r>
        <w:rPr>
          <w:color w:val="000000"/>
          <w:spacing w:val="0"/>
          <w:w w:val="100"/>
          <w:position w:val="0"/>
          <w:sz w:val="18"/>
          <w:szCs w:val="18"/>
        </w:rPr>
        <w:t>3）</w:t>
        <w:tab/>
      </w:r>
      <w:r>
        <w:rPr>
          <w:color w:val="000000"/>
          <w:spacing w:val="0"/>
          <w:w w:val="100"/>
          <w:position w:val="0"/>
        </w:rPr>
        <w:t>除报价以外的其他可观察输入值，包括在正常报价间隔期间可观察的利率和收益率曲线等。</w:t>
      </w:r>
    </w:p>
    <w:p>
      <w:pPr>
        <w:pStyle w:val="Style54"/>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446" w:name="bookmark1446"/>
      <w:r>
        <w:rPr>
          <w:rFonts w:ascii="Times New Roman" w:eastAsia="Times New Roman" w:hAnsi="Times New Roman" w:cs="Times New Roman"/>
          <w:b/>
          <w:bCs/>
          <w:i w:val="0"/>
          <w:iCs w:val="0"/>
          <w:color w:val="000000"/>
          <w:spacing w:val="0"/>
          <w:w w:val="100"/>
          <w:position w:val="0"/>
          <w:sz w:val="20"/>
          <w:szCs w:val="20"/>
        </w:rPr>
        <w:t>4</w:t>
      </w:r>
      <w:bookmarkEnd w:id="1446"/>
      <w:r>
        <w:rPr>
          <w:b/>
          <w:bCs/>
          <w:i w:val="0"/>
          <w:iCs w:val="0"/>
          <w:color w:val="000000"/>
          <w:spacing w:val="0"/>
          <w:w w:val="100"/>
          <w:position w:val="0"/>
          <w:sz w:val="20"/>
          <w:szCs w:val="20"/>
        </w:rPr>
        <w:t>、</w:t>
        <w:tab/>
        <w:t>持续和非持续第三层次公允价值计量项目，采用的估值技术和重要参数的定性及定量信息</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第三层次输入值是相关资产或负债的不可观察输入值。第三层次输入值包括不能直接观察和无法由可观察市场数据验证 的利率、股票波动率、企业合并中承担的弃置义务的未来现金流量、企业使用自身数据作出的财务预测等。</w:t>
      </w:r>
    </w:p>
    <w:p>
      <w:pPr>
        <w:pStyle w:val="Style54"/>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1447" w:name="bookmark1447"/>
      <w:r>
        <w:rPr>
          <w:rFonts w:ascii="Times New Roman" w:eastAsia="Times New Roman" w:hAnsi="Times New Roman" w:cs="Times New Roman"/>
          <w:b/>
          <w:bCs/>
          <w:i w:val="0"/>
          <w:iCs w:val="0"/>
          <w:color w:val="000000"/>
          <w:spacing w:val="0"/>
          <w:w w:val="100"/>
          <w:position w:val="0"/>
          <w:sz w:val="20"/>
          <w:szCs w:val="20"/>
        </w:rPr>
        <w:t>5</w:t>
      </w:r>
      <w:bookmarkEnd w:id="1447"/>
      <w:r>
        <w:rPr>
          <w:b/>
          <w:bCs/>
          <w:i w:val="0"/>
          <w:iCs w:val="0"/>
          <w:color w:val="000000"/>
          <w:spacing w:val="0"/>
          <w:w w:val="100"/>
          <w:position w:val="0"/>
          <w:sz w:val="20"/>
          <w:szCs w:val="20"/>
        </w:rPr>
        <w:t>、</w:t>
        <w:tab/>
        <w:t>持续的第三层次公允价值计量项目，期初与期末账面价值间的调节信息及不可观察参数敏感性分析</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权益工具的估值系管理层综合考虑未来的回报和折现以及经营判断而预计该等权利的价值，管理层认为，该权益工具的 账面价值与公允价值相当。</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448" w:name="bookmark1448"/>
      <w:r>
        <w:rPr>
          <w:rFonts w:ascii="Times New Roman" w:eastAsia="Times New Roman" w:hAnsi="Times New Roman" w:cs="Times New Roman"/>
          <w:b/>
          <w:bCs/>
          <w:i w:val="0"/>
          <w:iCs w:val="0"/>
          <w:color w:val="000000"/>
          <w:spacing w:val="0"/>
          <w:w w:val="100"/>
          <w:position w:val="0"/>
          <w:sz w:val="20"/>
          <w:szCs w:val="20"/>
        </w:rPr>
        <w:t>6</w:t>
      </w:r>
      <w:bookmarkEnd w:id="1448"/>
      <w:r>
        <w:rPr>
          <w:b/>
          <w:bCs/>
          <w:i w:val="0"/>
          <w:iCs w:val="0"/>
          <w:color w:val="000000"/>
          <w:spacing w:val="0"/>
          <w:w w:val="100"/>
          <w:position w:val="0"/>
          <w:sz w:val="20"/>
          <w:szCs w:val="20"/>
        </w:rPr>
        <w:t>、</w:t>
        <w:tab/>
        <w:t>持续的公允价值计量项目，本期内发生各层级之间转换的，转换的原因及确定转换时点的政策：无。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449" w:name="bookmark1449"/>
      <w:r>
        <w:rPr>
          <w:rFonts w:ascii="Times New Roman" w:eastAsia="Times New Roman" w:hAnsi="Times New Roman" w:cs="Times New Roman"/>
          <w:b/>
          <w:bCs/>
          <w:i w:val="0"/>
          <w:iCs w:val="0"/>
          <w:color w:val="000000"/>
          <w:spacing w:val="0"/>
          <w:w w:val="100"/>
          <w:position w:val="0"/>
          <w:sz w:val="20"/>
          <w:szCs w:val="20"/>
        </w:rPr>
        <w:t>7</w:t>
      </w:r>
      <w:bookmarkEnd w:id="1449"/>
      <w:r>
        <w:rPr>
          <w:b/>
          <w:bCs/>
          <w:i w:val="0"/>
          <w:iCs w:val="0"/>
          <w:color w:val="000000"/>
          <w:spacing w:val="0"/>
          <w:w w:val="100"/>
          <w:position w:val="0"/>
          <w:sz w:val="20"/>
          <w:szCs w:val="20"/>
        </w:rPr>
        <w:t>、</w:t>
        <w:tab/>
        <w:t>本期内发生的估值技术变更及变更原因：无。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450" w:name="bookmark1450"/>
      <w:r>
        <w:rPr>
          <w:rFonts w:ascii="Times New Roman" w:eastAsia="Times New Roman" w:hAnsi="Times New Roman" w:cs="Times New Roman"/>
          <w:b/>
          <w:bCs/>
          <w:i w:val="0"/>
          <w:iCs w:val="0"/>
          <w:color w:val="000000"/>
          <w:spacing w:val="0"/>
          <w:w w:val="100"/>
          <w:position w:val="0"/>
          <w:sz w:val="20"/>
          <w:szCs w:val="20"/>
        </w:rPr>
        <w:t>8</w:t>
      </w:r>
      <w:bookmarkEnd w:id="1450"/>
      <w:r>
        <w:rPr>
          <w:b/>
          <w:bCs/>
          <w:i w:val="0"/>
          <w:iCs w:val="0"/>
          <w:color w:val="000000"/>
          <w:spacing w:val="0"/>
          <w:w w:val="100"/>
          <w:position w:val="0"/>
          <w:sz w:val="20"/>
          <w:szCs w:val="20"/>
        </w:rPr>
        <w:t>、</w:t>
        <w:tab/>
        <w:t>不以公允价值计量的金融资产和金融负债的公允价值情况：无。</w:t>
      </w:r>
    </w:p>
    <w:p>
      <w:pPr>
        <w:pStyle w:val="Style54"/>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451" w:name="bookmark1451"/>
      <w:r>
        <w:rPr>
          <w:rFonts w:ascii="Times New Roman" w:eastAsia="Times New Roman" w:hAnsi="Times New Roman" w:cs="Times New Roman"/>
          <w:b/>
          <w:bCs/>
          <w:i w:val="0"/>
          <w:iCs w:val="0"/>
          <w:color w:val="000000"/>
          <w:spacing w:val="0"/>
          <w:w w:val="100"/>
          <w:position w:val="0"/>
          <w:sz w:val="20"/>
          <w:szCs w:val="20"/>
        </w:rPr>
        <w:t>9</w:t>
      </w:r>
      <w:bookmarkEnd w:id="1451"/>
      <w:r>
        <w:rPr>
          <w:b/>
          <w:bCs/>
          <w:i w:val="0"/>
          <w:iCs w:val="0"/>
          <w:color w:val="000000"/>
          <w:spacing w:val="0"/>
          <w:w w:val="100"/>
          <w:position w:val="0"/>
          <w:sz w:val="20"/>
          <w:szCs w:val="20"/>
        </w:rPr>
        <w:t>、</w:t>
        <w:tab/>
        <w:t>其他：无。</w:t>
      </w:r>
    </w:p>
    <w:p>
      <w:pPr>
        <w:pStyle w:val="Style25"/>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r>
        <w:rPr>
          <w:color w:val="000000"/>
          <w:spacing w:val="0"/>
          <w:w w:val="100"/>
          <w:position w:val="0"/>
        </w:rPr>
        <w:t>十二、关联方及关联交易</w:t>
      </w:r>
      <w:bookmarkEnd w:id="1452"/>
      <w:bookmarkEnd w:id="1453"/>
      <w:bookmarkEnd w:id="1454"/>
    </w:p>
    <w:p>
      <w:pPr>
        <w:pStyle w:val="Style54"/>
        <w:keepNext w:val="0"/>
        <w:keepLines w:val="0"/>
        <w:widowControl w:val="0"/>
        <w:shd w:val="clear" w:color="auto" w:fill="auto"/>
        <w:bidi w:val="0"/>
        <w:spacing w:before="0" w:after="260" w:line="240" w:lineRule="auto"/>
        <w:ind w:left="0" w:right="0" w:firstLine="0"/>
        <w:jc w:val="left"/>
        <w:rPr>
          <w:sz w:val="20"/>
          <w:szCs w:val="20"/>
        </w:rPr>
      </w:pPr>
      <w:r>
        <w:rPr>
          <w:rFonts w:ascii="Times New Roman" w:eastAsia="Times New Roman" w:hAnsi="Times New Roman" w:cs="Times New Roman"/>
          <w:b/>
          <w:bCs/>
          <w:i w:val="0"/>
          <w:iCs w:val="0"/>
          <w:color w:val="000000"/>
          <w:spacing w:val="0"/>
          <w:w w:val="100"/>
          <w:position w:val="0"/>
          <w:sz w:val="20"/>
          <w:szCs w:val="20"/>
        </w:rPr>
        <w:t>1</w:t>
      </w:r>
      <w:r>
        <w:rPr>
          <w:b/>
          <w:bCs/>
          <w:i w:val="0"/>
          <w:iCs w:val="0"/>
          <w:color w:val="000000"/>
          <w:spacing w:val="0"/>
          <w:w w:val="100"/>
          <w:position w:val="0"/>
          <w:sz w:val="20"/>
          <w:szCs w:val="20"/>
        </w:rPr>
        <w:t>、本企业的母公司情况</w:t>
      </w:r>
    </w:p>
    <w:tbl>
      <w:tblPr>
        <w:tblOverlap w:val="never"/>
        <w:jc w:val="center"/>
        <w:tblLayout w:type="fixed"/>
      </w:tblPr>
      <w:tblGrid>
        <w:gridCol w:w="2342"/>
        <w:gridCol w:w="629"/>
        <w:gridCol w:w="821"/>
        <w:gridCol w:w="1051"/>
        <w:gridCol w:w="2338"/>
        <w:gridCol w:w="25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母公司对本企业的持股比例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母公司对本企业的表决权比例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中驰惠程企业管理有限公司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25,000.00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月，公司原实际控制人何平女士和任金生先生与中驰惠程企业管理有限公司（以下简称“中驰惠程”，原中驰 极速体育文化发展有限公司）、共青城中源信投资管理合伙企业（有限合伙）（以下简称“中源信”）签署了股份转让协议 及补充协议何平将持有的本公司</w:t>
      </w:r>
      <w:r>
        <w:rPr>
          <w:rFonts w:ascii="Times New Roman" w:eastAsia="Times New Roman" w:hAnsi="Times New Roman" w:cs="Times New Roman"/>
          <w:color w:val="000000"/>
          <w:spacing w:val="0"/>
          <w:w w:val="100"/>
          <w:position w:val="0"/>
          <w:sz w:val="18"/>
          <w:szCs w:val="18"/>
        </w:rPr>
        <w:t>70,167,755</w:t>
      </w:r>
      <w:r>
        <w:rPr>
          <w:color w:val="000000"/>
          <w:spacing w:val="0"/>
          <w:w w:val="100"/>
          <w:position w:val="0"/>
        </w:rPr>
        <w:t>股股份转让给中驰惠程，任金生将持有的本公司</w:t>
      </w:r>
      <w:r>
        <w:rPr>
          <w:rFonts w:ascii="Times New Roman" w:eastAsia="Times New Roman" w:hAnsi="Times New Roman" w:cs="Times New Roman"/>
          <w:color w:val="000000"/>
          <w:spacing w:val="0"/>
          <w:w w:val="100"/>
          <w:position w:val="0"/>
          <w:sz w:val="18"/>
          <w:szCs w:val="18"/>
        </w:rPr>
        <w:t>16,568,662</w:t>
      </w:r>
      <w:r>
        <w:rPr>
          <w:color w:val="000000"/>
          <w:spacing w:val="0"/>
          <w:w w:val="100"/>
          <w:position w:val="0"/>
        </w:rPr>
        <w:t>股股份转让给中源信。 截止报告期末，中驰惠程通过自身及华宝信托有限责任公司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大地</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号单一资金信托计划增持本公司股份共计</w:t>
      </w:r>
      <w:r>
        <w:rPr>
          <w:rFonts w:ascii="Times New Roman" w:eastAsia="Times New Roman" w:hAnsi="Times New Roman" w:cs="Times New Roman"/>
          <w:color w:val="000000"/>
          <w:spacing w:val="0"/>
          <w:w w:val="100"/>
          <w:position w:val="0"/>
          <w:sz w:val="18"/>
          <w:szCs w:val="18"/>
        </w:rPr>
        <w:t>25,192,005</w:t>
      </w:r>
      <w:r>
        <w:rPr>
          <w:color w:val="000000"/>
          <w:spacing w:val="0"/>
          <w:w w:val="100"/>
          <w:position w:val="0"/>
        </w:rPr>
        <w:t>股， 中源信自身增持了本公司股份</w:t>
      </w:r>
      <w:r>
        <w:rPr>
          <w:rFonts w:ascii="Times New Roman" w:eastAsia="Times New Roman" w:hAnsi="Times New Roman" w:cs="Times New Roman"/>
          <w:color w:val="000000"/>
          <w:spacing w:val="0"/>
          <w:w w:val="100"/>
          <w:position w:val="0"/>
          <w:sz w:val="18"/>
          <w:szCs w:val="18"/>
        </w:rPr>
        <w:t>655,100</w:t>
      </w:r>
      <w:r>
        <w:rPr>
          <w:color w:val="000000"/>
          <w:spacing w:val="0"/>
          <w:w w:val="100"/>
          <w:position w:val="0"/>
        </w:rPr>
        <w:t>股，田勇先生通过华宝信托有限责任公司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号单一资金信托计划增持本公司股份 </w:t>
      </w:r>
      <w:r>
        <w:rPr>
          <w:rFonts w:ascii="Times New Roman" w:eastAsia="Times New Roman" w:hAnsi="Times New Roman" w:cs="Times New Roman"/>
          <w:color w:val="000000"/>
          <w:spacing w:val="0"/>
          <w:w w:val="100"/>
          <w:position w:val="0"/>
          <w:sz w:val="18"/>
          <w:szCs w:val="18"/>
        </w:rPr>
        <w:t>12,757,842</w:t>
      </w:r>
      <w:r>
        <w:rPr>
          <w:color w:val="000000"/>
          <w:spacing w:val="0"/>
          <w:w w:val="100"/>
          <w:position w:val="0"/>
        </w:rPr>
        <w:t>股，信中利持有本公司股份</w:t>
      </w:r>
      <w:r>
        <w:rPr>
          <w:rFonts w:ascii="Times New Roman" w:eastAsia="Times New Roman" w:hAnsi="Times New Roman" w:cs="Times New Roman"/>
          <w:color w:val="000000"/>
          <w:spacing w:val="0"/>
          <w:w w:val="100"/>
          <w:position w:val="0"/>
          <w:sz w:val="18"/>
          <w:szCs w:val="18"/>
        </w:rPr>
        <w:t>1,267,080</w:t>
      </w:r>
      <w:r>
        <w:rPr>
          <w:color w:val="000000"/>
          <w:spacing w:val="0"/>
          <w:w w:val="100"/>
          <w:position w:val="0"/>
        </w:rPr>
        <w:t xml:space="preserve">股。中源信、田勇先生、华宝信托有限责任公司及信中利均为中驰惠程一致 </w:t>
      </w:r>
      <w:r>
        <w:rPr>
          <w:color w:val="000000"/>
          <w:spacing w:val="0"/>
          <w:w w:val="100"/>
          <w:position w:val="0"/>
        </w:rPr>
        <w:t>行动人，截止报告期末，公司母公司及其一致行动人合计持有公司股份比例为</w:t>
      </w:r>
      <w:r>
        <w:rPr>
          <w:rFonts w:ascii="Times New Roman" w:eastAsia="Times New Roman" w:hAnsi="Times New Roman" w:cs="Times New Roman"/>
          <w:color w:val="000000"/>
          <w:spacing w:val="0"/>
          <w:w w:val="100"/>
          <w:position w:val="0"/>
          <w:sz w:val="18"/>
          <w:szCs w:val="18"/>
        </w:rPr>
        <w:t>15.33%</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本企业最终控制方是汪超涌先生、李亦非女士。</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中驰惠程企业管理有限公司成立于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日，注册资本为</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万，公司的经营范围为企业管理；企业营销策 划；企业管理咨询；技术开发、技术转让、技术咨询、技术服务。（企业依法自主选择经营项目，开展经营活动；依法须经 批准的项目，经相关部门批准后依批准的内容开展经营活动；不得从事本市产业政策禁止和限制类项目的经营活动。）</w:t>
      </w:r>
    </w:p>
    <w:p>
      <w:pPr>
        <w:pStyle w:val="Style29"/>
        <w:keepNext w:val="0"/>
        <w:keepLines w:val="0"/>
        <w:widowControl w:val="0"/>
        <w:shd w:val="clear" w:color="auto" w:fill="auto"/>
        <w:bidi w:val="0"/>
        <w:spacing w:before="0" w:after="400" w:line="314" w:lineRule="exact"/>
        <w:ind w:left="0" w:right="0"/>
        <w:jc w:val="both"/>
      </w:pPr>
      <w:r>
        <w:rPr>
          <w:color w:val="000000"/>
          <w:spacing w:val="0"/>
          <w:w w:val="100"/>
          <w:position w:val="0"/>
        </w:rPr>
        <w:t>中驰惠程实际控制人为汪超涌先生与李亦非女士。</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bookmarkEnd w:id="1457"/>
      <w:r>
        <w:rPr>
          <w:color w:val="000000"/>
          <w:spacing w:val="0"/>
          <w:w w:val="100"/>
          <w:position w:val="0"/>
        </w:rPr>
        <w:t>、</w:t>
        <w:tab/>
        <w:t>本企业的子公司情况</w:t>
      </w:r>
      <w:bookmarkEnd w:id="1455"/>
      <w:bookmarkEnd w:id="1456"/>
      <w:bookmarkEnd w:id="1458"/>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color w:val="000000"/>
          <w:spacing w:val="0"/>
          <w:w w:val="100"/>
          <w:position w:val="0"/>
        </w:rPr>
        <w:t>、</w:t>
        <w:tab/>
        <w:t>本企业合营和联营企业情况</w:t>
      </w:r>
      <w:bookmarkEnd w:id="1459"/>
      <w:bookmarkEnd w:id="1460"/>
      <w:bookmarkEnd w:id="1462"/>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本期与本公司未发生关联方交易。</w:t>
      </w:r>
    </w:p>
    <w:p>
      <w:pPr>
        <w:pStyle w:val="Style33"/>
        <w:keepNext/>
        <w:keepLines/>
        <w:widowControl w:val="0"/>
        <w:shd w:val="clear" w:color="auto" w:fill="auto"/>
        <w:tabs>
          <w:tab w:pos="378" w:val="left"/>
        </w:tabs>
        <w:bidi w:val="0"/>
        <w:spacing w:before="0" w:after="32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color w:val="000000"/>
          <w:spacing w:val="0"/>
          <w:w w:val="100"/>
          <w:position w:val="0"/>
        </w:rPr>
        <w:t>、</w:t>
        <w:tab/>
        <w:t>其他关联方情况</w:t>
      </w:r>
      <w:bookmarkEnd w:id="1463"/>
      <w:bookmarkEnd w:id="1464"/>
      <w:bookmarkEnd w:id="1466"/>
    </w:p>
    <w:tbl>
      <w:tblPr>
        <w:tblOverlap w:val="never"/>
        <w:jc w:val="center"/>
        <w:tblLayout w:type="fixed"/>
      </w:tblPr>
      <w:tblGrid>
        <w:gridCol w:w="4853"/>
        <w:gridCol w:w="48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共青城中源信投资管理合伙企业（有限合伙）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同一控制下关联企业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控股股东一致行动人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华宝信托有限责任公司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控股股东一致行动人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同一控制下关联企业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北京信中利股权投资管理有限公司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同一控制下关联企业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中视环球汽车赛事管理有限公司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同一控制下关联企业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天津信中利泰信资产管理中心（有限合伙）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同一控制下关联企业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汪超涌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李亦非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公司董事、副总裁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公司董事长、总裁、代理财务总监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万晓阳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叶陈刚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钟晓林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公司独立董事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公司独立董事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公司副总裁、董事会秘书</w:t>
            </w:r>
          </w:p>
        </w:tc>
      </w:tr>
    </w:tbl>
    <w:p>
      <w:pPr>
        <w:spacing w:lineRule="exact" w:line="1"/>
        <w:rPr>
          <w:sz w:val="2"/>
          <w:szCs w:val="2"/>
        </w:rPr>
      </w:pPr>
      <w:r>
        <w:br w:type="page"/>
      </w:r>
    </w:p>
    <w:tbl>
      <w:tblPr>
        <w:tblOverlap w:val="never"/>
        <w:jc w:val="center"/>
        <w:tblLayout w:type="fixed"/>
      </w:tblPr>
      <w:tblGrid>
        <w:gridCol w:w="4853"/>
        <w:gridCol w:w="486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梅绍华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公司监事会主席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温秋萍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公司职工代表监事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刘小峰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刘朝晨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信中利董事、总经理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王旭东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信中利董事、副总经理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信中利监事会主席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刘俊辉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信中利监事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王卫红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信中利董事会秘书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纪晓文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杨富年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原董事、总裁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原董事、副总裁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田青</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原董事、财务总监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许为宁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朱丽梅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原副总裁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吕晓义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原实际控制人之一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原实际控制人之一</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安鹏啸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原监事</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3"/>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5</w:t>
      </w:r>
      <w:bookmarkEnd w:id="1469"/>
      <w:r>
        <w:rPr>
          <w:color w:val="000000"/>
          <w:spacing w:val="0"/>
          <w:w w:val="100"/>
          <w:position w:val="0"/>
        </w:rPr>
        <w:t>、关联交易情况</w:t>
      </w:r>
      <w:bookmarkEnd w:id="1467"/>
      <w:bookmarkEnd w:id="1468"/>
      <w:bookmarkEnd w:id="1470"/>
    </w:p>
    <w:p>
      <w:pPr>
        <w:pStyle w:val="Style33"/>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67"/>
      <w:bookmarkEnd w:id="1468"/>
      <w:bookmarkEnd w:id="147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637"/>
        <w:gridCol w:w="1099"/>
        <w:gridCol w:w="1440"/>
        <w:gridCol w:w="1642"/>
        <w:gridCol w:w="10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深圳市微纳先材商贸有限公司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采购服装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667,770.00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中视环球汽车赛事管理有限公司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接受业务宣传服务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提供劳务情况表：无。</w:t>
      </w:r>
    </w:p>
    <w:p>
      <w:pPr>
        <w:pStyle w:val="Style29"/>
        <w:keepNext w:val="0"/>
        <w:keepLines w:val="0"/>
        <w:widowControl w:val="0"/>
        <w:shd w:val="clear" w:color="auto" w:fill="auto"/>
        <w:bidi w:val="0"/>
        <w:spacing w:before="0" w:after="240" w:line="310" w:lineRule="exact"/>
        <w:ind w:left="0" w:right="0" w:firstLine="0"/>
        <w:jc w:val="both"/>
      </w:pPr>
      <w:r>
        <w:rPr>
          <w:color w:val="000000"/>
          <w:spacing w:val="0"/>
          <w:w w:val="100"/>
          <w:position w:val="0"/>
        </w:rPr>
        <w:t>购销商品、提供和接受劳务的关联交易说明：深圳市微纳先材商贸有限公司系本公司原实际控制人之一吕晓义之亲属吕琳控 制的企业，截止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日，吕晓义先生已将其持有的本公司股票全部减持完毕，故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年深圳市微纳先材商贸有 限公司不再认定为本公司关联方。</w:t>
      </w:r>
      <w:r>
        <w:br w:type="page"/>
      </w:r>
    </w:p>
    <w:p>
      <w:pPr>
        <w:pStyle w:val="Style33"/>
        <w:keepNext/>
        <w:keepLines/>
        <w:widowControl w:val="0"/>
        <w:shd w:val="clear" w:color="auto" w:fill="auto"/>
        <w:tabs>
          <w:tab w:pos="493"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出包情况：无。</w:t>
      </w:r>
      <w:bookmarkEnd w:id="1472"/>
      <w:bookmarkEnd w:id="1473"/>
      <w:bookmarkEnd w:id="1475"/>
    </w:p>
    <w:p>
      <w:pPr>
        <w:pStyle w:val="Style33"/>
        <w:keepNext/>
        <w:keepLines/>
        <w:widowControl w:val="0"/>
        <w:shd w:val="clear" w:color="auto" w:fill="auto"/>
        <w:tabs>
          <w:tab w:pos="493" w:val="left"/>
        </w:tabs>
        <w:bidi w:val="0"/>
        <w:spacing w:before="0" w:line="240" w:lineRule="auto"/>
        <w:ind w:left="0" w:right="0" w:firstLine="0"/>
        <w:jc w:val="left"/>
      </w:pPr>
      <w:bookmarkStart w:id="1472" w:name="bookmark1472"/>
      <w:bookmarkStart w:id="1473" w:name="bookmark1473"/>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72"/>
      <w:bookmarkEnd w:id="1473"/>
      <w:bookmarkEnd w:id="147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4"/>
        <w:gridCol w:w="2213"/>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深圳市微纳先材商贸有限公司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267,365.00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4"/>
        <w:gridCol w:w="2213"/>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北京信中利投资股份有限公司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bidi w:val="0"/>
        <w:spacing w:before="0" w:after="360" w:line="307" w:lineRule="exact"/>
        <w:ind w:left="0" w:right="0"/>
        <w:jc w:val="both"/>
      </w:pPr>
      <w:r>
        <w:rPr>
          <w:color w:val="000000"/>
          <w:spacing w:val="0"/>
          <w:w w:val="100"/>
          <w:position w:val="0"/>
        </w:rPr>
        <w:t>深圳市微纳先材商贸有限公司系本公司原实际控制人之一吕晓义之亲属吕琳控制的企业，截止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日，吕 晓义先生已将其持有的本公司股票全部减持完毕，故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年深圳市微纳先材商贸有限公司不再认定为本公司关联方。</w:t>
      </w:r>
    </w:p>
    <w:p>
      <w:pPr>
        <w:pStyle w:val="Style33"/>
        <w:keepNext/>
        <w:keepLines/>
        <w:widowControl w:val="0"/>
        <w:shd w:val="clear" w:color="auto" w:fill="auto"/>
        <w:tabs>
          <w:tab w:pos="493" w:val="left"/>
        </w:tabs>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关联担保情况：无。</w:t>
      </w:r>
      <w:bookmarkEnd w:id="1478"/>
      <w:bookmarkEnd w:id="1479"/>
      <w:bookmarkEnd w:id="1481"/>
    </w:p>
    <w:p>
      <w:pPr>
        <w:pStyle w:val="Style33"/>
        <w:keepNext/>
        <w:keepLines/>
        <w:widowControl w:val="0"/>
        <w:shd w:val="clear" w:color="auto" w:fill="auto"/>
        <w:tabs>
          <w:tab w:pos="493" w:val="left"/>
        </w:tabs>
        <w:bidi w:val="0"/>
        <w:spacing w:before="0" w:line="240" w:lineRule="auto"/>
        <w:ind w:left="0" w:right="0" w:firstLine="0"/>
        <w:jc w:val="left"/>
      </w:pPr>
      <w:bookmarkStart w:id="1478" w:name="bookmark1478"/>
      <w:bookmarkStart w:id="1479" w:name="bookmark1479"/>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关联方资金拆借：无。</w:t>
      </w:r>
      <w:bookmarkEnd w:id="1478"/>
      <w:bookmarkEnd w:id="1479"/>
      <w:bookmarkEnd w:id="1483"/>
    </w:p>
    <w:p>
      <w:pPr>
        <w:pStyle w:val="Style33"/>
        <w:keepNext/>
        <w:keepLines/>
        <w:widowControl w:val="0"/>
        <w:shd w:val="clear" w:color="auto" w:fill="auto"/>
        <w:tabs>
          <w:tab w:pos="493" w:val="left"/>
        </w:tabs>
        <w:bidi w:val="0"/>
        <w:spacing w:before="0" w:line="240" w:lineRule="auto"/>
        <w:ind w:left="0" w:right="0" w:firstLine="0"/>
        <w:jc w:val="left"/>
      </w:pPr>
      <w:bookmarkStart w:id="1478" w:name="bookmark1478"/>
      <w:bookmarkStart w:id="1479" w:name="bookmark1479"/>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478"/>
      <w:bookmarkEnd w:id="1479"/>
      <w:bookmarkEnd w:id="14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3120"/>
        <w:gridCol w:w="242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长春高琦</w:t>
            </w:r>
            <w:r>
              <w:rPr>
                <w:color w:val="000000"/>
                <w:spacing w:val="0"/>
                <w:w w:val="100"/>
                <w:position w:val="0"/>
                <w:sz w:val="18"/>
                <w:szCs w:val="18"/>
              </w:rPr>
              <w:t>51%</w:t>
            </w:r>
            <w:r>
              <w:rPr>
                <w:rFonts w:ascii="SimSun" w:eastAsia="SimSun" w:hAnsi="SimSun" w:cs="SimSun"/>
                <w:color w:val="000000"/>
                <w:spacing w:val="0"/>
                <w:w w:val="100"/>
                <w:position w:val="0"/>
                <w:sz w:val="17"/>
                <w:szCs w:val="17"/>
              </w:rPr>
              <w:t>的股权转让给吕晓义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236,163,255.40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江西先材</w:t>
            </w:r>
            <w:r>
              <w:rPr>
                <w:color w:val="000000"/>
                <w:spacing w:val="0"/>
                <w:w w:val="100"/>
                <w:position w:val="0"/>
                <w:sz w:val="18"/>
                <w:szCs w:val="18"/>
              </w:rPr>
              <w:t>26.4%</w:t>
            </w:r>
            <w:r>
              <w:rPr>
                <w:rFonts w:ascii="SimSun" w:eastAsia="SimSun" w:hAnsi="SimSun" w:cs="SimSun"/>
                <w:color w:val="000000"/>
                <w:spacing w:val="0"/>
                <w:w w:val="100"/>
                <w:position w:val="0"/>
                <w:sz w:val="17"/>
                <w:szCs w:val="17"/>
              </w:rPr>
              <w:t>的股份转让给吕晓义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23,284,800.00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江西先材</w:t>
            </w:r>
            <w:r>
              <w:rPr>
                <w:color w:val="000000"/>
                <w:spacing w:val="0"/>
                <w:w w:val="100"/>
                <w:position w:val="0"/>
                <w:sz w:val="18"/>
                <w:szCs w:val="18"/>
              </w:rPr>
              <w:t>26.4%</w:t>
            </w:r>
            <w:r>
              <w:rPr>
                <w:rFonts w:ascii="SimSun" w:eastAsia="SimSun" w:hAnsi="SimSun" w:cs="SimSun"/>
                <w:color w:val="000000"/>
                <w:spacing w:val="0"/>
                <w:w w:val="100"/>
                <w:position w:val="0"/>
                <w:sz w:val="17"/>
                <w:szCs w:val="17"/>
              </w:rPr>
              <w:t>的股份转让给何平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23,284,800.00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282,732,855.40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w:t>
      </w:r>
      <w:bookmarkEnd w:id="148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486"/>
      <w:bookmarkEnd w:id="1487"/>
      <w:bookmarkEnd w:id="14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7,205,027.52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7,782,552.73</w:t>
            </w:r>
          </w:p>
        </w:tc>
      </w:tr>
    </w:tbl>
    <w:p>
      <w:pPr>
        <w:widowControl w:val="0"/>
        <w:spacing w:after="359" w:line="1" w:lineRule="exact"/>
      </w:pPr>
    </w:p>
    <w:p>
      <w:pPr>
        <w:pStyle w:val="Style33"/>
        <w:keepNext/>
        <w:keepLines/>
        <w:widowControl w:val="0"/>
        <w:shd w:val="clear" w:color="auto" w:fill="auto"/>
        <w:tabs>
          <w:tab w:pos="8934" w:val="left"/>
        </w:tabs>
        <w:bidi w:val="0"/>
        <w:spacing w:before="0" w:line="240" w:lineRule="auto"/>
        <w:ind w:left="0" w:right="0" w:firstLine="140"/>
        <w:jc w:val="left"/>
        <w:rPr>
          <w:sz w:val="17"/>
          <w:szCs w:val="17"/>
        </w:rPr>
      </w:pPr>
      <w:bookmarkStart w:id="1490" w:name="bookmark1490"/>
      <w:bookmarkStart w:id="1491" w:name="bookmark1491"/>
      <w:bookmarkStart w:id="1492" w:name="bookmark1492"/>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）其他关联交易</w:t>
        <w:tab/>
      </w:r>
      <w:r>
        <w:rPr>
          <w:b w:val="0"/>
          <w:bCs w:val="0"/>
          <w:color w:val="000000"/>
          <w:spacing w:val="0"/>
          <w:w w:val="100"/>
          <w:position w:val="0"/>
          <w:sz w:val="17"/>
          <w:szCs w:val="17"/>
        </w:rPr>
        <w:t>单位：元</w:t>
      </w:r>
      <w:bookmarkEnd w:id="1490"/>
      <w:bookmarkEnd w:id="1491"/>
      <w:bookmarkEnd w:id="1492"/>
    </w:p>
    <w:tbl>
      <w:tblPr>
        <w:tblOverlap w:val="never"/>
        <w:jc w:val="center"/>
        <w:tblLayout w:type="fixed"/>
      </w:tblPr>
      <w:tblGrid>
        <w:gridCol w:w="3422"/>
        <w:gridCol w:w="1699"/>
        <w:gridCol w:w="2270"/>
        <w:gridCol w:w="2285"/>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天津信中利泰信资产管理中心（有限合伙）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日，公司子公司喀什中汇联银与天津信中利泰信资产管理中心（有限合伙）（以下简称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信中 利泰信资管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）签订《关于武汉纳思系统技术有限公司之股权转让协议》，向信中利泰信资管转让所持武汉纳思全部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 股权，转让总价款为</w:t>
      </w:r>
      <w:r>
        <w:rPr>
          <w:rFonts w:ascii="Times New Roman" w:eastAsia="Times New Roman" w:hAnsi="Times New Roman" w:cs="Times New Roman"/>
          <w:color w:val="000000"/>
          <w:spacing w:val="0"/>
          <w:w w:val="100"/>
          <w:position w:val="0"/>
          <w:sz w:val="18"/>
          <w:szCs w:val="18"/>
        </w:rPr>
        <w:t>2,800.00</w:t>
      </w:r>
      <w:r>
        <w:rPr>
          <w:color w:val="000000"/>
          <w:spacing w:val="0"/>
          <w:w w:val="100"/>
          <w:position w:val="0"/>
        </w:rPr>
        <w:t>万元。</w:t>
      </w:r>
    </w:p>
    <w:p>
      <w:pPr>
        <w:pStyle w:val="Style33"/>
        <w:keepNext/>
        <w:keepLines/>
        <w:widowControl w:val="0"/>
        <w:shd w:val="clear" w:color="auto" w:fill="auto"/>
        <w:bidi w:val="0"/>
        <w:spacing w:before="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color w:val="000000"/>
          <w:spacing w:val="0"/>
          <w:w w:val="100"/>
          <w:position w:val="0"/>
        </w:rPr>
        <w:t>、关联方应收应付款项：</w:t>
      </w:r>
      <w:bookmarkEnd w:id="1493"/>
      <w:bookmarkEnd w:id="1494"/>
      <w:bookmarkEnd w:id="1496"/>
    </w:p>
    <w:p>
      <w:pPr>
        <w:pStyle w:val="Style33"/>
        <w:keepNext/>
        <w:keepLines/>
        <w:widowControl w:val="0"/>
        <w:shd w:val="clear" w:color="auto" w:fill="auto"/>
        <w:tabs>
          <w:tab w:pos="493" w:val="left"/>
        </w:tabs>
        <w:bidi w:val="0"/>
        <w:spacing w:before="0" w:line="240" w:lineRule="auto"/>
        <w:ind w:left="0" w:right="0" w:firstLine="0"/>
        <w:jc w:val="both"/>
      </w:pPr>
      <w:bookmarkStart w:id="1493" w:name="bookmark1493"/>
      <w:bookmarkStart w:id="1494" w:name="bookmark1494"/>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w:t>
        <w:tab/>
        <w:t>应收项目：无。</w:t>
      </w:r>
      <w:bookmarkEnd w:id="1493"/>
      <w:bookmarkEnd w:id="1494"/>
      <w:bookmarkEnd w:id="1498"/>
    </w:p>
    <w:p>
      <w:pPr>
        <w:pStyle w:val="Style33"/>
        <w:keepNext/>
        <w:keepLines/>
        <w:widowControl w:val="0"/>
        <w:shd w:val="clear" w:color="auto" w:fill="auto"/>
        <w:tabs>
          <w:tab w:pos="493" w:val="left"/>
        </w:tabs>
        <w:bidi w:val="0"/>
        <w:spacing w:before="0" w:line="240" w:lineRule="auto"/>
        <w:ind w:left="0" w:right="0" w:firstLine="0"/>
        <w:jc w:val="both"/>
      </w:pPr>
      <w:bookmarkStart w:id="1493" w:name="bookmark1493"/>
      <w:bookmarkStart w:id="1494" w:name="bookmark1494"/>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w:t>
        <w:tab/>
        <w:t>应付项目</w:t>
      </w:r>
      <w:bookmarkEnd w:id="1493"/>
      <w:bookmarkEnd w:id="1494"/>
      <w:bookmarkEnd w:id="15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江西先材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854,217.78</w:t>
            </w:r>
          </w:p>
        </w:tc>
      </w:tr>
    </w:tbl>
    <w:p>
      <w:pPr>
        <w:pStyle w:val="Style2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注：江西先材系本公司原控股子公司，截止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日，公司已将所持江西先材</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的股权分别转让给公司原实际 控制人吕晓义先生</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 xml:space="preserve">、转让给公司原实际控制人何平女士 </w:t>
      </w: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，公司所持江西先材股权在本次转让中全部转让完毕。</w:t>
      </w:r>
    </w:p>
    <w:p>
      <w:pPr>
        <w:pStyle w:val="Style33"/>
        <w:keepNext/>
        <w:keepLines/>
        <w:widowControl w:val="0"/>
        <w:shd w:val="clear" w:color="auto" w:fill="auto"/>
        <w:tabs>
          <w:tab w:pos="373" w:val="left"/>
        </w:tabs>
        <w:bidi w:val="0"/>
        <w:spacing w:before="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7</w:t>
      </w:r>
      <w:bookmarkEnd w:id="1503"/>
      <w:r>
        <w:rPr>
          <w:color w:val="000000"/>
          <w:spacing w:val="0"/>
          <w:w w:val="100"/>
          <w:position w:val="0"/>
        </w:rPr>
        <w:t>、</w:t>
        <w:tab/>
        <w:t>关联方承诺：无。</w:t>
      </w:r>
      <w:bookmarkEnd w:id="1501"/>
      <w:bookmarkEnd w:id="1502"/>
      <w:bookmarkEnd w:id="1504"/>
    </w:p>
    <w:p>
      <w:pPr>
        <w:pStyle w:val="Style33"/>
        <w:keepNext/>
        <w:keepLines/>
        <w:widowControl w:val="0"/>
        <w:shd w:val="clear" w:color="auto" w:fill="auto"/>
        <w:tabs>
          <w:tab w:pos="378" w:val="left"/>
        </w:tabs>
        <w:bidi w:val="0"/>
        <w:spacing w:before="0" w:line="240" w:lineRule="auto"/>
        <w:ind w:left="0" w:right="0" w:firstLine="0"/>
        <w:jc w:val="both"/>
      </w:pPr>
      <w:bookmarkStart w:id="1501" w:name="bookmark1501"/>
      <w:bookmarkStart w:id="1502" w:name="bookmark1502"/>
      <w:bookmarkStart w:id="1505" w:name="bookmark1505"/>
      <w:bookmarkStart w:id="1506" w:name="bookmark1506"/>
      <w:r>
        <w:rPr>
          <w:rFonts w:ascii="Times New Roman" w:eastAsia="Times New Roman" w:hAnsi="Times New Roman" w:cs="Times New Roman"/>
          <w:color w:val="000000"/>
          <w:spacing w:val="0"/>
          <w:w w:val="100"/>
          <w:position w:val="0"/>
        </w:rPr>
        <w:t>8</w:t>
      </w:r>
      <w:bookmarkEnd w:id="1505"/>
      <w:r>
        <w:rPr>
          <w:color w:val="000000"/>
          <w:spacing w:val="0"/>
          <w:w w:val="100"/>
          <w:position w:val="0"/>
        </w:rPr>
        <w:t>、</w:t>
        <w:tab/>
        <w:t>其他：无。</w:t>
      </w:r>
      <w:bookmarkEnd w:id="1501"/>
      <w:bookmarkEnd w:id="1502"/>
      <w:bookmarkEnd w:id="1506"/>
    </w:p>
    <w:p>
      <w:pPr>
        <w:pStyle w:val="Style25"/>
        <w:keepNext/>
        <w:keepLines/>
        <w:widowControl w:val="0"/>
        <w:shd w:val="clear" w:color="auto" w:fill="auto"/>
        <w:bidi w:val="0"/>
        <w:spacing w:before="0" w:after="360" w:line="240" w:lineRule="auto"/>
        <w:ind w:left="0" w:right="0" w:firstLine="0"/>
        <w:jc w:val="both"/>
      </w:pPr>
      <w:bookmarkStart w:id="1507" w:name="bookmark1507"/>
      <w:bookmarkStart w:id="1508" w:name="bookmark1508"/>
      <w:bookmarkStart w:id="1509" w:name="bookmark1509"/>
      <w:r>
        <w:rPr>
          <w:color w:val="000000"/>
          <w:spacing w:val="0"/>
          <w:w w:val="100"/>
          <w:position w:val="0"/>
        </w:rPr>
        <w:t>十三、股份支付</w:t>
      </w:r>
      <w:bookmarkEnd w:id="1507"/>
      <w:bookmarkEnd w:id="1508"/>
      <w:bookmarkEnd w:id="1509"/>
    </w:p>
    <w:p>
      <w:pPr>
        <w:pStyle w:val="Style33"/>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10"/>
      <w:bookmarkEnd w:id="1511"/>
      <w:bookmarkEnd w:id="1512"/>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534"/>
        <w:gridCol w:w="418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详见以下说明</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详见以下说明</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年共实施一期股权激励计划、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年共实施两期股权激励计划，截止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日，上述实施的三期股权激 励计划均已经完成授予登记。</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公司本期授予的各项权益工具为: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年第一期限制性股票于本年完成授予登记</w:t>
      </w:r>
      <w:r>
        <w:rPr>
          <w:rFonts w:ascii="Times New Roman" w:eastAsia="Times New Roman" w:hAnsi="Times New Roman" w:cs="Times New Roman"/>
          <w:color w:val="000000"/>
          <w:spacing w:val="0"/>
          <w:w w:val="100"/>
          <w:position w:val="0"/>
          <w:sz w:val="18"/>
          <w:szCs w:val="18"/>
        </w:rPr>
        <w:t>820.00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年第一期及第二期预留限制性股票于本年完成授予登记</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7.49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年第一期及第二期预留股票期 权于本年完成授权登记</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万份授权价格</w:t>
      </w:r>
      <w:r>
        <w:rPr>
          <w:rFonts w:ascii="Times New Roman" w:eastAsia="Times New Roman" w:hAnsi="Times New Roman" w:cs="Times New Roman"/>
          <w:color w:val="000000"/>
          <w:spacing w:val="0"/>
          <w:w w:val="100"/>
          <w:position w:val="0"/>
          <w:sz w:val="18"/>
          <w:szCs w:val="18"/>
        </w:rPr>
        <w:t>14.78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年发生并于本年完成授予登记的限制性股票为</w:t>
      </w:r>
      <w:r>
        <w:rPr>
          <w:rFonts w:ascii="Times New Roman" w:eastAsia="Times New Roman" w:hAnsi="Times New Roman" w:cs="Times New Roman"/>
          <w:color w:val="000000"/>
          <w:spacing w:val="0"/>
          <w:w w:val="100"/>
          <w:position w:val="0"/>
          <w:sz w:val="18"/>
          <w:szCs w:val="18"/>
        </w:rPr>
        <w:t>4,070.00</w:t>
      </w:r>
      <w:r>
        <w:rPr>
          <w:color w:val="000000"/>
          <w:spacing w:val="0"/>
          <w:w w:val="100"/>
          <w:position w:val="0"/>
        </w:rPr>
        <w:t>万股授予价 格为</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股；公司本期授予的各项权益工具总额为</w:t>
      </w:r>
      <w:r>
        <w:rPr>
          <w:rFonts w:ascii="Times New Roman" w:eastAsia="Times New Roman" w:hAnsi="Times New Roman" w:cs="Times New Roman"/>
          <w:color w:val="000000"/>
          <w:spacing w:val="0"/>
          <w:w w:val="100"/>
          <w:position w:val="0"/>
          <w:sz w:val="18"/>
          <w:szCs w:val="18"/>
        </w:rPr>
        <w:t>5,330.00</w:t>
      </w:r>
      <w:r>
        <w:rPr>
          <w:color w:val="000000"/>
          <w:spacing w:val="0"/>
          <w:w w:val="100"/>
          <w:position w:val="0"/>
        </w:rPr>
        <w:t>万股。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公司本期行权的各项权益工具为：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年第二期股权激励计划首次授予的限制性股票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股票期权第一个解锁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行权期符合 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行权条件，共计</w:t>
      </w:r>
      <w:r>
        <w:rPr>
          <w:rFonts w:ascii="Times New Roman" w:eastAsia="Times New Roman" w:hAnsi="Times New Roman" w:cs="Times New Roman"/>
          <w:color w:val="000000"/>
          <w:spacing w:val="0"/>
          <w:w w:val="100"/>
          <w:position w:val="0"/>
          <w:sz w:val="18"/>
          <w:szCs w:val="18"/>
        </w:rPr>
        <w:t>471</w:t>
      </w:r>
      <w:r>
        <w:rPr>
          <w:color w:val="000000"/>
          <w:spacing w:val="0"/>
          <w:w w:val="100"/>
          <w:position w:val="0"/>
        </w:rPr>
        <w:t>万股限制性股票于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日解除限售上市流通，可行权股票期权共计</w:t>
      </w:r>
      <w:r>
        <w:rPr>
          <w:rFonts w:ascii="Times New Roman" w:eastAsia="Times New Roman" w:hAnsi="Times New Roman" w:cs="Times New Roman"/>
          <w:color w:val="000000"/>
          <w:spacing w:val="0"/>
          <w:w w:val="100"/>
          <w:position w:val="0"/>
          <w:sz w:val="18"/>
          <w:szCs w:val="18"/>
        </w:rPr>
        <w:t>195</w:t>
      </w:r>
      <w:r>
        <w:rPr>
          <w:color w:val="000000"/>
          <w:spacing w:val="0"/>
          <w:w w:val="100"/>
          <w:position w:val="0"/>
        </w:rPr>
        <w:t>万份，截止报告期 末已行权股票期权共计</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万份，公司本期行权的各项权益工具总额为</w:t>
      </w:r>
      <w:r>
        <w:rPr>
          <w:rFonts w:ascii="Times New Roman" w:eastAsia="Times New Roman" w:hAnsi="Times New Roman" w:cs="Times New Roman"/>
          <w:color w:val="000000"/>
          <w:spacing w:val="0"/>
          <w:w w:val="100"/>
          <w:position w:val="0"/>
          <w:sz w:val="18"/>
          <w:szCs w:val="18"/>
        </w:rPr>
        <w:t>555.00</w:t>
      </w:r>
      <w:r>
        <w:rPr>
          <w:color w:val="000000"/>
          <w:spacing w:val="0"/>
          <w:w w:val="100"/>
          <w:position w:val="0"/>
        </w:rPr>
        <w:t>万股。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公司期末发行在外的各项权益工具为：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年第一期限制性股票于本年末发行在外的</w:t>
      </w:r>
      <w:r>
        <w:rPr>
          <w:rFonts w:ascii="Times New Roman" w:eastAsia="Times New Roman" w:hAnsi="Times New Roman" w:cs="Times New Roman"/>
          <w:color w:val="000000"/>
          <w:spacing w:val="0"/>
          <w:w w:val="100"/>
          <w:position w:val="0"/>
          <w:sz w:val="18"/>
          <w:szCs w:val="18"/>
        </w:rPr>
        <w:t>820.00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年第一期及第二期预留限制性股票于本年末发行在外的</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7.49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年第一期及第二期预留股 票期权于本年末发行在外的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万份授权价格为</w:t>
      </w:r>
      <w:r>
        <w:rPr>
          <w:rFonts w:ascii="Times New Roman" w:eastAsia="Times New Roman" w:hAnsi="Times New Roman" w:cs="Times New Roman"/>
          <w:color w:val="000000"/>
          <w:spacing w:val="0"/>
          <w:w w:val="100"/>
          <w:position w:val="0"/>
          <w:sz w:val="18"/>
          <w:szCs w:val="18"/>
        </w:rPr>
        <w:t>14.78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年第二期限制性股票于本年末发行在外的</w:t>
      </w:r>
      <w:r>
        <w:rPr>
          <w:rFonts w:ascii="Times New Roman" w:eastAsia="Times New Roman" w:hAnsi="Times New Roman" w:cs="Times New Roman"/>
          <w:color w:val="000000"/>
          <w:spacing w:val="0"/>
          <w:w w:val="100"/>
          <w:position w:val="0"/>
          <w:sz w:val="18"/>
          <w:szCs w:val="18"/>
        </w:rPr>
        <w:t>1,099.00</w:t>
      </w:r>
      <w:r>
        <w:rPr>
          <w:color w:val="000000"/>
          <w:spacing w:val="0"/>
          <w:w w:val="100"/>
          <w:position w:val="0"/>
        </w:rPr>
        <w:t>万股授予 价格为</w:t>
      </w:r>
      <w:r>
        <w:rPr>
          <w:rFonts w:ascii="Times New Roman" w:eastAsia="Times New Roman" w:hAnsi="Times New Roman" w:cs="Times New Roman"/>
          <w:color w:val="000000"/>
          <w:spacing w:val="0"/>
          <w:w w:val="100"/>
          <w:position w:val="0"/>
          <w:sz w:val="18"/>
          <w:szCs w:val="18"/>
        </w:rPr>
        <w:t>4.38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年第二期股票期权于本年末发行在外的</w:t>
      </w:r>
      <w:r>
        <w:rPr>
          <w:rFonts w:ascii="Times New Roman" w:eastAsia="Times New Roman" w:hAnsi="Times New Roman" w:cs="Times New Roman"/>
          <w:color w:val="000000"/>
          <w:spacing w:val="0"/>
          <w:w w:val="100"/>
          <w:position w:val="0"/>
          <w:sz w:val="18"/>
          <w:szCs w:val="18"/>
        </w:rPr>
        <w:t>566</w:t>
      </w:r>
      <w:r>
        <w:rPr>
          <w:color w:val="000000"/>
          <w:spacing w:val="0"/>
          <w:w w:val="100"/>
          <w:position w:val="0"/>
        </w:rPr>
        <w:t>万份授权价格为</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年授予的限制性股票于本 年末发行在外的</w:t>
      </w:r>
      <w:r>
        <w:rPr>
          <w:rFonts w:ascii="Times New Roman" w:eastAsia="Times New Roman" w:hAnsi="Times New Roman" w:cs="Times New Roman"/>
          <w:color w:val="000000"/>
          <w:spacing w:val="0"/>
          <w:w w:val="100"/>
          <w:position w:val="0"/>
          <w:sz w:val="18"/>
          <w:szCs w:val="18"/>
        </w:rPr>
        <w:t>4,070.00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股；公司期末发行在外的各项权益工具总额为</w:t>
      </w:r>
      <w:r>
        <w:rPr>
          <w:rFonts w:ascii="Times New Roman" w:eastAsia="Times New Roman" w:hAnsi="Times New Roman" w:cs="Times New Roman"/>
          <w:color w:val="000000"/>
          <w:spacing w:val="0"/>
          <w:w w:val="100"/>
          <w:position w:val="0"/>
          <w:sz w:val="18"/>
          <w:szCs w:val="18"/>
        </w:rPr>
        <w:t>6,995.00</w:t>
      </w:r>
      <w:r>
        <w:rPr>
          <w:color w:val="000000"/>
          <w:spacing w:val="0"/>
          <w:w w:val="100"/>
          <w:position w:val="0"/>
        </w:rPr>
        <w:t>万股。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年授予的限制性股票期末发行在外的限制性股票合同剩余期限：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距第一个解锁期剩余</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距第二个解锁期剩余</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距第三个解锁期剩余</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年第一期授予的限制性股票期末发行在外的限制性股票合同剩余期限：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距第一个解锁期剩余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距第二个解锁期剩余</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距第三个解锁期剩余</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年第二期授予的限制性股票期末发行在外的限制性股票合同剩余期限：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距第二个解锁期剩余</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距第三个解锁期剩余</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年第一期、第二期授予的限制性股票期末发行在外的限制性股票合同剩余期限：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距第一个解锁期剩余</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距第二个解锁期剩余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年第二期首次授予的股票期权期末发行在外的股票期权合同剩余期限：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距第二个行权期剩余</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距第三个行权期剩余</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个月。</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年第一期、第二期授予的预留股票期权期末发行在外的股票期权合同剩余期限：</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距第一个行权期剩余</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个月；</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距第二个行权期剩余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个月。</w:t>
      </w:r>
    </w:p>
    <w:p>
      <w:pPr>
        <w:pStyle w:val="Style33"/>
        <w:keepNext/>
        <w:keepLines/>
        <w:widowControl w:val="0"/>
        <w:shd w:val="clear" w:color="auto" w:fill="auto"/>
        <w:bidi w:val="0"/>
        <w:spacing w:before="0" w:after="280" w:line="240" w:lineRule="auto"/>
        <w:ind w:left="0" w:right="0" w:firstLine="0"/>
        <w:jc w:val="both"/>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13"/>
      <w:bookmarkEnd w:id="1514"/>
      <w:bookmarkEnd w:id="1515"/>
    </w:p>
    <w:p>
      <w:pPr>
        <w:pStyle w:val="Style29"/>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46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布莱克</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斯科尔期权定价模型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第五届董事会十七次、十八次、二十九次会议</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64,804,600.00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57,311,972.89</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年激励计划授予激励对象限制性股票的价格为</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股。授予日权益工具公允价值的确定方法根据下列价格较高者 确定：</w:t>
      </w:r>
    </w:p>
    <w:p>
      <w:pPr>
        <w:pStyle w:val="Style29"/>
        <w:keepNext w:val="0"/>
        <w:keepLines w:val="0"/>
        <w:widowControl w:val="0"/>
        <w:shd w:val="clear" w:color="auto" w:fill="auto"/>
        <w:tabs>
          <w:tab w:pos="825" w:val="left"/>
        </w:tabs>
        <w:bidi w:val="0"/>
        <w:spacing w:before="0" w:after="0" w:line="319" w:lineRule="exact"/>
        <w:ind w:left="0" w:right="0"/>
        <w:jc w:val="both"/>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本激励计划草案公布（董事会决议）前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个交易日的公司股票均价</w:t>
      </w:r>
      <w:r>
        <w:rPr>
          <w:rFonts w:ascii="Times New Roman" w:eastAsia="Times New Roman" w:hAnsi="Times New Roman" w:cs="Times New Roman"/>
          <w:color w:val="000000"/>
          <w:spacing w:val="0"/>
          <w:w w:val="100"/>
          <w:position w:val="0"/>
          <w:sz w:val="18"/>
          <w:szCs w:val="18"/>
        </w:rPr>
        <w:t>14.88</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确定，为每股</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元；</w:t>
      </w:r>
    </w:p>
    <w:p>
      <w:pPr>
        <w:pStyle w:val="Style29"/>
        <w:keepNext w:val="0"/>
        <w:keepLines w:val="0"/>
        <w:widowControl w:val="0"/>
        <w:shd w:val="clear" w:color="auto" w:fill="auto"/>
        <w:tabs>
          <w:tab w:pos="872" w:val="left"/>
        </w:tabs>
        <w:bidi w:val="0"/>
        <w:spacing w:before="0" w:after="0" w:line="319" w:lineRule="exact"/>
        <w:ind w:left="0" w:right="0"/>
        <w:jc w:val="both"/>
      </w:pPr>
      <w:bookmarkStart w:id="1517" w:name="bookmark1517"/>
      <w:r>
        <w:rPr>
          <w:color w:val="000000"/>
          <w:spacing w:val="0"/>
          <w:w w:val="100"/>
          <w:position w:val="0"/>
        </w:rPr>
        <w:t>（</w:t>
      </w:r>
      <w:bookmarkEnd w:id="15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本激励计划草案公布（董事会决议）前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个交易日内公司股票均价（前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 日股票交易总量）</w:t>
      </w:r>
      <w:r>
        <w:rPr>
          <w:rFonts w:ascii="Times New Roman" w:eastAsia="Times New Roman" w:hAnsi="Times New Roman" w:cs="Times New Roman"/>
          <w:color w:val="000000"/>
          <w:spacing w:val="0"/>
          <w:w w:val="100"/>
          <w:position w:val="0"/>
          <w:sz w:val="18"/>
          <w:szCs w:val="18"/>
        </w:rPr>
        <w:t>13.17</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确定，为每股</w:t>
      </w:r>
      <w:r>
        <w:rPr>
          <w:rFonts w:ascii="Times New Roman" w:eastAsia="Times New Roman" w:hAnsi="Times New Roman" w:cs="Times New Roman"/>
          <w:color w:val="000000"/>
          <w:spacing w:val="0"/>
          <w:w w:val="100"/>
          <w:position w:val="0"/>
          <w:sz w:val="18"/>
          <w:szCs w:val="18"/>
        </w:rPr>
        <w:t>6.596</w:t>
      </w:r>
      <w:r>
        <w:rPr>
          <w:color w:val="000000"/>
          <w:spacing w:val="0"/>
          <w:w w:val="100"/>
          <w:position w:val="0"/>
        </w:rPr>
        <w:t>元。</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可行权权益工具数量的确定依据：授予日（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日）公司股票收盘价为</w:t>
      </w:r>
      <w:r>
        <w:rPr>
          <w:rFonts w:ascii="Times New Roman" w:eastAsia="Times New Roman" w:hAnsi="Times New Roman" w:cs="Times New Roman"/>
          <w:color w:val="000000"/>
          <w:spacing w:val="0"/>
          <w:w w:val="100"/>
          <w:position w:val="0"/>
          <w:sz w:val="18"/>
          <w:szCs w:val="18"/>
        </w:rPr>
        <w:t>11.0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年将按照 各期限制性股票的解锁比例和授予日限制性股票的公允价值总额分期确认限制性股票激励成本。</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本期以权益结算的股份支付确认的费用总额：</w:t>
      </w:r>
    </w:p>
    <w:p>
      <w:pPr>
        <w:pStyle w:val="Style2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经测算，限制性股票激励成本合计为</w:t>
      </w:r>
      <w:r>
        <w:rPr>
          <w:rFonts w:ascii="Times New Roman" w:eastAsia="Times New Roman" w:hAnsi="Times New Roman" w:cs="Times New Roman"/>
          <w:color w:val="000000"/>
          <w:spacing w:val="0"/>
          <w:w w:val="100"/>
          <w:position w:val="0"/>
          <w:sz w:val="18"/>
          <w:szCs w:val="18"/>
        </w:rPr>
        <w:t>11,963.88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年限制性股票成本摊销情况表见下表：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706"/>
        <w:gridCol w:w="1277"/>
        <w:gridCol w:w="1277"/>
        <w:gridCol w:w="1133"/>
        <w:gridCol w:w="1133"/>
        <w:gridCol w:w="1152"/>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年第一期授予摊销数额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年第二期授予摊销数额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年授予摊销数额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943.45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w:t>
            </w:r>
          </w:p>
        </w:tc>
      </w:tr>
    </w:tbl>
    <w:p>
      <w:pPr>
        <w:pStyle w:val="Style2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经测算，股票期权激励成本合计为</w:t>
      </w:r>
      <w:r>
        <w:rPr>
          <w:rFonts w:ascii="Times New Roman" w:eastAsia="Times New Roman" w:hAnsi="Times New Roman" w:cs="Times New Roman"/>
          <w:color w:val="000000"/>
          <w:spacing w:val="0"/>
          <w:w w:val="100"/>
          <w:position w:val="0"/>
          <w:sz w:val="18"/>
          <w:szCs w:val="18"/>
        </w:rPr>
        <w:t>3,505.94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年限制性股票成本摊销情况表见下表:</w:t>
      </w:r>
    </w:p>
    <w:p>
      <w:pPr>
        <w:widowControl w:val="0"/>
        <w:spacing w:after="2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850"/>
        <w:gridCol w:w="1560"/>
        <w:gridCol w:w="1416"/>
        <w:gridCol w:w="1416"/>
        <w:gridCol w:w="1435"/>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年第一期授予摊销数额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年第二期授予摊销数额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260.92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437.73</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260.92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jc w:val="both"/>
      </w:pPr>
      <w:r>
        <w:rPr>
          <w:color w:val="000000"/>
          <w:spacing w:val="0"/>
          <w:w w:val="100"/>
          <w:position w:val="0"/>
        </w:rPr>
        <w:t>以权益结算的股份支付计入资本公积的累计金额：</w:t>
      </w:r>
    </w:p>
    <w:p>
      <w:pPr>
        <w:pStyle w:val="Style29"/>
        <w:keepNext w:val="0"/>
        <w:keepLines w:val="0"/>
        <w:widowControl w:val="0"/>
        <w:shd w:val="clear" w:color="auto" w:fill="auto"/>
        <w:bidi w:val="0"/>
        <w:spacing w:before="0" w:after="140" w:line="240" w:lineRule="auto"/>
        <w:ind w:left="0" w:right="0"/>
        <w:jc w:val="both"/>
      </w:pPr>
      <w:r>
        <w:rPr>
          <w:color w:val="000000"/>
          <w:spacing w:val="0"/>
          <w:w w:val="100"/>
          <w:position w:val="0"/>
        </w:rPr>
        <w:t>其中计入资本公积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股本溢价为</w:t>
      </w:r>
      <w:r>
        <w:rPr>
          <w:rFonts w:ascii="Times New Roman" w:eastAsia="Times New Roman" w:hAnsi="Times New Roman" w:cs="Times New Roman"/>
          <w:color w:val="000000"/>
          <w:spacing w:val="0"/>
          <w:w w:val="100"/>
          <w:position w:val="0"/>
          <w:sz w:val="18"/>
          <w:szCs w:val="18"/>
        </w:rPr>
        <w:t>2,148.19</w:t>
      </w:r>
      <w:r>
        <w:rPr>
          <w:color w:val="000000"/>
          <w:spacing w:val="0"/>
          <w:w w:val="100"/>
          <w:position w:val="0"/>
        </w:rPr>
        <w:t>万元，计入资本公积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其他资本公积为</w:t>
      </w:r>
      <w:r>
        <w:rPr>
          <w:rFonts w:ascii="Times New Roman" w:eastAsia="Times New Roman" w:hAnsi="Times New Roman" w:cs="Times New Roman"/>
          <w:color w:val="000000"/>
          <w:spacing w:val="0"/>
          <w:w w:val="100"/>
          <w:position w:val="0"/>
          <w:sz w:val="18"/>
          <w:szCs w:val="18"/>
        </w:rPr>
        <w:t>4,332.27</w:t>
      </w:r>
      <w:r>
        <w:rPr>
          <w:color w:val="000000"/>
          <w:spacing w:val="0"/>
          <w:w w:val="100"/>
          <w:position w:val="0"/>
        </w:rPr>
        <w:t>万元，合计为</w:t>
      </w:r>
      <w:r>
        <w:rPr>
          <w:rFonts w:ascii="Times New Roman" w:eastAsia="Times New Roman" w:hAnsi="Times New Roman" w:cs="Times New Roman"/>
          <w:color w:val="000000"/>
          <w:spacing w:val="0"/>
          <w:w w:val="100"/>
          <w:position w:val="0"/>
          <w:sz w:val="18"/>
          <w:szCs w:val="18"/>
        </w:rPr>
        <w:t>6,480.46</w:t>
      </w:r>
      <w:r>
        <w:rPr>
          <w:color w:val="000000"/>
          <w:spacing w:val="0"/>
          <w:w w:val="100"/>
          <w:position w:val="0"/>
        </w:rPr>
        <w:t>万元。</w:t>
      </w:r>
    </w:p>
    <w:p>
      <w:pPr>
        <w:pStyle w:val="Style29"/>
        <w:keepNext w:val="0"/>
        <w:keepLines w:val="0"/>
        <w:widowControl w:val="0"/>
        <w:shd w:val="clear" w:color="auto" w:fill="auto"/>
        <w:bidi w:val="0"/>
        <w:spacing w:before="0" w:after="380" w:line="240" w:lineRule="auto"/>
        <w:ind w:left="0" w:right="0"/>
        <w:jc w:val="both"/>
      </w:pPr>
      <w:r>
        <w:rPr>
          <w:color w:val="000000"/>
          <w:spacing w:val="0"/>
          <w:w w:val="100"/>
          <w:position w:val="0"/>
        </w:rPr>
        <w:t>本期以权益结算的股份支付确认的费用总额：</w:t>
      </w:r>
      <w:r>
        <w:rPr>
          <w:rFonts w:ascii="Times New Roman" w:eastAsia="Times New Roman" w:hAnsi="Times New Roman" w:cs="Times New Roman"/>
          <w:color w:val="000000"/>
          <w:spacing w:val="0"/>
          <w:w w:val="100"/>
          <w:position w:val="0"/>
          <w:sz w:val="18"/>
          <w:szCs w:val="18"/>
        </w:rPr>
        <w:t>5,73</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color w:val="000000"/>
          <w:spacing w:val="0"/>
          <w:w w:val="100"/>
          <w:position w:val="0"/>
        </w:rPr>
        <w:t>、</w:t>
        <w:tab/>
        <w:t>以现金结算的股份支付情况</w:t>
      </w:r>
      <w:bookmarkEnd w:id="1518"/>
      <w:bookmarkEnd w:id="1519"/>
      <w:bookmarkEnd w:id="1521"/>
    </w:p>
    <w:p>
      <w:pPr>
        <w:pStyle w:val="Style2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color w:val="000000"/>
          <w:spacing w:val="0"/>
          <w:w w:val="100"/>
          <w:position w:val="0"/>
        </w:rPr>
        <w:t>、</w:t>
        <w:tab/>
        <w:t>股份支付的修改、终止情况</w:t>
      </w:r>
      <w:bookmarkEnd w:id="1522"/>
      <w:bookmarkEnd w:id="1523"/>
      <w:bookmarkEnd w:id="1525"/>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纪晓文先生于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日向公司出具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限制性股票及股票期权回购注销申请书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日召开第五 届董事会第四十一次会议审议通过了《关于回购注销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年两期股权激励计划部分限制性股票和股票期权的议案》，鉴于公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年两期股权激励计划授予的激励对象纪晓文先生近日离职，不再满足成为激励对象的条件，根据公司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 激励计划的相关规定和股东大会的授权，公司董事会同意回购注销纪晓文先生已获授未解锁的</w:t>
      </w:r>
      <w:r>
        <w:rPr>
          <w:rFonts w:ascii="Times New Roman" w:eastAsia="Times New Roman" w:hAnsi="Times New Roman" w:cs="Times New Roman"/>
          <w:color w:val="000000"/>
          <w:spacing w:val="0"/>
          <w:w w:val="100"/>
          <w:position w:val="0"/>
          <w:sz w:val="18"/>
          <w:szCs w:val="18"/>
        </w:rPr>
        <w:t>626.5</w:t>
      </w:r>
      <w:r>
        <w:rPr>
          <w:color w:val="000000"/>
          <w:spacing w:val="0"/>
          <w:w w:val="100"/>
          <w:position w:val="0"/>
        </w:rPr>
        <w:t>万股限制性股票并注销 纪晓文先生已获授未行权的</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万份股票期权，其中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年第一期股权激励计划授予的限制性股票每股回购价格为</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元加 年化</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的利息（已获授未解锁应予本年注销的限制性股票为</w:t>
      </w:r>
      <w:r>
        <w:rPr>
          <w:rFonts w:ascii="Times New Roman" w:eastAsia="Times New Roman" w:hAnsi="Times New Roman" w:cs="Times New Roman"/>
          <w:color w:val="000000"/>
          <w:spacing w:val="0"/>
          <w:w w:val="100"/>
          <w:position w:val="0"/>
          <w:sz w:val="18"/>
          <w:szCs w:val="18"/>
        </w:rPr>
        <w:t>227.5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年第二期股权激励计划授予的限制性股票每 股回购价格为</w:t>
      </w:r>
      <w:r>
        <w:rPr>
          <w:rFonts w:ascii="Times New Roman" w:eastAsia="Times New Roman" w:hAnsi="Times New Roman" w:cs="Times New Roman"/>
          <w:color w:val="000000"/>
          <w:spacing w:val="0"/>
          <w:w w:val="100"/>
          <w:position w:val="0"/>
          <w:sz w:val="18"/>
          <w:szCs w:val="18"/>
        </w:rPr>
        <w:t>4.38</w:t>
      </w:r>
      <w:r>
        <w:rPr>
          <w:color w:val="000000"/>
          <w:spacing w:val="0"/>
          <w:w w:val="100"/>
          <w:position w:val="0"/>
        </w:rPr>
        <w:t>元加年化</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的利息（已获授未解锁应予本年注销的限制性股票为</w:t>
      </w:r>
      <w:r>
        <w:rPr>
          <w:rFonts w:ascii="Times New Roman" w:eastAsia="Times New Roman" w:hAnsi="Times New Roman" w:cs="Times New Roman"/>
          <w:color w:val="000000"/>
          <w:spacing w:val="0"/>
          <w:w w:val="100"/>
          <w:position w:val="0"/>
          <w:sz w:val="18"/>
          <w:szCs w:val="18"/>
        </w:rPr>
        <w:t>339</w:t>
      </w:r>
      <w:r>
        <w:rPr>
          <w:color w:val="000000"/>
          <w:spacing w:val="0"/>
          <w:w w:val="100"/>
          <w:position w:val="0"/>
        </w:rPr>
        <w:t>万股）。</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color w:val="000000"/>
          <w:spacing w:val="0"/>
          <w:w w:val="100"/>
          <w:position w:val="0"/>
        </w:rPr>
        <w:t>、</w:t>
        <w:tab/>
        <w:t>其他</w:t>
      </w:r>
      <w:bookmarkEnd w:id="1526"/>
      <w:bookmarkEnd w:id="1527"/>
      <w:bookmarkEnd w:id="1529"/>
    </w:p>
    <w:p>
      <w:pPr>
        <w:pStyle w:val="Style29"/>
        <w:keepNext w:val="0"/>
        <w:keepLines w:val="0"/>
        <w:widowControl w:val="0"/>
        <w:shd w:val="clear" w:color="auto" w:fill="auto"/>
        <w:bidi w:val="0"/>
        <w:spacing w:before="0" w:line="317" w:lineRule="exact"/>
        <w:ind w:left="0" w:right="0"/>
        <w:jc w:val="both"/>
      </w:pPr>
      <w:r>
        <w:rPr>
          <w:color w:val="000000"/>
          <w:spacing w:val="0"/>
          <w:w w:val="100"/>
          <w:position w:val="0"/>
        </w:rPr>
        <w:t>本次授予限制性股票经深圳证券交易所、中国证券登记结算有限责任公司深圳分公司审核确认，公司于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日完成了本次授予限制性股票的授予登记工作，具体情况如下：</w:t>
      </w:r>
    </w:p>
    <w:p>
      <w:pPr>
        <w:pStyle w:val="Style29"/>
        <w:keepNext w:val="0"/>
        <w:keepLines w:val="0"/>
        <w:widowControl w:val="0"/>
        <w:shd w:val="clear" w:color="auto" w:fill="auto"/>
        <w:tabs>
          <w:tab w:pos="825" w:val="left"/>
        </w:tabs>
        <w:bidi w:val="0"/>
        <w:spacing w:before="0" w:line="312" w:lineRule="exact"/>
        <w:ind w:left="0" w:right="0"/>
        <w:jc w:val="both"/>
      </w:pPr>
      <w:bookmarkStart w:id="1530" w:name="bookmark1530"/>
      <w:r>
        <w:rPr>
          <w:color w:val="000000"/>
          <w:spacing w:val="0"/>
          <w:w w:val="100"/>
          <w:position w:val="0"/>
        </w:rPr>
        <w:t>（</w:t>
      </w:r>
      <w:bookmarkEnd w:id="15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本次授予限制性股票的授予日：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9"/>
        <w:keepNext w:val="0"/>
        <w:keepLines w:val="0"/>
        <w:widowControl w:val="0"/>
        <w:shd w:val="clear" w:color="auto" w:fill="auto"/>
        <w:tabs>
          <w:tab w:pos="825" w:val="left"/>
        </w:tabs>
        <w:bidi w:val="0"/>
        <w:spacing w:before="0" w:line="312" w:lineRule="exact"/>
        <w:ind w:left="0" w:right="0"/>
        <w:jc w:val="both"/>
      </w:pPr>
      <w:bookmarkStart w:id="1531" w:name="bookmark1531"/>
      <w:r>
        <w:rPr>
          <w:color w:val="000000"/>
          <w:spacing w:val="0"/>
          <w:w w:val="100"/>
          <w:position w:val="0"/>
        </w:rPr>
        <w:t>（</w:t>
      </w:r>
      <w:bookmarkEnd w:id="15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本次授予限制性股票的授予对象：公司董事、高级管理人员、核心骨干，共计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人。</w:t>
      </w:r>
    </w:p>
    <w:p>
      <w:pPr>
        <w:pStyle w:val="Style29"/>
        <w:keepNext w:val="0"/>
        <w:keepLines w:val="0"/>
        <w:widowControl w:val="0"/>
        <w:shd w:val="clear" w:color="auto" w:fill="auto"/>
        <w:tabs>
          <w:tab w:pos="825" w:val="left"/>
        </w:tabs>
        <w:bidi w:val="0"/>
        <w:spacing w:before="0" w:line="312" w:lineRule="exact"/>
        <w:ind w:left="0" w:right="0"/>
        <w:jc w:val="both"/>
      </w:pPr>
      <w:bookmarkStart w:id="1532" w:name="bookmark1532"/>
      <w:r>
        <w:rPr>
          <w:color w:val="000000"/>
          <w:spacing w:val="0"/>
          <w:w w:val="100"/>
          <w:position w:val="0"/>
        </w:rPr>
        <w:t>（</w:t>
      </w:r>
      <w:bookmarkEnd w:id="15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本次授予限制性股票的授予价格：</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9"/>
        <w:keepNext w:val="0"/>
        <w:keepLines w:val="0"/>
        <w:widowControl w:val="0"/>
        <w:shd w:val="clear" w:color="auto" w:fill="auto"/>
        <w:tabs>
          <w:tab w:pos="445" w:val="left"/>
        </w:tabs>
        <w:bidi w:val="0"/>
        <w:spacing w:before="0" w:after="200" w:line="312" w:lineRule="exact"/>
        <w:ind w:left="0" w:right="0"/>
        <w:jc w:val="both"/>
      </w:pPr>
      <w:bookmarkStart w:id="1533" w:name="bookmark1533"/>
      <w:r>
        <w:rPr>
          <w:color w:val="000000"/>
          <w:spacing w:val="0"/>
          <w:w w:val="100"/>
          <w:position w:val="0"/>
        </w:rPr>
        <w:t>（</w:t>
      </w:r>
      <w:bookmarkEnd w:id="15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本次授予限制性股票的股票来源及数量：公司向激励对象定向发行</w:t>
      </w:r>
      <w:r>
        <w:rPr>
          <w:rFonts w:ascii="Times New Roman" w:eastAsia="Times New Roman" w:hAnsi="Times New Roman" w:cs="Times New Roman"/>
          <w:color w:val="000000"/>
          <w:spacing w:val="0"/>
          <w:w w:val="100"/>
          <w:position w:val="0"/>
          <w:sz w:val="18"/>
          <w:szCs w:val="18"/>
        </w:rPr>
        <w:t>4,070.00</w:t>
      </w:r>
      <w:r>
        <w:rPr>
          <w:color w:val="000000"/>
          <w:spacing w:val="0"/>
          <w:w w:val="100"/>
          <w:position w:val="0"/>
        </w:rPr>
        <w:t>万股人民币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股普通股，占授予前公司 </w:t>
      </w:r>
      <w:r>
        <w:rPr>
          <w:color w:val="000000"/>
          <w:spacing w:val="0"/>
          <w:w w:val="100"/>
          <w:position w:val="0"/>
        </w:rPr>
        <w:t>总股本的</w:t>
      </w:r>
      <w:r>
        <w:rPr>
          <w:rFonts w:ascii="Times New Roman" w:eastAsia="Times New Roman" w:hAnsi="Times New Roman" w:cs="Times New Roman"/>
          <w:color w:val="000000"/>
          <w:spacing w:val="0"/>
          <w:w w:val="100"/>
          <w:position w:val="0"/>
          <w:sz w:val="18"/>
          <w:szCs w:val="18"/>
        </w:rPr>
        <w:t>5.21%</w:t>
      </w:r>
      <w:r>
        <w:rPr>
          <w:color w:val="000000"/>
          <w:spacing w:val="0"/>
          <w:w w:val="100"/>
          <w:position w:val="0"/>
        </w:rPr>
        <w:t>。</w:t>
      </w:r>
      <w:r>
        <w:br w:type="page"/>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)本次授予限制性股票的激励对象名单:</w:t>
      </w:r>
    </w:p>
    <w:tbl>
      <w:tblPr>
        <w:tblOverlap w:val="never"/>
        <w:jc w:val="center"/>
        <w:tblLayout w:type="fixed"/>
      </w:tblPr>
      <w:tblGrid>
        <w:gridCol w:w="2237"/>
        <w:gridCol w:w="1603"/>
        <w:gridCol w:w="1733"/>
        <w:gridCol w:w="2563"/>
        <w:gridCol w:w="1541"/>
      </w:tblGrid>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获授的限制性股票数 量(万股)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获授的限制性股票占限制性股票 计划总量的比例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占授予前公司总股 本的比例</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徐海啸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董事长、总裁、代理 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0.77%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沈晓超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0.67%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0.58%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张晶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0.58%</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WAN XIAOYANG(</w:t>
            </w:r>
            <w:r>
              <w:rPr>
                <w:rFonts w:ascii="SimSun" w:eastAsia="SimSun" w:hAnsi="SimSun" w:cs="SimSun"/>
                <w:color w:val="000000"/>
                <w:spacing w:val="0"/>
                <w:w w:val="100"/>
                <w:position w:val="0"/>
                <w:sz w:val="17"/>
                <w:szCs w:val="17"/>
              </w:rPr>
              <w:t>中文名： 万晓阳</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陈文龙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核心骨干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0.67%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曹晓黎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核心骨干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0.58%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倪龙轶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核心骨干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李雨良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核心骨干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0.51%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林日磊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核心骨干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0.13%</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5.21%</w:t>
            </w:r>
          </w:p>
        </w:tc>
      </w:tr>
    </w:tbl>
    <w:p>
      <w:pPr>
        <w:pStyle w:val="Style27"/>
        <w:keepNext w:val="0"/>
        <w:keepLines w:val="0"/>
        <w:widowControl w:val="0"/>
        <w:shd w:val="clear" w:color="auto" w:fill="auto"/>
        <w:bidi w:val="0"/>
        <w:spacing w:before="0" w:after="0" w:line="240" w:lineRule="auto"/>
        <w:ind w:left="456"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)本次授予的限制性股票的有效期、锁定期及解锁安排:</w:t>
      </w:r>
    </w:p>
    <w:p>
      <w:pPr>
        <w:widowControl w:val="0"/>
        <w:spacing w:after="39" w:line="1" w:lineRule="exact"/>
      </w:pPr>
    </w:p>
    <w:p>
      <w:pPr>
        <w:pStyle w:val="Style29"/>
        <w:keepNext w:val="0"/>
        <w:keepLines w:val="0"/>
        <w:widowControl w:val="0"/>
        <w:numPr>
          <w:ilvl w:val="0"/>
          <w:numId w:val="83"/>
        </w:numPr>
        <w:shd w:val="clear" w:color="auto" w:fill="auto"/>
        <w:bidi w:val="0"/>
        <w:spacing w:before="0" w:line="307" w:lineRule="exact"/>
        <w:ind w:left="0" w:right="0" w:firstLine="360"/>
        <w:jc w:val="both"/>
      </w:pPr>
      <w:bookmarkStart w:id="1534" w:name="bookmark1534"/>
      <w:bookmarkEnd w:id="1534"/>
      <w:r>
        <w:rPr>
          <w:color w:val="000000"/>
          <w:spacing w:val="0"/>
          <w:w w:val="100"/>
          <w:position w:val="0"/>
        </w:rPr>
        <w:t>本次授予的限制性股票有效期自限制性股票授予之日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日至激励对象获授的限制性股票全部解锁或回购注 销之日止，最长不超过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w:t>
      </w:r>
    </w:p>
    <w:p>
      <w:pPr>
        <w:pStyle w:val="Style29"/>
        <w:keepNext w:val="0"/>
        <w:keepLines w:val="0"/>
        <w:widowControl w:val="0"/>
        <w:numPr>
          <w:ilvl w:val="0"/>
          <w:numId w:val="83"/>
        </w:numPr>
        <w:shd w:val="clear" w:color="auto" w:fill="auto"/>
        <w:bidi w:val="0"/>
        <w:spacing w:before="0" w:after="80" w:line="312" w:lineRule="exact"/>
        <w:ind w:left="0" w:right="0" w:firstLine="360"/>
        <w:jc w:val="both"/>
      </w:pPr>
      <w:bookmarkStart w:id="1535" w:name="bookmark1535"/>
      <w:bookmarkEnd w:id="1535"/>
      <w:r>
        <w:rPr>
          <w:color w:val="000000"/>
          <w:spacing w:val="0"/>
          <w:w w:val="100"/>
          <w:position w:val="0"/>
        </w:rPr>
        <w:t>本次授予的限制性股票自授予之日起即行锁定，激励对象获授的限制性股票在满足解锁条件的前提下，分三次分别按 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的比例解锁，每次可解锁比例的限制性股票的锁定期分别为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个月和</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个月，锁定期满后的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个月为解锁期。具体解锁安排如下表所示：</w:t>
      </w:r>
    </w:p>
    <w:tbl>
      <w:tblPr>
        <w:tblOverlap w:val="never"/>
        <w:jc w:val="center"/>
        <w:tblLayout w:type="fixed"/>
      </w:tblPr>
      <w:tblGrid>
        <w:gridCol w:w="2131"/>
        <w:gridCol w:w="5554"/>
        <w:gridCol w:w="199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解锁安排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解锁比例</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第一次解锁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自首次授予日起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个月后的首个交易日起至首次授予日起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个月内的 最后一个交易日当日止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第二次解锁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自首次授予日起</w:t>
            </w:r>
            <w:r>
              <w:rPr>
                <w:color w:val="000000"/>
                <w:spacing w:val="0"/>
                <w:w w:val="100"/>
                <w:position w:val="0"/>
                <w:sz w:val="18"/>
                <w:szCs w:val="18"/>
              </w:rPr>
              <w:t>24</w:t>
            </w:r>
            <w:r>
              <w:rPr>
                <w:rFonts w:ascii="SimSun" w:eastAsia="SimSun" w:hAnsi="SimSun" w:cs="SimSun"/>
                <w:color w:val="000000"/>
                <w:spacing w:val="0"/>
                <w:w w:val="100"/>
                <w:position w:val="0"/>
                <w:sz w:val="17"/>
                <w:szCs w:val="17"/>
              </w:rPr>
              <w:t>个月后的首个交易日起至首次授予日起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个月内的 最后一个交易日当日止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第三次解锁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自首次授予日起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个月后的首个交易日起至首次授予日起</w:t>
            </w:r>
            <w:r>
              <w:rPr>
                <w:color w:val="000000"/>
                <w:spacing w:val="0"/>
                <w:w w:val="100"/>
                <w:position w:val="0"/>
                <w:sz w:val="18"/>
                <w:szCs w:val="18"/>
              </w:rPr>
              <w:t>48</w:t>
            </w:r>
            <w:r>
              <w:rPr>
                <w:rFonts w:ascii="SimSun" w:eastAsia="SimSun" w:hAnsi="SimSun" w:cs="SimSun"/>
                <w:color w:val="000000"/>
                <w:spacing w:val="0"/>
                <w:w w:val="100"/>
                <w:position w:val="0"/>
                <w:sz w:val="17"/>
                <w:szCs w:val="17"/>
              </w:rPr>
              <w:t>个月内的 最后一个交易日当日止</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bl>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在锁定期内，激励对象获授的限制性股票不得进行转让、用于偿还债务，享有其股票应有的权利，包括但不限于该等股 票的分红权、配股权、投票权等。</w:t>
      </w:r>
    </w:p>
    <w:p>
      <w:pPr>
        <w:pStyle w:val="Style29"/>
        <w:keepNext w:val="0"/>
        <w:keepLines w:val="0"/>
        <w:widowControl w:val="0"/>
        <w:shd w:val="clear" w:color="auto" w:fill="auto"/>
        <w:bidi w:val="0"/>
        <w:spacing w:before="0" w:line="312" w:lineRule="exact"/>
        <w:ind w:left="0" w:right="0" w:firstLine="360"/>
        <w:jc w:val="both"/>
      </w:pPr>
      <w:r>
        <w:rPr>
          <w:color w:val="000000"/>
          <w:spacing w:val="0"/>
          <w:w w:val="100"/>
          <w:position w:val="0"/>
        </w:rPr>
        <w:t>公司在解锁期为满足解锁条件的激励对象办理解锁事宜，公司将按《限制性股票与股票期权激励计划》规定的原则回购 注销激励对象不满足解锁条件的相应尚未解锁的限制性股票。</w:t>
      </w:r>
    </w:p>
    <w:p>
      <w:pPr>
        <w:pStyle w:val="Style29"/>
        <w:keepNext w:val="0"/>
        <w:keepLines w:val="0"/>
        <w:widowControl w:val="0"/>
        <w:shd w:val="clear" w:color="auto" w:fill="auto"/>
        <w:bidi w:val="0"/>
        <w:spacing w:before="0" w:after="80" w:line="322" w:lineRule="exact"/>
        <w:ind w:left="0" w:right="0" w:firstLine="360"/>
        <w:jc w:val="both"/>
      </w:pPr>
      <w:r>
        <w:rPr>
          <w:color w:val="000000"/>
          <w:spacing w:val="0"/>
          <w:w w:val="100"/>
          <w:position w:val="0"/>
        </w:rPr>
        <w:t>本次授予的限制性股票分三期解锁，解锁考核年度分别为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年度。公司将对激励对象分年度进 行绩效考核，每个会计年度考核一次，以达到业绩考核目标作为激励对象的解锁条件之一，具体如下表所示：</w:t>
      </w:r>
    </w:p>
    <w:tbl>
      <w:tblPr>
        <w:tblOverlap w:val="never"/>
        <w:jc w:val="center"/>
        <w:tblLayout w:type="fixed"/>
      </w:tblPr>
      <w:tblGrid>
        <w:gridCol w:w="2136"/>
        <w:gridCol w:w="754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业绩考核目标</w:t>
            </w:r>
          </w:p>
        </w:tc>
      </w:tr>
      <w:tr>
        <w:trPr>
          <w:trHeight w:val="12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第一个解锁期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公司需满足下列条件之一：</w:t>
            </w:r>
          </w:p>
          <w:p>
            <w:pPr>
              <w:pStyle w:val="Style22"/>
              <w:keepNext w:val="0"/>
              <w:keepLines w:val="0"/>
              <w:widowControl w:val="0"/>
              <w:numPr>
                <w:ilvl w:val="0"/>
                <w:numId w:val="85"/>
              </w:numPr>
              <w:shd w:val="clear" w:color="auto" w:fill="auto"/>
              <w:tabs>
                <w:tab w:pos="197" w:val="left"/>
              </w:tabs>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年净利润平均值的绝对值为基数，公司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年实现的净利润不低于基数；或</w:t>
            </w:r>
          </w:p>
          <w:p>
            <w:pPr>
              <w:pStyle w:val="Style22"/>
              <w:keepNext w:val="0"/>
              <w:keepLines w:val="0"/>
              <w:widowControl w:val="0"/>
              <w:numPr>
                <w:ilvl w:val="0"/>
                <w:numId w:val="85"/>
              </w:numPr>
              <w:shd w:val="clear" w:color="auto" w:fill="auto"/>
              <w:tabs>
                <w:tab w:pos="197" w:val="left"/>
              </w:tabs>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2015</w:t>
            </w:r>
            <w:r>
              <w:rPr>
                <w:rFonts w:ascii="SimSun" w:eastAsia="SimSun" w:hAnsi="SimSun" w:cs="SimSun"/>
                <w:color w:val="000000"/>
                <w:spacing w:val="0"/>
                <w:w w:val="100"/>
                <w:position w:val="0"/>
                <w:sz w:val="17"/>
                <w:szCs w:val="17"/>
              </w:rPr>
              <w:t>年主营业务收入为基数，公司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年主营业务收入不低于基数的</w:t>
            </w:r>
            <w:r>
              <w:rPr>
                <w:color w:val="000000"/>
                <w:spacing w:val="0"/>
                <w:w w:val="100"/>
                <w:position w:val="0"/>
                <w:sz w:val="18"/>
                <w:szCs w:val="18"/>
              </w:rPr>
              <w:t xml:space="preserve">110% </w:t>
            </w:r>
            <w:r>
              <w:rPr>
                <w:rFonts w:ascii="SimSun" w:eastAsia="SimSun" w:hAnsi="SimSun" w:cs="SimSun"/>
                <w:color w:val="000000"/>
                <w:spacing w:val="0"/>
                <w:w w:val="100"/>
                <w:position w:val="0"/>
                <w:sz w:val="17"/>
                <w:szCs w:val="17"/>
              </w:rPr>
              <w:t>；或</w:t>
            </w:r>
          </w:p>
          <w:p>
            <w:pPr>
              <w:pStyle w:val="Style22"/>
              <w:keepNext w:val="0"/>
              <w:keepLines w:val="0"/>
              <w:widowControl w:val="0"/>
              <w:numPr>
                <w:ilvl w:val="0"/>
                <w:numId w:val="85"/>
              </w:numPr>
              <w:shd w:val="clear" w:color="auto" w:fill="auto"/>
              <w:tabs>
                <w:tab w:pos="197" w:val="left"/>
              </w:tabs>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一</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年市值平均值为基数，公司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年市值增长率不低于基数的</w:t>
            </w:r>
            <w:r>
              <w:rPr>
                <w:color w:val="000000"/>
                <w:spacing w:val="0"/>
                <w:w w:val="100"/>
                <w:position w:val="0"/>
                <w:sz w:val="18"/>
                <w:szCs w:val="18"/>
              </w:rPr>
              <w:t>30%</w:t>
            </w:r>
            <w:r>
              <w:rPr>
                <w:rFonts w:ascii="SimSun" w:eastAsia="SimSun" w:hAnsi="SimSun" w:cs="SimSun"/>
                <w:color w:val="000000"/>
                <w:spacing w:val="0"/>
                <w:w w:val="100"/>
                <w:position w:val="0"/>
                <w:sz w:val="17"/>
                <w:szCs w:val="17"/>
              </w:rPr>
              <w:t>。</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第二个解锁期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公司需满足下列条件之一：</w:t>
            </w:r>
          </w:p>
        </w:tc>
      </w:tr>
    </w:tbl>
    <w:tbl>
      <w:tblPr>
        <w:tblOverlap w:val="never"/>
        <w:jc w:val="center"/>
        <w:tblLayout w:type="fixed"/>
      </w:tblPr>
      <w:tblGrid>
        <w:gridCol w:w="2136"/>
        <w:gridCol w:w="7541"/>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numPr>
                <w:ilvl w:val="0"/>
                <w:numId w:val="87"/>
              </w:numPr>
              <w:shd w:val="clear" w:color="auto" w:fill="auto"/>
              <w:tabs>
                <w:tab w:pos="19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年净利润平均值的绝对值为基数，公司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年实现的净利润不低于基数的</w:t>
            </w:r>
            <w:r>
              <w:rPr>
                <w:color w:val="000000"/>
                <w:spacing w:val="0"/>
                <w:w w:val="100"/>
                <w:position w:val="0"/>
                <w:sz w:val="18"/>
                <w:szCs w:val="18"/>
              </w:rPr>
              <w:t>130%</w:t>
            </w:r>
            <w:r>
              <w:rPr>
                <w:rFonts w:ascii="SimSun" w:eastAsia="SimSun" w:hAnsi="SimSun" w:cs="SimSun"/>
                <w:color w:val="000000"/>
                <w:spacing w:val="0"/>
                <w:w w:val="100"/>
                <w:position w:val="0"/>
                <w:sz w:val="17"/>
                <w:szCs w:val="17"/>
              </w:rPr>
              <w:t>； 或</w:t>
            </w:r>
          </w:p>
          <w:p>
            <w:pPr>
              <w:pStyle w:val="Style22"/>
              <w:keepNext w:val="0"/>
              <w:keepLines w:val="0"/>
              <w:widowControl w:val="0"/>
              <w:numPr>
                <w:ilvl w:val="0"/>
                <w:numId w:val="87"/>
              </w:numPr>
              <w:shd w:val="clear" w:color="auto" w:fill="auto"/>
              <w:tabs>
                <w:tab w:pos="19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2015</w:t>
            </w:r>
            <w:r>
              <w:rPr>
                <w:rFonts w:ascii="SimSun" w:eastAsia="SimSun" w:hAnsi="SimSun" w:cs="SimSun"/>
                <w:color w:val="000000"/>
                <w:spacing w:val="0"/>
                <w:w w:val="100"/>
                <w:position w:val="0"/>
                <w:sz w:val="17"/>
                <w:szCs w:val="17"/>
              </w:rPr>
              <w:t>年主营业务收入为基数，公司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年主营业务收入不低于基数的</w:t>
            </w:r>
            <w:r>
              <w:rPr>
                <w:color w:val="000000"/>
                <w:spacing w:val="0"/>
                <w:w w:val="100"/>
                <w:position w:val="0"/>
                <w:sz w:val="18"/>
                <w:szCs w:val="18"/>
              </w:rPr>
              <w:t>130%</w:t>
            </w:r>
            <w:r>
              <w:rPr>
                <w:rFonts w:ascii="SimSun" w:eastAsia="SimSun" w:hAnsi="SimSun" w:cs="SimSun"/>
                <w:color w:val="000000"/>
                <w:spacing w:val="0"/>
                <w:w w:val="100"/>
                <w:position w:val="0"/>
                <w:sz w:val="17"/>
                <w:szCs w:val="17"/>
              </w:rPr>
              <w:t>或</w:t>
            </w:r>
          </w:p>
          <w:p>
            <w:pPr>
              <w:pStyle w:val="Style22"/>
              <w:keepNext w:val="0"/>
              <w:keepLines w:val="0"/>
              <w:widowControl w:val="0"/>
              <w:numPr>
                <w:ilvl w:val="0"/>
                <w:numId w:val="87"/>
              </w:numPr>
              <w:shd w:val="clear" w:color="auto" w:fill="auto"/>
              <w:tabs>
                <w:tab w:pos="19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一</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年市值平均值为基数，公司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年市值增长率不低于基数的</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r>
      <w:tr>
        <w:trPr>
          <w:trHeight w:val="16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第三个解锁期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公司需满足下列条件之一：</w:t>
            </w:r>
          </w:p>
          <w:p>
            <w:pPr>
              <w:pStyle w:val="Style22"/>
              <w:keepNext w:val="0"/>
              <w:keepLines w:val="0"/>
              <w:widowControl w:val="0"/>
              <w:numPr>
                <w:ilvl w:val="0"/>
                <w:numId w:val="89"/>
              </w:numPr>
              <w:shd w:val="clear" w:color="auto" w:fill="auto"/>
              <w:tabs>
                <w:tab w:pos="19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年净利润平均值的绝对值为基数，公司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年实现的净利润不低于基数的</w:t>
            </w:r>
            <w:r>
              <w:rPr>
                <w:color w:val="000000"/>
                <w:spacing w:val="0"/>
                <w:w w:val="100"/>
                <w:position w:val="0"/>
                <w:sz w:val="18"/>
                <w:szCs w:val="18"/>
              </w:rPr>
              <w:t>160%</w:t>
            </w:r>
            <w:r>
              <w:rPr>
                <w:rFonts w:ascii="SimSun" w:eastAsia="SimSun" w:hAnsi="SimSun" w:cs="SimSun"/>
                <w:color w:val="000000"/>
                <w:spacing w:val="0"/>
                <w:w w:val="100"/>
                <w:position w:val="0"/>
                <w:sz w:val="17"/>
                <w:szCs w:val="17"/>
              </w:rPr>
              <w:t>； 或</w:t>
            </w:r>
          </w:p>
          <w:p>
            <w:pPr>
              <w:pStyle w:val="Style22"/>
              <w:keepNext w:val="0"/>
              <w:keepLines w:val="0"/>
              <w:widowControl w:val="0"/>
              <w:numPr>
                <w:ilvl w:val="0"/>
                <w:numId w:val="89"/>
              </w:numPr>
              <w:shd w:val="clear" w:color="auto" w:fill="auto"/>
              <w:tabs>
                <w:tab w:pos="19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2015</w:t>
            </w:r>
            <w:r>
              <w:rPr>
                <w:rFonts w:ascii="SimSun" w:eastAsia="SimSun" w:hAnsi="SimSun" w:cs="SimSun"/>
                <w:color w:val="000000"/>
                <w:spacing w:val="0"/>
                <w:w w:val="100"/>
                <w:position w:val="0"/>
                <w:sz w:val="17"/>
                <w:szCs w:val="17"/>
              </w:rPr>
              <w:t>年主营业务收入为基数，公司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年主营业务收入不低于基数的</w:t>
            </w:r>
            <w:r>
              <w:rPr>
                <w:color w:val="000000"/>
                <w:spacing w:val="0"/>
                <w:w w:val="100"/>
                <w:position w:val="0"/>
                <w:sz w:val="18"/>
                <w:szCs w:val="18"/>
              </w:rPr>
              <w:t xml:space="preserve">150% </w:t>
            </w:r>
            <w:r>
              <w:rPr>
                <w:rFonts w:ascii="SimSun" w:eastAsia="SimSun" w:hAnsi="SimSun" w:cs="SimSun"/>
                <w:color w:val="000000"/>
                <w:spacing w:val="0"/>
                <w:w w:val="100"/>
                <w:position w:val="0"/>
                <w:sz w:val="17"/>
                <w:szCs w:val="17"/>
              </w:rPr>
              <w:t>；或</w:t>
            </w:r>
          </w:p>
          <w:p>
            <w:pPr>
              <w:pStyle w:val="Style22"/>
              <w:keepNext w:val="0"/>
              <w:keepLines w:val="0"/>
              <w:widowControl w:val="0"/>
              <w:numPr>
                <w:ilvl w:val="0"/>
                <w:numId w:val="89"/>
              </w:numPr>
              <w:shd w:val="clear" w:color="auto" w:fill="auto"/>
              <w:tabs>
                <w:tab w:pos="19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一</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年市值平均值为基数，公司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年市值增长率不低于基数的</w:t>
            </w:r>
            <w:r>
              <w:rPr>
                <w:color w:val="000000"/>
                <w:spacing w:val="0"/>
                <w:w w:val="100"/>
                <w:position w:val="0"/>
                <w:sz w:val="18"/>
                <w:szCs w:val="18"/>
              </w:rPr>
              <w:t>80%</w:t>
            </w:r>
            <w:r>
              <w:rPr>
                <w:rFonts w:ascii="SimSun" w:eastAsia="SimSun" w:hAnsi="SimSun" w:cs="SimSun"/>
                <w:color w:val="000000"/>
                <w:spacing w:val="0"/>
                <w:w w:val="100"/>
                <w:position w:val="0"/>
                <w:sz w:val="17"/>
                <w:szCs w:val="17"/>
              </w:rPr>
              <w:t>。</w:t>
            </w:r>
          </w:p>
        </w:tc>
      </w:tr>
    </w:tbl>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“净利润”指归属于上市公司股东的扣除非经常性损益的净利润。若公司发生再融资等行为，则融资当年及下一年度以 扣除融资数量后的净资产及该等净资产产生的净利润为计算依据。</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“主营业务收入”是指经审计的公司合并主营业务收入。</w:t>
      </w:r>
    </w:p>
    <w:p>
      <w:pPr>
        <w:pStyle w:val="Style29"/>
        <w:keepNext w:val="0"/>
        <w:keepLines w:val="0"/>
        <w:widowControl w:val="0"/>
        <w:shd w:val="clear" w:color="auto" w:fill="auto"/>
        <w:bidi w:val="0"/>
        <w:spacing w:before="0" w:line="307" w:lineRule="exact"/>
        <w:ind w:left="0" w:right="0"/>
        <w:jc w:val="both"/>
      </w:pPr>
      <w:r>
        <w:rPr>
          <w:color w:val="000000"/>
          <w:spacing w:val="0"/>
          <w:w w:val="100"/>
          <w:position w:val="0"/>
        </w:rPr>
        <w:t>“公司市值”为当年第一个交易日至最后一个交易日该项指标的算术平均值，“公司市值”的“增长率”是指考核年度 该项指标与基数相比的增长率。公司年度平均市值以当年各交易日公司股票收盘时市值（即收盘价</w:t>
      </w:r>
      <w:r>
        <w:rPr>
          <w:color w:val="000000"/>
          <w:spacing w:val="0"/>
          <w:w w:val="100"/>
          <w:position w:val="0"/>
          <w:sz w:val="18"/>
          <w:szCs w:val="18"/>
        </w:rPr>
        <w:t>X</w:t>
      </w:r>
      <w:r>
        <w:rPr>
          <w:color w:val="000000"/>
          <w:spacing w:val="0"/>
          <w:w w:val="100"/>
          <w:position w:val="0"/>
        </w:rPr>
        <w:t>总股本）的平均数作 为计算基础；但若公司于考核年度内发生增发新股、配股、可转债转股情形的，在计算总市值时，因上述情形产生的新增市 值不计算在内。公司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年市值平均值为</w:t>
      </w:r>
      <w:r>
        <w:rPr>
          <w:rFonts w:ascii="Times New Roman" w:eastAsia="Times New Roman" w:hAnsi="Times New Roman" w:cs="Times New Roman"/>
          <w:color w:val="000000"/>
          <w:spacing w:val="0"/>
          <w:w w:val="100"/>
          <w:position w:val="0"/>
          <w:sz w:val="18"/>
          <w:szCs w:val="18"/>
        </w:rPr>
        <w:t>724,064.20</w:t>
      </w:r>
      <w:r>
        <w:rPr>
          <w:color w:val="000000"/>
          <w:spacing w:val="0"/>
          <w:w w:val="100"/>
          <w:position w:val="0"/>
        </w:rPr>
        <w:t>万元。</w:t>
      </w:r>
    </w:p>
    <w:p>
      <w:pPr>
        <w:pStyle w:val="Style29"/>
        <w:keepNext w:val="0"/>
        <w:keepLines w:val="0"/>
        <w:widowControl w:val="0"/>
        <w:shd w:val="clear" w:color="auto" w:fill="auto"/>
        <w:bidi w:val="0"/>
        <w:spacing w:before="0" w:line="312" w:lineRule="exact"/>
        <w:ind w:left="0" w:right="0"/>
        <w:jc w:val="both"/>
      </w:pPr>
      <w:r>
        <w:rPr>
          <w:color w:val="000000"/>
          <w:spacing w:val="0"/>
          <w:w w:val="100"/>
          <w:position w:val="0"/>
        </w:rPr>
        <w:t>解锁期内，公司为满足解锁条件的激励对象办理解锁事宜。若各解锁期内公司当期业绩水平未达到业绩考核目标条件的， 这部分标的股票将由公司以授予价格加银行同期存款利息回购注销。</w:t>
      </w:r>
    </w:p>
    <w:p>
      <w:pPr>
        <w:pStyle w:val="Style29"/>
        <w:keepNext w:val="0"/>
        <w:keepLines w:val="0"/>
        <w:widowControl w:val="0"/>
        <w:numPr>
          <w:ilvl w:val="0"/>
          <w:numId w:val="83"/>
        </w:numPr>
        <w:shd w:val="clear" w:color="auto" w:fill="auto"/>
        <w:bidi w:val="0"/>
        <w:spacing w:before="0" w:line="312" w:lineRule="exact"/>
        <w:ind w:left="0" w:right="0"/>
        <w:jc w:val="both"/>
      </w:pPr>
      <w:bookmarkStart w:id="1536" w:name="bookmark1536"/>
      <w:bookmarkEnd w:id="1536"/>
      <w:r>
        <w:rPr>
          <w:color w:val="000000"/>
          <w:spacing w:val="0"/>
          <w:w w:val="100"/>
          <w:position w:val="0"/>
        </w:rPr>
        <w:t>激励对象个人年度绩效考核合格</w:t>
      </w:r>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根据公司制定的《实施考核管理办法》，激励对象在解锁的上一年度绩效考核结果为“合格”以上时，才能部分或全额 解锁当期限制性股票。各解锁期内，因个人绩效考核结果不达标导致不能解锁或部分不能解锁的限制性股票由公司以授予价 格加银行同期存款利息回购注销。</w:t>
      </w:r>
    </w:p>
    <w:p>
      <w:pPr>
        <w:pStyle w:val="Style25"/>
        <w:keepNext/>
        <w:keepLines/>
        <w:widowControl w:val="0"/>
        <w:shd w:val="clear" w:color="auto" w:fill="auto"/>
        <w:bidi w:val="0"/>
        <w:spacing w:before="0" w:after="360" w:line="240" w:lineRule="auto"/>
        <w:ind w:left="0" w:right="0" w:firstLine="0"/>
        <w:jc w:val="both"/>
      </w:pPr>
      <w:bookmarkStart w:id="1537" w:name="bookmark1537"/>
      <w:bookmarkStart w:id="1538" w:name="bookmark1538"/>
      <w:bookmarkStart w:id="1539" w:name="bookmark1539"/>
      <w:r>
        <w:rPr>
          <w:color w:val="000000"/>
          <w:spacing w:val="0"/>
          <w:w w:val="100"/>
          <w:position w:val="0"/>
        </w:rPr>
        <w:t>十四、承诺及或有事项</w:t>
      </w:r>
      <w:bookmarkEnd w:id="1537"/>
      <w:bookmarkEnd w:id="1538"/>
      <w:bookmarkEnd w:id="1539"/>
    </w:p>
    <w:p>
      <w:pPr>
        <w:pStyle w:val="Style33"/>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bookmarkEnd w:id="1542"/>
      <w:r>
        <w:rPr>
          <w:color w:val="000000"/>
          <w:spacing w:val="0"/>
          <w:w w:val="100"/>
          <w:position w:val="0"/>
        </w:rPr>
        <w:t>、 重要承诺事项：无。</w:t>
      </w:r>
      <w:bookmarkEnd w:id="1540"/>
      <w:bookmarkEnd w:id="1541"/>
      <w:bookmarkEnd w:id="1543"/>
    </w:p>
    <w:p>
      <w:pPr>
        <w:pStyle w:val="Style33"/>
        <w:keepNext/>
        <w:keepLines/>
        <w:widowControl w:val="0"/>
        <w:shd w:val="clear" w:color="auto" w:fill="auto"/>
        <w:tabs>
          <w:tab w:pos="378" w:val="left"/>
        </w:tabs>
        <w:bidi w:val="0"/>
        <w:spacing w:before="0" w:line="240" w:lineRule="auto"/>
        <w:ind w:left="0" w:right="0" w:firstLine="0"/>
        <w:jc w:val="both"/>
      </w:pPr>
      <w:bookmarkStart w:id="1540" w:name="bookmark1540"/>
      <w:bookmarkStart w:id="1541" w:name="bookmark1541"/>
      <w:bookmarkStart w:id="1544" w:name="bookmark1544"/>
      <w:bookmarkStart w:id="1545" w:name="bookmark1545"/>
      <w:r>
        <w:rPr>
          <w:rFonts w:ascii="Times New Roman" w:eastAsia="Times New Roman" w:hAnsi="Times New Roman" w:cs="Times New Roman"/>
          <w:color w:val="000000"/>
          <w:spacing w:val="0"/>
          <w:w w:val="100"/>
          <w:position w:val="0"/>
        </w:rPr>
        <w:t>2</w:t>
      </w:r>
      <w:bookmarkEnd w:id="1544"/>
      <w:r>
        <w:rPr>
          <w:color w:val="000000"/>
          <w:spacing w:val="0"/>
          <w:w w:val="100"/>
          <w:position w:val="0"/>
        </w:rPr>
        <w:t>、</w:t>
        <w:tab/>
        <w:t>或有事项：无。</w:t>
      </w:r>
      <w:bookmarkEnd w:id="1540"/>
      <w:bookmarkEnd w:id="1541"/>
      <w:bookmarkEnd w:id="1545"/>
    </w:p>
    <w:p>
      <w:pPr>
        <w:pStyle w:val="Style33"/>
        <w:keepNext/>
        <w:keepLines/>
        <w:widowControl w:val="0"/>
        <w:shd w:val="clear" w:color="auto" w:fill="auto"/>
        <w:tabs>
          <w:tab w:pos="378" w:val="left"/>
        </w:tabs>
        <w:bidi w:val="0"/>
        <w:spacing w:before="0" w:line="240" w:lineRule="auto"/>
        <w:ind w:left="0" w:right="0" w:firstLine="0"/>
        <w:jc w:val="both"/>
      </w:pPr>
      <w:bookmarkStart w:id="1540" w:name="bookmark1540"/>
      <w:bookmarkStart w:id="1541" w:name="bookmark1541"/>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color w:val="000000"/>
          <w:spacing w:val="0"/>
          <w:w w:val="100"/>
          <w:position w:val="0"/>
        </w:rPr>
        <w:t>、</w:t>
        <w:tab/>
        <w:t>其他：无。</w:t>
      </w:r>
      <w:bookmarkEnd w:id="1540"/>
      <w:bookmarkEnd w:id="1541"/>
      <w:bookmarkEnd w:id="1547"/>
    </w:p>
    <w:p>
      <w:pPr>
        <w:pStyle w:val="Style25"/>
        <w:keepNext/>
        <w:keepLines/>
        <w:widowControl w:val="0"/>
        <w:shd w:val="clear" w:color="auto" w:fill="auto"/>
        <w:bidi w:val="0"/>
        <w:spacing w:before="0" w:after="360" w:line="240" w:lineRule="auto"/>
        <w:ind w:left="0" w:right="0" w:firstLine="0"/>
        <w:jc w:val="both"/>
      </w:pPr>
      <w:bookmarkStart w:id="1548" w:name="bookmark1548"/>
      <w:bookmarkStart w:id="1549" w:name="bookmark1549"/>
      <w:bookmarkStart w:id="1550" w:name="bookmark1550"/>
      <w:r>
        <w:rPr>
          <w:color w:val="000000"/>
          <w:spacing w:val="0"/>
          <w:w w:val="100"/>
          <w:position w:val="0"/>
        </w:rPr>
        <w:t>十五、资产负债表日后事项</w:t>
      </w:r>
      <w:bookmarkEnd w:id="1548"/>
      <w:bookmarkEnd w:id="1549"/>
      <w:bookmarkEnd w:id="1550"/>
    </w:p>
    <w:p>
      <w:pPr>
        <w:pStyle w:val="Style33"/>
        <w:keepNext/>
        <w:keepLines/>
        <w:widowControl w:val="0"/>
        <w:shd w:val="clear" w:color="auto" w:fill="auto"/>
        <w:tabs>
          <w:tab w:pos="368" w:val="left"/>
        </w:tabs>
        <w:bidi w:val="0"/>
        <w:spacing w:before="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bookmarkEnd w:id="1553"/>
      <w:r>
        <w:rPr>
          <w:color w:val="000000"/>
          <w:spacing w:val="0"/>
          <w:w w:val="100"/>
          <w:position w:val="0"/>
        </w:rPr>
        <w:t>、</w:t>
        <w:tab/>
        <w:t>重要的非调整事项：无。</w:t>
      </w:r>
      <w:bookmarkEnd w:id="1551"/>
      <w:bookmarkEnd w:id="1552"/>
      <w:bookmarkEnd w:id="1554"/>
    </w:p>
    <w:p>
      <w:pPr>
        <w:pStyle w:val="Style33"/>
        <w:keepNext/>
        <w:keepLines/>
        <w:widowControl w:val="0"/>
        <w:shd w:val="clear" w:color="auto" w:fill="auto"/>
        <w:tabs>
          <w:tab w:pos="378" w:val="left"/>
        </w:tabs>
        <w:bidi w:val="0"/>
        <w:spacing w:before="0" w:line="240" w:lineRule="auto"/>
        <w:ind w:left="0" w:right="0" w:firstLine="0"/>
        <w:jc w:val="both"/>
      </w:pPr>
      <w:bookmarkStart w:id="1551" w:name="bookmark1551"/>
      <w:bookmarkStart w:id="1552" w:name="bookmark1552"/>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color w:val="000000"/>
          <w:spacing w:val="0"/>
          <w:w w:val="100"/>
          <w:position w:val="0"/>
        </w:rPr>
        <w:t>、</w:t>
        <w:tab/>
        <w:t>利润分配情况</w:t>
      </w:r>
      <w:bookmarkEnd w:id="1551"/>
      <w:bookmarkEnd w:id="1552"/>
      <w:bookmarkEnd w:id="15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3"/>
        <w:keepNext/>
        <w:keepLines/>
        <w:widowControl w:val="0"/>
        <w:shd w:val="clear" w:color="auto" w:fill="auto"/>
        <w:tabs>
          <w:tab w:pos="380" w:val="left"/>
        </w:tabs>
        <w:bidi w:val="0"/>
        <w:spacing w:before="0" w:after="34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3</w:t>
      </w:r>
      <w:bookmarkEnd w:id="1559"/>
      <w:r>
        <w:rPr>
          <w:color w:val="000000"/>
          <w:spacing w:val="0"/>
          <w:w w:val="100"/>
          <w:position w:val="0"/>
        </w:rPr>
        <w:t>、</w:t>
        <w:tab/>
        <w:t>销售退回：无。</w:t>
      </w:r>
      <w:bookmarkEnd w:id="1557"/>
      <w:bookmarkEnd w:id="1558"/>
      <w:bookmarkEnd w:id="1560"/>
    </w:p>
    <w:p>
      <w:pPr>
        <w:pStyle w:val="Style33"/>
        <w:keepNext/>
        <w:keepLines/>
        <w:widowControl w:val="0"/>
        <w:shd w:val="clear" w:color="auto" w:fill="auto"/>
        <w:tabs>
          <w:tab w:pos="380" w:val="left"/>
        </w:tabs>
        <w:bidi w:val="0"/>
        <w:spacing w:before="0" w:after="280" w:line="240" w:lineRule="auto"/>
        <w:ind w:left="0" w:right="0" w:firstLine="0"/>
        <w:jc w:val="left"/>
      </w:pPr>
      <w:bookmarkStart w:id="1557" w:name="bookmark1557"/>
      <w:bookmarkStart w:id="1558" w:name="bookmark1558"/>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color w:val="000000"/>
          <w:spacing w:val="0"/>
          <w:w w:val="100"/>
          <w:position w:val="0"/>
        </w:rPr>
        <w:t>、</w:t>
        <w:tab/>
        <w:t>其他资产负债表日后事项说明</w:t>
      </w:r>
      <w:bookmarkEnd w:id="1557"/>
      <w:bookmarkEnd w:id="1558"/>
      <w:bookmarkEnd w:id="1562"/>
    </w:p>
    <w:p>
      <w:pPr>
        <w:pStyle w:val="Style29"/>
        <w:keepNext w:val="0"/>
        <w:keepLines w:val="0"/>
        <w:widowControl w:val="0"/>
        <w:shd w:val="clear" w:color="auto" w:fill="auto"/>
        <w:tabs>
          <w:tab w:pos="901" w:val="left"/>
        </w:tabs>
        <w:bidi w:val="0"/>
        <w:spacing w:before="0" w:after="0" w:line="312" w:lineRule="exact"/>
        <w:ind w:left="0" w:right="0"/>
        <w:jc w:val="left"/>
      </w:pPr>
      <w:bookmarkStart w:id="1563" w:name="bookmark1563"/>
      <w:r>
        <w:rPr>
          <w:color w:val="000000"/>
          <w:spacing w:val="0"/>
          <w:w w:val="100"/>
          <w:position w:val="0"/>
        </w:rPr>
        <w:t>（</w:t>
      </w:r>
      <w:bookmarkEnd w:id="15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日公司第五届董事会第四十次会议、第五届监事会第二十二次会议审议通过了关于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 权激励计划首次授予的限制性股票第一个解锁期符合解锁条件的议案，独立董事对相关事项发表了同意的独立意见，符合解 锁条件的限制性股票已于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日解锁上市流通。本次解锁的股票期权数量为</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股，解 锁后，公司总股数增加</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万股，由</w:t>
      </w:r>
      <w:r>
        <w:rPr>
          <w:rFonts w:ascii="Times New Roman" w:eastAsia="Times New Roman" w:hAnsi="Times New Roman" w:cs="Times New Roman"/>
          <w:color w:val="000000"/>
          <w:spacing w:val="0"/>
          <w:w w:val="100"/>
          <w:position w:val="0"/>
          <w:sz w:val="18"/>
          <w:szCs w:val="18"/>
        </w:rPr>
        <w:t>824,904,768.00</w:t>
      </w:r>
      <w:r>
        <w:rPr>
          <w:color w:val="000000"/>
          <w:spacing w:val="0"/>
          <w:w w:val="100"/>
          <w:position w:val="0"/>
        </w:rPr>
        <w:t>元增加至</w:t>
      </w:r>
      <w:r>
        <w:rPr>
          <w:rFonts w:ascii="Times New Roman" w:eastAsia="Times New Roman" w:hAnsi="Times New Roman" w:cs="Times New Roman"/>
          <w:color w:val="000000"/>
          <w:spacing w:val="0"/>
          <w:w w:val="100"/>
          <w:position w:val="0"/>
          <w:sz w:val="18"/>
          <w:szCs w:val="18"/>
        </w:rPr>
        <w:t>826,854,768.00</w:t>
      </w:r>
      <w:r>
        <w:rPr>
          <w:color w:val="000000"/>
          <w:spacing w:val="0"/>
          <w:w w:val="100"/>
          <w:position w:val="0"/>
        </w:rPr>
        <w:t>元，上述股本实收情况已经上会会计师事务所</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（特殊普通合伙）于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日出具验资报告验证。</w:t>
      </w:r>
    </w:p>
    <w:p>
      <w:pPr>
        <w:pStyle w:val="Style29"/>
        <w:keepNext w:val="0"/>
        <w:keepLines w:val="0"/>
        <w:widowControl w:val="0"/>
        <w:shd w:val="clear" w:color="auto" w:fill="auto"/>
        <w:tabs>
          <w:tab w:pos="901" w:val="left"/>
        </w:tabs>
        <w:bidi w:val="0"/>
        <w:spacing w:before="0" w:line="312" w:lineRule="exact"/>
        <w:ind w:left="0" w:right="0"/>
        <w:jc w:val="both"/>
      </w:pPr>
      <w:bookmarkStart w:id="1564" w:name="bookmark1564"/>
      <w:r>
        <w:rPr>
          <w:color w:val="000000"/>
          <w:spacing w:val="0"/>
          <w:w w:val="100"/>
          <w:position w:val="0"/>
        </w:rPr>
        <w:t>（</w:t>
      </w:r>
      <w:bookmarkEnd w:id="15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日召开第五届董事会第四十一次会议审议通过了《关于回购注销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年两期股权激励计划部分 限制性股票和股票期权的议案》，鉴于公司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年两期股权激励计划授予的激励对象纪晓文先生近日离职，不再满足成为激 励对象的条件，根据公司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年两期股权激励计划的相关规定和股东大会的授权，公司董事会同意回购注销纪晓文先生已获 授未解锁的</w:t>
      </w:r>
      <w:r>
        <w:rPr>
          <w:rFonts w:ascii="Times New Roman" w:eastAsia="Times New Roman" w:hAnsi="Times New Roman" w:cs="Times New Roman"/>
          <w:color w:val="000000"/>
          <w:spacing w:val="0"/>
          <w:w w:val="100"/>
          <w:position w:val="0"/>
          <w:sz w:val="18"/>
          <w:szCs w:val="18"/>
        </w:rPr>
        <w:t>626.5</w:t>
      </w:r>
      <w:r>
        <w:rPr>
          <w:color w:val="000000"/>
          <w:spacing w:val="0"/>
          <w:w w:val="100"/>
          <w:position w:val="0"/>
        </w:rPr>
        <w:t>万股限制性股票并注销纪晓文先生已获授未行权的</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万份股票期权，其中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年第一期股权激励计划授 予的限制性股票每股回购价格为</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元加年化</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的利息，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年第二期股权激励计划授予的限制性股票每股回购价格为</w:t>
      </w:r>
      <w:r>
        <w:rPr>
          <w:rFonts w:ascii="Times New Roman" w:eastAsia="Times New Roman" w:hAnsi="Times New Roman" w:cs="Times New Roman"/>
          <w:color w:val="000000"/>
          <w:spacing w:val="0"/>
          <w:w w:val="100"/>
          <w:position w:val="0"/>
          <w:sz w:val="18"/>
          <w:szCs w:val="18"/>
        </w:rPr>
        <w:t xml:space="preserve">4.38 </w:t>
      </w:r>
      <w:r>
        <w:rPr>
          <w:color w:val="000000"/>
          <w:spacing w:val="0"/>
          <w:w w:val="100"/>
          <w:position w:val="0"/>
        </w:rPr>
        <w:t>元加年化</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的利息。相应的，本次回购注销完成后，公司注册资本将随之发生变动，注册资本将由</w:t>
      </w:r>
      <w:r>
        <w:rPr>
          <w:rFonts w:ascii="Times New Roman" w:eastAsia="Times New Roman" w:hAnsi="Times New Roman" w:cs="Times New Roman"/>
          <w:color w:val="000000"/>
          <w:spacing w:val="0"/>
          <w:w w:val="100"/>
          <w:position w:val="0"/>
          <w:sz w:val="18"/>
          <w:szCs w:val="18"/>
        </w:rPr>
        <w:t>826,854,768</w:t>
      </w:r>
      <w:r>
        <w:rPr>
          <w:color w:val="000000"/>
          <w:spacing w:val="0"/>
          <w:w w:val="100"/>
          <w:position w:val="0"/>
        </w:rPr>
        <w:t xml:space="preserve">元减至 </w:t>
      </w:r>
      <w:r>
        <w:rPr>
          <w:rFonts w:ascii="Times New Roman" w:eastAsia="Times New Roman" w:hAnsi="Times New Roman" w:cs="Times New Roman"/>
          <w:color w:val="000000"/>
          <w:spacing w:val="0"/>
          <w:w w:val="100"/>
          <w:position w:val="0"/>
          <w:sz w:val="18"/>
          <w:szCs w:val="18"/>
        </w:rPr>
        <w:t>820,589,768</w:t>
      </w:r>
      <w:r>
        <w:rPr>
          <w:color w:val="000000"/>
          <w:spacing w:val="0"/>
          <w:w w:val="100"/>
          <w:position w:val="0"/>
        </w:rPr>
        <w:t>元。</w:t>
      </w:r>
    </w:p>
    <w:p>
      <w:pPr>
        <w:pStyle w:val="Style29"/>
        <w:keepNext w:val="0"/>
        <w:keepLines w:val="0"/>
        <w:widowControl w:val="0"/>
        <w:shd w:val="clear" w:color="auto" w:fill="auto"/>
        <w:bidi w:val="0"/>
        <w:spacing w:before="0" w:line="312" w:lineRule="exact"/>
        <w:ind w:left="0" w:right="0"/>
        <w:jc w:val="both"/>
      </w:pPr>
      <w:bookmarkStart w:id="1565" w:name="bookmark1565"/>
      <w:r>
        <w:rPr>
          <w:color w:val="000000"/>
          <w:spacing w:val="0"/>
          <w:w w:val="100"/>
          <w:position w:val="0"/>
        </w:rPr>
        <w:t>（</w:t>
      </w:r>
      <w:bookmarkEnd w:id="15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日接到股东中驰惠程将其所持的本公司部分股份进行质押式回购交易的通知，中驰惠程作为出 质人将其所持部分公司股份质押给国信证券股份有限公司，质押股数</w:t>
      </w:r>
      <w:r>
        <w:rPr>
          <w:rFonts w:ascii="Times New Roman" w:eastAsia="Times New Roman" w:hAnsi="Times New Roman" w:cs="Times New Roman"/>
          <w:color w:val="000000"/>
          <w:spacing w:val="0"/>
          <w:w w:val="100"/>
          <w:position w:val="0"/>
          <w:sz w:val="18"/>
          <w:szCs w:val="18"/>
        </w:rPr>
        <w:t>12,063,200</w:t>
      </w:r>
      <w:r>
        <w:rPr>
          <w:color w:val="000000"/>
          <w:spacing w:val="0"/>
          <w:w w:val="100"/>
          <w:position w:val="0"/>
        </w:rPr>
        <w:t>股，质押开始日期为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日，解除质 押日期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日，本次质押占其所持股份比例</w:t>
      </w:r>
      <w:r>
        <w:rPr>
          <w:rFonts w:ascii="Times New Roman" w:eastAsia="Times New Roman" w:hAnsi="Times New Roman" w:cs="Times New Roman"/>
          <w:color w:val="000000"/>
          <w:spacing w:val="0"/>
          <w:w w:val="100"/>
          <w:position w:val="0"/>
          <w:sz w:val="18"/>
          <w:szCs w:val="18"/>
        </w:rPr>
        <w:t>14.6699%</w:t>
      </w:r>
      <w:r>
        <w:rPr>
          <w:color w:val="000000"/>
          <w:spacing w:val="0"/>
          <w:w w:val="100"/>
          <w:position w:val="0"/>
        </w:rPr>
        <w:t>,用途为自身资金需求。本次质押后累计质押其持有的本公司 股份数量共计</w:t>
      </w:r>
      <w:r>
        <w:rPr>
          <w:rFonts w:ascii="Times New Roman" w:eastAsia="Times New Roman" w:hAnsi="Times New Roman" w:cs="Times New Roman"/>
          <w:color w:val="000000"/>
          <w:spacing w:val="0"/>
          <w:w w:val="100"/>
          <w:position w:val="0"/>
          <w:sz w:val="18"/>
          <w:szCs w:val="18"/>
        </w:rPr>
        <w:t>82,230,955</w:t>
      </w:r>
      <w:r>
        <w:rPr>
          <w:color w:val="000000"/>
          <w:spacing w:val="0"/>
          <w:w w:val="100"/>
          <w:position w:val="0"/>
        </w:rPr>
        <w:t>股，占其直接持有公司股份总数的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9.9450%</w:t>
      </w:r>
      <w:r>
        <w:rPr>
          <w:color w:val="000000"/>
          <w:spacing w:val="0"/>
          <w:w w:val="100"/>
          <w:position w:val="0"/>
        </w:rPr>
        <w:t>。</w:t>
      </w:r>
    </w:p>
    <w:p>
      <w:pPr>
        <w:pStyle w:val="Style29"/>
        <w:keepNext w:val="0"/>
        <w:keepLines w:val="0"/>
        <w:widowControl w:val="0"/>
        <w:shd w:val="clear" w:color="auto" w:fill="auto"/>
        <w:tabs>
          <w:tab w:pos="901" w:val="left"/>
        </w:tabs>
        <w:bidi w:val="0"/>
        <w:spacing w:before="0" w:after="340" w:line="317" w:lineRule="exact"/>
        <w:ind w:left="0" w:right="0"/>
        <w:jc w:val="both"/>
      </w:pPr>
      <w:bookmarkStart w:id="1566" w:name="bookmark1566"/>
      <w:r>
        <w:rPr>
          <w:color w:val="000000"/>
          <w:spacing w:val="0"/>
          <w:w w:val="100"/>
          <w:position w:val="0"/>
        </w:rPr>
        <w:t>（</w:t>
      </w:r>
      <w:bookmarkEnd w:id="15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本公司拟筹划重大资产重组，拟购买江苏群立世纪投资发展有限公司（以下简称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群立世纪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股权和成都哆 可梦网络科技有限公司（以下简称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哆可梦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77.57%</w:t>
      </w:r>
      <w:r>
        <w:rPr>
          <w:color w:val="000000"/>
          <w:spacing w:val="0"/>
          <w:w w:val="100"/>
          <w:position w:val="0"/>
        </w:rPr>
        <w:t>股权。截止本报告日各中介机构已初步完成对群立世纪和哆可梦的尽职 调查、审计、评估工作。本次重大资产重组方案正在设计中。</w:t>
      </w:r>
    </w:p>
    <w:p>
      <w:pPr>
        <w:pStyle w:val="Style65"/>
        <w:keepNext w:val="0"/>
        <w:keepLines w:val="0"/>
        <w:widowControl w:val="0"/>
        <w:shd w:val="clear" w:color="auto" w:fill="auto"/>
        <w:bidi w:val="0"/>
        <w:spacing w:before="0" w:after="280"/>
        <w:ind w:left="0" w:right="0" w:firstLine="0"/>
        <w:jc w:val="left"/>
      </w:pPr>
      <w:r>
        <w:rPr>
          <w:color w:val="000000"/>
          <w:spacing w:val="0"/>
          <w:w w:val="100"/>
          <w:position w:val="0"/>
        </w:rPr>
        <w:t>十六、其他重要事项</w:t>
      </w:r>
    </w:p>
    <w:p>
      <w:pPr>
        <w:pStyle w:val="Style65"/>
        <w:keepNext w:val="0"/>
        <w:keepLines w:val="0"/>
        <w:widowControl w:val="0"/>
        <w:shd w:val="clear" w:color="auto" w:fill="auto"/>
        <w:tabs>
          <w:tab w:pos="382" w:val="left"/>
        </w:tabs>
        <w:bidi w:val="0"/>
        <w:spacing w:before="0"/>
        <w:ind w:left="0" w:right="0" w:firstLine="0"/>
        <w:jc w:val="left"/>
      </w:pPr>
      <w:bookmarkStart w:id="1567" w:name="bookmark1567"/>
      <w:r>
        <w:rPr>
          <w:color w:val="000000"/>
          <w:spacing w:val="0"/>
          <w:w w:val="100"/>
          <w:position w:val="0"/>
          <w:sz w:val="24"/>
          <w:szCs w:val="24"/>
        </w:rPr>
        <w:t>1</w:t>
      </w:r>
      <w:bookmarkEnd w:id="1567"/>
      <w:r>
        <w:rPr>
          <w:color w:val="000000"/>
          <w:spacing w:val="0"/>
          <w:w w:val="100"/>
          <w:position w:val="0"/>
        </w:rPr>
        <w:t>、</w:t>
        <w:tab/>
        <w:t>前期会计差错更正：无。</w:t>
      </w:r>
    </w:p>
    <w:p>
      <w:pPr>
        <w:pStyle w:val="Style65"/>
        <w:keepNext w:val="0"/>
        <w:keepLines w:val="0"/>
        <w:widowControl w:val="0"/>
        <w:shd w:val="clear" w:color="auto" w:fill="auto"/>
        <w:tabs>
          <w:tab w:pos="397" w:val="left"/>
        </w:tabs>
        <w:bidi w:val="0"/>
        <w:spacing w:before="0"/>
        <w:ind w:left="0" w:right="0" w:firstLine="0"/>
        <w:jc w:val="left"/>
      </w:pPr>
      <w:bookmarkStart w:id="1568" w:name="bookmark1568"/>
      <w:r>
        <w:rPr>
          <w:color w:val="000000"/>
          <w:spacing w:val="0"/>
          <w:w w:val="100"/>
          <w:position w:val="0"/>
          <w:sz w:val="24"/>
          <w:szCs w:val="24"/>
        </w:rPr>
        <w:t>2</w:t>
      </w:r>
      <w:bookmarkEnd w:id="1568"/>
      <w:r>
        <w:rPr>
          <w:color w:val="000000"/>
          <w:spacing w:val="0"/>
          <w:w w:val="100"/>
          <w:position w:val="0"/>
        </w:rPr>
        <w:t>、</w:t>
        <w:tab/>
        <w:t>债务重组：无。</w:t>
      </w:r>
    </w:p>
    <w:p>
      <w:pPr>
        <w:pStyle w:val="Style65"/>
        <w:keepNext w:val="0"/>
        <w:keepLines w:val="0"/>
        <w:widowControl w:val="0"/>
        <w:shd w:val="clear" w:color="auto" w:fill="auto"/>
        <w:tabs>
          <w:tab w:pos="397" w:val="left"/>
        </w:tabs>
        <w:bidi w:val="0"/>
        <w:spacing w:before="0"/>
        <w:ind w:left="0" w:right="0" w:firstLine="0"/>
        <w:jc w:val="left"/>
      </w:pPr>
      <w:bookmarkStart w:id="1569" w:name="bookmark1569"/>
      <w:r>
        <w:rPr>
          <w:color w:val="000000"/>
          <w:spacing w:val="0"/>
          <w:w w:val="100"/>
          <w:position w:val="0"/>
          <w:sz w:val="24"/>
          <w:szCs w:val="24"/>
        </w:rPr>
        <w:t>3</w:t>
      </w:r>
      <w:bookmarkEnd w:id="1569"/>
      <w:r>
        <w:rPr>
          <w:color w:val="000000"/>
          <w:spacing w:val="0"/>
          <w:w w:val="100"/>
          <w:position w:val="0"/>
        </w:rPr>
        <w:t>、</w:t>
        <w:tab/>
        <w:t>资产置换：无。</w:t>
      </w:r>
    </w:p>
    <w:p>
      <w:pPr>
        <w:pStyle w:val="Style65"/>
        <w:keepNext w:val="0"/>
        <w:keepLines w:val="0"/>
        <w:widowControl w:val="0"/>
        <w:shd w:val="clear" w:color="auto" w:fill="auto"/>
        <w:tabs>
          <w:tab w:pos="406" w:val="left"/>
        </w:tabs>
        <w:bidi w:val="0"/>
        <w:spacing w:before="0"/>
        <w:ind w:left="0" w:right="0" w:firstLine="0"/>
        <w:jc w:val="left"/>
      </w:pPr>
      <w:bookmarkStart w:id="1570" w:name="bookmark1570"/>
      <w:r>
        <w:rPr>
          <w:color w:val="000000"/>
          <w:spacing w:val="0"/>
          <w:w w:val="100"/>
          <w:position w:val="0"/>
          <w:sz w:val="24"/>
          <w:szCs w:val="24"/>
        </w:rPr>
        <w:t>4</w:t>
      </w:r>
      <w:bookmarkEnd w:id="1570"/>
      <w:r>
        <w:rPr>
          <w:color w:val="000000"/>
          <w:spacing w:val="0"/>
          <w:w w:val="100"/>
          <w:position w:val="0"/>
        </w:rPr>
        <w:t>、</w:t>
        <w:tab/>
        <w:t>年金计划：无。</w:t>
      </w:r>
    </w:p>
    <w:p>
      <w:pPr>
        <w:pStyle w:val="Style65"/>
        <w:keepNext w:val="0"/>
        <w:keepLines w:val="0"/>
        <w:widowControl w:val="0"/>
        <w:shd w:val="clear" w:color="auto" w:fill="auto"/>
        <w:tabs>
          <w:tab w:pos="406" w:val="left"/>
        </w:tabs>
        <w:bidi w:val="0"/>
        <w:spacing w:before="0"/>
        <w:ind w:left="0" w:right="0" w:firstLine="0"/>
        <w:jc w:val="left"/>
      </w:pPr>
      <w:bookmarkStart w:id="1571" w:name="bookmark1571"/>
      <w:r>
        <w:rPr>
          <w:color w:val="000000"/>
          <w:spacing w:val="0"/>
          <w:w w:val="100"/>
          <w:position w:val="0"/>
          <w:sz w:val="24"/>
          <w:szCs w:val="24"/>
        </w:rPr>
        <w:t>5</w:t>
      </w:r>
      <w:bookmarkEnd w:id="1571"/>
      <w:r>
        <w:rPr>
          <w:color w:val="000000"/>
          <w:spacing w:val="0"/>
          <w:w w:val="100"/>
          <w:position w:val="0"/>
        </w:rPr>
        <w:t>、</w:t>
        <w:tab/>
        <w:t>终止经营：无。</w:t>
      </w:r>
    </w:p>
    <w:p>
      <w:pPr>
        <w:pStyle w:val="Style65"/>
        <w:keepNext w:val="0"/>
        <w:keepLines w:val="0"/>
        <w:widowControl w:val="0"/>
        <w:shd w:val="clear" w:color="auto" w:fill="auto"/>
        <w:tabs>
          <w:tab w:pos="406" w:val="left"/>
        </w:tabs>
        <w:bidi w:val="0"/>
        <w:spacing w:before="0"/>
        <w:ind w:left="0" w:right="0" w:firstLine="0"/>
        <w:jc w:val="left"/>
      </w:pPr>
      <w:bookmarkStart w:id="1572" w:name="bookmark1572"/>
      <w:r>
        <w:rPr>
          <w:color w:val="000000"/>
          <w:spacing w:val="0"/>
          <w:w w:val="100"/>
          <w:position w:val="0"/>
          <w:sz w:val="24"/>
          <w:szCs w:val="24"/>
        </w:rPr>
        <w:t>6</w:t>
      </w:r>
      <w:bookmarkEnd w:id="1572"/>
      <w:r>
        <w:rPr>
          <w:color w:val="000000"/>
          <w:spacing w:val="0"/>
          <w:w w:val="100"/>
          <w:position w:val="0"/>
        </w:rPr>
        <w:t>、</w:t>
        <w:tab/>
        <w:t>分部信息</w:t>
      </w:r>
    </w:p>
    <w:p>
      <w:pPr>
        <w:pStyle w:val="Style65"/>
        <w:keepNext w:val="0"/>
        <w:keepLines w:val="0"/>
        <w:widowControl w:val="0"/>
        <w:shd w:val="clear" w:color="auto" w:fill="auto"/>
        <w:tabs>
          <w:tab w:pos="536" w:val="left"/>
        </w:tabs>
        <w:bidi w:val="0"/>
        <w:spacing w:before="0"/>
        <w:ind w:left="0" w:right="0" w:firstLine="0"/>
        <w:jc w:val="left"/>
      </w:pPr>
      <w:bookmarkStart w:id="1573" w:name="bookmark1573"/>
      <w:r>
        <w:rPr>
          <w:color w:val="000000"/>
          <w:spacing w:val="0"/>
          <w:w w:val="100"/>
          <w:position w:val="0"/>
          <w:sz w:val="24"/>
          <w:szCs w:val="24"/>
        </w:rPr>
        <w:t>（</w:t>
      </w:r>
      <w:bookmarkEnd w:id="1573"/>
      <w:r>
        <w:rPr>
          <w:color w:val="000000"/>
          <w:spacing w:val="0"/>
          <w:w w:val="100"/>
          <w:position w:val="0"/>
          <w:sz w:val="24"/>
          <w:szCs w:val="24"/>
        </w:rPr>
        <w:t>1）</w:t>
        <w:tab/>
      </w:r>
      <w:r>
        <w:rPr>
          <w:color w:val="000000"/>
          <w:spacing w:val="0"/>
          <w:w w:val="100"/>
          <w:position w:val="0"/>
        </w:rPr>
        <w:t>报告分部的确定依据与会计政策：无。</w:t>
      </w:r>
    </w:p>
    <w:p>
      <w:pPr>
        <w:pStyle w:val="Style65"/>
        <w:keepNext w:val="0"/>
        <w:keepLines w:val="0"/>
        <w:widowControl w:val="0"/>
        <w:shd w:val="clear" w:color="auto" w:fill="auto"/>
        <w:tabs>
          <w:tab w:pos="536" w:val="left"/>
        </w:tabs>
        <w:bidi w:val="0"/>
        <w:spacing w:before="0"/>
        <w:ind w:left="0" w:right="0" w:firstLine="0"/>
        <w:jc w:val="left"/>
      </w:pPr>
      <w:bookmarkStart w:id="1574" w:name="bookmark1574"/>
      <w:r>
        <w:rPr>
          <w:color w:val="000000"/>
          <w:spacing w:val="0"/>
          <w:w w:val="100"/>
          <w:position w:val="0"/>
          <w:sz w:val="24"/>
          <w:szCs w:val="24"/>
        </w:rPr>
        <w:t>（</w:t>
      </w:r>
      <w:bookmarkEnd w:id="1574"/>
      <w:r>
        <w:rPr>
          <w:color w:val="000000"/>
          <w:spacing w:val="0"/>
          <w:w w:val="100"/>
          <w:position w:val="0"/>
          <w:sz w:val="24"/>
          <w:szCs w:val="24"/>
        </w:rPr>
        <w:t>2）</w:t>
        <w:tab/>
      </w:r>
      <w:r>
        <w:rPr>
          <w:color w:val="000000"/>
          <w:spacing w:val="0"/>
          <w:w w:val="100"/>
          <w:position w:val="0"/>
        </w:rPr>
        <w:t>报告分部的财务信息：无。</w:t>
      </w:r>
    </w:p>
    <w:p>
      <w:pPr>
        <w:pStyle w:val="Style65"/>
        <w:keepNext w:val="0"/>
        <w:keepLines w:val="0"/>
        <w:widowControl w:val="0"/>
        <w:shd w:val="clear" w:color="auto" w:fill="auto"/>
        <w:tabs>
          <w:tab w:pos="751" w:val="left"/>
        </w:tabs>
        <w:bidi w:val="0"/>
        <w:spacing w:before="0"/>
        <w:ind w:left="0" w:right="0" w:firstLine="0"/>
        <w:jc w:val="left"/>
      </w:pPr>
      <w:bookmarkStart w:id="1575" w:name="bookmark1575"/>
      <w:r>
        <w:rPr>
          <w:color w:val="000000"/>
          <w:spacing w:val="0"/>
          <w:w w:val="100"/>
          <w:position w:val="0"/>
          <w:sz w:val="24"/>
          <w:szCs w:val="24"/>
        </w:rPr>
        <w:t>（</w:t>
      </w:r>
      <w:bookmarkEnd w:id="1575"/>
      <w:r>
        <w:rPr>
          <w:color w:val="000000"/>
          <w:spacing w:val="0"/>
          <w:w w:val="100"/>
          <w:position w:val="0"/>
          <w:sz w:val="24"/>
          <w:szCs w:val="24"/>
        </w:rPr>
        <w:t>3）</w:t>
        <w:tab/>
      </w:r>
      <w:r>
        <w:rPr>
          <w:color w:val="000000"/>
          <w:spacing w:val="0"/>
          <w:w w:val="100"/>
          <w:position w:val="0"/>
        </w:rPr>
        <w:t>公司无报告分部的，或者不能披露各报告分部的资产总额和负债总额的，应说明原因： 无。</w:t>
      </w:r>
    </w:p>
    <w:p>
      <w:pPr>
        <w:pStyle w:val="Style65"/>
        <w:keepNext w:val="0"/>
        <w:keepLines w:val="0"/>
        <w:widowControl w:val="0"/>
        <w:shd w:val="clear" w:color="auto" w:fill="auto"/>
        <w:tabs>
          <w:tab w:pos="536" w:val="left"/>
        </w:tabs>
        <w:bidi w:val="0"/>
        <w:spacing w:before="0"/>
        <w:ind w:left="0" w:right="0" w:firstLine="0"/>
        <w:jc w:val="left"/>
      </w:pPr>
      <w:bookmarkStart w:id="1576" w:name="bookmark1576"/>
      <w:r>
        <w:rPr>
          <w:color w:val="000000"/>
          <w:spacing w:val="0"/>
          <w:w w:val="100"/>
          <w:position w:val="0"/>
          <w:sz w:val="24"/>
          <w:szCs w:val="24"/>
        </w:rPr>
        <w:t>（</w:t>
      </w:r>
      <w:bookmarkEnd w:id="1576"/>
      <w:r>
        <w:rPr>
          <w:color w:val="000000"/>
          <w:spacing w:val="0"/>
          <w:w w:val="100"/>
          <w:position w:val="0"/>
          <w:sz w:val="24"/>
          <w:szCs w:val="24"/>
        </w:rPr>
        <w:t>4）</w:t>
        <w:tab/>
      </w:r>
      <w:r>
        <w:rPr>
          <w:color w:val="000000"/>
          <w:spacing w:val="0"/>
          <w:w w:val="100"/>
          <w:position w:val="0"/>
        </w:rPr>
        <w:t>其他说明：无。</w:t>
      </w:r>
    </w:p>
    <w:p>
      <w:pPr>
        <w:pStyle w:val="Style65"/>
        <w:keepNext w:val="0"/>
        <w:keepLines w:val="0"/>
        <w:widowControl w:val="0"/>
        <w:shd w:val="clear" w:color="auto" w:fill="auto"/>
        <w:tabs>
          <w:tab w:pos="406" w:val="left"/>
        </w:tabs>
        <w:bidi w:val="0"/>
        <w:spacing w:before="0"/>
        <w:ind w:left="0" w:right="0" w:firstLine="0"/>
        <w:jc w:val="left"/>
      </w:pPr>
      <w:bookmarkStart w:id="1577" w:name="bookmark1577"/>
      <w:r>
        <w:rPr>
          <w:color w:val="000000"/>
          <w:spacing w:val="0"/>
          <w:w w:val="100"/>
          <w:position w:val="0"/>
          <w:sz w:val="24"/>
          <w:szCs w:val="24"/>
        </w:rPr>
        <w:t>7</w:t>
      </w:r>
      <w:bookmarkEnd w:id="1577"/>
      <w:r>
        <w:rPr>
          <w:color w:val="000000"/>
          <w:spacing w:val="0"/>
          <w:w w:val="100"/>
          <w:position w:val="0"/>
        </w:rPr>
        <w:t>、</w:t>
        <w:tab/>
        <w:t>其他对投资者决策有影响的重要交易和事项：无。</w:t>
      </w:r>
    </w:p>
    <w:p>
      <w:pPr>
        <w:pStyle w:val="Style65"/>
        <w:keepNext w:val="0"/>
        <w:keepLines w:val="0"/>
        <w:widowControl w:val="0"/>
        <w:shd w:val="clear" w:color="auto" w:fill="auto"/>
        <w:tabs>
          <w:tab w:pos="406" w:val="left"/>
        </w:tabs>
        <w:bidi w:val="0"/>
        <w:spacing w:before="0"/>
        <w:ind w:left="0" w:right="0" w:firstLine="0"/>
        <w:jc w:val="left"/>
        <w:sectPr>
          <w:headerReference w:type="default" r:id="rId49"/>
          <w:footerReference w:type="default" r:id="rId50"/>
          <w:footnotePr>
            <w:pos w:val="pageBottom"/>
            <w:numFmt w:val="decimal"/>
            <w:numRestart w:val="continuous"/>
          </w:footnotePr>
          <w:pgSz w:w="11900" w:h="16840"/>
          <w:pgMar w:top="1388" w:right="1040" w:bottom="1474" w:left="1058" w:header="0" w:footer="3" w:gutter="0"/>
          <w:cols w:space="720"/>
          <w:noEndnote/>
          <w:rtlGutter w:val="0"/>
          <w:docGrid w:linePitch="360"/>
        </w:sectPr>
      </w:pPr>
      <w:bookmarkStart w:id="1578" w:name="bookmark1578"/>
      <w:r>
        <w:rPr>
          <w:color w:val="000000"/>
          <w:spacing w:val="0"/>
          <w:w w:val="100"/>
          <w:position w:val="0"/>
          <w:sz w:val="24"/>
          <w:szCs w:val="24"/>
        </w:rPr>
        <w:t>8</w:t>
      </w:r>
      <w:bookmarkEnd w:id="1578"/>
      <w:r>
        <w:rPr>
          <w:color w:val="000000"/>
          <w:spacing w:val="0"/>
          <w:w w:val="100"/>
          <w:position w:val="0"/>
        </w:rPr>
        <w:t>、</w:t>
        <w:tab/>
        <w:t>其他：无。</w:t>
      </w:r>
    </w:p>
    <w:p>
      <w:pPr>
        <w:pStyle w:val="Style25"/>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r>
        <w:rPr>
          <w:color w:val="000000"/>
          <w:spacing w:val="0"/>
          <w:w w:val="100"/>
          <w:position w:val="0"/>
        </w:rPr>
        <w:t>十七、母公司财务报表主要项目注释</w:t>
      </w:r>
      <w:bookmarkEnd w:id="1579"/>
      <w:bookmarkEnd w:id="1580"/>
      <w:bookmarkEnd w:id="1581"/>
    </w:p>
    <w:p>
      <w:pPr>
        <w:pStyle w:val="Style33"/>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2"/>
      <w:bookmarkEnd w:id="1583"/>
      <w:bookmarkEnd w:id="1584"/>
    </w:p>
    <w:p>
      <w:pPr>
        <w:pStyle w:val="Style33"/>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82"/>
      <w:bookmarkEnd w:id="1583"/>
      <w:bookmarkEnd w:id="1585"/>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366"/>
        <w:gridCol w:w="1181"/>
        <w:gridCol w:w="1075"/>
        <w:gridCol w:w="1094"/>
        <w:gridCol w:w="1066"/>
        <w:gridCol w:w="1176"/>
        <w:gridCol w:w="1435"/>
        <w:gridCol w:w="1133"/>
        <w:gridCol w:w="1133"/>
        <w:gridCol w:w="1037"/>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单项金额重大并单独计提坏</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4,543,829.01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2,916,449.21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1,627,379.80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8,940,204.01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6,222,491.61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2,717,712.40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按信用风险特征组合计提坏</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128,753,714.06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17,572,804.10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111,180,909.96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108,070,428.42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15,296,509.30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92,773,919.12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单项金额不重大但单独计提</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坏账准备的应收账款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6,433,130.73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4,152,847.44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2,280,283.29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7,915,365.50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6,074,664.35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1,840,701.15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139,730,673.80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24,642,100.75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115,088,573.05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124,925,997.93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27,593,665.26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97,332,332.67</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期末单项金额重大并单项计提坏账准备的应收账款:</w:t>
      </w:r>
    </w:p>
    <w:p>
      <w:pPr>
        <w:widowControl w:val="0"/>
        <w:spacing w:after="99" w:line="1" w:lineRule="exact"/>
      </w:pPr>
    </w:p>
    <w:p>
      <w:pPr>
        <w:pStyle w:val="Style27"/>
        <w:keepNext w:val="0"/>
        <w:keepLines w:val="0"/>
        <w:widowControl w:val="0"/>
        <w:shd w:val="clear" w:color="auto" w:fill="auto"/>
        <w:tabs>
          <w:tab w:pos="13195" w:val="left"/>
        </w:tabs>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tab/>
        <w:t>单位：元</w:t>
      </w:r>
    </w:p>
    <w:tbl>
      <w:tblPr>
        <w:tblOverlap w:val="never"/>
        <w:jc w:val="center"/>
        <w:tblLayout w:type="fixed"/>
      </w:tblPr>
      <w:tblGrid>
        <w:gridCol w:w="3158"/>
        <w:gridCol w:w="2462"/>
        <w:gridCol w:w="2798"/>
        <w:gridCol w:w="2803"/>
        <w:gridCol w:w="281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贵州电网有限责任公司贵阳供电局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1,181,274.00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催款困难，全部收回的可能性很小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贵州电网有限责任公司六盘水供电局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1,214,106.00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催款困难，全部收回的可能性很小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吉林省电科电气有限公司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2,148,449.01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1,718,759.21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催款困难，全部收回的可能性很小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4,543,829.01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2,916,449.21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51"/>
          <w:footerReference w:type="default" r:id="rId52"/>
          <w:footnotePr>
            <w:pos w:val="pageBottom"/>
            <w:numFmt w:val="decimal"/>
            <w:numRestart w:val="continuous"/>
          </w:footnotePr>
          <w:pgSz w:w="16840" w:h="11900" w:orient="landscape"/>
          <w:pgMar w:top="1144" w:right="1402" w:bottom="1363" w:left="1402"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2323"/>
        <w:gridCol w:w="2424"/>
        <w:gridCol w:w="24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75,906,223.75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3,795,311.19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75,906,223.75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3,795,311.19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17,047,345.21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1,704,734.52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15,926,736.01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3,185,347.20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19,873,409.09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8,887,411.19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10,995,348.58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3,298,604.57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5,482,089.82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2,192,835.93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3,395,970.69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3,395,970.69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128,753,714.06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17,572,804.10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组合中，采用其他方法计提坏账准备的应收账款：无。</w:t>
      </w:r>
    </w:p>
    <w:p>
      <w:pPr>
        <w:pStyle w:val="Style33"/>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86"/>
      <w:bookmarkEnd w:id="1587"/>
      <w:bookmarkEnd w:id="158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4,870,557.58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168,930.00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422"/>
        <w:gridCol w:w="3139"/>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贵州天毅企业有限责任公司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银行转账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168,930.00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89"/>
      <w:bookmarkEnd w:id="1590"/>
      <w:bookmarkEnd w:id="1592"/>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5059"/>
        <w:gridCol w:w="46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7,653,192.09</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58"/>
        <w:gridCol w:w="1090"/>
        <w:gridCol w:w="998"/>
        <w:gridCol w:w="3658"/>
        <w:gridCol w:w="1258"/>
        <w:gridCol w:w="195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单位名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应收账款性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履行的核销程 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款项是否由关联交易产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2,978,384.00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债务人公司注销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831,861.00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超过</w:t>
            </w:r>
            <w:r>
              <w:rPr>
                <w:color w:val="000000"/>
                <w:spacing w:val="0"/>
                <w:w w:val="100"/>
                <w:position w:val="0"/>
                <w:sz w:val="18"/>
                <w:szCs w:val="18"/>
              </w:rPr>
              <w:t>5</w:t>
            </w:r>
            <w:r>
              <w:rPr>
                <w:rFonts w:ascii="SimSun" w:eastAsia="SimSun" w:hAnsi="SimSun" w:cs="SimSun"/>
                <w:color w:val="000000"/>
                <w:spacing w:val="0"/>
                <w:w w:val="100"/>
                <w:position w:val="0"/>
                <w:sz w:val="17"/>
                <w:szCs w:val="17"/>
              </w:rPr>
              <w:t>年，因产品质量问题与客户达成赔偿协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债务人公司注销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455,500.00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超过</w:t>
            </w:r>
            <w:r>
              <w:rPr>
                <w:color w:val="000000"/>
                <w:spacing w:val="0"/>
                <w:w w:val="100"/>
                <w:position w:val="0"/>
                <w:sz w:val="18"/>
                <w:szCs w:val="18"/>
              </w:rPr>
              <w:t>5</w:t>
            </w:r>
            <w:r>
              <w:rPr>
                <w:rFonts w:ascii="SimSun" w:eastAsia="SimSun" w:hAnsi="SimSun" w:cs="SimSun"/>
                <w:color w:val="000000"/>
                <w:spacing w:val="0"/>
                <w:w w:val="100"/>
                <w:position w:val="0"/>
                <w:sz w:val="17"/>
                <w:szCs w:val="17"/>
              </w:rPr>
              <w:t>年，产品质量问题客户拒付款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369,794.00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败诉</w:t>
            </w:r>
            <w:r>
              <w:rPr>
                <w:color w:val="000000"/>
                <w:spacing w:val="0"/>
                <w:w w:val="100"/>
                <w:position w:val="0"/>
              </w:rPr>
              <w:t>（</w:t>
            </w:r>
            <w:r>
              <w:rPr>
                <w:rFonts w:ascii="SimSun" w:eastAsia="SimSun" w:hAnsi="SimSun" w:cs="SimSun"/>
                <w:color w:val="000000"/>
                <w:spacing w:val="0"/>
                <w:w w:val="100"/>
                <w:position w:val="0"/>
                <w:sz w:val="17"/>
                <w:szCs w:val="17"/>
              </w:rPr>
              <w:t>南通仲裁委员会调解书</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5,163,939.00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应收账款核销说明：无。</w:t>
      </w:r>
    </w:p>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593"/>
      <w:bookmarkEnd w:id="1594"/>
      <w:bookmarkEnd w:id="1596"/>
    </w:p>
    <w:p>
      <w:pPr>
        <w:pStyle w:val="Style27"/>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502"/>
        <w:gridCol w:w="1790"/>
        <w:gridCol w:w="2357"/>
        <w:gridCol w:w="2203"/>
        <w:gridCol w:w="182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占总金额比例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13,329,280.41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1,544,444.87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13,112,030.17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655,601.51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7,626,349.00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1,618,160.90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7,118,707.54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631,506.68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4,514,557.68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1,747,205.76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45,700,924.80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6,196,919.72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32.70%</w:t>
            </w:r>
          </w:p>
        </w:tc>
      </w:tr>
    </w:tbl>
    <w:p>
      <w:pPr>
        <w:widowControl w:val="0"/>
        <w:spacing w:after="359" w:line="1" w:lineRule="exact"/>
      </w:pPr>
    </w:p>
    <w:p>
      <w:pPr>
        <w:pStyle w:val="Style33"/>
        <w:keepNext/>
        <w:keepLines/>
        <w:widowControl w:val="0"/>
        <w:shd w:val="clear" w:color="auto" w:fill="auto"/>
        <w:tabs>
          <w:tab w:pos="633" w:val="left"/>
        </w:tabs>
        <w:bidi w:val="0"/>
        <w:spacing w:before="0" w:line="240" w:lineRule="auto"/>
        <w:ind w:left="0" w:right="0" w:firstLine="14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因金融资产转移而终止确认的应收账款：无。</w:t>
      </w:r>
      <w:bookmarkEnd w:id="1597"/>
      <w:bookmarkEnd w:id="1598"/>
      <w:bookmarkEnd w:id="1600"/>
    </w:p>
    <w:p>
      <w:pPr>
        <w:pStyle w:val="Style33"/>
        <w:keepNext/>
        <w:keepLines/>
        <w:widowControl w:val="0"/>
        <w:shd w:val="clear" w:color="auto" w:fill="auto"/>
        <w:tabs>
          <w:tab w:pos="633" w:val="left"/>
        </w:tabs>
        <w:bidi w:val="0"/>
        <w:spacing w:before="0" w:line="240" w:lineRule="auto"/>
        <w:ind w:left="0" w:right="0" w:firstLine="140"/>
        <w:jc w:val="left"/>
        <w:sectPr>
          <w:headerReference w:type="default" r:id="rId53"/>
          <w:footerReference w:type="default" r:id="rId54"/>
          <w:footnotePr>
            <w:pos w:val="pageBottom"/>
            <w:numFmt w:val="decimal"/>
            <w:numRestart w:val="continuous"/>
          </w:footnotePr>
          <w:pgSz w:w="11900" w:h="16840"/>
          <w:pgMar w:top="1484" w:right="1095" w:bottom="2833" w:left="1090" w:header="0" w:footer="3" w:gutter="0"/>
          <w:cols w:space="720"/>
          <w:noEndnote/>
          <w:rtlGutter w:val="0"/>
          <w:docGrid w:linePitch="360"/>
        </w:sectPr>
      </w:pPr>
      <w:bookmarkStart w:id="1597" w:name="bookmark1597"/>
      <w:bookmarkStart w:id="1598" w:name="bookmark1598"/>
      <w:bookmarkStart w:id="1601" w:name="bookmark1601"/>
      <w:bookmarkStart w:id="1602" w:name="bookmark1602"/>
      <w:r>
        <w:rPr>
          <w:rFonts w:ascii="Times New Roman" w:eastAsia="Times New Roman" w:hAnsi="Times New Roman" w:cs="Times New Roman"/>
          <w:color w:val="000000"/>
          <w:spacing w:val="0"/>
          <w:w w:val="100"/>
          <w:position w:val="0"/>
        </w:rPr>
        <w:t>（</w:t>
      </w:r>
      <w:bookmarkEnd w:id="160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转移应收账款且继续涉入形成的资产、负债金额：无。</w:t>
      </w:r>
      <w:bookmarkEnd w:id="1597"/>
      <w:bookmarkEnd w:id="1598"/>
      <w:bookmarkEnd w:id="1602"/>
    </w:p>
    <w:p>
      <w:pPr>
        <w:pStyle w:val="Style33"/>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3"/>
      <w:bookmarkEnd w:id="1604"/>
      <w:bookmarkEnd w:id="1605"/>
    </w:p>
    <w:p>
      <w:pPr>
        <w:pStyle w:val="Style33"/>
        <w:keepNext/>
        <w:keepLines/>
        <w:widowControl w:val="0"/>
        <w:shd w:val="clear" w:color="auto" w:fill="auto"/>
        <w:bidi w:val="0"/>
        <w:spacing w:before="0" w:line="240" w:lineRule="auto"/>
        <w:ind w:left="0" w:right="0" w:firstLine="140"/>
        <w:jc w:val="left"/>
      </w:pPr>
      <w:bookmarkStart w:id="1603" w:name="bookmark1603"/>
      <w:bookmarkStart w:id="1604" w:name="bookmark1604"/>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03"/>
      <w:bookmarkEnd w:id="1604"/>
      <w:bookmarkEnd w:id="1606"/>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362"/>
        <w:gridCol w:w="1181"/>
        <w:gridCol w:w="1176"/>
        <w:gridCol w:w="1128"/>
        <w:gridCol w:w="1138"/>
        <w:gridCol w:w="1282"/>
        <w:gridCol w:w="1277"/>
        <w:gridCol w:w="994"/>
        <w:gridCol w:w="1133"/>
        <w:gridCol w:w="1037"/>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单项金额重大并单独计提坏 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按信用风险特征组合计提坏 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190,784,792.64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1,206,664.74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189,578,127.90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445,462,637.39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2,084,466.58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443,378,170.81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单项金额不重大但单独计提 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1,690,672.22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1,690,672.22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192,475,464.86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2,897,336.96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189,578,127.90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445,462,637.39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2,084,466.58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443,378,170.81</w:t>
            </w:r>
          </w:p>
        </w:tc>
      </w:tr>
    </w:tbl>
    <w:p>
      <w:pPr>
        <w:sectPr>
          <w:headerReference w:type="default" r:id="rId55"/>
          <w:footerReference w:type="default" r:id="rId56"/>
          <w:footnotePr>
            <w:pos w:val="pageBottom"/>
            <w:numFmt w:val="decimal"/>
            <w:numRestart w:val="continuous"/>
          </w:footnotePr>
          <w:pgSz w:w="16840" w:h="11900" w:orient="landscape"/>
          <w:pgMar w:top="1158" w:right="1402" w:bottom="1363" w:left="1402" w:header="0" w:footer="3" w:gutter="0"/>
          <w:cols w:space="720"/>
          <w:noEndnote/>
          <w:rtlGutter w:val="0"/>
          <w:docGrid w:linePitch="360"/>
        </w:sectPr>
      </w:pP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2323"/>
        <w:gridCol w:w="2424"/>
        <w:gridCol w:w="24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16,488,308.88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824,415.44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16,488,308.88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824,415.44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34,021.23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73,984.40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72,205.49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72,205.49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72,205.49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72,205.49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16,964,457.60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974,007.45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2530"/>
        <w:gridCol w:w="2328"/>
        <w:gridCol w:w="2424"/>
        <w:gridCol w:w="24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173,587,677.75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173,820,335.04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232,657.29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确定该组合依据的说明：无。</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7"/>
      <w:bookmarkEnd w:id="1608"/>
      <w:bookmarkEnd w:id="160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1,995,724.01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1,231,595.64</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3422"/>
        <w:gridCol w:w="3139"/>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暂未取得发票的业务费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1,231,595.64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收到发票冲销款项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1,231,595.64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spacing w:lineRule="exact" w:line="1"/>
        <w:rPr>
          <w:sz w:val="2"/>
          <w:szCs w:val="2"/>
        </w:rPr>
      </w:pPr>
      <w:r>
        <w:br w:type="page"/>
      </w:r>
    </w:p>
    <w:p>
      <w:pPr>
        <w:pStyle w:val="Style65"/>
        <w:keepNext w:val="0"/>
        <w:keepLines w:val="0"/>
        <w:widowControl w:val="0"/>
        <w:shd w:val="clear" w:color="auto" w:fill="auto"/>
        <w:tabs>
          <w:tab w:pos="633" w:val="left"/>
        </w:tabs>
        <w:bidi w:val="0"/>
        <w:spacing w:before="0" w:after="360" w:line="240" w:lineRule="auto"/>
        <w:ind w:left="0" w:right="0" w:firstLine="140"/>
        <w:jc w:val="left"/>
        <w:rPr>
          <w:sz w:val="20"/>
          <w:szCs w:val="20"/>
        </w:rPr>
      </w:pPr>
      <w:bookmarkStart w:id="1610" w:name="bookmark1610"/>
      <w:r>
        <w:rPr>
          <w:color w:val="000000"/>
          <w:spacing w:val="0"/>
          <w:w w:val="100"/>
          <w:position w:val="0"/>
          <w:sz w:val="20"/>
          <w:szCs w:val="20"/>
        </w:rPr>
        <w:t>（</w:t>
      </w:r>
      <w:bookmarkEnd w:id="161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本期实际核销的其他应收款情况：无。</w:t>
      </w:r>
    </w:p>
    <w:p>
      <w:pPr>
        <w:pStyle w:val="Style65"/>
        <w:keepNext w:val="0"/>
        <w:keepLines w:val="0"/>
        <w:widowControl w:val="0"/>
        <w:shd w:val="clear" w:color="auto" w:fill="auto"/>
        <w:tabs>
          <w:tab w:pos="633" w:val="left"/>
        </w:tabs>
        <w:bidi w:val="0"/>
        <w:spacing w:before="0" w:after="360" w:line="240" w:lineRule="auto"/>
        <w:ind w:left="0" w:right="0" w:firstLine="140"/>
        <w:jc w:val="left"/>
        <w:rPr>
          <w:sz w:val="20"/>
          <w:szCs w:val="20"/>
        </w:rPr>
      </w:pPr>
      <w:bookmarkStart w:id="1611" w:name="bookmark1611"/>
      <w:r>
        <w:rPr>
          <w:rFonts w:ascii="Times New Roman" w:eastAsia="Times New Roman" w:hAnsi="Times New Roman" w:cs="Times New Roman"/>
          <w:color w:val="000000"/>
          <w:spacing w:val="0"/>
          <w:w w:val="100"/>
          <w:position w:val="0"/>
          <w:sz w:val="20"/>
          <w:szCs w:val="20"/>
        </w:rPr>
        <w:t>（</w:t>
      </w:r>
      <w:bookmarkEnd w:id="161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其他应收款按款项性质分类情况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3139"/>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175,069,958.17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435,540,323.02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6,851,037.28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6,522,629.99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531,989.48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528,951.14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其他保证金、押金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442,350.10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1,639,137.60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232,657.29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1,231,595.64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127,472.54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192,475,464.86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445,462,637.39</w:t>
            </w:r>
          </w:p>
        </w:tc>
      </w:tr>
    </w:tbl>
    <w:p>
      <w:pPr>
        <w:widowControl w:val="0"/>
        <w:spacing w:after="359" w:line="1" w:lineRule="exact"/>
      </w:pPr>
    </w:p>
    <w:p>
      <w:pPr>
        <w:pStyle w:val="Style65"/>
        <w:keepNext w:val="0"/>
        <w:keepLines w:val="0"/>
        <w:widowControl w:val="0"/>
        <w:shd w:val="clear" w:color="auto" w:fill="auto"/>
        <w:bidi w:val="0"/>
        <w:spacing w:before="0" w:after="360" w:line="240" w:lineRule="auto"/>
        <w:ind w:left="0" w:right="0" w:firstLine="140"/>
        <w:jc w:val="left"/>
        <w:rPr>
          <w:sz w:val="20"/>
          <w:szCs w:val="20"/>
        </w:rPr>
      </w:pPr>
      <w:bookmarkStart w:id="1612" w:name="bookmark1612"/>
      <w:r>
        <w:rPr>
          <w:color w:val="000000"/>
          <w:spacing w:val="0"/>
          <w:w w:val="100"/>
          <w:position w:val="0"/>
          <w:sz w:val="20"/>
          <w:szCs w:val="20"/>
        </w:rPr>
        <w:t>（</w:t>
      </w:r>
      <w:bookmarkEnd w:id="161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）按欠款方归集的期末余额前五名的其他应收款情况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162"/>
        <w:gridCol w:w="1325"/>
        <w:gridCol w:w="888"/>
        <w:gridCol w:w="3562"/>
        <w:gridCol w:w="182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占其他应收款期末余额合计数的比例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房屋销售款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房屋销售款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12,480,000.00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624,000.00</w:t>
            </w:r>
          </w:p>
        </w:tc>
      </w:tr>
    </w:tbl>
    <w:p>
      <w:pPr>
        <w:widowControl w:val="0"/>
        <w:spacing w:after="359" w:line="1" w:lineRule="exact"/>
      </w:pPr>
    </w:p>
    <w:p>
      <w:pPr>
        <w:pStyle w:val="Style65"/>
        <w:keepNext w:val="0"/>
        <w:keepLines w:val="0"/>
        <w:widowControl w:val="0"/>
        <w:shd w:val="clear" w:color="auto" w:fill="auto"/>
        <w:tabs>
          <w:tab w:pos="633" w:val="left"/>
        </w:tabs>
        <w:bidi w:val="0"/>
        <w:spacing w:before="0" w:after="360" w:line="240" w:lineRule="auto"/>
        <w:ind w:left="0" w:right="0" w:firstLine="140"/>
        <w:jc w:val="left"/>
        <w:rPr>
          <w:sz w:val="20"/>
          <w:szCs w:val="20"/>
        </w:rPr>
      </w:pPr>
      <w:bookmarkStart w:id="1613" w:name="bookmark1613"/>
      <w:r>
        <w:rPr>
          <w:color w:val="000000"/>
          <w:spacing w:val="0"/>
          <w:w w:val="100"/>
          <w:position w:val="0"/>
          <w:sz w:val="20"/>
          <w:szCs w:val="20"/>
        </w:rPr>
        <w:t>（</w:t>
      </w:r>
      <w:bookmarkEnd w:id="1613"/>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涉及政府补助的应收款项：无。</w:t>
      </w:r>
    </w:p>
    <w:p>
      <w:pPr>
        <w:pStyle w:val="Style65"/>
        <w:keepNext w:val="0"/>
        <w:keepLines w:val="0"/>
        <w:widowControl w:val="0"/>
        <w:shd w:val="clear" w:color="auto" w:fill="auto"/>
        <w:tabs>
          <w:tab w:pos="633" w:val="left"/>
        </w:tabs>
        <w:bidi w:val="0"/>
        <w:spacing w:before="0" w:after="360" w:line="240" w:lineRule="auto"/>
        <w:ind w:left="0" w:right="0" w:firstLine="140"/>
        <w:jc w:val="left"/>
        <w:rPr>
          <w:sz w:val="20"/>
          <w:szCs w:val="20"/>
        </w:rPr>
      </w:pPr>
      <w:bookmarkStart w:id="1614" w:name="bookmark1614"/>
      <w:r>
        <w:rPr>
          <w:color w:val="000000"/>
          <w:spacing w:val="0"/>
          <w:w w:val="100"/>
          <w:position w:val="0"/>
          <w:sz w:val="20"/>
          <w:szCs w:val="20"/>
        </w:rPr>
        <w:t>（</w:t>
      </w:r>
      <w:bookmarkEnd w:id="1614"/>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因金融资产转移而终止确认的其他应收款：无。</w:t>
      </w:r>
    </w:p>
    <w:p>
      <w:pPr>
        <w:pStyle w:val="Style65"/>
        <w:keepNext w:val="0"/>
        <w:keepLines w:val="0"/>
        <w:widowControl w:val="0"/>
        <w:shd w:val="clear" w:color="auto" w:fill="auto"/>
        <w:bidi w:val="0"/>
        <w:spacing w:before="0" w:after="360" w:line="240" w:lineRule="auto"/>
        <w:ind w:left="0" w:right="0" w:firstLine="140"/>
        <w:jc w:val="left"/>
        <w:rPr>
          <w:sz w:val="20"/>
          <w:szCs w:val="20"/>
        </w:rPr>
      </w:pPr>
      <w:bookmarkStart w:id="1615" w:name="bookmark1615"/>
      <w:r>
        <w:rPr>
          <w:color w:val="000000"/>
          <w:spacing w:val="0"/>
          <w:w w:val="100"/>
          <w:position w:val="0"/>
          <w:sz w:val="20"/>
          <w:szCs w:val="20"/>
        </w:rPr>
        <w:t>（</w:t>
      </w:r>
      <w:bookmarkEnd w:id="1615"/>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转移其他应收款且继续涉入形成的资产、负债金额：无。</w:t>
      </w:r>
    </w:p>
    <w:p>
      <w:pPr>
        <w:pStyle w:val="Style65"/>
        <w:keepNext w:val="0"/>
        <w:keepLines w:val="0"/>
        <w:widowControl w:val="0"/>
        <w:shd w:val="clear" w:color="auto" w:fill="auto"/>
        <w:bidi w:val="0"/>
        <w:spacing w:before="0" w:after="360" w:line="240" w:lineRule="auto"/>
        <w:ind w:left="0" w:right="0" w:firstLine="0"/>
        <w:jc w:val="left"/>
        <w:rPr>
          <w:sz w:val="20"/>
          <w:szCs w:val="20"/>
        </w:rPr>
      </w:pPr>
      <w:bookmarkStart w:id="1616" w:name="bookmark1616"/>
      <w:r>
        <w:rPr>
          <w:rFonts w:ascii="Times New Roman" w:eastAsia="Times New Roman" w:hAnsi="Times New Roman" w:cs="Times New Roman"/>
          <w:color w:val="000000"/>
          <w:spacing w:val="0"/>
          <w:w w:val="100"/>
          <w:position w:val="0"/>
          <w:sz w:val="20"/>
          <w:szCs w:val="20"/>
        </w:rPr>
        <w:t>3</w:t>
      </w:r>
      <w:bookmarkEnd w:id="1616"/>
      <w:r>
        <w:rPr>
          <w:color w:val="000000"/>
          <w:spacing w:val="0"/>
          <w:w w:val="100"/>
          <w:position w:val="0"/>
          <w:sz w:val="20"/>
          <w:szCs w:val="20"/>
        </w:rPr>
        <w:t>、长期股权投资</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21"/>
        <w:gridCol w:w="1416"/>
        <w:gridCol w:w="1277"/>
        <w:gridCol w:w="1277"/>
        <w:gridCol w:w="1277"/>
        <w:gridCol w:w="1253"/>
        <w:gridCol w:w="119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237,209,525.00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237,209,525.00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236,709,525.00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236,709,525.00</w:t>
            </w:r>
          </w:p>
        </w:tc>
      </w:tr>
    </w:tbl>
    <w:p>
      <w:pPr>
        <w:spacing w:lineRule="exact" w:line="1"/>
        <w:rPr>
          <w:sz w:val="2"/>
          <w:szCs w:val="2"/>
        </w:rPr>
      </w:pPr>
      <w:r>
        <w:br w:type="page"/>
      </w:r>
    </w:p>
    <w:tbl>
      <w:tblPr>
        <w:tblOverlap w:val="never"/>
        <w:jc w:val="center"/>
        <w:tblLayout w:type="fixed"/>
      </w:tblPr>
      <w:tblGrid>
        <w:gridCol w:w="2021"/>
        <w:gridCol w:w="1416"/>
        <w:gridCol w:w="1277"/>
        <w:gridCol w:w="1277"/>
        <w:gridCol w:w="1277"/>
        <w:gridCol w:w="1253"/>
        <w:gridCol w:w="11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684,619,923.83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684,619,923.83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109,093.66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921,829,448.83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921,829,448.83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236,818,618.66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236,818,618.66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7"/>
      <w:bookmarkEnd w:id="1618"/>
      <w:bookmarkEnd w:id="16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8"/>
        <w:gridCol w:w="1354"/>
        <w:gridCol w:w="1176"/>
        <w:gridCol w:w="1277"/>
        <w:gridCol w:w="1325"/>
        <w:gridCol w:w="1512"/>
        <w:gridCol w:w="1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本期计提减值准备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1,709,525.00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1,709,525.00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惠程智能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中汇联银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喀什中汇联银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中汇联鑫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236,709,525.00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237,209,525.00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headerReference w:type="default" r:id="rId57"/>
          <w:footerReference w:type="default" r:id="rId58"/>
          <w:footnotePr>
            <w:pos w:val="pageBottom"/>
            <w:numFmt w:val="decimal"/>
            <w:numRestart w:val="continuous"/>
          </w:footnotePr>
          <w:pgSz w:w="11900" w:h="16840"/>
          <w:pgMar w:top="1354" w:right="1095" w:bottom="1781" w:left="1090" w:header="0" w:footer="3" w:gutter="0"/>
          <w:cols w:space="720"/>
          <w:noEndnote/>
          <w:rtlGutter w:val="0"/>
          <w:docGrid w:linePitch="360"/>
        </w:sectPr>
      </w:pPr>
    </w:p>
    <w:p>
      <w:pPr>
        <w:pStyle w:val="Style33"/>
        <w:keepNext/>
        <w:keepLines/>
        <w:widowControl w:val="0"/>
        <w:shd w:val="clear" w:color="auto" w:fill="auto"/>
        <w:bidi w:val="0"/>
        <w:spacing w:before="0" w:line="240" w:lineRule="auto"/>
        <w:ind w:left="0" w:right="0" w:firstLine="14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20"/>
      <w:bookmarkEnd w:id="1621"/>
      <w:bookmarkEnd w:id="1622"/>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448"/>
        <w:gridCol w:w="1138"/>
        <w:gridCol w:w="1277"/>
        <w:gridCol w:w="989"/>
        <w:gridCol w:w="1277"/>
        <w:gridCol w:w="1277"/>
        <w:gridCol w:w="850"/>
        <w:gridCol w:w="1277"/>
        <w:gridCol w:w="706"/>
        <w:gridCol w:w="566"/>
        <w:gridCol w:w="1445"/>
        <w:gridCol w:w="78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权益法下确认 的投资损益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宣告发放现金 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北京金喜凯德有限公司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北京信中利赞信股权投资中心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93,820,568.83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10,799,355.00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109,093.66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93,820,568.83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10,799,355.00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684,619,923.83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109,093.66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109,093.66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93,820,568.83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10,799,355.00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684,619,923.83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r>
    </w:tbl>
    <w:p>
      <w:pPr>
        <w:widowControl w:val="0"/>
        <w:spacing w:after="359" w:line="1" w:lineRule="exact"/>
      </w:pPr>
    </w:p>
    <w:p>
      <w:pPr>
        <w:pStyle w:val="Style33"/>
        <w:keepNext/>
        <w:keepLines/>
        <w:widowControl w:val="0"/>
        <w:numPr>
          <w:ilvl w:val="0"/>
          <w:numId w:val="91"/>
        </w:numPr>
        <w:shd w:val="clear" w:color="auto" w:fill="auto"/>
        <w:bidi w:val="0"/>
        <w:spacing w:before="0" w:line="240" w:lineRule="auto"/>
        <w:ind w:left="0" w:right="0" w:firstLine="140"/>
        <w:jc w:val="left"/>
      </w:pPr>
      <w:bookmarkStart w:id="1623" w:name="bookmark1623"/>
      <w:bookmarkStart w:id="1624" w:name="bookmark1624"/>
      <w:bookmarkStart w:id="1625" w:name="bookmark1625"/>
      <w:bookmarkStart w:id="1626" w:name="bookmark1626"/>
      <w:bookmarkEnd w:id="1625"/>
      <w:r>
        <w:rPr>
          <w:color w:val="000000"/>
          <w:spacing w:val="0"/>
          <w:w w:val="100"/>
          <w:position w:val="0"/>
        </w:rPr>
        <w:t>其他说明：无。</w:t>
      </w:r>
      <w:bookmarkEnd w:id="1623"/>
      <w:bookmarkEnd w:id="1624"/>
      <w:bookmarkEnd w:id="1626"/>
    </w:p>
    <w:p>
      <w:pPr>
        <w:pStyle w:val="Style33"/>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color w:val="000000"/>
          <w:spacing w:val="0"/>
          <w:w w:val="100"/>
          <w:position w:val="0"/>
        </w:rPr>
        <w:t>、营业收入和营业成本</w:t>
      </w:r>
      <w:bookmarkEnd w:id="1623"/>
      <w:bookmarkEnd w:id="1624"/>
      <w:bookmarkEnd w:id="1628"/>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2928"/>
        <w:gridCol w:w="2693"/>
        <w:gridCol w:w="2798"/>
        <w:gridCol w:w="2803"/>
        <w:gridCol w:w="281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259,441,546.48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164,346,451.69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191,213,218.36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122,210,666.66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29,176,879.00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12,483,248.35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3,792,823.49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508,018.15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288,618,425.48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176,829,700.04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195,006,041.85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122,718,684.81</w:t>
            </w:r>
          </w:p>
        </w:tc>
      </w:tr>
    </w:tbl>
    <w:p>
      <w:pPr>
        <w:pStyle w:val="Style27"/>
        <w:keepNext w:val="0"/>
        <w:keepLines w:val="0"/>
        <w:widowControl w:val="0"/>
        <w:shd w:val="clear" w:color="auto" w:fill="auto"/>
        <w:bidi w:val="0"/>
        <w:spacing w:before="0" w:after="0" w:line="240" w:lineRule="auto"/>
        <w:ind w:left="19" w:right="0" w:firstLine="0"/>
        <w:jc w:val="left"/>
        <w:sectPr>
          <w:headerReference w:type="default" r:id="rId59"/>
          <w:footerReference w:type="default" r:id="rId60"/>
          <w:footnotePr>
            <w:pos w:val="pageBottom"/>
            <w:numFmt w:val="decimal"/>
            <w:numRestart w:val="continuous"/>
          </w:footnotePr>
          <w:pgSz w:w="16840" w:h="11900" w:orient="landscape"/>
          <w:pgMar w:top="1417" w:right="1402" w:bottom="1417" w:left="1402" w:header="0" w:footer="3" w:gutter="0"/>
          <w:cols w:space="720"/>
          <w:noEndnote/>
          <w:rtlGutter w:val="0"/>
          <w:docGrid w:linePitch="360"/>
        </w:sectPr>
      </w:pPr>
      <w:r>
        <w:rPr>
          <w:color w:val="000000"/>
          <w:spacing w:val="0"/>
          <w:w w:val="100"/>
          <w:position w:val="0"/>
        </w:rPr>
        <w:t>其他说明：无。</w:t>
      </w:r>
    </w:p>
    <w:p>
      <w:pPr>
        <w:pStyle w:val="Style33"/>
        <w:keepNext/>
        <w:keepLines/>
        <w:widowControl w:val="0"/>
        <w:shd w:val="clear" w:color="auto" w:fill="auto"/>
        <w:bidi w:val="0"/>
        <w:spacing w:before="24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color w:val="000000"/>
          <w:spacing w:val="0"/>
          <w:w w:val="100"/>
          <w:position w:val="0"/>
        </w:rPr>
        <w:t>、投资收益</w:t>
      </w:r>
      <w:bookmarkEnd w:id="1629"/>
      <w:bookmarkEnd w:id="1630"/>
      <w:bookmarkEnd w:id="16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3096"/>
        <w:gridCol w:w="324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93,820,568.83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-10,016.72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-3,999,424.92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-198,250.26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处置以公允价值计量且其变动计入当期损 益的金融资产取得的投资收益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41,183,900.95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10,171,702.72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17,658,094.09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103,762,991.49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54,832,553.40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color w:val="000000"/>
          <w:spacing w:val="0"/>
          <w:w w:val="100"/>
          <w:position w:val="0"/>
        </w:rPr>
        <w:t>、其他：无。</w:t>
      </w:r>
      <w:bookmarkEnd w:id="1633"/>
      <w:bookmarkEnd w:id="1634"/>
      <w:bookmarkEnd w:id="1636"/>
    </w:p>
    <w:p>
      <w:pPr>
        <w:pStyle w:val="Style25"/>
        <w:keepNext/>
        <w:keepLines/>
        <w:widowControl w:val="0"/>
        <w:shd w:val="clear" w:color="auto" w:fill="auto"/>
        <w:bidi w:val="0"/>
        <w:spacing w:before="0" w:after="360" w:line="240" w:lineRule="auto"/>
        <w:ind w:left="0" w:right="0" w:firstLine="0"/>
        <w:jc w:val="both"/>
      </w:pPr>
      <w:bookmarkStart w:id="1637" w:name="bookmark1637"/>
      <w:bookmarkStart w:id="1638" w:name="bookmark1638"/>
      <w:bookmarkStart w:id="1639" w:name="bookmark1639"/>
      <w:r>
        <w:rPr>
          <w:color w:val="000000"/>
          <w:spacing w:val="0"/>
          <w:w w:val="100"/>
          <w:position w:val="0"/>
        </w:rPr>
        <w:t>十八、补充资料</w:t>
      </w:r>
      <w:bookmarkEnd w:id="1637"/>
      <w:bookmarkEnd w:id="1638"/>
      <w:bookmarkEnd w:id="1639"/>
    </w:p>
    <w:p>
      <w:pPr>
        <w:pStyle w:val="Style33"/>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40"/>
      <w:bookmarkEnd w:id="1641"/>
      <w:bookmarkEnd w:id="1642"/>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4291"/>
        <w:gridCol w:w="2549"/>
        <w:gridCol w:w="287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28,477,759.46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主要系报告期内处置公司闲置房产 及金喜凯德股权所致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326,493.93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-352,966.93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主要系报告期内惠程智能、惠程本部 证券投资亏损所致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采用公允价值模式进行后续计量的投资性房地产公允 价值变动产生的损益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16,819,549.37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报告期内公司所持投资性房地产市 价升值所致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-758,213.02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主要系违约金、滞纳金及无法支付的 应付账款所致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8,323,978.93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36,188,643.88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号——非经常性损益》中列举的非经常性损益项目界定为经常性损益的项目，应 </w:t>
      </w:r>
      <w:r>
        <w:rPr>
          <w:color w:val="000000"/>
          <w:spacing w:val="0"/>
          <w:w w:val="100"/>
          <w:position w:val="0"/>
        </w:rPr>
        <w:t>说明原因。</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21"/>
        <w:gridCol w:w="1843"/>
        <w:gridCol w:w="585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惠程本部、惠程智能股权 投资、理财产品收益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103,992,271.55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公司为了产业升级参与的基金投资业务与公司理财业务均属于经常性业 务，未来将持续进行，收益可持续且稳定；符合经常性损益与主营业务相 关且持续稳定的特性。</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北京中汇联银、中汇联 鑫、喀什中汇联银证券、 股权、理财投资收益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15,702,308.42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北京中汇联银、中汇联鑫、喀什中汇联银作为公司设立的专门投资业务平 台，主要从事投资类业务，证券、股权、理财投资系三家子公司经常性发 生的业务，具有持续性；符合经常性损益与主营业务相关且持续稳定的特 性。</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43"/>
      <w:bookmarkEnd w:id="1644"/>
      <w:bookmarkEnd w:id="1645"/>
    </w:p>
    <w:tbl>
      <w:tblPr>
        <w:tblOverlap w:val="never"/>
        <w:jc w:val="center"/>
        <w:tblLayout w:type="fixed"/>
      </w:tblPr>
      <w:tblGrid>
        <w:gridCol w:w="4430"/>
        <w:gridCol w:w="1397"/>
        <w:gridCol w:w="1939"/>
        <w:gridCol w:w="19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加权平均净资产 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31" w:lineRule="exact"/>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境内外会计准则下会计数据差异</w:t>
      </w:r>
      <w:bookmarkEnd w:id="1646"/>
      <w:bookmarkEnd w:id="1647"/>
      <w:bookmarkEnd w:id="1649"/>
    </w:p>
    <w:p>
      <w:pPr>
        <w:pStyle w:val="Style33"/>
        <w:keepNext/>
        <w:keepLines/>
        <w:widowControl w:val="0"/>
        <w:shd w:val="clear" w:color="auto" w:fill="auto"/>
        <w:tabs>
          <w:tab w:pos="493" w:val="left"/>
        </w:tabs>
        <w:bidi w:val="0"/>
        <w:spacing w:before="0" w:after="340" w:line="331" w:lineRule="exact"/>
        <w:ind w:left="0" w:right="0" w:firstLine="0"/>
        <w:jc w:val="left"/>
      </w:pPr>
      <w:bookmarkStart w:id="1646" w:name="bookmark1646"/>
      <w:bookmarkStart w:id="1647" w:name="bookmark1647"/>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46"/>
      <w:bookmarkEnd w:id="1647"/>
      <w:bookmarkEnd w:id="1651"/>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93" w:val="left"/>
        </w:tabs>
        <w:bidi w:val="0"/>
        <w:spacing w:before="0" w:after="340" w:line="331" w:lineRule="exact"/>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52"/>
      <w:bookmarkEnd w:id="1653"/>
      <w:bookmarkEnd w:id="1655"/>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280" w:line="331" w:lineRule="exact"/>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明该境外机构的名称：无。</w:t>
      </w:r>
      <w:bookmarkEnd w:id="1656"/>
      <w:bookmarkEnd w:id="1657"/>
      <w:bookmarkEnd w:id="1659"/>
    </w:p>
    <w:p>
      <w:pPr>
        <w:pStyle w:val="Style33"/>
        <w:keepNext/>
        <w:keepLines/>
        <w:widowControl w:val="0"/>
        <w:shd w:val="clear" w:color="auto" w:fill="auto"/>
        <w:tabs>
          <w:tab w:pos="378" w:val="left"/>
        </w:tabs>
        <w:bidi w:val="0"/>
        <w:spacing w:before="0" w:after="280" w:line="331" w:lineRule="exact"/>
        <w:ind w:left="0" w:right="0" w:firstLine="0"/>
        <w:jc w:val="both"/>
        <w:sectPr>
          <w:headerReference w:type="default" r:id="rId61"/>
          <w:footerReference w:type="default" r:id="rId62"/>
          <w:footnotePr>
            <w:pos w:val="pageBottom"/>
            <w:numFmt w:val="decimal"/>
            <w:numRestart w:val="continuous"/>
          </w:footnotePr>
          <w:pgSz w:w="11900" w:h="16840"/>
          <w:pgMar w:top="1484" w:right="1095" w:bottom="1479" w:left="1090" w:header="0" w:footer="3" w:gutter="0"/>
          <w:cols w:space="720"/>
          <w:noEndnote/>
          <w:rtlGutter w:val="0"/>
          <w:docGrid w:linePitch="360"/>
        </w:sectPr>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color w:val="000000"/>
          <w:spacing w:val="0"/>
          <w:w w:val="100"/>
          <w:position w:val="0"/>
        </w:rPr>
        <w:t>、</w:t>
        <w:tab/>
        <w:t>其他：无。</w:t>
      </w:r>
      <w:bookmarkEnd w:id="1660"/>
      <w:bookmarkEnd w:id="1661"/>
      <w:bookmarkEnd w:id="1663"/>
    </w:p>
    <w:p>
      <w:pPr>
        <w:pStyle w:val="Style10"/>
        <w:keepNext/>
        <w:keepLines/>
        <w:widowControl w:val="0"/>
        <w:shd w:val="clear" w:color="auto" w:fill="auto"/>
        <w:bidi w:val="0"/>
        <w:spacing w:before="0" w:after="580" w:line="240" w:lineRule="auto"/>
        <w:ind w:left="0" w:right="0" w:firstLine="0"/>
        <w:jc w:val="center"/>
      </w:pPr>
      <w:bookmarkStart w:id="1664" w:name="bookmark1664"/>
      <w:bookmarkStart w:id="1665" w:name="bookmark1665"/>
      <w:bookmarkStart w:id="1666" w:name="bookmark1666"/>
      <w:r>
        <w:rPr>
          <w:color w:val="000000"/>
          <w:spacing w:val="0"/>
          <w:w w:val="100"/>
          <w:position w:val="0"/>
        </w:rPr>
        <w:t>第十二节备查文件目录</w:t>
      </w:r>
      <w:bookmarkEnd w:id="1664"/>
      <w:bookmarkEnd w:id="1665"/>
      <w:bookmarkEnd w:id="1666"/>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667" w:name="bookmark1667"/>
      <w:bookmarkStart w:id="1668" w:name="bookmark1668"/>
      <w:r>
        <w:rPr>
          <w:color w:val="000000"/>
          <w:spacing w:val="0"/>
          <w:w w:val="100"/>
          <w:position w:val="0"/>
        </w:rPr>
        <w:t>（</w:t>
      </w:r>
      <w:bookmarkEnd w:id="1668"/>
      <w:r>
        <w:rPr>
          <w:color w:val="000000"/>
          <w:spacing w:val="0"/>
          <w:w w:val="100"/>
          <w:position w:val="0"/>
        </w:rPr>
        <w:t>一）</w:t>
        <w:tab/>
        <w:t>载有公司法定代表人、主管会计负责人、会计机构负责人签名并盖章的会计报表。</w:t>
      </w:r>
      <w:bookmarkEnd w:id="1667"/>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669" w:name="bookmark1669"/>
      <w:r>
        <w:rPr>
          <w:color w:val="000000"/>
          <w:spacing w:val="0"/>
          <w:w w:val="100"/>
          <w:position w:val="0"/>
        </w:rPr>
        <w:t>（</w:t>
      </w:r>
      <w:bookmarkEnd w:id="1669"/>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670" w:name="bookmark1670"/>
      <w:r>
        <w:rPr>
          <w:color w:val="000000"/>
          <w:spacing w:val="0"/>
          <w:w w:val="100"/>
          <w:position w:val="0"/>
        </w:rPr>
        <w:t>（</w:t>
      </w:r>
      <w:bookmarkEnd w:id="1670"/>
      <w:r>
        <w:rPr>
          <w:color w:val="000000"/>
          <w:spacing w:val="0"/>
          <w:w w:val="100"/>
          <w:position w:val="0"/>
        </w:rPr>
        <w:t>三）</w:t>
        <w:tab/>
        <w:t>报告期内在中国证监会指定报纸上公开披露过的所有公司文件的正本及公告的原稿。</w:t>
      </w:r>
    </w:p>
    <w:p>
      <w:pPr>
        <w:pStyle w:val="Style29"/>
        <w:keepNext w:val="0"/>
        <w:keepLines w:val="0"/>
        <w:widowControl w:val="0"/>
        <w:shd w:val="clear" w:color="auto" w:fill="auto"/>
        <w:tabs>
          <w:tab w:pos="531" w:val="left"/>
        </w:tabs>
        <w:bidi w:val="0"/>
        <w:spacing w:before="0" w:after="100" w:line="240" w:lineRule="auto"/>
        <w:ind w:left="0" w:right="0" w:firstLine="0"/>
        <w:jc w:val="left"/>
      </w:pPr>
      <w:bookmarkStart w:id="1671" w:name="bookmark1671"/>
      <w:r>
        <w:rPr>
          <w:color w:val="000000"/>
          <w:spacing w:val="0"/>
          <w:w w:val="100"/>
          <w:position w:val="0"/>
        </w:rPr>
        <w:t>（</w:t>
      </w:r>
      <w:bookmarkEnd w:id="1671"/>
      <w:r>
        <w:rPr>
          <w:color w:val="000000"/>
          <w:spacing w:val="0"/>
          <w:w w:val="100"/>
          <w:position w:val="0"/>
        </w:rPr>
        <w:t>四）</w:t>
        <w:tab/>
        <w:t>载有董事长徐海啸先生签名的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p>
      <w:pPr>
        <w:pStyle w:val="Style29"/>
        <w:keepNext w:val="0"/>
        <w:keepLines w:val="0"/>
        <w:widowControl w:val="0"/>
        <w:shd w:val="clear" w:color="auto" w:fill="auto"/>
        <w:tabs>
          <w:tab w:pos="531" w:val="left"/>
        </w:tabs>
        <w:bidi w:val="0"/>
        <w:spacing w:before="0" w:after="1880" w:line="240" w:lineRule="auto"/>
        <w:ind w:left="0" w:right="0" w:firstLine="0"/>
        <w:jc w:val="left"/>
      </w:pPr>
      <w:bookmarkStart w:id="1672" w:name="bookmark1672"/>
      <w:r>
        <w:rPr>
          <w:color w:val="000000"/>
          <w:spacing w:val="0"/>
          <w:w w:val="100"/>
          <w:position w:val="0"/>
        </w:rPr>
        <w:t>（</w:t>
      </w:r>
      <w:bookmarkEnd w:id="1672"/>
      <w:r>
        <w:rPr>
          <w:color w:val="000000"/>
          <w:spacing w:val="0"/>
          <w:w w:val="100"/>
          <w:position w:val="0"/>
        </w:rPr>
        <w:t>五）</w:t>
        <w:tab/>
        <w:t>以上备查文件的置放地点：公司证券部办公室。</w:t>
      </w:r>
    </w:p>
    <w:p>
      <w:pPr>
        <w:pStyle w:val="Style29"/>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深圳市惠程电气股份有限公司董事会</w:t>
      </w:r>
    </w:p>
    <w:p>
      <w:pPr>
        <w:pStyle w:val="Style29"/>
        <w:keepNext w:val="0"/>
        <w:keepLines w:val="0"/>
        <w:widowControl w:val="0"/>
        <w:shd w:val="clear" w:color="auto" w:fill="auto"/>
        <w:tabs>
          <w:tab w:leader="underscore" w:pos="9389" w:val="left"/>
        </w:tabs>
        <w:bidi w:val="0"/>
        <w:spacing w:before="0" w:after="100" w:line="240" w:lineRule="auto"/>
        <w:ind w:left="7200" w:right="0" w:firstLine="0"/>
        <w:jc w:val="left"/>
      </w:pPr>
      <w:r>
        <w:rPr>
          <w:color w:val="000000"/>
          <w:spacing w:val="0"/>
          <w:w w:val="100"/>
          <w:position w:val="0"/>
        </w:rPr>
        <w:t>董事长：徐海啸</w:t>
        <w:tab/>
      </w:r>
    </w:p>
    <w:p>
      <w:pPr>
        <w:pStyle w:val="Style29"/>
        <w:keepNext w:val="0"/>
        <w:keepLines w:val="0"/>
        <w:widowControl w:val="0"/>
        <w:shd w:val="clear" w:color="auto" w:fill="auto"/>
        <w:bidi w:val="0"/>
        <w:spacing w:before="0" w:after="100" w:line="240" w:lineRule="auto"/>
        <w:ind w:left="7200" w:right="0" w:firstLine="0"/>
        <w:jc w:val="left"/>
      </w:pPr>
      <w:r>
        <w:rPr>
          <w:color w:val="000000"/>
          <w:spacing w:val="0"/>
          <w:w w:val="100"/>
          <w:position w:val="0"/>
        </w:rPr>
        <w:t>二零一^年二月二十四日</w:t>
      </w:r>
    </w:p>
    <w:sectPr>
      <w:footnotePr>
        <w:pos w:val="pageBottom"/>
        <w:numFmt w:val="decimal"/>
        <w:numRestart w:val="continuous"/>
      </w:footnotePr>
      <w:pgSz w:w="11900" w:h="16840"/>
      <w:pgMar w:top="1666" w:right="1109" w:bottom="1666" w:left="12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9998075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19999999999999pt;margin-top:787.2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3700780</wp:posOffset>
              </wp:positionH>
              <wp:positionV relativeFrom="page">
                <wp:posOffset>9829800</wp:posOffset>
              </wp:positionV>
              <wp:extent cx="109855" cy="79375"/>
              <wp:wrapNone/>
              <wp:docPr id="49" name="Shape 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291.40000000000003pt;margin-top:774.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5294630</wp:posOffset>
              </wp:positionH>
              <wp:positionV relativeFrom="page">
                <wp:posOffset>6696710</wp:posOffset>
              </wp:positionV>
              <wp:extent cx="103505" cy="79375"/>
              <wp:wrapNone/>
              <wp:docPr id="63" name="Shape 6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416.90000000000003pt;margin-top:527.29999999999995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3695065</wp:posOffset>
              </wp:positionH>
              <wp:positionV relativeFrom="page">
                <wp:posOffset>9827260</wp:posOffset>
              </wp:positionV>
              <wp:extent cx="155575" cy="79375"/>
              <wp:wrapNone/>
              <wp:docPr id="68" name="Shape 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290.94999999999999pt;margin-top:773.80000000000007pt;width:12.25pt;height:6.25pt;z-index:-18874401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5276850</wp:posOffset>
              </wp:positionH>
              <wp:positionV relativeFrom="page">
                <wp:posOffset>6690995</wp:posOffset>
              </wp:positionV>
              <wp:extent cx="149225" cy="79375"/>
              <wp:wrapNone/>
              <wp:docPr id="73" name="Shape 7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415.5pt;margin-top:526.85000000000002pt;width:11.75pt;height:6.25pt;z-index:-18874401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3695065</wp:posOffset>
              </wp:positionH>
              <wp:positionV relativeFrom="page">
                <wp:posOffset>9827260</wp:posOffset>
              </wp:positionV>
              <wp:extent cx="155575" cy="79375"/>
              <wp:wrapNone/>
              <wp:docPr id="78" name="Shape 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0.94999999999999pt;margin-top:773.80000000000007pt;width:12.25pt;height:6.25pt;z-index:-18874400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5276850</wp:posOffset>
              </wp:positionH>
              <wp:positionV relativeFrom="page">
                <wp:posOffset>6690995</wp:posOffset>
              </wp:positionV>
              <wp:extent cx="149225" cy="79375"/>
              <wp:wrapNone/>
              <wp:docPr id="83" name="Shape 8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415.5pt;margin-top:526.85000000000002pt;width:11.75pt;height:6.25pt;z-index:-18874400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3695065</wp:posOffset>
              </wp:positionH>
              <wp:positionV relativeFrom="page">
                <wp:posOffset>9827260</wp:posOffset>
              </wp:positionV>
              <wp:extent cx="155575" cy="79375"/>
              <wp:wrapNone/>
              <wp:docPr id="88" name="Shape 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0.94999999999999pt;margin-top:773.80000000000007pt;width:12.25pt;height:6.25pt;z-index:-18874400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5276850</wp:posOffset>
              </wp:positionH>
              <wp:positionV relativeFrom="page">
                <wp:posOffset>6690995</wp:posOffset>
              </wp:positionV>
              <wp:extent cx="149225" cy="79375"/>
              <wp:wrapNone/>
              <wp:docPr id="93" name="Shape 9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415.5pt;margin-top:526.85000000000002pt;width:11.75pt;height:6.25pt;z-index:-18874399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3695065</wp:posOffset>
              </wp:positionH>
              <wp:positionV relativeFrom="page">
                <wp:posOffset>9827260</wp:posOffset>
              </wp:positionV>
              <wp:extent cx="155575" cy="79375"/>
              <wp:wrapNone/>
              <wp:docPr id="98" name="Shape 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90.94999999999999pt;margin-top:773.80000000000007pt;width:12.25pt;height:6.25pt;z-index:-18874399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5276850</wp:posOffset>
              </wp:positionH>
              <wp:positionV relativeFrom="page">
                <wp:posOffset>6690995</wp:posOffset>
              </wp:positionV>
              <wp:extent cx="149225" cy="79375"/>
              <wp:wrapNone/>
              <wp:docPr id="103" name="Shape 10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415.5pt;margin-top:526.85000000000002pt;width:11.75pt;height:6.25pt;z-index:-18874398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3724910</wp:posOffset>
              </wp:positionH>
              <wp:positionV relativeFrom="page">
                <wp:posOffset>9827260</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30000000000001pt;margin-top:773.80000000000007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3695065</wp:posOffset>
              </wp:positionH>
              <wp:positionV relativeFrom="page">
                <wp:posOffset>9827260</wp:posOffset>
              </wp:positionV>
              <wp:extent cx="155575" cy="79375"/>
              <wp:wrapNone/>
              <wp:docPr id="108" name="Shape 1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290.94999999999999pt;margin-top:773.80000000000007pt;width:12.25pt;height:6.25pt;z-index:-18874398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5273675</wp:posOffset>
              </wp:positionH>
              <wp:positionV relativeFrom="page">
                <wp:posOffset>6706235</wp:posOffset>
              </wp:positionV>
              <wp:extent cx="155575" cy="79375"/>
              <wp:wrapNone/>
              <wp:docPr id="113" name="Shape 1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9" type="#_x0000_t202" style="position:absolute;margin-left:415.25pt;margin-top:528.04999999999995pt;width:12.25pt;height:6.25pt;z-index:-18874398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3695065</wp:posOffset>
              </wp:positionH>
              <wp:positionV relativeFrom="page">
                <wp:posOffset>9827260</wp:posOffset>
              </wp:positionV>
              <wp:extent cx="155575" cy="79375"/>
              <wp:wrapNone/>
              <wp:docPr id="118" name="Shape 1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290.94999999999999pt;margin-top:773.80000000000007pt;width:12.25pt;height:6.25pt;z-index:-18874397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5273675</wp:posOffset>
              </wp:positionH>
              <wp:positionV relativeFrom="page">
                <wp:posOffset>6690995</wp:posOffset>
              </wp:positionV>
              <wp:extent cx="146050" cy="79375"/>
              <wp:wrapNone/>
              <wp:docPr id="123" name="Shape 1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415.25pt;margin-top:526.85000000000002pt;width:11.5pt;height:6.25pt;z-index:-18874397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3695065</wp:posOffset>
              </wp:positionH>
              <wp:positionV relativeFrom="page">
                <wp:posOffset>9827260</wp:posOffset>
              </wp:positionV>
              <wp:extent cx="155575" cy="79375"/>
              <wp:wrapNone/>
              <wp:docPr id="128" name="Shape 1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290.94999999999999pt;margin-top:773.80000000000007pt;width:12.25pt;height:6.25pt;z-index:-18874396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5273675</wp:posOffset>
              </wp:positionH>
              <wp:positionV relativeFrom="page">
                <wp:posOffset>6690995</wp:posOffset>
              </wp:positionV>
              <wp:extent cx="146050" cy="79375"/>
              <wp:wrapNone/>
              <wp:docPr id="133" name="Shape 13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415.25pt;margin-top:526.85000000000002pt;width:11.5pt;height:6.25pt;z-index:-18874396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3695065</wp:posOffset>
              </wp:positionH>
              <wp:positionV relativeFrom="page">
                <wp:posOffset>9827260</wp:posOffset>
              </wp:positionV>
              <wp:extent cx="155575" cy="79375"/>
              <wp:wrapNone/>
              <wp:docPr id="138" name="Shape 1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290.94999999999999pt;margin-top:773.80000000000007pt;width:12.25pt;height:6.25pt;z-index:-18874396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5273675</wp:posOffset>
              </wp:positionH>
              <wp:positionV relativeFrom="page">
                <wp:posOffset>6690995</wp:posOffset>
              </wp:positionV>
              <wp:extent cx="146050" cy="79375"/>
              <wp:wrapNone/>
              <wp:docPr id="143" name="Shape 14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415.25pt;margin-top:526.85000000000002pt;width:11.5pt;height:6.25pt;z-index:-18874395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3695065</wp:posOffset>
              </wp:positionH>
              <wp:positionV relativeFrom="page">
                <wp:posOffset>9827260</wp:posOffset>
              </wp:positionV>
              <wp:extent cx="155575" cy="79375"/>
              <wp:wrapNone/>
              <wp:docPr id="148" name="Shape 1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0.94999999999999pt;margin-top:773.80000000000007pt;width:12.25pt;height:6.25pt;z-index:-18874395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5288915</wp:posOffset>
              </wp:positionH>
              <wp:positionV relativeFrom="page">
                <wp:posOffset>6698615</wp:posOffset>
              </wp:positionV>
              <wp:extent cx="106680" cy="79375"/>
              <wp:wrapNone/>
              <wp:docPr id="14" name="Shape 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416.44999999999999pt;margin-top:527.45000000000005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3715385</wp:posOffset>
              </wp:positionH>
              <wp:positionV relativeFrom="page">
                <wp:posOffset>9827260</wp:posOffset>
              </wp:positionV>
              <wp:extent cx="109855" cy="79375"/>
              <wp:wrapNone/>
              <wp:docPr id="19" name="Shape 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2.55000000000001pt;margin-top:773.80000000000007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5288915</wp:posOffset>
              </wp:positionH>
              <wp:positionV relativeFrom="page">
                <wp:posOffset>6698615</wp:posOffset>
              </wp:positionV>
              <wp:extent cx="106680" cy="79375"/>
              <wp:wrapNone/>
              <wp:docPr id="24" name="Shape 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416.44999999999999pt;margin-top:527.45000000000005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3715385</wp:posOffset>
              </wp:positionH>
              <wp:positionV relativeFrom="page">
                <wp:posOffset>9827260</wp:posOffset>
              </wp:positionV>
              <wp:extent cx="109855" cy="79375"/>
              <wp:wrapNone/>
              <wp:docPr id="29" name="Shape 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292.55000000000001pt;margin-top:773.80000000000007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5288915</wp:posOffset>
              </wp:positionH>
              <wp:positionV relativeFrom="page">
                <wp:posOffset>6698615</wp:posOffset>
              </wp:positionV>
              <wp:extent cx="106680" cy="79375"/>
              <wp:wrapNone/>
              <wp:docPr id="34" name="Shape 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416.44999999999999pt;margin-top:527.45000000000005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3715385</wp:posOffset>
              </wp:positionH>
              <wp:positionV relativeFrom="page">
                <wp:posOffset>9827260</wp:posOffset>
              </wp:positionV>
              <wp:extent cx="109855" cy="79375"/>
              <wp:wrapNone/>
              <wp:docPr id="39" name="Shape 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2.55000000000001pt;margin-top:773.80000000000007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5288915</wp:posOffset>
              </wp:positionH>
              <wp:positionV relativeFrom="page">
                <wp:posOffset>6698615</wp:posOffset>
              </wp:positionV>
              <wp:extent cx="106680" cy="79375"/>
              <wp:wrapNone/>
              <wp:docPr id="44" name="Shape 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416.44999999999999pt;margin-top:527.45000000000005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478790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25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4251960</wp:posOffset>
              </wp:positionH>
              <wp:positionV relativeFrom="page">
                <wp:posOffset>546100</wp:posOffset>
              </wp:positionV>
              <wp:extent cx="2563495" cy="106680"/>
              <wp:wrapNone/>
              <wp:docPr id="46" name="Shape 4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334.80000000000001pt;margin-top:43.pt;width:201.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7212330</wp:posOffset>
              </wp:positionH>
              <wp:positionV relativeFrom="page">
                <wp:posOffset>557530</wp:posOffset>
              </wp:positionV>
              <wp:extent cx="2563495" cy="106680"/>
              <wp:wrapNone/>
              <wp:docPr id="60" name="Shape 6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567.89999999999998pt;margin-top:43.899999999999999pt;width:201.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702310</wp:posOffset>
              </wp:positionV>
              <wp:extent cx="8906510" cy="0"/>
              <wp:wrapNone/>
              <wp:docPr id="62" name="Shape 6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00000000000004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4262120</wp:posOffset>
              </wp:positionH>
              <wp:positionV relativeFrom="page">
                <wp:posOffset>549275</wp:posOffset>
              </wp:positionV>
              <wp:extent cx="2563495" cy="106680"/>
              <wp:wrapNone/>
              <wp:docPr id="65" name="Shape 6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35.60000000000002pt;margin-top:43.25pt;width:201.8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7212330</wp:posOffset>
              </wp:positionH>
              <wp:positionV relativeFrom="page">
                <wp:posOffset>558800</wp:posOffset>
              </wp:positionV>
              <wp:extent cx="2563495" cy="106680"/>
              <wp:wrapNone/>
              <wp:docPr id="70" name="Shape 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567.89999999999998pt;margin-top:44.pt;width:201.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2" name="Shape 7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4262120</wp:posOffset>
              </wp:positionH>
              <wp:positionV relativeFrom="page">
                <wp:posOffset>549275</wp:posOffset>
              </wp:positionV>
              <wp:extent cx="2563495" cy="106680"/>
              <wp:wrapNone/>
              <wp:docPr id="75" name="Shape 7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335.60000000000002pt;margin-top:43.25pt;width:201.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7212330</wp:posOffset>
              </wp:positionH>
              <wp:positionV relativeFrom="page">
                <wp:posOffset>558800</wp:posOffset>
              </wp:positionV>
              <wp:extent cx="2563495" cy="106680"/>
              <wp:wrapNone/>
              <wp:docPr id="80" name="Shape 8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567.89999999999998pt;margin-top:44.pt;width:201.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82" name="Shape 8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4262120</wp:posOffset>
              </wp:positionH>
              <wp:positionV relativeFrom="page">
                <wp:posOffset>549275</wp:posOffset>
              </wp:positionV>
              <wp:extent cx="2563495" cy="106680"/>
              <wp:wrapNone/>
              <wp:docPr id="85" name="Shape 8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35.60000000000002pt;margin-top:43.25pt;width:201.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7212330</wp:posOffset>
              </wp:positionH>
              <wp:positionV relativeFrom="page">
                <wp:posOffset>558800</wp:posOffset>
              </wp:positionV>
              <wp:extent cx="2563495" cy="106680"/>
              <wp:wrapNone/>
              <wp:docPr id="90" name="Shape 9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567.89999999999998pt;margin-top:44.pt;width:201.84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92" name="Shape 9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4262120</wp:posOffset>
              </wp:positionH>
              <wp:positionV relativeFrom="page">
                <wp:posOffset>549275</wp:posOffset>
              </wp:positionV>
              <wp:extent cx="2563495" cy="106680"/>
              <wp:wrapNone/>
              <wp:docPr id="95" name="Shape 9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35.60000000000002pt;margin-top:43.25pt;width:201.8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7212330</wp:posOffset>
              </wp:positionH>
              <wp:positionV relativeFrom="page">
                <wp:posOffset>558800</wp:posOffset>
              </wp:positionV>
              <wp:extent cx="2563495" cy="106680"/>
              <wp:wrapNone/>
              <wp:docPr id="100" name="Shape 10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67.89999999999998pt;margin-top:44.pt;width:201.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02" name="Shape 1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4276090</wp:posOffset>
              </wp:positionH>
              <wp:positionV relativeFrom="page">
                <wp:posOffset>554355</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6.69999999999999pt;margin-top:43.649999999999999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708025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5.75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4262120</wp:posOffset>
              </wp:positionH>
              <wp:positionV relativeFrom="page">
                <wp:posOffset>549275</wp:posOffset>
              </wp:positionV>
              <wp:extent cx="2563495" cy="106680"/>
              <wp:wrapNone/>
              <wp:docPr id="105" name="Shape 10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1" type="#_x0000_t202" style="position:absolute;margin-left:335.60000000000002pt;margin-top:43.25pt;width:201.84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7212330</wp:posOffset>
              </wp:positionH>
              <wp:positionV relativeFrom="page">
                <wp:posOffset>543560</wp:posOffset>
              </wp:positionV>
              <wp:extent cx="2563495" cy="106680"/>
              <wp:wrapNone/>
              <wp:docPr id="110" name="Shape 1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567.89999999999998pt;margin-top:42.800000000000004pt;width:201.84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112" name="Shape 11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4262120</wp:posOffset>
              </wp:positionH>
              <wp:positionV relativeFrom="page">
                <wp:posOffset>549275</wp:posOffset>
              </wp:positionV>
              <wp:extent cx="2563495" cy="106680"/>
              <wp:wrapNone/>
              <wp:docPr id="115" name="Shape 1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1" type="#_x0000_t202" style="position:absolute;margin-left:335.60000000000002pt;margin-top:43.25pt;width:201.84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7212330</wp:posOffset>
              </wp:positionH>
              <wp:positionV relativeFrom="page">
                <wp:posOffset>558800</wp:posOffset>
              </wp:positionV>
              <wp:extent cx="2563495" cy="106680"/>
              <wp:wrapNone/>
              <wp:docPr id="120" name="Shape 12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567.89999999999998pt;margin-top:44.pt;width:201.84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22" name="Shape 1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4262120</wp:posOffset>
              </wp:positionH>
              <wp:positionV relativeFrom="page">
                <wp:posOffset>549275</wp:posOffset>
              </wp:positionV>
              <wp:extent cx="2563495" cy="106680"/>
              <wp:wrapNone/>
              <wp:docPr id="125" name="Shape 12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35.60000000000002pt;margin-top:43.25pt;width:201.84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7212330</wp:posOffset>
              </wp:positionH>
              <wp:positionV relativeFrom="page">
                <wp:posOffset>558800</wp:posOffset>
              </wp:positionV>
              <wp:extent cx="2563495" cy="106680"/>
              <wp:wrapNone/>
              <wp:docPr id="130" name="Shape 13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6" type="#_x0000_t202" style="position:absolute;margin-left:567.89999999999998pt;margin-top:44.pt;width:201.8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32" name="Shape 13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4262120</wp:posOffset>
              </wp:positionH>
              <wp:positionV relativeFrom="page">
                <wp:posOffset>549275</wp:posOffset>
              </wp:positionV>
              <wp:extent cx="2563495" cy="106680"/>
              <wp:wrapNone/>
              <wp:docPr id="135" name="Shape 13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1" type="#_x0000_t202" style="position:absolute;margin-left:335.60000000000002pt;margin-top:43.25pt;width:201.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137" name="Shape 1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7212330</wp:posOffset>
              </wp:positionH>
              <wp:positionV relativeFrom="page">
                <wp:posOffset>558800</wp:posOffset>
              </wp:positionV>
              <wp:extent cx="2563495" cy="106680"/>
              <wp:wrapNone/>
              <wp:docPr id="140" name="Shape 14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6" type="#_x0000_t202" style="position:absolute;margin-left:567.89999999999998pt;margin-top:44.pt;width:201.8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142" name="Shape 14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4262120</wp:posOffset>
              </wp:positionH>
              <wp:positionV relativeFrom="page">
                <wp:posOffset>549275</wp:posOffset>
              </wp:positionV>
              <wp:extent cx="2563495" cy="106680"/>
              <wp:wrapNone/>
              <wp:docPr id="145" name="Shape 14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335.60000000000002pt;margin-top:43.25pt;width:201.8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708660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80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7212330</wp:posOffset>
              </wp:positionH>
              <wp:positionV relativeFrom="page">
                <wp:posOffset>553720</wp:posOffset>
              </wp:positionV>
              <wp:extent cx="2563495" cy="106680"/>
              <wp:wrapNone/>
              <wp:docPr id="11" name="Shape 1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67.89999999999998pt;margin-top:43.600000000000001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4267200</wp:posOffset>
              </wp:positionH>
              <wp:positionV relativeFrom="page">
                <wp:posOffset>561340</wp:posOffset>
              </wp:positionV>
              <wp:extent cx="2563495" cy="106680"/>
              <wp:wrapNone/>
              <wp:docPr id="16" name="Shape 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336.pt;margin-top:44.200000000000003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7212330</wp:posOffset>
              </wp:positionH>
              <wp:positionV relativeFrom="page">
                <wp:posOffset>553720</wp:posOffset>
              </wp:positionV>
              <wp:extent cx="2563495" cy="106680"/>
              <wp:wrapNone/>
              <wp:docPr id="21" name="Shape 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567.89999999999998pt;margin-top:43.600000000000001pt;width:201.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4267200</wp:posOffset>
              </wp:positionH>
              <wp:positionV relativeFrom="page">
                <wp:posOffset>561340</wp:posOffset>
              </wp:positionV>
              <wp:extent cx="2563495" cy="106680"/>
              <wp:wrapNone/>
              <wp:docPr id="26" name="Shape 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36.pt;margin-top:44.200000000000003pt;width:201.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7212330</wp:posOffset>
              </wp:positionH>
              <wp:positionV relativeFrom="page">
                <wp:posOffset>553720</wp:posOffset>
              </wp:positionV>
              <wp:extent cx="2563495" cy="106680"/>
              <wp:wrapNone/>
              <wp:docPr id="31" name="Shape 3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567.89999999999998pt;margin-top:43.600000000000001pt;width:201.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33" name="Shape 3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4267200</wp:posOffset>
              </wp:positionH>
              <wp:positionV relativeFrom="page">
                <wp:posOffset>561340</wp:posOffset>
              </wp:positionV>
              <wp:extent cx="2563495" cy="106680"/>
              <wp:wrapNone/>
              <wp:docPr id="36" name="Shape 3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36.pt;margin-top:44.200000000000003pt;width:201.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7212330</wp:posOffset>
              </wp:positionH>
              <wp:positionV relativeFrom="page">
                <wp:posOffset>553720</wp:posOffset>
              </wp:positionV>
              <wp:extent cx="2563495" cy="106680"/>
              <wp:wrapNone/>
              <wp:docPr id="41" name="Shape 4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567.89999999999998pt;margin-top:43.600000000000001pt;width:201.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深圳市惠程电气股份有限公司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43" name="Shape 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Times New Roman" w:eastAsia="Times New Roman" w:hAnsi="Times New Roman" w:cs="Times New Roman"/>
      <w:b w:val="0"/>
      <w:bCs w:val="0"/>
      <w:i/>
      <w:iCs/>
      <w:smallCaps w:val="0"/>
      <w:strike w:val="0"/>
      <w:color w:val="08469B"/>
      <w:sz w:val="50"/>
      <w:szCs w:val="5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4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5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5">
    <w:name w:val="页眉或页脚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正文文本 (6)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5">
    <w:name w:val="正文文本 (7)_"/>
    <w:basedOn w:val="DefaultParagraphFont"/>
    <w:link w:val="Style54"/>
    <w:rPr>
      <w:rFonts w:ascii="SimSun" w:eastAsia="SimSun" w:hAnsi="SimSun" w:cs="SimSun"/>
      <w:b w:val="0"/>
      <w:bCs w:val="0"/>
      <w:i/>
      <w:iCs/>
      <w:smallCaps w:val="0"/>
      <w:strike w:val="0"/>
      <w:sz w:val="19"/>
      <w:szCs w:val="19"/>
      <w:u w:val="none"/>
      <w:shd w:val="clear" w:color="auto" w:fill="auto"/>
    </w:rPr>
  </w:style>
  <w:style w:type="character" w:customStyle="1" w:styleId="CharStyle66">
    <w:name w:val="正文文本 (8)_"/>
    <w:basedOn w:val="DefaultParagraphFont"/>
    <w:link w:val="Style65"/>
    <w:rPr>
      <w:rFonts w:ascii="SimSun" w:eastAsia="SimSun" w:hAnsi="SimSun" w:cs="SimSun"/>
      <w:b/>
      <w:bCs/>
      <w:i w:val="0"/>
      <w:iCs w:val="0"/>
      <w:smallCaps w:val="0"/>
      <w:strike w:val="0"/>
      <w:sz w:val="22"/>
      <w:szCs w:val="22"/>
      <w:u w:val="none"/>
      <w:shd w:val="clear" w:color="auto" w:fill="auto"/>
    </w:rPr>
  </w:style>
  <w:style w:type="paragraph" w:customStyle="1" w:styleId="Style2">
    <w:name w:val="标题 #1"/>
    <w:basedOn w:val="Normal"/>
    <w:link w:val="CharStyle3"/>
    <w:pPr>
      <w:widowControl w:val="0"/>
      <w:shd w:val="clear" w:color="auto" w:fill="auto"/>
      <w:spacing w:after="560"/>
      <w:jc w:val="center"/>
      <w:outlineLvl w:val="0"/>
    </w:pPr>
    <w:rPr>
      <w:rFonts w:ascii="Times New Roman" w:eastAsia="Times New Roman" w:hAnsi="Times New Roman" w:cs="Times New Roman"/>
      <w:b w:val="0"/>
      <w:bCs w:val="0"/>
      <w:i/>
      <w:iCs/>
      <w:smallCaps w:val="0"/>
      <w:strike w:val="0"/>
      <w:color w:val="08469B"/>
      <w:sz w:val="50"/>
      <w:szCs w:val="5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730" w:after="97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3"/>
    <w:basedOn w:val="Normal"/>
    <w:link w:val="CharStyle11"/>
    <w:pPr>
      <w:widowControl w:val="0"/>
      <w:shd w:val="clear" w:color="auto" w:fill="auto"/>
      <w:spacing w:after="57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5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4"/>
    <w:basedOn w:val="Normal"/>
    <w:link w:val="CharStyle26"/>
    <w:pPr>
      <w:widowControl w:val="0"/>
      <w:shd w:val="clear" w:color="auto" w:fill="auto"/>
      <w:spacing w:after="35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5"/>
    <w:basedOn w:val="Normal"/>
    <w:link w:val="CharStyle3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4">
    <w:name w:val="页眉或页脚"/>
    <w:basedOn w:val="Normal"/>
    <w:link w:val="CharStyle4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正文文本 (6)"/>
    <w:basedOn w:val="Normal"/>
    <w:link w:val="CharStyle51"/>
    <w:pPr>
      <w:widowControl w:val="0"/>
      <w:shd w:val="clear" w:color="auto" w:fill="auto"/>
      <w:spacing w:line="312"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4">
    <w:name w:val="正文文本 (7)"/>
    <w:basedOn w:val="Normal"/>
    <w:link w:val="CharStyle55"/>
    <w:pPr>
      <w:widowControl w:val="0"/>
      <w:shd w:val="clear" w:color="auto" w:fill="auto"/>
      <w:spacing w:line="313" w:lineRule="exact"/>
    </w:pPr>
    <w:rPr>
      <w:rFonts w:ascii="SimSun" w:eastAsia="SimSun" w:hAnsi="SimSun" w:cs="SimSun"/>
      <w:b w:val="0"/>
      <w:bCs w:val="0"/>
      <w:i/>
      <w:iCs/>
      <w:smallCaps w:val="0"/>
      <w:strike w:val="0"/>
      <w:sz w:val="19"/>
      <w:szCs w:val="19"/>
      <w:u w:val="none"/>
      <w:shd w:val="clear" w:color="auto" w:fill="auto"/>
    </w:rPr>
  </w:style>
  <w:style w:type="paragraph" w:customStyle="1" w:styleId="Style65">
    <w:name w:val="正文文本 (8)"/>
    <w:basedOn w:val="Normal"/>
    <w:link w:val="CharStyle66"/>
    <w:pPr>
      <w:widowControl w:val="0"/>
      <w:shd w:val="clear" w:color="auto" w:fill="auto"/>
      <w:spacing w:after="40" w:line="307" w:lineRule="exact"/>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s>
</file>

<file path=docProps/core.xml><?xml version="1.0" encoding="utf-8"?>
<cp:coreProperties xmlns:cp="http://schemas.openxmlformats.org/package/2006/metadata/core-properties" xmlns:dc="http://purl.org/dc/elements/1.1/">
  <dc:title>深圳市惠程电气股份有限公司2016年年度报告全文</dc:title>
  <dc:subject/>
  <dc:creator>深圳市惠程电气股份有限公司</dc:creator>
  <cp:keywords/>
</cp:coreProperties>
</file>