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1.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2.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3.xml" ContentType="application/vnd.openxmlformats-officedocument.wordprocessingml.header+xml"/>
  <Override PartName="/word/footer20.xml" ContentType="application/vnd.openxmlformats-officedocument.wordprocessingml.footer+xml"/>
  <Override PartName="/word/header14.xml" ContentType="application/vnd.openxmlformats-officedocument.wordprocessingml.header+xml"/>
  <Override PartName="/word/footer21.xml" ContentType="application/vnd.openxmlformats-officedocument.wordprocessingml.footer+xml"/>
  <Override PartName="/word/header15.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245"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4"/>
          <w:sz w:val="20"/>
          <w:szCs w:val="20"/>
        </w:rPr>
        <w:drawing>
          <wp:inline distT="0" distB="0" distL="0" distR="0">
            <wp:extent cx="1408568" cy="79057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408568" cy="790575"/>
                    </a:xfrm>
                    <a:prstGeom prst="rect">
                      <a:avLst/>
                    </a:prstGeom>
                  </pic:spPr>
                </pic:pic>
              </a:graphicData>
            </a:graphic>
          </wp:inline>
        </w:drawing>
      </w:r>
      <w:r>
        <w:rPr>
          <w:rFonts w:ascii="Times New Roman" w:hAnsi="Times New Roman" w:cs="Times New Roman" w:eastAsia="Times New Roman" w:hint="default"/>
          <w:position w:val="-24"/>
          <w:sz w:val="20"/>
          <w:szCs w:val="20"/>
        </w:rPr>
      </w:r>
    </w:p>
    <w:p>
      <w:pPr>
        <w:spacing w:line="240" w:lineRule="auto" w:before="4"/>
        <w:rPr>
          <w:rFonts w:ascii="Times New Roman" w:hAnsi="Times New Roman" w:cs="Times New Roman" w:eastAsia="Times New Roman" w:hint="default"/>
          <w:sz w:val="13"/>
          <w:szCs w:val="13"/>
        </w:rPr>
      </w:pPr>
    </w:p>
    <w:p>
      <w:pPr>
        <w:spacing w:line="460" w:lineRule="exact" w:before="0"/>
        <w:ind w:left="2601" w:right="2607" w:firstLine="0"/>
        <w:jc w:val="center"/>
        <w:rPr>
          <w:rFonts w:ascii="宋体" w:hAnsi="宋体" w:cs="宋体" w:eastAsia="宋体" w:hint="default"/>
          <w:sz w:val="36"/>
          <w:szCs w:val="36"/>
        </w:rPr>
      </w:pPr>
      <w:r>
        <w:rPr>
          <w:rFonts w:ascii="宋体" w:hAnsi="宋体" w:cs="宋体" w:eastAsia="宋体" w:hint="default"/>
          <w:b/>
          <w:bCs/>
          <w:sz w:val="36"/>
          <w:szCs w:val="36"/>
        </w:rPr>
        <w:t>深圳市惠程电气股份有限公司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601" w:right="260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6"/>
        <w:rPr>
          <w:rFonts w:ascii="宋体" w:hAnsi="宋体" w:cs="宋体" w:eastAsia="宋体" w:hint="default"/>
          <w:b/>
          <w:bCs/>
          <w:sz w:val="48"/>
          <w:szCs w:val="48"/>
        </w:rPr>
      </w:pPr>
    </w:p>
    <w:p>
      <w:pPr>
        <w:spacing w:before="0"/>
        <w:ind w:left="2601" w:right="260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79"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153"/>
        <w:jc w:val="left"/>
        <w:rPr>
          <w:b w:val="0"/>
          <w:bCs w:val="0"/>
        </w:rPr>
      </w:pPr>
      <w:r>
        <w:rPr/>
        <w:t>第一节</w:t>
      </w:r>
      <w:r>
        <w:rPr>
          <w:spacing w:val="-5"/>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3"/>
        <w:ind w:left="152" w:right="15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公司负责人徐海啸、主管会计工作负责人徐海啸及会计机构负责人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王烨声明：保证年度报告中财务报告的真实、准确、完整。</w:t>
      </w:r>
      <w:r>
        <w:rPr>
          <w:rFonts w:ascii="宋体" w:hAnsi="宋体" w:cs="宋体" w:eastAsia="宋体" w:hint="default"/>
          <w:sz w:val="28"/>
          <w:szCs w:val="28"/>
        </w:rPr>
      </w:r>
    </w:p>
    <w:p>
      <w:pPr>
        <w:spacing w:line="472" w:lineRule="auto" w:before="148"/>
        <w:ind w:left="714" w:right="15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本报告所涉公司未来计划等前瞻性陈述，不构成公司对任何投资者及相关</w:t>
      </w:r>
      <w:r>
        <w:rPr>
          <w:rFonts w:ascii="宋体" w:hAnsi="宋体" w:cs="宋体" w:eastAsia="宋体" w:hint="default"/>
          <w:spacing w:val="2"/>
          <w:sz w:val="28"/>
          <w:szCs w:val="28"/>
        </w:rPr>
      </w:r>
    </w:p>
    <w:p>
      <w:pPr>
        <w:spacing w:line="475" w:lineRule="auto" w:before="0"/>
        <w:ind w:left="714" w:right="152" w:hanging="563"/>
        <w:jc w:val="left"/>
        <w:rPr>
          <w:rFonts w:ascii="宋体" w:hAnsi="宋体" w:cs="宋体" w:eastAsia="宋体" w:hint="default"/>
          <w:sz w:val="28"/>
          <w:szCs w:val="28"/>
        </w:rPr>
      </w:pPr>
      <w:r>
        <w:rPr>
          <w:rFonts w:ascii="宋体" w:hAnsi="宋体" w:cs="宋体" w:eastAsia="宋体" w:hint="default"/>
          <w:b/>
          <w:bCs/>
          <w:sz w:val="28"/>
          <w:szCs w:val="28"/>
        </w:rPr>
        <w:t>人士的实质承诺，敬请广大投资者注意投资风险。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公司在本报告第四节</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经营情况讨论与分析</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中公司未来发展的展望部分描</w:t>
      </w:r>
      <w:r>
        <w:rPr>
          <w:rFonts w:ascii="宋体" w:hAnsi="宋体" w:cs="宋体" w:eastAsia="宋体" w:hint="default"/>
          <w:spacing w:val="2"/>
          <w:sz w:val="28"/>
          <w:szCs w:val="28"/>
        </w:rPr>
      </w:r>
    </w:p>
    <w:p>
      <w:pPr>
        <w:spacing w:line="320" w:lineRule="exact" w:before="0"/>
        <w:ind w:left="152" w:right="0" w:firstLine="0"/>
        <w:jc w:val="left"/>
        <w:rPr>
          <w:rFonts w:ascii="宋体" w:hAnsi="宋体" w:cs="宋体" w:eastAsia="宋体" w:hint="default"/>
          <w:sz w:val="28"/>
          <w:szCs w:val="28"/>
        </w:rPr>
      </w:pPr>
      <w:r>
        <w:rPr>
          <w:rFonts w:ascii="宋体" w:hAnsi="宋体" w:cs="宋体" w:eastAsia="宋体" w:hint="default"/>
          <w:b/>
          <w:bCs/>
          <w:sz w:val="28"/>
          <w:szCs w:val="28"/>
        </w:rPr>
        <w:t>述了公司未来经营中可能面临的风险以及</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2018</w:t>
      </w:r>
      <w:r>
        <w:rPr>
          <w:rFonts w:ascii="Times New Roman" w:hAnsi="Times New Roman" w:cs="Times New Roman" w:eastAsia="Times New Roman" w:hint="default"/>
          <w:b/>
          <w:bCs/>
          <w:spacing w:val="-3"/>
          <w:sz w:val="28"/>
          <w:szCs w:val="28"/>
        </w:rPr>
        <w:t> </w:t>
      </w:r>
      <w:r>
        <w:rPr>
          <w:rFonts w:ascii="宋体" w:hAnsi="宋体" w:cs="宋体" w:eastAsia="宋体" w:hint="default"/>
          <w:b/>
          <w:bCs/>
          <w:spacing w:val="-4"/>
          <w:sz w:val="28"/>
          <w:szCs w:val="28"/>
        </w:rPr>
        <w:t>年度经营计划，敬请广大投资者</w:t>
      </w:r>
      <w:r>
        <w:rPr>
          <w:rFonts w:ascii="宋体" w:hAnsi="宋体" w:cs="宋体" w:eastAsia="宋体" w:hint="default"/>
          <w:spacing w:val="-4"/>
          <w:sz w:val="28"/>
          <w:szCs w:val="28"/>
        </w:rPr>
      </w:r>
    </w:p>
    <w:p>
      <w:pPr>
        <w:spacing w:before="236"/>
        <w:ind w:left="152" w:right="153" w:firstLine="0"/>
        <w:jc w:val="left"/>
        <w:rPr>
          <w:rFonts w:ascii="宋体" w:hAnsi="宋体" w:cs="宋体" w:eastAsia="宋体" w:hint="default"/>
          <w:sz w:val="28"/>
          <w:szCs w:val="28"/>
        </w:rPr>
      </w:pPr>
      <w:r>
        <w:rPr>
          <w:rFonts w:ascii="宋体" w:hAnsi="宋体" w:cs="宋体" w:eastAsia="宋体" w:hint="default"/>
          <w:b/>
          <w:bCs/>
          <w:sz w:val="28"/>
          <w:szCs w:val="28"/>
        </w:rPr>
        <w:t>注意查阅。</w:t>
      </w:r>
      <w:r>
        <w:rPr>
          <w:rFonts w:ascii="宋体" w:hAnsi="宋体" w:cs="宋体" w:eastAsia="宋体" w:hint="default"/>
          <w:sz w:val="28"/>
          <w:szCs w:val="28"/>
        </w:rPr>
      </w:r>
    </w:p>
    <w:p>
      <w:pPr>
        <w:spacing w:line="240" w:lineRule="auto" w:before="5"/>
        <w:rPr>
          <w:rFonts w:ascii="宋体" w:hAnsi="宋体" w:cs="宋体" w:eastAsia="宋体" w:hint="default"/>
          <w:b/>
          <w:bCs/>
          <w:sz w:val="27"/>
          <w:szCs w:val="27"/>
        </w:rPr>
      </w:pPr>
    </w:p>
    <w:p>
      <w:pPr>
        <w:spacing w:before="0"/>
        <w:ind w:left="714" w:right="153"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5" w:top="1060" w:bottom="1160" w:left="980" w:right="9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601" w:right="260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8"/>
              </w:rPr>
              <w:t> </w:t>
            </w:r>
            <w:r>
              <w:rPr/>
              <w:t>重要提示、目录和释义</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8"/>
              </w:rPr>
              <w:t> </w:t>
            </w:r>
            <w:r>
              <w:rPr/>
              <w:t>公司简介和主要财务指标</w:t>
            </w:r>
            <w:r>
              <w:rPr>
                <w:rFonts w:ascii="Times New Roman" w:hAnsi="Times New Roman" w:cs="Times New Roman" w:eastAsia="Times New Roman" w:hint="default"/>
              </w:rPr>
              <w:tab/>
            </w:r>
            <w:r>
              <w:rPr>
                <w:rFonts w:ascii="Times New Roman" w:hAnsi="Times New Roman" w:cs="Times New Roman" w:eastAsia="Times New Roman" w:hint="default"/>
                <w:spacing w:val="-15"/>
              </w:rPr>
              <w:t>11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8"/>
              </w:rPr>
              <w:t> </w:t>
            </w:r>
            <w:r>
              <w:rPr/>
              <w:t>公司业务概要</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8"/>
              </w:rPr>
              <w:t> </w:t>
            </w:r>
            <w:r>
              <w:rPr/>
              <w:t>经营情况讨论与分析</w:t>
            </w:r>
            <w:r>
              <w:rPr>
                <w:rFonts w:ascii="Times New Roman" w:hAnsi="Times New Roman" w:cs="Times New Roman" w:eastAsia="Times New Roman" w:hint="default"/>
              </w:rPr>
              <w:tab/>
              <w:t>30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8"/>
              </w:rPr>
              <w:t> </w:t>
            </w:r>
            <w:r>
              <w:rPr/>
              <w:t>重要事项</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8"/>
              </w:rPr>
              <w:t> </w:t>
            </w:r>
            <w:r>
              <w:rPr/>
              <w:t>股份变动及股东情况</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8"/>
              </w:rPr>
              <w:t> </w:t>
            </w:r>
            <w:r>
              <w:rPr/>
              <w:t>优先股相关情况</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8"/>
              </w:rPr>
              <w:t> </w:t>
            </w:r>
            <w:r>
              <w:rPr/>
              <w:t>董事、监事、高级管理人员和员工情况</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8"/>
              </w:rPr>
              <w:t> </w:t>
            </w:r>
            <w:r>
              <w:rPr/>
              <w:t>公司治理</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8"/>
              </w:rPr>
              <w:t> </w:t>
            </w:r>
            <w:r>
              <w:rPr/>
              <w:t>公司债券相关情况</w:t>
            </w:r>
            <w:r>
              <w:rPr>
                <w:rFonts w:ascii="Times New Roman" w:hAnsi="Times New Roman" w:cs="Times New Roman" w:eastAsia="Times New Roman" w:hint="default"/>
              </w:rPr>
              <w:tab/>
              <w:t>76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7"/>
              </w:rPr>
              <w:t> </w:t>
            </w:r>
            <w:r>
              <w:rPr/>
              <w:t>财务报告</w:t>
            </w:r>
            <w:r>
              <w:rPr>
                <w:rFonts w:ascii="Times New Roman" w:hAnsi="Times New Roman" w:cs="Times New Roman" w:eastAsia="Times New Roman" w:hint="default"/>
              </w:rPr>
              <w:tab/>
              <w:t>77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18"/>
              </w:rPr>
              <w:t> </w:t>
            </w:r>
            <w:r>
              <w:rPr/>
              <w:t>备查文件目录</w:t>
            </w:r>
            <w:r>
              <w:rPr>
                <w:rFonts w:ascii="Times New Roman" w:hAnsi="Times New Roman" w:cs="Times New Roman" w:eastAsia="Times New Roman" w:hint="default"/>
              </w:rPr>
              <w:tab/>
              <w:t>176</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5" w:footer="979" w:top="1060" w:bottom="1160" w:left="980" w:right="980"/>
        </w:sectPr>
      </w:pPr>
    </w:p>
    <w:p>
      <w:pPr>
        <w:spacing w:before="945"/>
        <w:ind w:left="2601" w:right="260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016"/>
        <w:gridCol w:w="212"/>
        <w:gridCol w:w="7440"/>
      </w:tblGrid>
      <w:tr>
        <w:trPr>
          <w:trHeight w:val="403" w:hRule="exact"/>
        </w:trPr>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释义项</w:t>
            </w:r>
          </w:p>
        </w:tc>
        <w:tc>
          <w:tcPr>
            <w:tcW w:w="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right"/>
              <w:rPr>
                <w:rFonts w:ascii="宋体" w:hAnsi="宋体" w:cs="宋体" w:eastAsia="宋体" w:hint="default"/>
                <w:sz w:val="18"/>
                <w:szCs w:val="18"/>
              </w:rPr>
            </w:pPr>
            <w:r>
              <w:rPr>
                <w:rFonts w:ascii="宋体" w:hAnsi="宋体" w:cs="宋体" w:eastAsia="宋体" w:hint="default"/>
                <w:sz w:val="18"/>
                <w:szCs w:val="18"/>
              </w:rPr>
              <w:t>指</w:t>
            </w:r>
          </w:p>
        </w:tc>
        <w:tc>
          <w:tcPr>
            <w:tcW w:w="7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161" w:hRule="exact"/>
        </w:trPr>
        <w:tc>
          <w:tcPr>
            <w:tcW w:w="2016" w:type="dxa"/>
            <w:vMerge w:val="restart"/>
            <w:tcBorders>
              <w:top w:val="single" w:sz="4" w:space="0" w:color="000000"/>
              <w:left w:val="single" w:sz="4" w:space="0" w:color="000000"/>
              <w:right w:val="single" w:sz="9" w:space="0" w:color="D2D2D2"/>
            </w:tcBorders>
          </w:tcPr>
          <w:p>
            <w:pPr>
              <w:pStyle w:val="TableParagraph"/>
              <w:spacing w:line="316" w:lineRule="auto" w:before="49"/>
              <w:ind w:left="24" w:right="114"/>
              <w:jc w:val="left"/>
              <w:rPr>
                <w:rFonts w:ascii="宋体" w:hAnsi="宋体" w:cs="宋体" w:eastAsia="宋体" w:hint="default"/>
                <w:sz w:val="18"/>
                <w:szCs w:val="18"/>
              </w:rPr>
            </w:pPr>
            <w:r>
              <w:rPr>
                <w:rFonts w:ascii="宋体" w:hAnsi="宋体" w:cs="宋体" w:eastAsia="宋体" w:hint="default"/>
                <w:spacing w:val="-11"/>
                <w:sz w:val="18"/>
                <w:szCs w:val="18"/>
              </w:rPr>
              <w:t>公司、本公司、上市公司</w:t>
            </w:r>
            <w:r>
              <w:rPr>
                <w:rFonts w:ascii="宋体" w:hAnsi="宋体" w:cs="宋体" w:eastAsia="宋体" w:hint="default"/>
                <w:sz w:val="18"/>
                <w:szCs w:val="18"/>
              </w:rPr>
              <w:t> 深圳惠程、惠程本部</w:t>
            </w:r>
          </w:p>
        </w:tc>
        <w:tc>
          <w:tcPr>
            <w:tcW w:w="2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440" w:type="dxa"/>
            <w:vMerge w:val="restart"/>
            <w:tcBorders>
              <w:top w:val="single" w:sz="4" w:space="0" w:color="000000"/>
              <w:left w:val="single" w:sz="10"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深圳市惠程电气股份有限公司</w:t>
            </w:r>
          </w:p>
        </w:tc>
      </w:tr>
      <w:tr>
        <w:trPr>
          <w:trHeight w:val="391" w:hRule="exact"/>
        </w:trPr>
        <w:tc>
          <w:tcPr>
            <w:tcW w:w="2016" w:type="dxa"/>
            <w:vMerge/>
            <w:tcBorders>
              <w:left w:val="single" w:sz="4" w:space="0" w:color="000000"/>
              <w:right w:val="single" w:sz="9" w:space="0" w:color="D2D2D2"/>
            </w:tcBorders>
          </w:tcPr>
          <w:p>
            <w:pPr/>
          </w:p>
        </w:tc>
        <w:tc>
          <w:tcPr>
            <w:tcW w:w="2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89" w:lineRule="exact"/>
              <w:ind w:left="-13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7440" w:type="dxa"/>
            <w:vMerge/>
            <w:tcBorders>
              <w:left w:val="single" w:sz="10" w:space="0" w:color="D2D2D2"/>
              <w:right w:val="single" w:sz="4" w:space="0" w:color="000000"/>
            </w:tcBorders>
          </w:tcPr>
          <w:p>
            <w:pPr/>
          </w:p>
        </w:tc>
      </w:tr>
      <w:tr>
        <w:trPr>
          <w:trHeight w:val="161" w:hRule="exact"/>
        </w:trPr>
        <w:tc>
          <w:tcPr>
            <w:tcW w:w="2016" w:type="dxa"/>
            <w:vMerge/>
            <w:tcBorders>
              <w:left w:val="single" w:sz="4" w:space="0" w:color="000000"/>
              <w:bottom w:val="single" w:sz="4" w:space="0" w:color="000000"/>
              <w:right w:val="single" w:sz="9" w:space="0" w:color="D2D2D2"/>
            </w:tcBorders>
          </w:tcPr>
          <w:p>
            <w:pPr/>
          </w:p>
        </w:tc>
        <w:tc>
          <w:tcPr>
            <w:tcW w:w="2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440" w:type="dxa"/>
            <w:vMerge/>
            <w:tcBorders>
              <w:left w:val="single" w:sz="10" w:space="0" w:color="D2D2D2"/>
              <w:bottom w:val="single" w:sz="4" w:space="0" w:color="000000"/>
              <w:right w:val="single" w:sz="4" w:space="0" w:color="000000"/>
            </w:tcBorders>
          </w:tcPr>
          <w:p>
            <w:pPr/>
          </w:p>
        </w:tc>
      </w:tr>
      <w:tr>
        <w:trPr>
          <w:trHeight w:val="403" w:hRule="exact"/>
        </w:trPr>
        <w:tc>
          <w:tcPr>
            <w:tcW w:w="201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中驰惠程</w:t>
            </w:r>
          </w:p>
        </w:tc>
        <w:tc>
          <w:tcPr>
            <w:tcW w:w="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right"/>
              <w:rPr>
                <w:rFonts w:ascii="宋体" w:hAnsi="宋体" w:cs="宋体" w:eastAsia="宋体" w:hint="default"/>
                <w:sz w:val="18"/>
                <w:szCs w:val="18"/>
              </w:rPr>
            </w:pPr>
            <w:r>
              <w:rPr>
                <w:rFonts w:ascii="宋体" w:hAnsi="宋体" w:cs="宋体" w:eastAsia="宋体" w:hint="default"/>
                <w:sz w:val="18"/>
                <w:szCs w:val="18"/>
              </w:rPr>
              <w:t>指</w:t>
            </w:r>
          </w:p>
        </w:tc>
        <w:tc>
          <w:tcPr>
            <w:tcW w:w="74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中驰惠程企业管理有限公司，原名中驰极速体育文化发展有限公司，本公司控股股东</w:t>
            </w:r>
          </w:p>
        </w:tc>
      </w:tr>
      <w:tr>
        <w:trPr>
          <w:trHeight w:val="401" w:hRule="exact"/>
        </w:trPr>
        <w:tc>
          <w:tcPr>
            <w:tcW w:w="201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中源信</w:t>
            </w:r>
          </w:p>
        </w:tc>
        <w:tc>
          <w:tcPr>
            <w:tcW w:w="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right"/>
              <w:rPr>
                <w:rFonts w:ascii="宋体" w:hAnsi="宋体" w:cs="宋体" w:eastAsia="宋体" w:hint="default"/>
                <w:sz w:val="18"/>
                <w:szCs w:val="18"/>
              </w:rPr>
            </w:pPr>
            <w:r>
              <w:rPr>
                <w:rFonts w:ascii="宋体" w:hAnsi="宋体" w:cs="宋体" w:eastAsia="宋体" w:hint="default"/>
                <w:sz w:val="18"/>
                <w:szCs w:val="18"/>
              </w:rPr>
              <w:t>指</w:t>
            </w:r>
          </w:p>
        </w:tc>
        <w:tc>
          <w:tcPr>
            <w:tcW w:w="74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共青城中源信投资管理合伙企业（有限合伙</w:t>
            </w:r>
            <w:r>
              <w:rPr>
                <w:rFonts w:ascii="宋体" w:hAnsi="宋体" w:cs="宋体" w:eastAsia="宋体" w:hint="default"/>
                <w:spacing w:val="-92"/>
                <w:sz w:val="18"/>
                <w:szCs w:val="18"/>
              </w:rPr>
              <w:t>）</w:t>
            </w:r>
            <w:r>
              <w:rPr>
                <w:rFonts w:ascii="宋体" w:hAnsi="宋体" w:cs="宋体" w:eastAsia="宋体" w:hint="default"/>
                <w:sz w:val="18"/>
                <w:szCs w:val="18"/>
              </w:rPr>
              <w:t>，中驰惠程一</w:t>
            </w:r>
            <w:r>
              <w:rPr>
                <w:rFonts w:ascii="宋体" w:hAnsi="宋体" w:cs="宋体" w:eastAsia="宋体" w:hint="default"/>
                <w:spacing w:val="2"/>
                <w:sz w:val="18"/>
                <w:szCs w:val="18"/>
              </w:rPr>
              <w:t>致</w:t>
            </w:r>
            <w:r>
              <w:rPr>
                <w:rFonts w:ascii="宋体" w:hAnsi="宋体" w:cs="宋体" w:eastAsia="宋体" w:hint="default"/>
                <w:sz w:val="18"/>
                <w:szCs w:val="18"/>
              </w:rPr>
              <w:t>行动人</w:t>
            </w:r>
          </w:p>
        </w:tc>
      </w:tr>
      <w:tr>
        <w:trPr>
          <w:trHeight w:val="403" w:hRule="exact"/>
        </w:trPr>
        <w:tc>
          <w:tcPr>
            <w:tcW w:w="201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信中利</w:t>
            </w:r>
          </w:p>
        </w:tc>
        <w:tc>
          <w:tcPr>
            <w:tcW w:w="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right"/>
              <w:rPr>
                <w:rFonts w:ascii="宋体" w:hAnsi="宋体" w:cs="宋体" w:eastAsia="宋体" w:hint="default"/>
                <w:sz w:val="18"/>
                <w:szCs w:val="18"/>
              </w:rPr>
            </w:pPr>
            <w:r>
              <w:rPr>
                <w:rFonts w:ascii="宋体" w:hAnsi="宋体" w:cs="宋体" w:eastAsia="宋体" w:hint="default"/>
                <w:sz w:val="18"/>
                <w:szCs w:val="18"/>
              </w:rPr>
              <w:t>指</w:t>
            </w:r>
          </w:p>
        </w:tc>
        <w:tc>
          <w:tcPr>
            <w:tcW w:w="74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北京信中利投资股份有限公司，中驰惠程母公司</w:t>
            </w:r>
          </w:p>
        </w:tc>
      </w:tr>
      <w:tr>
        <w:trPr>
          <w:trHeight w:val="161" w:hRule="exact"/>
        </w:trPr>
        <w:tc>
          <w:tcPr>
            <w:tcW w:w="201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大地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号信托计划</w:t>
            </w:r>
          </w:p>
        </w:tc>
        <w:tc>
          <w:tcPr>
            <w:tcW w:w="2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440" w:type="dxa"/>
            <w:vMerge w:val="restart"/>
            <w:tcBorders>
              <w:top w:val="single" w:sz="4" w:space="0" w:color="000000"/>
              <w:left w:val="single" w:sz="10" w:space="0" w:color="D2D2D2"/>
              <w:right w:val="single" w:sz="4" w:space="0" w:color="000000"/>
            </w:tcBorders>
          </w:tcPr>
          <w:p>
            <w:pPr>
              <w:pStyle w:val="TableParagraph"/>
              <w:spacing w:line="300" w:lineRule="auto" w:before="49"/>
              <w:ind w:left="27" w:right="23"/>
              <w:jc w:val="left"/>
              <w:rPr>
                <w:rFonts w:ascii="宋体" w:hAnsi="宋体" w:cs="宋体" w:eastAsia="宋体" w:hint="default"/>
                <w:sz w:val="18"/>
                <w:szCs w:val="18"/>
              </w:rPr>
            </w:pPr>
            <w:r>
              <w:rPr>
                <w:rFonts w:ascii="宋体" w:hAnsi="宋体" w:cs="宋体" w:eastAsia="宋体" w:hint="default"/>
                <w:sz w:val="18"/>
                <w:szCs w:val="18"/>
              </w:rPr>
              <w:t>华宝信托有限责任公司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大地</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号单一资金信托，中驰惠程一致行动人田勇先生为受益人的信托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计划</w:t>
            </w:r>
          </w:p>
        </w:tc>
      </w:tr>
      <w:tr>
        <w:trPr>
          <w:trHeight w:val="391" w:hRule="exact"/>
        </w:trPr>
        <w:tc>
          <w:tcPr>
            <w:tcW w:w="2016" w:type="dxa"/>
            <w:vMerge/>
            <w:tcBorders>
              <w:left w:val="single" w:sz="4" w:space="0" w:color="000000"/>
              <w:right w:val="single" w:sz="9" w:space="0" w:color="D2D2D2"/>
            </w:tcBorders>
          </w:tcPr>
          <w:p>
            <w:pPr/>
          </w:p>
        </w:tc>
        <w:tc>
          <w:tcPr>
            <w:tcW w:w="2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8"/>
              <w:jc w:val="right"/>
              <w:rPr>
                <w:rFonts w:ascii="宋体" w:hAnsi="宋体" w:cs="宋体" w:eastAsia="宋体" w:hint="default"/>
                <w:sz w:val="18"/>
                <w:szCs w:val="18"/>
              </w:rPr>
            </w:pPr>
            <w:r>
              <w:rPr>
                <w:rFonts w:ascii="宋体" w:hAnsi="宋体" w:cs="宋体" w:eastAsia="宋体" w:hint="default"/>
                <w:sz w:val="18"/>
                <w:szCs w:val="18"/>
              </w:rPr>
              <w:t>指</w:t>
            </w:r>
          </w:p>
        </w:tc>
        <w:tc>
          <w:tcPr>
            <w:tcW w:w="7440" w:type="dxa"/>
            <w:vMerge/>
            <w:tcBorders>
              <w:left w:val="single" w:sz="10" w:space="0" w:color="D2D2D2"/>
              <w:right w:val="single" w:sz="4" w:space="0" w:color="000000"/>
            </w:tcBorders>
          </w:tcPr>
          <w:p>
            <w:pPr/>
          </w:p>
        </w:tc>
      </w:tr>
      <w:tr>
        <w:trPr>
          <w:trHeight w:val="161" w:hRule="exact"/>
        </w:trPr>
        <w:tc>
          <w:tcPr>
            <w:tcW w:w="2016" w:type="dxa"/>
            <w:vMerge/>
            <w:tcBorders>
              <w:left w:val="single" w:sz="4" w:space="0" w:color="000000"/>
              <w:bottom w:val="single" w:sz="4" w:space="0" w:color="000000"/>
              <w:right w:val="single" w:sz="9" w:space="0" w:color="D2D2D2"/>
            </w:tcBorders>
          </w:tcPr>
          <w:p>
            <w:pPr/>
          </w:p>
        </w:tc>
        <w:tc>
          <w:tcPr>
            <w:tcW w:w="2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440" w:type="dxa"/>
            <w:vMerge/>
            <w:tcBorders>
              <w:left w:val="single" w:sz="10" w:space="0" w:color="D2D2D2"/>
              <w:bottom w:val="single" w:sz="4" w:space="0" w:color="000000"/>
              <w:right w:val="single" w:sz="4" w:space="0" w:color="000000"/>
            </w:tcBorders>
          </w:tcPr>
          <w:p>
            <w:pPr/>
          </w:p>
        </w:tc>
      </w:tr>
      <w:tr>
        <w:trPr>
          <w:trHeight w:val="403" w:hRule="exact"/>
        </w:trPr>
        <w:tc>
          <w:tcPr>
            <w:tcW w:w="201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号信托计划</w:t>
            </w:r>
          </w:p>
        </w:tc>
        <w:tc>
          <w:tcPr>
            <w:tcW w:w="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right"/>
              <w:rPr>
                <w:rFonts w:ascii="宋体" w:hAnsi="宋体" w:cs="宋体" w:eastAsia="宋体" w:hint="default"/>
                <w:sz w:val="18"/>
                <w:szCs w:val="18"/>
              </w:rPr>
            </w:pPr>
            <w:r>
              <w:rPr>
                <w:rFonts w:ascii="宋体" w:hAnsi="宋体" w:cs="宋体" w:eastAsia="宋体" w:hint="default"/>
                <w:sz w:val="18"/>
                <w:szCs w:val="18"/>
              </w:rPr>
              <w:t>指</w:t>
            </w:r>
          </w:p>
        </w:tc>
        <w:tc>
          <w:tcPr>
            <w:tcW w:w="74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华宝信托有限责任公司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大地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号单一资金信托，中驰惠程为受益人的信托计划</w:t>
            </w:r>
          </w:p>
        </w:tc>
      </w:tr>
      <w:tr>
        <w:trPr>
          <w:trHeight w:val="161" w:hRule="exact"/>
        </w:trPr>
        <w:tc>
          <w:tcPr>
            <w:tcW w:w="201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华宝信托</w:t>
            </w:r>
          </w:p>
        </w:tc>
        <w:tc>
          <w:tcPr>
            <w:tcW w:w="2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440" w:type="dxa"/>
            <w:vMerge w:val="restart"/>
            <w:tcBorders>
              <w:top w:val="single" w:sz="4" w:space="0" w:color="000000"/>
              <w:left w:val="single" w:sz="10" w:space="0" w:color="D2D2D2"/>
              <w:right w:val="single" w:sz="4" w:space="0" w:color="000000"/>
            </w:tcBorders>
          </w:tcPr>
          <w:p>
            <w:pPr>
              <w:pStyle w:val="TableParagraph"/>
              <w:spacing w:line="300" w:lineRule="auto" w:before="49"/>
              <w:ind w:left="27" w:right="19"/>
              <w:jc w:val="left"/>
              <w:rPr>
                <w:rFonts w:ascii="宋体" w:hAnsi="宋体" w:cs="宋体" w:eastAsia="宋体" w:hint="default"/>
                <w:sz w:val="18"/>
                <w:szCs w:val="18"/>
              </w:rPr>
            </w:pPr>
            <w:r>
              <w:rPr>
                <w:rFonts w:ascii="宋体" w:hAnsi="宋体" w:cs="宋体" w:eastAsia="宋体" w:hint="default"/>
                <w:sz w:val="18"/>
                <w:szCs w:val="18"/>
              </w:rPr>
              <w:t>华宝信托有限责任公司，系华宝信托有限责任公司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大地</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号单一资金信托、大地</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号单一资金 信托之受托人</w:t>
            </w:r>
          </w:p>
        </w:tc>
      </w:tr>
      <w:tr>
        <w:trPr>
          <w:trHeight w:val="391" w:hRule="exact"/>
        </w:trPr>
        <w:tc>
          <w:tcPr>
            <w:tcW w:w="2016" w:type="dxa"/>
            <w:vMerge/>
            <w:tcBorders>
              <w:left w:val="single" w:sz="4" w:space="0" w:color="000000"/>
              <w:right w:val="single" w:sz="9" w:space="0" w:color="D2D2D2"/>
            </w:tcBorders>
          </w:tcPr>
          <w:p>
            <w:pPr/>
          </w:p>
        </w:tc>
        <w:tc>
          <w:tcPr>
            <w:tcW w:w="2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8"/>
              <w:jc w:val="right"/>
              <w:rPr>
                <w:rFonts w:ascii="宋体" w:hAnsi="宋体" w:cs="宋体" w:eastAsia="宋体" w:hint="default"/>
                <w:sz w:val="18"/>
                <w:szCs w:val="18"/>
              </w:rPr>
            </w:pPr>
            <w:r>
              <w:rPr>
                <w:rFonts w:ascii="宋体" w:hAnsi="宋体" w:cs="宋体" w:eastAsia="宋体" w:hint="default"/>
                <w:sz w:val="18"/>
                <w:szCs w:val="18"/>
              </w:rPr>
              <w:t>指</w:t>
            </w:r>
          </w:p>
        </w:tc>
        <w:tc>
          <w:tcPr>
            <w:tcW w:w="7440" w:type="dxa"/>
            <w:vMerge/>
            <w:tcBorders>
              <w:left w:val="single" w:sz="10" w:space="0" w:color="D2D2D2"/>
              <w:right w:val="single" w:sz="4" w:space="0" w:color="000000"/>
            </w:tcBorders>
          </w:tcPr>
          <w:p>
            <w:pPr/>
          </w:p>
        </w:tc>
      </w:tr>
      <w:tr>
        <w:trPr>
          <w:trHeight w:val="161" w:hRule="exact"/>
        </w:trPr>
        <w:tc>
          <w:tcPr>
            <w:tcW w:w="2016" w:type="dxa"/>
            <w:vMerge/>
            <w:tcBorders>
              <w:left w:val="single" w:sz="4" w:space="0" w:color="000000"/>
              <w:bottom w:val="single" w:sz="4" w:space="0" w:color="000000"/>
              <w:right w:val="single" w:sz="9" w:space="0" w:color="D2D2D2"/>
            </w:tcBorders>
          </w:tcPr>
          <w:p>
            <w:pPr/>
          </w:p>
        </w:tc>
        <w:tc>
          <w:tcPr>
            <w:tcW w:w="2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440" w:type="dxa"/>
            <w:vMerge/>
            <w:tcBorders>
              <w:left w:val="single" w:sz="10" w:space="0" w:color="D2D2D2"/>
              <w:bottom w:val="single" w:sz="4" w:space="0" w:color="000000"/>
              <w:right w:val="single" w:sz="4" w:space="0" w:color="000000"/>
            </w:tcBorders>
          </w:tcPr>
          <w:p>
            <w:pPr/>
          </w:p>
        </w:tc>
      </w:tr>
      <w:tr>
        <w:trPr>
          <w:trHeight w:val="403" w:hRule="exact"/>
        </w:trPr>
        <w:tc>
          <w:tcPr>
            <w:tcW w:w="201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right"/>
              <w:rPr>
                <w:rFonts w:ascii="宋体" w:hAnsi="宋体" w:cs="宋体" w:eastAsia="宋体" w:hint="default"/>
                <w:sz w:val="18"/>
                <w:szCs w:val="18"/>
              </w:rPr>
            </w:pPr>
            <w:r>
              <w:rPr>
                <w:rFonts w:ascii="宋体" w:hAnsi="宋体" w:cs="宋体" w:eastAsia="宋体" w:hint="default"/>
                <w:sz w:val="18"/>
                <w:szCs w:val="18"/>
              </w:rPr>
              <w:t>指</w:t>
            </w:r>
          </w:p>
        </w:tc>
        <w:tc>
          <w:tcPr>
            <w:tcW w:w="74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深圳市惠程电气股份有限公司董事会</w:t>
            </w:r>
          </w:p>
        </w:tc>
      </w:tr>
      <w:tr>
        <w:trPr>
          <w:trHeight w:val="401" w:hRule="exact"/>
        </w:trPr>
        <w:tc>
          <w:tcPr>
            <w:tcW w:w="201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right"/>
              <w:rPr>
                <w:rFonts w:ascii="宋体" w:hAnsi="宋体" w:cs="宋体" w:eastAsia="宋体" w:hint="default"/>
                <w:sz w:val="18"/>
                <w:szCs w:val="18"/>
              </w:rPr>
            </w:pPr>
            <w:r>
              <w:rPr>
                <w:rFonts w:ascii="宋体" w:hAnsi="宋体" w:cs="宋体" w:eastAsia="宋体" w:hint="default"/>
                <w:sz w:val="18"/>
                <w:szCs w:val="18"/>
              </w:rPr>
              <w:t>指</w:t>
            </w:r>
          </w:p>
        </w:tc>
        <w:tc>
          <w:tcPr>
            <w:tcW w:w="74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深圳市惠程电气股份有限公司监事会</w:t>
            </w:r>
          </w:p>
        </w:tc>
      </w:tr>
      <w:tr>
        <w:trPr>
          <w:trHeight w:val="403" w:hRule="exact"/>
        </w:trPr>
        <w:tc>
          <w:tcPr>
            <w:tcW w:w="201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香港惠程</w:t>
            </w:r>
          </w:p>
        </w:tc>
        <w:tc>
          <w:tcPr>
            <w:tcW w:w="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right"/>
              <w:rPr>
                <w:rFonts w:ascii="宋体" w:hAnsi="宋体" w:cs="宋体" w:eastAsia="宋体" w:hint="default"/>
                <w:sz w:val="18"/>
                <w:szCs w:val="18"/>
              </w:rPr>
            </w:pPr>
            <w:r>
              <w:rPr>
                <w:rFonts w:ascii="宋体" w:hAnsi="宋体" w:cs="宋体" w:eastAsia="宋体" w:hint="default"/>
                <w:sz w:val="18"/>
                <w:szCs w:val="18"/>
              </w:rPr>
              <w:t>指</w:t>
            </w:r>
          </w:p>
        </w:tc>
        <w:tc>
          <w:tcPr>
            <w:tcW w:w="74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香港惠程有限公司，本公司全资子公司</w:t>
            </w:r>
          </w:p>
        </w:tc>
      </w:tr>
      <w:tr>
        <w:trPr>
          <w:trHeight w:val="161" w:hRule="exact"/>
        </w:trPr>
        <w:tc>
          <w:tcPr>
            <w:tcW w:w="201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惠程智能</w:t>
            </w:r>
          </w:p>
        </w:tc>
        <w:tc>
          <w:tcPr>
            <w:tcW w:w="2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440" w:type="dxa"/>
            <w:vMerge w:val="restart"/>
            <w:tcBorders>
              <w:top w:val="single" w:sz="4" w:space="0" w:color="000000"/>
              <w:left w:val="single" w:sz="10" w:space="0" w:color="D2D2D2"/>
              <w:right w:val="single" w:sz="4" w:space="0" w:color="000000"/>
            </w:tcBorders>
          </w:tcPr>
          <w:p>
            <w:pPr>
              <w:pStyle w:val="TableParagraph"/>
              <w:spacing w:line="316" w:lineRule="auto" w:before="49"/>
              <w:ind w:left="27" w:right="23"/>
              <w:jc w:val="left"/>
              <w:rPr>
                <w:rFonts w:ascii="宋体" w:hAnsi="宋体" w:cs="宋体" w:eastAsia="宋体" w:hint="default"/>
                <w:sz w:val="18"/>
                <w:szCs w:val="18"/>
              </w:rPr>
            </w:pPr>
            <w:r>
              <w:rPr>
                <w:rFonts w:ascii="宋体" w:hAnsi="宋体" w:cs="宋体" w:eastAsia="宋体" w:hint="default"/>
                <w:sz w:val="18"/>
                <w:szCs w:val="18"/>
              </w:rPr>
              <w:t>深圳市惠程智能电力设备有限公司，原名深圳市惠程高能能源科技有限公司，本公司全资子公 司</w:t>
            </w:r>
          </w:p>
        </w:tc>
      </w:tr>
      <w:tr>
        <w:trPr>
          <w:trHeight w:val="391" w:hRule="exact"/>
        </w:trPr>
        <w:tc>
          <w:tcPr>
            <w:tcW w:w="2016" w:type="dxa"/>
            <w:vMerge/>
            <w:tcBorders>
              <w:left w:val="single" w:sz="4" w:space="0" w:color="000000"/>
              <w:right w:val="single" w:sz="9" w:space="0" w:color="D2D2D2"/>
            </w:tcBorders>
          </w:tcPr>
          <w:p>
            <w:pPr/>
          </w:p>
        </w:tc>
        <w:tc>
          <w:tcPr>
            <w:tcW w:w="2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8"/>
              <w:jc w:val="right"/>
              <w:rPr>
                <w:rFonts w:ascii="宋体" w:hAnsi="宋体" w:cs="宋体" w:eastAsia="宋体" w:hint="default"/>
                <w:sz w:val="18"/>
                <w:szCs w:val="18"/>
              </w:rPr>
            </w:pPr>
            <w:r>
              <w:rPr>
                <w:rFonts w:ascii="宋体" w:hAnsi="宋体" w:cs="宋体" w:eastAsia="宋体" w:hint="default"/>
                <w:sz w:val="18"/>
                <w:szCs w:val="18"/>
              </w:rPr>
              <w:t>指</w:t>
            </w:r>
          </w:p>
        </w:tc>
        <w:tc>
          <w:tcPr>
            <w:tcW w:w="7440" w:type="dxa"/>
            <w:vMerge/>
            <w:tcBorders>
              <w:left w:val="single" w:sz="10" w:space="0" w:color="D2D2D2"/>
              <w:right w:val="single" w:sz="4" w:space="0" w:color="000000"/>
            </w:tcBorders>
          </w:tcPr>
          <w:p>
            <w:pPr/>
          </w:p>
        </w:tc>
      </w:tr>
      <w:tr>
        <w:trPr>
          <w:trHeight w:val="161" w:hRule="exact"/>
        </w:trPr>
        <w:tc>
          <w:tcPr>
            <w:tcW w:w="2016" w:type="dxa"/>
            <w:vMerge/>
            <w:tcBorders>
              <w:left w:val="single" w:sz="4" w:space="0" w:color="000000"/>
              <w:bottom w:val="single" w:sz="4" w:space="0" w:color="000000"/>
              <w:right w:val="single" w:sz="9" w:space="0" w:color="D2D2D2"/>
            </w:tcBorders>
          </w:tcPr>
          <w:p>
            <w:pPr/>
          </w:p>
        </w:tc>
        <w:tc>
          <w:tcPr>
            <w:tcW w:w="2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440" w:type="dxa"/>
            <w:vMerge/>
            <w:tcBorders>
              <w:left w:val="single" w:sz="10" w:space="0" w:color="D2D2D2"/>
              <w:bottom w:val="single" w:sz="4" w:space="0" w:color="000000"/>
              <w:right w:val="single" w:sz="4" w:space="0" w:color="000000"/>
            </w:tcBorders>
          </w:tcPr>
          <w:p>
            <w:pPr/>
          </w:p>
        </w:tc>
      </w:tr>
      <w:tr>
        <w:trPr>
          <w:trHeight w:val="403" w:hRule="exact"/>
        </w:trPr>
        <w:tc>
          <w:tcPr>
            <w:tcW w:w="201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北京中汇联银</w:t>
            </w:r>
          </w:p>
        </w:tc>
        <w:tc>
          <w:tcPr>
            <w:tcW w:w="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right"/>
              <w:rPr>
                <w:rFonts w:ascii="宋体" w:hAnsi="宋体" w:cs="宋体" w:eastAsia="宋体" w:hint="default"/>
                <w:sz w:val="18"/>
                <w:szCs w:val="18"/>
              </w:rPr>
            </w:pPr>
            <w:r>
              <w:rPr>
                <w:rFonts w:ascii="宋体" w:hAnsi="宋体" w:cs="宋体" w:eastAsia="宋体" w:hint="default"/>
                <w:sz w:val="18"/>
                <w:szCs w:val="18"/>
              </w:rPr>
              <w:t>指</w:t>
            </w:r>
          </w:p>
        </w:tc>
        <w:tc>
          <w:tcPr>
            <w:tcW w:w="74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中汇联银投资管理（北京）有限公司，本公司全资子公司</w:t>
            </w:r>
          </w:p>
        </w:tc>
      </w:tr>
      <w:tr>
        <w:trPr>
          <w:trHeight w:val="401" w:hRule="exact"/>
        </w:trPr>
        <w:tc>
          <w:tcPr>
            <w:tcW w:w="201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喀什中汇联银</w:t>
            </w:r>
          </w:p>
        </w:tc>
        <w:tc>
          <w:tcPr>
            <w:tcW w:w="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right"/>
              <w:rPr>
                <w:rFonts w:ascii="宋体" w:hAnsi="宋体" w:cs="宋体" w:eastAsia="宋体" w:hint="default"/>
                <w:sz w:val="18"/>
                <w:szCs w:val="18"/>
              </w:rPr>
            </w:pPr>
            <w:r>
              <w:rPr>
                <w:rFonts w:ascii="宋体" w:hAnsi="宋体" w:cs="宋体" w:eastAsia="宋体" w:hint="default"/>
                <w:sz w:val="18"/>
                <w:szCs w:val="18"/>
              </w:rPr>
              <w:t>指</w:t>
            </w:r>
          </w:p>
        </w:tc>
        <w:tc>
          <w:tcPr>
            <w:tcW w:w="74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喀什中汇联银创业投资有限公司，本公司全资子公司</w:t>
            </w:r>
          </w:p>
        </w:tc>
      </w:tr>
      <w:tr>
        <w:trPr>
          <w:trHeight w:val="161" w:hRule="exact"/>
        </w:trPr>
        <w:tc>
          <w:tcPr>
            <w:tcW w:w="201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中汇联鑫</w:t>
            </w:r>
          </w:p>
        </w:tc>
        <w:tc>
          <w:tcPr>
            <w:tcW w:w="2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440" w:type="dxa"/>
            <w:vMerge w:val="restart"/>
            <w:tcBorders>
              <w:top w:val="single" w:sz="4" w:space="0" w:color="000000"/>
              <w:left w:val="single" w:sz="10" w:space="0" w:color="D2D2D2"/>
              <w:right w:val="single" w:sz="4" w:space="0" w:color="000000"/>
            </w:tcBorders>
          </w:tcPr>
          <w:p>
            <w:pPr>
              <w:pStyle w:val="TableParagraph"/>
              <w:spacing w:line="316" w:lineRule="auto" w:before="49"/>
              <w:ind w:left="27" w:right="101"/>
              <w:jc w:val="left"/>
              <w:rPr>
                <w:rFonts w:ascii="宋体" w:hAnsi="宋体" w:cs="宋体" w:eastAsia="宋体" w:hint="default"/>
                <w:sz w:val="18"/>
                <w:szCs w:val="18"/>
              </w:rPr>
            </w:pPr>
            <w:r>
              <w:rPr>
                <w:rFonts w:ascii="宋体" w:hAnsi="宋体" w:cs="宋体" w:eastAsia="宋体" w:hint="default"/>
                <w:spacing w:val="-3"/>
                <w:sz w:val="18"/>
                <w:szCs w:val="18"/>
              </w:rPr>
              <w:t>中汇联鑫股权投资管理（深圳）合伙企业（有限合伙），本公司与子公司喀什中汇联银共同投</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资设立的合伙企业</w:t>
            </w:r>
          </w:p>
        </w:tc>
      </w:tr>
      <w:tr>
        <w:trPr>
          <w:trHeight w:val="394" w:hRule="exact"/>
        </w:trPr>
        <w:tc>
          <w:tcPr>
            <w:tcW w:w="2016" w:type="dxa"/>
            <w:vMerge/>
            <w:tcBorders>
              <w:left w:val="single" w:sz="4" w:space="0" w:color="000000"/>
              <w:right w:val="single" w:sz="9" w:space="0" w:color="D2D2D2"/>
            </w:tcBorders>
          </w:tcPr>
          <w:p>
            <w:pPr/>
          </w:p>
        </w:tc>
        <w:tc>
          <w:tcPr>
            <w:tcW w:w="2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8"/>
              <w:jc w:val="right"/>
              <w:rPr>
                <w:rFonts w:ascii="宋体" w:hAnsi="宋体" w:cs="宋体" w:eastAsia="宋体" w:hint="default"/>
                <w:sz w:val="18"/>
                <w:szCs w:val="18"/>
              </w:rPr>
            </w:pPr>
            <w:r>
              <w:rPr>
                <w:rFonts w:ascii="宋体" w:hAnsi="宋体" w:cs="宋体" w:eastAsia="宋体" w:hint="default"/>
                <w:sz w:val="18"/>
                <w:szCs w:val="18"/>
              </w:rPr>
              <w:t>指</w:t>
            </w:r>
          </w:p>
        </w:tc>
        <w:tc>
          <w:tcPr>
            <w:tcW w:w="7440" w:type="dxa"/>
            <w:vMerge/>
            <w:tcBorders>
              <w:left w:val="single" w:sz="10" w:space="0" w:color="D2D2D2"/>
              <w:right w:val="single" w:sz="4" w:space="0" w:color="000000"/>
            </w:tcBorders>
          </w:tcPr>
          <w:p>
            <w:pPr/>
          </w:p>
        </w:tc>
      </w:tr>
      <w:tr>
        <w:trPr>
          <w:trHeight w:val="161" w:hRule="exact"/>
        </w:trPr>
        <w:tc>
          <w:tcPr>
            <w:tcW w:w="2016" w:type="dxa"/>
            <w:vMerge/>
            <w:tcBorders>
              <w:left w:val="single" w:sz="4" w:space="0" w:color="000000"/>
              <w:bottom w:val="single" w:sz="4" w:space="0" w:color="000000"/>
              <w:right w:val="single" w:sz="9" w:space="0" w:color="D2D2D2"/>
            </w:tcBorders>
          </w:tcPr>
          <w:p>
            <w:pPr/>
          </w:p>
        </w:tc>
        <w:tc>
          <w:tcPr>
            <w:tcW w:w="2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440" w:type="dxa"/>
            <w:vMerge/>
            <w:tcBorders>
              <w:left w:val="single" w:sz="10" w:space="0" w:color="D2D2D2"/>
              <w:bottom w:val="single" w:sz="4" w:space="0" w:color="000000"/>
              <w:right w:val="single" w:sz="4" w:space="0" w:color="000000"/>
            </w:tcBorders>
          </w:tcPr>
          <w:p>
            <w:pPr/>
          </w:p>
        </w:tc>
      </w:tr>
      <w:tr>
        <w:trPr>
          <w:trHeight w:val="401" w:hRule="exact"/>
        </w:trPr>
        <w:tc>
          <w:tcPr>
            <w:tcW w:w="201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哆可梦</w:t>
            </w:r>
          </w:p>
        </w:tc>
        <w:tc>
          <w:tcPr>
            <w:tcW w:w="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right"/>
              <w:rPr>
                <w:rFonts w:ascii="宋体" w:hAnsi="宋体" w:cs="宋体" w:eastAsia="宋体" w:hint="default"/>
                <w:sz w:val="18"/>
                <w:szCs w:val="18"/>
              </w:rPr>
            </w:pPr>
            <w:r>
              <w:rPr>
                <w:rFonts w:ascii="宋体" w:hAnsi="宋体" w:cs="宋体" w:eastAsia="宋体" w:hint="default"/>
                <w:sz w:val="18"/>
                <w:szCs w:val="18"/>
              </w:rPr>
              <w:t>指</w:t>
            </w:r>
          </w:p>
        </w:tc>
        <w:tc>
          <w:tcPr>
            <w:tcW w:w="74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成都哆可梦网络科技有限公司，本公司持股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77.57%</w:t>
            </w:r>
            <w:r>
              <w:rPr>
                <w:rFonts w:ascii="宋体" w:hAnsi="宋体" w:cs="宋体" w:eastAsia="宋体" w:hint="default"/>
                <w:sz w:val="18"/>
                <w:szCs w:val="18"/>
              </w:rPr>
              <w:t>的控股子公司</w:t>
            </w:r>
          </w:p>
        </w:tc>
      </w:tr>
      <w:tr>
        <w:trPr>
          <w:trHeight w:val="404" w:hRule="exact"/>
        </w:trPr>
        <w:tc>
          <w:tcPr>
            <w:tcW w:w="201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本次重组、本次交易</w:t>
            </w:r>
          </w:p>
        </w:tc>
        <w:tc>
          <w:tcPr>
            <w:tcW w:w="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right"/>
              <w:rPr>
                <w:rFonts w:ascii="宋体" w:hAnsi="宋体" w:cs="宋体" w:eastAsia="宋体" w:hint="default"/>
                <w:sz w:val="18"/>
                <w:szCs w:val="18"/>
              </w:rPr>
            </w:pPr>
            <w:r>
              <w:rPr>
                <w:rFonts w:ascii="宋体" w:hAnsi="宋体" w:cs="宋体" w:eastAsia="宋体" w:hint="default"/>
                <w:sz w:val="18"/>
                <w:szCs w:val="18"/>
              </w:rPr>
              <w:t>指</w:t>
            </w:r>
          </w:p>
        </w:tc>
        <w:tc>
          <w:tcPr>
            <w:tcW w:w="74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公司支付现金购买哆可梦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77.57%</w:t>
            </w:r>
            <w:r>
              <w:rPr>
                <w:rFonts w:ascii="宋体" w:hAnsi="宋体" w:cs="宋体" w:eastAsia="宋体" w:hint="default"/>
                <w:sz w:val="18"/>
                <w:szCs w:val="18"/>
              </w:rPr>
              <w:t>股权事项</w:t>
            </w:r>
          </w:p>
        </w:tc>
      </w:tr>
      <w:tr>
        <w:trPr>
          <w:trHeight w:val="161" w:hRule="exact"/>
        </w:trPr>
        <w:tc>
          <w:tcPr>
            <w:tcW w:w="201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中汇同盈</w:t>
            </w:r>
          </w:p>
        </w:tc>
        <w:tc>
          <w:tcPr>
            <w:tcW w:w="2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440" w:type="dxa"/>
            <w:vMerge w:val="restart"/>
            <w:tcBorders>
              <w:top w:val="single" w:sz="4" w:space="0" w:color="000000"/>
              <w:left w:val="single" w:sz="10" w:space="0" w:color="D2D2D2"/>
              <w:right w:val="single" w:sz="4" w:space="0" w:color="000000"/>
            </w:tcBorders>
          </w:tcPr>
          <w:p>
            <w:pPr>
              <w:pStyle w:val="TableParagraph"/>
              <w:spacing w:line="316" w:lineRule="auto" w:before="49"/>
              <w:ind w:left="27" w:right="23"/>
              <w:jc w:val="left"/>
              <w:rPr>
                <w:rFonts w:ascii="宋体" w:hAnsi="宋体" w:cs="宋体" w:eastAsia="宋体" w:hint="default"/>
                <w:sz w:val="18"/>
                <w:szCs w:val="18"/>
              </w:rPr>
            </w:pPr>
            <w:r>
              <w:rPr>
                <w:rFonts w:ascii="宋体" w:hAnsi="宋体" w:cs="宋体" w:eastAsia="宋体" w:hint="default"/>
                <w:sz w:val="18"/>
                <w:szCs w:val="18"/>
              </w:rPr>
              <w:t>北京中汇同盈咨询服务有限公司，曾用名北京思泰德酒店管理有限公司、北京鼎同源科技有限 公司，北京中汇联银全资子公司，本公司间接控股子公司</w:t>
            </w:r>
          </w:p>
        </w:tc>
      </w:tr>
      <w:tr>
        <w:trPr>
          <w:trHeight w:val="391" w:hRule="exact"/>
        </w:trPr>
        <w:tc>
          <w:tcPr>
            <w:tcW w:w="2016" w:type="dxa"/>
            <w:vMerge/>
            <w:tcBorders>
              <w:left w:val="single" w:sz="4" w:space="0" w:color="000000"/>
              <w:right w:val="single" w:sz="9" w:space="0" w:color="D2D2D2"/>
            </w:tcBorders>
          </w:tcPr>
          <w:p>
            <w:pPr/>
          </w:p>
        </w:tc>
        <w:tc>
          <w:tcPr>
            <w:tcW w:w="2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8"/>
              <w:jc w:val="right"/>
              <w:rPr>
                <w:rFonts w:ascii="宋体" w:hAnsi="宋体" w:cs="宋体" w:eastAsia="宋体" w:hint="default"/>
                <w:sz w:val="18"/>
                <w:szCs w:val="18"/>
              </w:rPr>
            </w:pPr>
            <w:r>
              <w:rPr>
                <w:rFonts w:ascii="宋体" w:hAnsi="宋体" w:cs="宋体" w:eastAsia="宋体" w:hint="default"/>
                <w:sz w:val="18"/>
                <w:szCs w:val="18"/>
              </w:rPr>
              <w:t>指</w:t>
            </w:r>
          </w:p>
        </w:tc>
        <w:tc>
          <w:tcPr>
            <w:tcW w:w="7440" w:type="dxa"/>
            <w:vMerge/>
            <w:tcBorders>
              <w:left w:val="single" w:sz="10" w:space="0" w:color="D2D2D2"/>
              <w:right w:val="single" w:sz="4" w:space="0" w:color="000000"/>
            </w:tcBorders>
          </w:tcPr>
          <w:p>
            <w:pPr/>
          </w:p>
        </w:tc>
      </w:tr>
      <w:tr>
        <w:trPr>
          <w:trHeight w:val="161" w:hRule="exact"/>
        </w:trPr>
        <w:tc>
          <w:tcPr>
            <w:tcW w:w="2016" w:type="dxa"/>
            <w:vMerge/>
            <w:tcBorders>
              <w:left w:val="single" w:sz="4" w:space="0" w:color="000000"/>
              <w:bottom w:val="single" w:sz="4" w:space="0" w:color="000000"/>
              <w:right w:val="single" w:sz="9" w:space="0" w:color="D2D2D2"/>
            </w:tcBorders>
          </w:tcPr>
          <w:p>
            <w:pPr/>
          </w:p>
        </w:tc>
        <w:tc>
          <w:tcPr>
            <w:tcW w:w="2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440" w:type="dxa"/>
            <w:vMerge/>
            <w:tcBorders>
              <w:left w:val="single" w:sz="10" w:space="0" w:color="D2D2D2"/>
              <w:bottom w:val="single" w:sz="4" w:space="0" w:color="000000"/>
              <w:right w:val="single" w:sz="4" w:space="0" w:color="000000"/>
            </w:tcBorders>
          </w:tcPr>
          <w:p>
            <w:pPr/>
          </w:p>
        </w:tc>
      </w:tr>
      <w:tr>
        <w:trPr>
          <w:trHeight w:val="403" w:hRule="exact"/>
        </w:trPr>
        <w:tc>
          <w:tcPr>
            <w:tcW w:w="201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中行置盛</w:t>
            </w:r>
          </w:p>
        </w:tc>
        <w:tc>
          <w:tcPr>
            <w:tcW w:w="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right"/>
              <w:rPr>
                <w:rFonts w:ascii="宋体" w:hAnsi="宋体" w:cs="宋体" w:eastAsia="宋体" w:hint="default"/>
                <w:sz w:val="18"/>
                <w:szCs w:val="18"/>
              </w:rPr>
            </w:pPr>
            <w:r>
              <w:rPr>
                <w:rFonts w:ascii="宋体" w:hAnsi="宋体" w:cs="宋体" w:eastAsia="宋体" w:hint="default"/>
                <w:sz w:val="18"/>
                <w:szCs w:val="18"/>
              </w:rPr>
              <w:t>指</w:t>
            </w:r>
          </w:p>
        </w:tc>
        <w:tc>
          <w:tcPr>
            <w:tcW w:w="74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中行置盛投资（北京）有限公司，北京中汇联银全资子公司，本公司间接控股子公司</w:t>
            </w:r>
          </w:p>
        </w:tc>
      </w:tr>
      <w:tr>
        <w:trPr>
          <w:trHeight w:val="401" w:hRule="exact"/>
        </w:trPr>
        <w:tc>
          <w:tcPr>
            <w:tcW w:w="201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中融建银</w:t>
            </w:r>
          </w:p>
        </w:tc>
        <w:tc>
          <w:tcPr>
            <w:tcW w:w="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right"/>
              <w:rPr>
                <w:rFonts w:ascii="宋体" w:hAnsi="宋体" w:cs="宋体" w:eastAsia="宋体" w:hint="default"/>
                <w:sz w:val="18"/>
                <w:szCs w:val="18"/>
              </w:rPr>
            </w:pPr>
            <w:r>
              <w:rPr>
                <w:rFonts w:ascii="宋体" w:hAnsi="宋体" w:cs="宋体" w:eastAsia="宋体" w:hint="default"/>
                <w:sz w:val="18"/>
                <w:szCs w:val="18"/>
              </w:rPr>
              <w:t>指</w:t>
            </w:r>
          </w:p>
        </w:tc>
        <w:tc>
          <w:tcPr>
            <w:tcW w:w="74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中融建银投资（北京）有限公司，北京中汇联银全资子公司，本公司间接控股子公司</w:t>
            </w:r>
          </w:p>
        </w:tc>
      </w:tr>
      <w:tr>
        <w:trPr>
          <w:trHeight w:val="403" w:hRule="exact"/>
        </w:trPr>
        <w:tc>
          <w:tcPr>
            <w:tcW w:w="201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豪琛投资</w:t>
            </w:r>
          </w:p>
        </w:tc>
        <w:tc>
          <w:tcPr>
            <w:tcW w:w="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right"/>
              <w:rPr>
                <w:rFonts w:ascii="宋体" w:hAnsi="宋体" w:cs="宋体" w:eastAsia="宋体" w:hint="default"/>
                <w:sz w:val="18"/>
                <w:szCs w:val="18"/>
              </w:rPr>
            </w:pPr>
            <w:r>
              <w:rPr>
                <w:rFonts w:ascii="宋体" w:hAnsi="宋体" w:cs="宋体" w:eastAsia="宋体" w:hint="default"/>
                <w:sz w:val="18"/>
                <w:szCs w:val="18"/>
              </w:rPr>
              <w:t>指</w:t>
            </w:r>
          </w:p>
        </w:tc>
        <w:tc>
          <w:tcPr>
            <w:tcW w:w="74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豪琛投资管理（上海）有限公司，北京中汇联银全资子公司，本公司间接控股子公司</w:t>
            </w:r>
          </w:p>
        </w:tc>
      </w:tr>
      <w:tr>
        <w:trPr>
          <w:trHeight w:val="401" w:hRule="exact"/>
        </w:trPr>
        <w:tc>
          <w:tcPr>
            <w:tcW w:w="201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鹏胤投资</w:t>
            </w:r>
          </w:p>
        </w:tc>
        <w:tc>
          <w:tcPr>
            <w:tcW w:w="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right"/>
              <w:rPr>
                <w:rFonts w:ascii="宋体" w:hAnsi="宋体" w:cs="宋体" w:eastAsia="宋体" w:hint="default"/>
                <w:sz w:val="18"/>
                <w:szCs w:val="18"/>
              </w:rPr>
            </w:pPr>
            <w:r>
              <w:rPr>
                <w:rFonts w:ascii="宋体" w:hAnsi="宋体" w:cs="宋体" w:eastAsia="宋体" w:hint="default"/>
                <w:sz w:val="18"/>
                <w:szCs w:val="18"/>
              </w:rPr>
              <w:t>指</w:t>
            </w:r>
          </w:p>
        </w:tc>
        <w:tc>
          <w:tcPr>
            <w:tcW w:w="74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鹏胤投资管理（上海）有限公司，北京中汇联银全资子公司，本公司间接控股子公司</w:t>
            </w:r>
          </w:p>
        </w:tc>
      </w:tr>
      <w:tr>
        <w:trPr>
          <w:trHeight w:val="403" w:hRule="exact"/>
        </w:trPr>
        <w:tc>
          <w:tcPr>
            <w:tcW w:w="201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吉乾科技</w:t>
            </w:r>
          </w:p>
        </w:tc>
        <w:tc>
          <w:tcPr>
            <w:tcW w:w="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right"/>
              <w:rPr>
                <w:rFonts w:ascii="宋体" w:hAnsi="宋体" w:cs="宋体" w:eastAsia="宋体" w:hint="default"/>
                <w:sz w:val="18"/>
                <w:szCs w:val="18"/>
              </w:rPr>
            </w:pPr>
            <w:r>
              <w:rPr>
                <w:rFonts w:ascii="宋体" w:hAnsi="宋体" w:cs="宋体" w:eastAsia="宋体" w:hint="default"/>
                <w:sz w:val="18"/>
                <w:szCs w:val="18"/>
              </w:rPr>
              <w:t>指</w:t>
            </w:r>
          </w:p>
        </w:tc>
        <w:tc>
          <w:tcPr>
            <w:tcW w:w="74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成都吉乾科技有限公司，哆可梦全资子公司，本公司间接控股子公司</w:t>
            </w:r>
          </w:p>
        </w:tc>
      </w:tr>
      <w:tr>
        <w:trPr>
          <w:trHeight w:val="401" w:hRule="exact"/>
        </w:trPr>
        <w:tc>
          <w:tcPr>
            <w:tcW w:w="201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旭梅网络</w:t>
            </w:r>
          </w:p>
        </w:tc>
        <w:tc>
          <w:tcPr>
            <w:tcW w:w="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right"/>
              <w:rPr>
                <w:rFonts w:ascii="宋体" w:hAnsi="宋体" w:cs="宋体" w:eastAsia="宋体" w:hint="default"/>
                <w:sz w:val="18"/>
                <w:szCs w:val="18"/>
              </w:rPr>
            </w:pPr>
            <w:r>
              <w:rPr>
                <w:rFonts w:ascii="宋体" w:hAnsi="宋体" w:cs="宋体" w:eastAsia="宋体" w:hint="default"/>
                <w:sz w:val="18"/>
                <w:szCs w:val="18"/>
              </w:rPr>
              <w:t>指</w:t>
            </w:r>
          </w:p>
        </w:tc>
        <w:tc>
          <w:tcPr>
            <w:tcW w:w="74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上海旭梅网络科技有限公司，哆可梦全资子公司，本公司间接控股子公司</w:t>
            </w:r>
          </w:p>
        </w:tc>
      </w:tr>
      <w:tr>
        <w:trPr>
          <w:trHeight w:val="403" w:hRule="exact"/>
        </w:trPr>
        <w:tc>
          <w:tcPr>
            <w:tcW w:w="201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华向文化</w:t>
            </w:r>
          </w:p>
        </w:tc>
        <w:tc>
          <w:tcPr>
            <w:tcW w:w="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right"/>
              <w:rPr>
                <w:rFonts w:ascii="宋体" w:hAnsi="宋体" w:cs="宋体" w:eastAsia="宋体" w:hint="default"/>
                <w:sz w:val="18"/>
                <w:szCs w:val="18"/>
              </w:rPr>
            </w:pPr>
            <w:r>
              <w:rPr>
                <w:rFonts w:ascii="宋体" w:hAnsi="宋体" w:cs="宋体" w:eastAsia="宋体" w:hint="default"/>
                <w:sz w:val="18"/>
                <w:szCs w:val="18"/>
              </w:rPr>
              <w:t>指</w:t>
            </w:r>
          </w:p>
        </w:tc>
        <w:tc>
          <w:tcPr>
            <w:tcW w:w="74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上海华向文化传播有限公司，哆可梦全资子公司，本公司间接控股子公司</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57.220001pt;margin-top:128.299988pt;width:11.308874pt;height:35.25pt;mso-position-horizontal-relative:page;mso-position-vertical-relative:page;z-index:1096" type="#_x0000_t75" stroked="false">
            <v:imagedata r:id="rId9" o:title=""/>
          </v:shape>
        </w:pict>
      </w:r>
      <w:r>
        <w:rPr/>
        <w:pict>
          <v:shape style="position:absolute;margin-left:157.220001pt;margin-top:164.059982pt;width:11.308874pt;height:35.25pt;mso-position-horizontal-relative:page;mso-position-vertical-relative:page;z-index:1120" type="#_x0000_t75" stroked="false">
            <v:imagedata r:id="rId9" o:title=""/>
          </v:shape>
        </w:pict>
      </w:r>
      <w:r>
        <w:rPr/>
        <w:pict>
          <v:shape style="position:absolute;margin-left:157.220001pt;margin-top:255.529984pt;width:11.308874pt;height:35.25pt;mso-position-horizontal-relative:page;mso-position-vertical-relative:page;z-index:1144" type="#_x0000_t75" stroked="false">
            <v:imagedata r:id="rId9" o:title=""/>
          </v:shape>
        </w:pict>
      </w:r>
      <w:r>
        <w:rPr/>
        <w:pict>
          <v:shape style="position:absolute;margin-left:157.220001pt;margin-top:291.289978pt;width:11.188567pt;height:34.875pt;mso-position-horizontal-relative:page;mso-position-vertical-relative:page;z-index:1168" type="#_x0000_t75" stroked="false">
            <v:imagedata r:id="rId10" o:title=""/>
          </v:shape>
        </w:pict>
      </w:r>
      <w:r>
        <w:rPr/>
        <w:pict>
          <v:shape style="position:absolute;margin-left:157.220001pt;margin-top:594.940002pt;width:11.308874pt;height:35.25pt;mso-position-horizontal-relative:page;mso-position-vertical-relative:page;z-index:1192" type="#_x0000_t75" stroked="false">
            <v:imagedata r:id="rId9" o:title=""/>
          </v:shape>
        </w:pict>
      </w:r>
      <w:r>
        <w:rPr/>
        <w:pict>
          <v:shape style="position:absolute;margin-left:157.220001pt;margin-top:630.579956pt;width:11.308874pt;height:35.25pt;mso-position-horizontal-relative:page;mso-position-vertical-relative:page;z-index:1216" type="#_x0000_t75" stroked="false">
            <v:imagedata r:id="rId9" o:titl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004"/>
        <w:gridCol w:w="235"/>
        <w:gridCol w:w="7430"/>
      </w:tblGrid>
      <w:tr>
        <w:trPr>
          <w:trHeight w:val="401" w:hRule="exact"/>
        </w:trPr>
        <w:tc>
          <w:tcPr>
            <w:tcW w:w="200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游湛网络</w:t>
            </w:r>
          </w:p>
        </w:tc>
        <w:tc>
          <w:tcPr>
            <w:tcW w:w="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指</w:t>
            </w:r>
          </w:p>
        </w:tc>
        <w:tc>
          <w:tcPr>
            <w:tcW w:w="7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上海游湛网络科技有限公司，哆可梦全资子公司，本公司间接控股子公司</w:t>
            </w:r>
          </w:p>
        </w:tc>
      </w:tr>
      <w:tr>
        <w:trPr>
          <w:trHeight w:val="163" w:hRule="exact"/>
        </w:trPr>
        <w:tc>
          <w:tcPr>
            <w:tcW w:w="2004" w:type="dxa"/>
            <w:vMerge w:val="restart"/>
            <w:tcBorders>
              <w:top w:val="single" w:sz="4" w:space="0" w:color="000000"/>
              <w:left w:val="single" w:sz="4" w:space="0" w:color="000000"/>
              <w:right w:val="single" w:sz="9" w:space="0" w:color="D2D2D2"/>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璿游网络</w:t>
            </w:r>
          </w:p>
        </w:tc>
        <w:tc>
          <w:tcPr>
            <w:tcW w:w="2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430" w:type="dxa"/>
            <w:vMerge w:val="restart"/>
            <w:tcBorders>
              <w:top w:val="single" w:sz="4" w:space="0" w:color="000000"/>
              <w:left w:val="single" w:sz="10" w:space="0" w:color="D2D2D2"/>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霍尔果斯璿游网络科技有限公司，哆可梦全资子公司，本公司间接控股子公司，经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240" w:lineRule="auto" w:before="60"/>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日公司第六届董事会第六次会议审议批准，公司拟注销璿游网络</w:t>
            </w:r>
          </w:p>
        </w:tc>
      </w:tr>
      <w:tr>
        <w:trPr>
          <w:trHeight w:val="391" w:hRule="exact"/>
        </w:trPr>
        <w:tc>
          <w:tcPr>
            <w:tcW w:w="2004" w:type="dxa"/>
            <w:vMerge/>
            <w:tcBorders>
              <w:left w:val="single" w:sz="4" w:space="0" w:color="000000"/>
              <w:right w:val="single" w:sz="9" w:space="0" w:color="D2D2D2"/>
            </w:tcBorders>
          </w:tcPr>
          <w:p>
            <w:pPr/>
          </w:p>
        </w:tc>
        <w:tc>
          <w:tcPr>
            <w:tcW w:w="2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指</w:t>
            </w:r>
          </w:p>
        </w:tc>
        <w:tc>
          <w:tcPr>
            <w:tcW w:w="7430" w:type="dxa"/>
            <w:vMerge/>
            <w:tcBorders>
              <w:left w:val="single" w:sz="10" w:space="0" w:color="D2D2D2"/>
              <w:right w:val="single" w:sz="4" w:space="0" w:color="000000"/>
            </w:tcBorders>
          </w:tcPr>
          <w:p>
            <w:pPr/>
          </w:p>
        </w:tc>
      </w:tr>
      <w:tr>
        <w:trPr>
          <w:trHeight w:val="161" w:hRule="exact"/>
        </w:trPr>
        <w:tc>
          <w:tcPr>
            <w:tcW w:w="2004" w:type="dxa"/>
            <w:vMerge/>
            <w:tcBorders>
              <w:left w:val="single" w:sz="4" w:space="0" w:color="000000"/>
              <w:bottom w:val="single" w:sz="4" w:space="0" w:color="000000"/>
              <w:right w:val="single" w:sz="9" w:space="0" w:color="D2D2D2"/>
            </w:tcBorders>
          </w:tcPr>
          <w:p>
            <w:pPr/>
          </w:p>
        </w:tc>
        <w:tc>
          <w:tcPr>
            <w:tcW w:w="2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430" w:type="dxa"/>
            <w:vMerge/>
            <w:tcBorders>
              <w:left w:val="single" w:sz="10" w:space="0" w:color="D2D2D2"/>
              <w:bottom w:val="single" w:sz="4" w:space="0" w:color="000000"/>
              <w:right w:val="single" w:sz="4" w:space="0" w:color="000000"/>
            </w:tcBorders>
          </w:tcPr>
          <w:p>
            <w:pPr/>
          </w:p>
        </w:tc>
      </w:tr>
      <w:tr>
        <w:trPr>
          <w:trHeight w:val="713"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乐珩网络</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指</w:t>
            </w:r>
          </w:p>
        </w:tc>
        <w:tc>
          <w:tcPr>
            <w:tcW w:w="7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霍尔果斯乐珩网络科技有限公司，哆可梦全资子公司，本公司间接控股子公司，经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日公司第六届董事会第六次会议审议批准，公司拟注销璿游网络</w:t>
            </w:r>
          </w:p>
        </w:tc>
      </w:tr>
      <w:tr>
        <w:trPr>
          <w:trHeight w:val="715"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pacing w:val="-3"/>
                <w:sz w:val="18"/>
                <w:szCs w:val="18"/>
              </w:rPr>
              <w:t>产业并购基金、信中利赞</w:t>
            </w:r>
            <w:r>
              <w:rPr>
                <w:rFonts w:ascii="宋体" w:hAnsi="宋体" w:cs="宋体" w:eastAsia="宋体" w:hint="default"/>
                <w:sz w:val="18"/>
                <w:szCs w:val="18"/>
              </w:rPr>
              <w:t> 信</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指</w:t>
            </w:r>
          </w:p>
        </w:tc>
        <w:tc>
          <w:tcPr>
            <w:tcW w:w="7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北京信中利赞信股权投资中心（有限合伙</w:t>
            </w:r>
            <w:r>
              <w:rPr>
                <w:rFonts w:ascii="宋体" w:hAnsi="宋体" w:cs="宋体" w:eastAsia="宋体" w:hint="default"/>
                <w:spacing w:val="-92"/>
                <w:sz w:val="18"/>
                <w:szCs w:val="18"/>
              </w:rPr>
              <w:t>）</w:t>
            </w:r>
            <w:r>
              <w:rPr>
                <w:rFonts w:ascii="宋体" w:hAnsi="宋体" w:cs="宋体" w:eastAsia="宋体" w:hint="default"/>
                <w:sz w:val="18"/>
                <w:szCs w:val="18"/>
              </w:rPr>
              <w:t>，本公司参股企业</w:t>
            </w:r>
          </w:p>
        </w:tc>
      </w:tr>
      <w:tr>
        <w:trPr>
          <w:trHeight w:val="401" w:hRule="exact"/>
        </w:trPr>
        <w:tc>
          <w:tcPr>
            <w:tcW w:w="200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永耀惠程</w:t>
            </w:r>
          </w:p>
        </w:tc>
        <w:tc>
          <w:tcPr>
            <w:tcW w:w="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指</w:t>
            </w:r>
          </w:p>
        </w:tc>
        <w:tc>
          <w:tcPr>
            <w:tcW w:w="7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宁波永耀惠程电力科技有限公司，本公司参股企业</w:t>
            </w:r>
          </w:p>
        </w:tc>
      </w:tr>
      <w:tr>
        <w:trPr>
          <w:trHeight w:val="163" w:hRule="exact"/>
        </w:trPr>
        <w:tc>
          <w:tcPr>
            <w:tcW w:w="2004" w:type="dxa"/>
            <w:vMerge w:val="restart"/>
            <w:tcBorders>
              <w:top w:val="single" w:sz="4" w:space="0" w:color="000000"/>
              <w:left w:val="single" w:sz="4" w:space="0" w:color="000000"/>
              <w:right w:val="single" w:sz="9" w:space="0" w:color="D2D2D2"/>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海南奇遇</w:t>
            </w:r>
          </w:p>
        </w:tc>
        <w:tc>
          <w:tcPr>
            <w:tcW w:w="2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430" w:type="dxa"/>
            <w:vMerge w:val="restart"/>
            <w:tcBorders>
              <w:top w:val="single" w:sz="4" w:space="0" w:color="000000"/>
              <w:left w:val="single" w:sz="10" w:space="0" w:color="D2D2D2"/>
              <w:right w:val="single" w:sz="4" w:space="0" w:color="000000"/>
            </w:tcBorders>
          </w:tcPr>
          <w:p>
            <w:pPr>
              <w:pStyle w:val="TableParagraph"/>
              <w:spacing w:line="297" w:lineRule="auto" w:before="51"/>
              <w:ind w:left="16" w:right="22"/>
              <w:jc w:val="left"/>
              <w:rPr>
                <w:rFonts w:ascii="宋体" w:hAnsi="宋体" w:cs="宋体" w:eastAsia="宋体" w:hint="default"/>
                <w:sz w:val="18"/>
                <w:szCs w:val="18"/>
              </w:rPr>
            </w:pPr>
            <w:r>
              <w:rPr>
                <w:rFonts w:ascii="宋体" w:hAnsi="宋体" w:cs="宋体" w:eastAsia="宋体" w:hint="default"/>
                <w:sz w:val="18"/>
                <w:szCs w:val="18"/>
              </w:rPr>
              <w:t>海南奇遇天下网络科技有限公司，报告期内喀什中汇联银曾持股</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的参股公司，截至报告期 末喀什中汇联银已不持有海南奇遇股权</w:t>
            </w:r>
          </w:p>
        </w:tc>
      </w:tr>
      <w:tr>
        <w:trPr>
          <w:trHeight w:val="392" w:hRule="exact"/>
        </w:trPr>
        <w:tc>
          <w:tcPr>
            <w:tcW w:w="2004" w:type="dxa"/>
            <w:vMerge/>
            <w:tcBorders>
              <w:left w:val="single" w:sz="4" w:space="0" w:color="000000"/>
              <w:right w:val="single" w:sz="9" w:space="0" w:color="D2D2D2"/>
            </w:tcBorders>
          </w:tcPr>
          <w:p>
            <w:pPr/>
          </w:p>
        </w:tc>
        <w:tc>
          <w:tcPr>
            <w:tcW w:w="2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指</w:t>
            </w:r>
          </w:p>
        </w:tc>
        <w:tc>
          <w:tcPr>
            <w:tcW w:w="7430" w:type="dxa"/>
            <w:vMerge/>
            <w:tcBorders>
              <w:left w:val="single" w:sz="10" w:space="0" w:color="D2D2D2"/>
              <w:right w:val="single" w:sz="4" w:space="0" w:color="000000"/>
            </w:tcBorders>
          </w:tcPr>
          <w:p>
            <w:pPr/>
          </w:p>
        </w:tc>
      </w:tr>
      <w:tr>
        <w:trPr>
          <w:trHeight w:val="161" w:hRule="exact"/>
        </w:trPr>
        <w:tc>
          <w:tcPr>
            <w:tcW w:w="2004" w:type="dxa"/>
            <w:vMerge/>
            <w:tcBorders>
              <w:left w:val="single" w:sz="4" w:space="0" w:color="000000"/>
              <w:bottom w:val="single" w:sz="4" w:space="0" w:color="000000"/>
              <w:right w:val="single" w:sz="9" w:space="0" w:color="D2D2D2"/>
            </w:tcBorders>
          </w:tcPr>
          <w:p>
            <w:pPr/>
          </w:p>
        </w:tc>
        <w:tc>
          <w:tcPr>
            <w:tcW w:w="2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430" w:type="dxa"/>
            <w:vMerge/>
            <w:tcBorders>
              <w:left w:val="single" w:sz="10" w:space="0" w:color="D2D2D2"/>
              <w:bottom w:val="single" w:sz="4" w:space="0" w:color="000000"/>
              <w:right w:val="single" w:sz="4" w:space="0" w:color="000000"/>
            </w:tcBorders>
          </w:tcPr>
          <w:p>
            <w:pPr/>
          </w:p>
        </w:tc>
      </w:tr>
      <w:tr>
        <w:trPr>
          <w:trHeight w:val="713"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爱酷游</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指</w:t>
            </w:r>
          </w:p>
        </w:tc>
        <w:tc>
          <w:tcPr>
            <w:tcW w:w="7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北京爱酷游科技股份有限公司（证券简称：爱酷游，证券代码</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83</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2"/>
                <w:sz w:val="18"/>
                <w:szCs w:val="18"/>
              </w:rPr>
              <w:t>9</w:t>
            </w:r>
            <w:r>
              <w:rPr>
                <w:rFonts w:ascii="宋体" w:hAnsi="宋体" w:cs="宋体" w:eastAsia="宋体" w:hint="default"/>
                <w:spacing w:val="-92"/>
                <w:sz w:val="18"/>
                <w:szCs w:val="18"/>
              </w:rPr>
              <w:t>）</w:t>
            </w:r>
            <w:r>
              <w:rPr>
                <w:rFonts w:ascii="宋体" w:hAnsi="宋体" w:cs="宋体" w:eastAsia="宋体" w:hint="default"/>
                <w:sz w:val="18"/>
                <w:szCs w:val="18"/>
              </w:rPr>
              <w:t>，喀什中汇联银持股</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的参股公司</w:t>
            </w:r>
          </w:p>
        </w:tc>
      </w:tr>
      <w:tr>
        <w:trPr>
          <w:trHeight w:val="715"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九立方</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指</w:t>
            </w:r>
          </w:p>
        </w:tc>
        <w:tc>
          <w:tcPr>
            <w:tcW w:w="743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34"/>
              <w:jc w:val="left"/>
              <w:rPr>
                <w:rFonts w:ascii="宋体" w:hAnsi="宋体" w:cs="宋体" w:eastAsia="宋体" w:hint="default"/>
                <w:sz w:val="18"/>
                <w:szCs w:val="18"/>
              </w:rPr>
            </w:pPr>
            <w:r>
              <w:rPr>
                <w:rFonts w:ascii="宋体" w:hAnsi="宋体" w:cs="宋体" w:eastAsia="宋体" w:hint="default"/>
                <w:sz w:val="18"/>
                <w:szCs w:val="18"/>
              </w:rPr>
              <w:t>北京九立方投资管理有限公司，原名</w:t>
            </w:r>
            <w:r>
              <w:rPr>
                <w:rFonts w:ascii="Times New Roman" w:hAnsi="Times New Roman" w:cs="Times New Roman" w:eastAsia="Times New Roman" w:hint="default"/>
                <w:sz w:val="18"/>
                <w:szCs w:val="18"/>
              </w:rPr>
              <w:t>“</w:t>
            </w:r>
            <w:r>
              <w:rPr>
                <w:rFonts w:ascii="宋体" w:hAnsi="宋体" w:cs="宋体" w:eastAsia="宋体" w:hint="default"/>
                <w:sz w:val="18"/>
                <w:szCs w:val="18"/>
              </w:rPr>
              <w:t>北京博利恒投资管理有限公司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，公司控股股东中驰惠程 的一致行动人田勇先生控制的公司，系公司关联方</w:t>
            </w:r>
          </w:p>
        </w:tc>
      </w:tr>
      <w:tr>
        <w:trPr>
          <w:trHeight w:val="401" w:hRule="exact"/>
        </w:trPr>
        <w:tc>
          <w:tcPr>
            <w:tcW w:w="200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宁夏和中</w:t>
            </w:r>
          </w:p>
        </w:tc>
        <w:tc>
          <w:tcPr>
            <w:tcW w:w="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指</w:t>
            </w:r>
          </w:p>
        </w:tc>
        <w:tc>
          <w:tcPr>
            <w:tcW w:w="7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宁夏和中股权投资管理合伙企业（有限合伙</w:t>
            </w:r>
            <w:r>
              <w:rPr>
                <w:rFonts w:ascii="宋体" w:hAnsi="宋体" w:cs="宋体" w:eastAsia="宋体" w:hint="default"/>
                <w:spacing w:val="-92"/>
                <w:sz w:val="18"/>
                <w:szCs w:val="18"/>
              </w:rPr>
              <w:t>）</w:t>
            </w:r>
            <w:r>
              <w:rPr>
                <w:rFonts w:ascii="宋体" w:hAnsi="宋体" w:cs="宋体" w:eastAsia="宋体" w:hint="default"/>
                <w:sz w:val="18"/>
                <w:szCs w:val="18"/>
              </w:rPr>
              <w:t>，公司收购哆</w:t>
            </w:r>
            <w:r>
              <w:rPr>
                <w:rFonts w:ascii="宋体" w:hAnsi="宋体" w:cs="宋体" w:eastAsia="宋体" w:hint="default"/>
                <w:spacing w:val="2"/>
                <w:sz w:val="18"/>
                <w:szCs w:val="18"/>
              </w:rPr>
              <w:t>可</w:t>
            </w:r>
            <w:r>
              <w:rPr>
                <w:rFonts w:ascii="宋体" w:hAnsi="宋体" w:cs="宋体" w:eastAsia="宋体" w:hint="default"/>
                <w:sz w:val="18"/>
                <w:szCs w:val="18"/>
              </w:rPr>
              <w:t>梦</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77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57</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股权的交易对方之一</w:t>
            </w:r>
          </w:p>
        </w:tc>
      </w:tr>
      <w:tr>
        <w:trPr>
          <w:trHeight w:val="403" w:hRule="exact"/>
        </w:trPr>
        <w:tc>
          <w:tcPr>
            <w:tcW w:w="200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国金凯撒</w:t>
            </w:r>
          </w:p>
        </w:tc>
        <w:tc>
          <w:tcPr>
            <w:tcW w:w="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z w:val="18"/>
                <w:szCs w:val="18"/>
              </w:rPr>
              <w:t>指</w:t>
            </w:r>
          </w:p>
        </w:tc>
        <w:tc>
          <w:tcPr>
            <w:tcW w:w="7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深圳国金凯撒创业投资企业（有限合伙</w:t>
            </w:r>
            <w:r>
              <w:rPr>
                <w:rFonts w:ascii="宋体" w:hAnsi="宋体" w:cs="宋体" w:eastAsia="宋体" w:hint="default"/>
                <w:spacing w:val="-92"/>
                <w:sz w:val="18"/>
                <w:szCs w:val="18"/>
              </w:rPr>
              <w:t>）</w:t>
            </w:r>
            <w:r>
              <w:rPr>
                <w:rFonts w:ascii="宋体" w:hAnsi="宋体" w:cs="宋体" w:eastAsia="宋体" w:hint="default"/>
                <w:sz w:val="18"/>
                <w:szCs w:val="18"/>
              </w:rPr>
              <w:t>，公司收购哆可梦</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77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股权的交易对方之一</w:t>
            </w:r>
          </w:p>
        </w:tc>
      </w:tr>
      <w:tr>
        <w:trPr>
          <w:trHeight w:val="401" w:hRule="exact"/>
        </w:trPr>
        <w:tc>
          <w:tcPr>
            <w:tcW w:w="200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深圳岚悦</w:t>
            </w:r>
          </w:p>
        </w:tc>
        <w:tc>
          <w:tcPr>
            <w:tcW w:w="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指</w:t>
            </w:r>
          </w:p>
        </w:tc>
        <w:tc>
          <w:tcPr>
            <w:tcW w:w="7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深圳市岚悦网络科技有限公司，公司收购哆可梦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77.57%</w:t>
            </w:r>
            <w:r>
              <w:rPr>
                <w:rFonts w:ascii="宋体" w:hAnsi="宋体" w:cs="宋体" w:eastAsia="宋体" w:hint="default"/>
                <w:sz w:val="18"/>
                <w:szCs w:val="18"/>
              </w:rPr>
              <w:t>股权的交易对方之一</w:t>
            </w:r>
          </w:p>
        </w:tc>
      </w:tr>
      <w:tr>
        <w:trPr>
          <w:trHeight w:val="403" w:hRule="exact"/>
        </w:trPr>
        <w:tc>
          <w:tcPr>
            <w:tcW w:w="200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完美软件科技</w:t>
            </w:r>
          </w:p>
        </w:tc>
        <w:tc>
          <w:tcPr>
            <w:tcW w:w="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z w:val="18"/>
                <w:szCs w:val="18"/>
              </w:rPr>
              <w:t>指</w:t>
            </w:r>
          </w:p>
        </w:tc>
        <w:tc>
          <w:tcPr>
            <w:tcW w:w="7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完美世界（北京）软件科技发展有限公司，公司收购哆可梦</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77.57%</w:t>
            </w:r>
            <w:r>
              <w:rPr>
                <w:rFonts w:ascii="宋体" w:hAnsi="宋体" w:cs="宋体" w:eastAsia="宋体" w:hint="default"/>
                <w:sz w:val="18"/>
                <w:szCs w:val="18"/>
              </w:rPr>
              <w:t>股权的交易对方之一</w:t>
            </w:r>
          </w:p>
        </w:tc>
      </w:tr>
      <w:tr>
        <w:trPr>
          <w:trHeight w:val="401" w:hRule="exact"/>
        </w:trPr>
        <w:tc>
          <w:tcPr>
            <w:tcW w:w="200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指</w:t>
            </w:r>
          </w:p>
        </w:tc>
        <w:tc>
          <w:tcPr>
            <w:tcW w:w="7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200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深圳证监局</w:t>
            </w:r>
          </w:p>
        </w:tc>
        <w:tc>
          <w:tcPr>
            <w:tcW w:w="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z w:val="18"/>
                <w:szCs w:val="18"/>
              </w:rPr>
              <w:t>指</w:t>
            </w:r>
          </w:p>
        </w:tc>
        <w:tc>
          <w:tcPr>
            <w:tcW w:w="7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中国证券监督管理委员会深圳监管局</w:t>
            </w:r>
          </w:p>
        </w:tc>
      </w:tr>
      <w:tr>
        <w:trPr>
          <w:trHeight w:val="401" w:hRule="exact"/>
        </w:trPr>
        <w:tc>
          <w:tcPr>
            <w:tcW w:w="200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指</w:t>
            </w:r>
          </w:p>
        </w:tc>
        <w:tc>
          <w:tcPr>
            <w:tcW w:w="7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00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中登公司</w:t>
            </w:r>
          </w:p>
        </w:tc>
        <w:tc>
          <w:tcPr>
            <w:tcW w:w="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z w:val="18"/>
                <w:szCs w:val="18"/>
              </w:rPr>
              <w:t>指</w:t>
            </w:r>
          </w:p>
        </w:tc>
        <w:tc>
          <w:tcPr>
            <w:tcW w:w="7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中国证券登记结算有限责任公司深圳分公司</w:t>
            </w:r>
          </w:p>
        </w:tc>
      </w:tr>
      <w:tr>
        <w:trPr>
          <w:trHeight w:val="401" w:hRule="exact"/>
        </w:trPr>
        <w:tc>
          <w:tcPr>
            <w:tcW w:w="200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会计师</w:t>
            </w:r>
          </w:p>
        </w:tc>
        <w:tc>
          <w:tcPr>
            <w:tcW w:w="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指</w:t>
            </w:r>
          </w:p>
        </w:tc>
        <w:tc>
          <w:tcPr>
            <w:tcW w:w="7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上会会计师事务所（特殊普通合伙</w:t>
            </w:r>
            <w:r>
              <w:rPr>
                <w:rFonts w:ascii="宋体" w:hAnsi="宋体" w:cs="宋体" w:eastAsia="宋体" w:hint="default"/>
                <w:spacing w:val="-92"/>
                <w:sz w:val="18"/>
                <w:szCs w:val="18"/>
              </w:rPr>
              <w:t>）</w:t>
            </w:r>
            <w:r>
              <w:rPr>
                <w:rFonts w:ascii="宋体" w:hAnsi="宋体" w:cs="宋体" w:eastAsia="宋体" w:hint="default"/>
                <w:sz w:val="18"/>
                <w:szCs w:val="18"/>
              </w:rPr>
              <w:t>，本公司所聘年审会计</w:t>
            </w:r>
            <w:r>
              <w:rPr>
                <w:rFonts w:ascii="宋体" w:hAnsi="宋体" w:cs="宋体" w:eastAsia="宋体" w:hint="default"/>
                <w:spacing w:val="2"/>
                <w:sz w:val="18"/>
                <w:szCs w:val="18"/>
              </w:rPr>
              <w:t>师</w:t>
            </w:r>
            <w:r>
              <w:rPr>
                <w:rFonts w:ascii="宋体" w:hAnsi="宋体" w:cs="宋体" w:eastAsia="宋体" w:hint="default"/>
                <w:sz w:val="18"/>
                <w:szCs w:val="18"/>
              </w:rPr>
              <w:t>事务所</w:t>
            </w:r>
          </w:p>
        </w:tc>
      </w:tr>
      <w:tr>
        <w:trPr>
          <w:trHeight w:val="163" w:hRule="exact"/>
        </w:trPr>
        <w:tc>
          <w:tcPr>
            <w:tcW w:w="2004" w:type="dxa"/>
            <w:vMerge w:val="restart"/>
            <w:tcBorders>
              <w:top w:val="single" w:sz="4" w:space="0" w:color="000000"/>
              <w:left w:val="single" w:sz="4" w:space="0" w:color="000000"/>
              <w:right w:val="single" w:sz="9" w:space="0" w:color="D2D2D2"/>
            </w:tcBorders>
          </w:tcPr>
          <w:p>
            <w:pPr>
              <w:pStyle w:val="TableParagraph"/>
              <w:spacing w:line="297" w:lineRule="auto" w:before="51"/>
              <w:ind w:left="24" w:right="114"/>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年第一期股权激励 计划</w:t>
            </w:r>
          </w:p>
        </w:tc>
        <w:tc>
          <w:tcPr>
            <w:tcW w:w="2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430" w:type="dxa"/>
            <w:vMerge w:val="restart"/>
            <w:tcBorders>
              <w:top w:val="single" w:sz="4" w:space="0" w:color="000000"/>
              <w:left w:val="single" w:sz="10" w:space="0" w:color="D2D2D2"/>
              <w:right w:val="single" w:sz="4" w:space="0" w:color="000000"/>
            </w:tcBorders>
          </w:tcPr>
          <w:p>
            <w:pPr>
              <w:pStyle w:val="TableParagraph"/>
              <w:spacing w:line="297" w:lineRule="auto" w:before="51"/>
              <w:ind w:left="16" w:right="101"/>
              <w:jc w:val="left"/>
              <w:rPr>
                <w:rFonts w:ascii="宋体" w:hAnsi="宋体" w:cs="宋体" w:eastAsia="宋体" w:hint="default"/>
                <w:sz w:val="18"/>
                <w:szCs w:val="18"/>
              </w:rPr>
            </w:pPr>
            <w:r>
              <w:rPr>
                <w:rFonts w:ascii="宋体" w:hAnsi="宋体" w:cs="宋体" w:eastAsia="宋体" w:hint="default"/>
                <w:sz w:val="18"/>
                <w:szCs w:val="18"/>
              </w:rPr>
              <w:t>经公司第五届董事会第十七次会议、第五届监事会第七次会议、公司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年第五次临时股东 </w:t>
            </w:r>
            <w:r>
              <w:rPr>
                <w:rFonts w:ascii="宋体" w:hAnsi="宋体" w:cs="宋体" w:eastAsia="宋体" w:hint="default"/>
                <w:spacing w:val="-3"/>
                <w:sz w:val="18"/>
                <w:szCs w:val="18"/>
              </w:rPr>
              <w:t>大会审议通过的《深圳市惠程电气股份有限公司限制性股票与股票期权激励计划（草案）》</w:t>
            </w:r>
          </w:p>
        </w:tc>
      </w:tr>
      <w:tr>
        <w:trPr>
          <w:trHeight w:val="391" w:hRule="exact"/>
        </w:trPr>
        <w:tc>
          <w:tcPr>
            <w:tcW w:w="2004" w:type="dxa"/>
            <w:vMerge/>
            <w:tcBorders>
              <w:left w:val="single" w:sz="4" w:space="0" w:color="000000"/>
              <w:right w:val="single" w:sz="9" w:space="0" w:color="D2D2D2"/>
            </w:tcBorders>
          </w:tcPr>
          <w:p>
            <w:pPr/>
          </w:p>
        </w:tc>
        <w:tc>
          <w:tcPr>
            <w:tcW w:w="2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指</w:t>
            </w:r>
          </w:p>
        </w:tc>
        <w:tc>
          <w:tcPr>
            <w:tcW w:w="7430" w:type="dxa"/>
            <w:vMerge/>
            <w:tcBorders>
              <w:left w:val="single" w:sz="10" w:space="0" w:color="D2D2D2"/>
              <w:right w:val="single" w:sz="4" w:space="0" w:color="000000"/>
            </w:tcBorders>
          </w:tcPr>
          <w:p>
            <w:pPr/>
          </w:p>
        </w:tc>
      </w:tr>
      <w:tr>
        <w:trPr>
          <w:trHeight w:val="161" w:hRule="exact"/>
        </w:trPr>
        <w:tc>
          <w:tcPr>
            <w:tcW w:w="2004" w:type="dxa"/>
            <w:vMerge/>
            <w:tcBorders>
              <w:left w:val="single" w:sz="4" w:space="0" w:color="000000"/>
              <w:bottom w:val="single" w:sz="4" w:space="0" w:color="000000"/>
              <w:right w:val="single" w:sz="9" w:space="0" w:color="D2D2D2"/>
            </w:tcBorders>
          </w:tcPr>
          <w:p>
            <w:pPr/>
          </w:p>
        </w:tc>
        <w:tc>
          <w:tcPr>
            <w:tcW w:w="2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430" w:type="dxa"/>
            <w:vMerge/>
            <w:tcBorders>
              <w:left w:val="single" w:sz="10" w:space="0" w:color="D2D2D2"/>
              <w:bottom w:val="single" w:sz="4" w:space="0" w:color="000000"/>
              <w:right w:val="single" w:sz="4" w:space="0" w:color="000000"/>
            </w:tcBorders>
          </w:tcPr>
          <w:p>
            <w:pPr/>
          </w:p>
        </w:tc>
      </w:tr>
      <w:tr>
        <w:trPr>
          <w:trHeight w:val="317" w:hRule="exact"/>
        </w:trPr>
        <w:tc>
          <w:tcPr>
            <w:tcW w:w="2004"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114"/>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年第二期股权激励 计划</w:t>
            </w:r>
          </w:p>
        </w:tc>
        <w:tc>
          <w:tcPr>
            <w:tcW w:w="2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430" w:type="dxa"/>
            <w:vMerge w:val="restart"/>
            <w:tcBorders>
              <w:top w:val="single" w:sz="4" w:space="0" w:color="000000"/>
              <w:left w:val="single" w:sz="10" w:space="0" w:color="D2D2D2"/>
              <w:right w:val="single" w:sz="4" w:space="0" w:color="000000"/>
            </w:tcBorders>
          </w:tcPr>
          <w:p>
            <w:pPr>
              <w:pStyle w:val="TableParagraph"/>
              <w:spacing w:line="309" w:lineRule="auto" w:before="49"/>
              <w:ind w:left="16" w:right="101"/>
              <w:jc w:val="left"/>
              <w:rPr>
                <w:rFonts w:ascii="宋体" w:hAnsi="宋体" w:cs="宋体" w:eastAsia="宋体" w:hint="default"/>
                <w:sz w:val="18"/>
                <w:szCs w:val="18"/>
              </w:rPr>
            </w:pPr>
            <w:r>
              <w:rPr>
                <w:rFonts w:ascii="宋体" w:hAnsi="宋体" w:cs="宋体" w:eastAsia="宋体" w:hint="default"/>
                <w:sz w:val="18"/>
                <w:szCs w:val="18"/>
              </w:rPr>
              <w:t>经公司第五届董事会第十八次会议、第五届监事会第八次会议、公司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年第六次临时股东 大会审议通过的《深圳市惠程电气股份有限公司第二期限制性股票与股票期权激励计划（草 </w:t>
            </w:r>
            <w:r>
              <w:rPr>
                <w:rFonts w:ascii="宋体" w:hAnsi="宋体" w:cs="宋体" w:eastAsia="宋体" w:hint="default"/>
                <w:spacing w:val="-31"/>
                <w:sz w:val="18"/>
                <w:szCs w:val="18"/>
              </w:rPr>
              <w:t>案）》</w:t>
            </w:r>
          </w:p>
        </w:tc>
      </w:tr>
      <w:tr>
        <w:trPr>
          <w:trHeight w:val="392" w:hRule="exact"/>
        </w:trPr>
        <w:tc>
          <w:tcPr>
            <w:tcW w:w="2004" w:type="dxa"/>
            <w:vMerge/>
            <w:tcBorders>
              <w:left w:val="single" w:sz="4" w:space="0" w:color="000000"/>
              <w:right w:val="single" w:sz="9" w:space="0" w:color="D2D2D2"/>
            </w:tcBorders>
          </w:tcPr>
          <w:p>
            <w:pPr/>
          </w:p>
        </w:tc>
        <w:tc>
          <w:tcPr>
            <w:tcW w:w="2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指</w:t>
            </w:r>
          </w:p>
        </w:tc>
        <w:tc>
          <w:tcPr>
            <w:tcW w:w="7430" w:type="dxa"/>
            <w:vMerge/>
            <w:tcBorders>
              <w:left w:val="single" w:sz="10" w:space="0" w:color="D2D2D2"/>
              <w:right w:val="single" w:sz="4" w:space="0" w:color="000000"/>
            </w:tcBorders>
          </w:tcPr>
          <w:p>
            <w:pPr/>
          </w:p>
        </w:tc>
      </w:tr>
      <w:tr>
        <w:trPr>
          <w:trHeight w:val="317" w:hRule="exact"/>
        </w:trPr>
        <w:tc>
          <w:tcPr>
            <w:tcW w:w="2004" w:type="dxa"/>
            <w:vMerge/>
            <w:tcBorders>
              <w:left w:val="single" w:sz="4" w:space="0" w:color="000000"/>
              <w:bottom w:val="single" w:sz="4" w:space="0" w:color="000000"/>
              <w:right w:val="single" w:sz="9" w:space="0" w:color="D2D2D2"/>
            </w:tcBorders>
          </w:tcPr>
          <w:p>
            <w:pPr/>
          </w:p>
        </w:tc>
        <w:tc>
          <w:tcPr>
            <w:tcW w:w="2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430" w:type="dxa"/>
            <w:vMerge/>
            <w:tcBorders>
              <w:left w:val="single" w:sz="10" w:space="0" w:color="D2D2D2"/>
              <w:bottom w:val="single" w:sz="4" w:space="0" w:color="000000"/>
              <w:right w:val="single" w:sz="4" w:space="0" w:color="000000"/>
            </w:tcBorders>
          </w:tcPr>
          <w:p>
            <w:pPr/>
          </w:p>
        </w:tc>
      </w:tr>
      <w:tr>
        <w:trPr>
          <w:trHeight w:val="715"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2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年两期股权激励计 划</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指</w:t>
            </w:r>
          </w:p>
        </w:tc>
        <w:tc>
          <w:tcPr>
            <w:tcW w:w="7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年第一期股权激励计划与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年第二期股权激励计划的合并简称</w:t>
            </w:r>
          </w:p>
        </w:tc>
      </w:tr>
      <w:tr>
        <w:trPr>
          <w:trHeight w:val="713"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年股权激励计划</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指</w:t>
            </w:r>
          </w:p>
        </w:tc>
        <w:tc>
          <w:tcPr>
            <w:tcW w:w="7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经公司第五届董事会第二十九次会议、第五届监事会第十七次会议、公司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年第三次临时</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股东大会审议通过的《深圳市惠程电气股份有限公司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年限制性股票激励计划》</w:t>
            </w:r>
          </w:p>
        </w:tc>
      </w:tr>
      <w:tr>
        <w:trPr>
          <w:trHeight w:val="403"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z w:val="18"/>
                <w:szCs w:val="18"/>
              </w:rPr>
              <w:t>指</w:t>
            </w:r>
          </w:p>
        </w:tc>
        <w:tc>
          <w:tcPr>
            <w:tcW w:w="7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《深圳市惠程电气股份有限公司章程》</w:t>
            </w:r>
          </w:p>
        </w:tc>
      </w:tr>
      <w:tr>
        <w:trPr>
          <w:trHeight w:val="401"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《股票上市规则》</w:t>
            </w:r>
          </w:p>
        </w:tc>
        <w:tc>
          <w:tcPr>
            <w:tcW w:w="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指</w:t>
            </w:r>
          </w:p>
        </w:tc>
        <w:tc>
          <w:tcPr>
            <w:tcW w:w="7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《深圳证券交易所股票上市规则》</w:t>
            </w:r>
          </w:p>
        </w:tc>
      </w:tr>
      <w:tr>
        <w:trPr>
          <w:trHeight w:val="403"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《规范运作指引》</w:t>
            </w:r>
          </w:p>
        </w:tc>
        <w:tc>
          <w:tcPr>
            <w:tcW w:w="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z w:val="18"/>
                <w:szCs w:val="18"/>
              </w:rPr>
              <w:t>指</w:t>
            </w:r>
          </w:p>
        </w:tc>
        <w:tc>
          <w:tcPr>
            <w:tcW w:w="7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《深圳证券交易所中小企业板上市公司规范运作指引》</w:t>
            </w:r>
          </w:p>
        </w:tc>
      </w:tr>
      <w:tr>
        <w:trPr>
          <w:trHeight w:val="401"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指</w:t>
            </w:r>
          </w:p>
        </w:tc>
        <w:tc>
          <w:tcPr>
            <w:tcW w:w="7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z w:val="18"/>
                <w:szCs w:val="18"/>
              </w:rPr>
              <w:t>指</w:t>
            </w:r>
          </w:p>
        </w:tc>
        <w:tc>
          <w:tcPr>
            <w:tcW w:w="7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006"/>
        <w:gridCol w:w="234"/>
        <w:gridCol w:w="7430"/>
      </w:tblGrid>
      <w:tr>
        <w:trPr>
          <w:trHeight w:val="401"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报告期、本年、本期</w:t>
            </w:r>
          </w:p>
        </w:tc>
        <w:tc>
          <w:tcPr>
            <w:tcW w:w="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指</w:t>
            </w:r>
          </w:p>
        </w:tc>
        <w:tc>
          <w:tcPr>
            <w:tcW w:w="7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报告期末</w:t>
            </w:r>
          </w:p>
        </w:tc>
        <w:tc>
          <w:tcPr>
            <w:tcW w:w="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z w:val="18"/>
                <w:szCs w:val="18"/>
              </w:rPr>
              <w:t>指</w:t>
            </w:r>
          </w:p>
        </w:tc>
        <w:tc>
          <w:tcPr>
            <w:tcW w:w="7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指</w:t>
            </w:r>
          </w:p>
        </w:tc>
        <w:tc>
          <w:tcPr>
            <w:tcW w:w="7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72.339996pt;margin-top:272.809998pt;width:361.55pt;height:19.6pt;mso-position-horizontal-relative:page;mso-position-vertical-relative:page;z-index:-1105120" coordorigin="3447,5456" coordsize="7231,392">
            <v:shape style="position:absolute;left:3447;top:5456;width:7231;height:392" coordorigin="3447,5456" coordsize="7231,392" path="m3447,5847l10677,5847,10677,5456,3447,5456,3447,5847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642" w:right="153"/>
        <w:jc w:val="left"/>
        <w:rPr>
          <w:b w:val="0"/>
          <w:bCs w:val="0"/>
        </w:rPr>
      </w:pPr>
      <w:bookmarkStart w:name="_bookmark0" w:id="1"/>
      <w:bookmarkEnd w:id="1"/>
      <w:r>
        <w:rPr>
          <w:b w:val="0"/>
          <w:bCs w:val="0"/>
        </w:rPr>
      </w:r>
      <w:r>
        <w:rPr/>
        <w:t>第二节</w:t>
      </w:r>
      <w:r>
        <w:rPr>
          <w:spacing w:val="-5"/>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53"/>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77"/>
        <w:gridCol w:w="2132"/>
        <w:gridCol w:w="2188"/>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深圳惠程</w:t>
            </w:r>
          </w:p>
        </w:tc>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002168</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深圳市惠程电气股份有限公司</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深圳惠程</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Shenzhen Hifuture Electric Co.,</w:t>
            </w:r>
            <w:r>
              <w:rPr>
                <w:rFonts w:ascii="Times New Roman"/>
                <w:spacing w:val="-12"/>
                <w:sz w:val="18"/>
              </w:rPr>
              <w:t> </w:t>
            </w:r>
            <w:r>
              <w:rPr>
                <w:rFonts w:ascii="Times New Roman"/>
                <w:sz w:val="18"/>
              </w:rPr>
              <w:t>Ltd</w:t>
            </w:r>
          </w:p>
        </w:tc>
      </w:tr>
      <w:tr>
        <w:trPr>
          <w:trHeight w:val="401"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49"/>
              <w:ind w:left="-101"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Hifuture</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徐海啸</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深圳市坪山新区大工业区兰景路以东、锦绣路以南惠程科技工业厂区</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518118</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深圳市坪山新区大工业区兰景路以东、锦绣路以南惠程科技工业厂区</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518118</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1">
              <w:r>
                <w:rPr>
                  <w:rFonts w:ascii="Times New Roman"/>
                  <w:sz w:val="18"/>
                </w:rPr>
                <w:t>www.hifuture.com</w:t>
              </w:r>
            </w:hyperlink>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2">
              <w:r>
                <w:rPr>
                  <w:rFonts w:ascii="Times New Roman"/>
                  <w:sz w:val="18"/>
                </w:rPr>
                <w:t>szhc@hifuture.com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53"/>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刘扬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温秋萍</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49"/>
              <w:ind w:left="17" w:right="94"/>
              <w:jc w:val="left"/>
              <w:rPr>
                <w:rFonts w:ascii="宋体" w:hAnsi="宋体" w:cs="宋体" w:eastAsia="宋体" w:hint="default"/>
                <w:sz w:val="18"/>
                <w:szCs w:val="18"/>
              </w:rPr>
            </w:pPr>
            <w:r>
              <w:rPr>
                <w:rFonts w:ascii="宋体" w:hAnsi="宋体" w:cs="宋体" w:eastAsia="宋体" w:hint="default"/>
                <w:sz w:val="18"/>
                <w:szCs w:val="18"/>
              </w:rPr>
              <w:t>深圳市坪山新区大工业区兰景路以东、 锦绣路以南惠程科技工业厂区</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深圳市坪山新区大工业区兰景路以东、 锦绣路以南惠程科技工业厂区</w:t>
            </w:r>
          </w:p>
        </w:tc>
      </w:tr>
      <w:tr>
        <w:trPr>
          <w:trHeight w:val="394"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0755-82768788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0755-82767767</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0755-82760319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0755-82760319</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hyperlink r:id="rId13">
              <w:r>
                <w:rPr>
                  <w:rFonts w:ascii="Times New Roman"/>
                  <w:sz w:val="18"/>
                </w:rPr>
                <w:t>liuyang@hifuture.com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4">
              <w:r>
                <w:rPr>
                  <w:rFonts w:ascii="Times New Roman"/>
                  <w:sz w:val="18"/>
                </w:rPr>
                <w:t>wenqiuping@hifuture.com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53"/>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《证券时报》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5">
              <w:r>
                <w:rPr>
                  <w:rFonts w:ascii="Times New Roman"/>
                  <w:sz w:val="18"/>
                </w:rPr>
                <w:t>www.cninfo.com.cn</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深圳市惠程电气股份有限公司证券部办公室</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b/>
          <w:bCs/>
          <w:sz w:val="23"/>
          <w:szCs w:val="23"/>
        </w:rPr>
      </w:pPr>
    </w:p>
    <w:p>
      <w:pPr>
        <w:pStyle w:val="Heading2"/>
        <w:spacing w:line="240" w:lineRule="auto" w:before="26"/>
        <w:ind w:right="94"/>
        <w:jc w:val="left"/>
        <w:rPr>
          <w:b w:val="0"/>
          <w:bCs w:val="0"/>
        </w:rPr>
      </w:pP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8"/>
          <w:szCs w:val="28"/>
        </w:rPr>
      </w:pPr>
    </w:p>
    <w:p>
      <w:pPr>
        <w:pStyle w:val="BodyText"/>
        <w:spacing w:line="240" w:lineRule="auto" w:before="44"/>
        <w:ind w:left="0" w:right="101"/>
        <w:jc w:val="right"/>
      </w:pPr>
      <w:r>
        <w:rPr/>
        <w:pict>
          <v:shape style="position:absolute;margin-left:56.459999pt;margin-top:-54.008259pt;width:484.15pt;height:324.4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72"/>
                    <w:gridCol w:w="8296"/>
                  </w:tblGrid>
                  <w:tr>
                    <w:trPr>
                      <w:trHeight w:val="401" w:hRule="exact"/>
                    </w:trPr>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8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914403007152119019</w:t>
                        </w:r>
                      </w:p>
                    </w:tc>
                  </w:tr>
                  <w:tr>
                    <w:trPr>
                      <w:trHeight w:val="360" w:hRule="exact"/>
                    </w:trPr>
                    <w:tc>
                      <w:tcPr>
                        <w:tcW w:w="13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日，公司经营范围为</w:t>
                        </w:r>
                        <w:r>
                          <w:rPr>
                            <w:rFonts w:ascii="Times New Roman" w:hAnsi="Times New Roman" w:cs="Times New Roman" w:eastAsia="Times New Roman" w:hint="default"/>
                            <w:sz w:val="18"/>
                            <w:szCs w:val="18"/>
                          </w:rPr>
                          <w:t>“</w:t>
                        </w:r>
                        <w:r>
                          <w:rPr>
                            <w:rFonts w:ascii="宋体" w:hAnsi="宋体" w:cs="宋体" w:eastAsia="宋体" w:hint="default"/>
                            <w:sz w:val="18"/>
                            <w:szCs w:val="18"/>
                          </w:rPr>
                          <w:t>电缆分支箱、环网柜等相关电力配网设备、电力电缆附件等高分子绝</w:t>
                        </w:r>
                      </w:p>
                    </w:tc>
                  </w:tr>
                  <w:tr>
                    <w:trPr>
                      <w:trHeight w:val="332" w:hRule="exact"/>
                    </w:trPr>
                    <w:tc>
                      <w:tcPr>
                        <w:tcW w:w="1372" w:type="dxa"/>
                        <w:tcBorders>
                          <w:top w:val="nil" w:sz="6" w:space="0" w:color="auto"/>
                          <w:left w:val="single" w:sz="4" w:space="0" w:color="000000"/>
                          <w:bottom w:val="nil" w:sz="6" w:space="0" w:color="auto"/>
                          <w:right w:val="single" w:sz="4" w:space="0" w:color="000000"/>
                        </w:tcBorders>
                        <w:shd w:val="clear" w:color="auto" w:fill="D2D2D2"/>
                      </w:tcPr>
                      <w:p>
                        <w:pPr/>
                      </w:p>
                    </w:tc>
                    <w:tc>
                      <w:tcPr>
                        <w:tcW w:w="82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缘材料及相关制品的生产；高分子绝缘材料，电工器材的购销；经营进口业务；自有产品的售后服务</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32" w:hRule="exact"/>
                    </w:trPr>
                    <w:tc>
                      <w:tcPr>
                        <w:tcW w:w="1372" w:type="dxa"/>
                        <w:tcBorders>
                          <w:top w:val="nil" w:sz="6" w:space="0" w:color="auto"/>
                          <w:left w:val="single" w:sz="4" w:space="0" w:color="000000"/>
                          <w:bottom w:val="nil" w:sz="6" w:space="0" w:color="auto"/>
                          <w:right w:val="single" w:sz="4" w:space="0" w:color="000000"/>
                        </w:tcBorders>
                        <w:shd w:val="clear" w:color="auto" w:fill="D2D2D2"/>
                      </w:tcPr>
                      <w:p>
                        <w:pPr/>
                      </w:p>
                    </w:tc>
                    <w:tc>
                      <w:tcPr>
                        <w:tcW w:w="8296"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日，公司经营范围增加</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高低压电器、高低压成套开关设备、箱式变电站、电力自动化产品</w:t>
                        </w:r>
                      </w:p>
                    </w:tc>
                  </w:tr>
                  <w:tr>
                    <w:trPr>
                      <w:trHeight w:val="307" w:hRule="exact"/>
                    </w:trPr>
                    <w:tc>
                      <w:tcPr>
                        <w:tcW w:w="1372" w:type="dxa"/>
                        <w:tcBorders>
                          <w:top w:val="nil" w:sz="6" w:space="0" w:color="auto"/>
                          <w:left w:val="single" w:sz="4" w:space="0" w:color="000000"/>
                          <w:bottom w:val="nil" w:sz="6" w:space="0" w:color="auto"/>
                          <w:right w:val="single" w:sz="4" w:space="0" w:color="000000"/>
                        </w:tcBorders>
                        <w:shd w:val="clear" w:color="auto" w:fill="D2D2D2"/>
                      </w:tcPr>
                      <w:p>
                        <w:pPr/>
                      </w:p>
                    </w:tc>
                    <w:tc>
                      <w:tcPr>
                        <w:tcW w:w="82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2"/>
                            <w:sz w:val="18"/>
                            <w:szCs w:val="18"/>
                          </w:rPr>
                          <w:t>跌落式熔断器、柱上开关、柱上断路器、管母线等相关电力配网设备的生产、销售及施工服务；聚酰亚胺</w:t>
                        </w:r>
                      </w:p>
                    </w:tc>
                  </w:tr>
                  <w:tr>
                    <w:trPr>
                      <w:trHeight w:val="336" w:hRule="exact"/>
                    </w:trPr>
                    <w:tc>
                      <w:tcPr>
                        <w:tcW w:w="1372" w:type="dxa"/>
                        <w:tcBorders>
                          <w:top w:val="nil" w:sz="6" w:space="0" w:color="auto"/>
                          <w:left w:val="single" w:sz="4" w:space="0" w:color="000000"/>
                          <w:bottom w:val="nil" w:sz="6" w:space="0" w:color="auto"/>
                          <w:right w:val="single" w:sz="4" w:space="0" w:color="000000"/>
                        </w:tcBorders>
                        <w:shd w:val="clear" w:color="auto" w:fill="D2D2D2"/>
                      </w:tcPr>
                      <w:p>
                        <w:pPr/>
                      </w:p>
                    </w:tc>
                    <w:tc>
                      <w:tcPr>
                        <w:tcW w:w="82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纤维、纳米纤维、薄膜、树脂及复合材料的综合研究开发及相关材料购销</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1372" w:type="dxa"/>
                        <w:tcBorders>
                          <w:top w:val="nil" w:sz="6" w:space="0" w:color="auto"/>
                          <w:left w:val="single" w:sz="4" w:space="0" w:color="000000"/>
                          <w:bottom w:val="nil" w:sz="6" w:space="0" w:color="auto"/>
                          <w:right w:val="single" w:sz="4" w:space="0" w:color="000000"/>
                        </w:tcBorders>
                        <w:shd w:val="clear" w:color="auto" w:fill="D2D2D2"/>
                      </w:tcPr>
                      <w:p>
                        <w:pPr/>
                      </w:p>
                    </w:tc>
                    <w:tc>
                      <w:tcPr>
                        <w:tcW w:w="8296"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9"/>
                            <w:sz w:val="18"/>
                            <w:szCs w:val="18"/>
                          </w:rPr>
                          <w:t> </w:t>
                        </w:r>
                        <w:r>
                          <w:rPr>
                            <w:rFonts w:ascii="宋体" w:hAnsi="宋体" w:cs="宋体" w:eastAsia="宋体" w:hint="default"/>
                            <w:spacing w:val="-5"/>
                            <w:sz w:val="18"/>
                            <w:szCs w:val="18"/>
                          </w:rPr>
                          <w:t>日，公司经营范围增加</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股权投资、资产管理、投资咨询；物业投资、物业经营、物业管理</w:t>
                        </w:r>
                        <w:r>
                          <w:rPr>
                            <w:rFonts w:ascii="Times New Roman" w:hAnsi="Times New Roman" w:cs="Times New Roman" w:eastAsia="Times New Roman" w:hint="default"/>
                            <w:spacing w:val="-5"/>
                            <w:sz w:val="18"/>
                            <w:szCs w:val="18"/>
                          </w:rPr>
                          <w:t>”</w:t>
                        </w:r>
                      </w:p>
                    </w:tc>
                  </w:tr>
                  <w:tr>
                    <w:trPr>
                      <w:trHeight w:val="333" w:hRule="exact"/>
                    </w:trPr>
                    <w:tc>
                      <w:tcPr>
                        <w:tcW w:w="13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6"/>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w:t>
                        </w:r>
                      </w:p>
                    </w:tc>
                    <w:tc>
                      <w:tcPr>
                        <w:tcW w:w="8296"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日，公司经营范围增加</w:t>
                        </w:r>
                        <w:r>
                          <w:rPr>
                            <w:rFonts w:ascii="Times New Roman" w:hAnsi="Times New Roman" w:cs="Times New Roman" w:eastAsia="Times New Roman" w:hint="default"/>
                            <w:sz w:val="18"/>
                            <w:szCs w:val="18"/>
                          </w:rPr>
                          <w:t>“</w:t>
                        </w:r>
                        <w:r>
                          <w:rPr>
                            <w:rFonts w:ascii="宋体" w:hAnsi="宋体" w:cs="宋体" w:eastAsia="宋体" w:hint="default"/>
                            <w:sz w:val="18"/>
                            <w:szCs w:val="18"/>
                          </w:rPr>
                          <w:t>智能配电、新能源汽车充电桩产业链、工业自动化及控制、信息</w:t>
                        </w:r>
                      </w:p>
                    </w:tc>
                  </w:tr>
                  <w:tr>
                    <w:trPr>
                      <w:trHeight w:val="307" w:hRule="exact"/>
                    </w:trPr>
                    <w:tc>
                      <w:tcPr>
                        <w:tcW w:w="13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sz w:val="18"/>
                            <w:szCs w:val="18"/>
                          </w:rPr>
                          <w:t>营业务的变化情</w:t>
                        </w:r>
                      </w:p>
                    </w:tc>
                    <w:tc>
                      <w:tcPr>
                        <w:tcW w:w="8296"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pacing w:val="-1"/>
                            <w:sz w:val="18"/>
                            <w:szCs w:val="18"/>
                          </w:rPr>
                          <w:t>与安防监控系统、智能二次设备、电力网络信息安全系统技术开发、产品研制及工程集成；电网与工控安</w:t>
                        </w:r>
                      </w:p>
                    </w:tc>
                  </w:tr>
                  <w:tr>
                    <w:trPr>
                      <w:trHeight w:val="347" w:hRule="exact"/>
                    </w:trPr>
                    <w:tc>
                      <w:tcPr>
                        <w:tcW w:w="13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况（如有）</w:t>
                        </w:r>
                      </w:p>
                    </w:tc>
                    <w:tc>
                      <w:tcPr>
                        <w:tcW w:w="829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32" w:hRule="exact"/>
                    </w:trPr>
                    <w:tc>
                      <w:tcPr>
                        <w:tcW w:w="1372" w:type="dxa"/>
                        <w:tcBorders>
                          <w:top w:val="nil" w:sz="6" w:space="0" w:color="auto"/>
                          <w:left w:val="single" w:sz="4" w:space="0" w:color="000000"/>
                          <w:bottom w:val="nil" w:sz="6" w:space="0" w:color="auto"/>
                          <w:right w:val="single" w:sz="4" w:space="0" w:color="000000"/>
                        </w:tcBorders>
                        <w:shd w:val="clear" w:color="auto" w:fill="D2D2D2"/>
                      </w:tcPr>
                      <w:p>
                        <w:pPr/>
                      </w:p>
                    </w:tc>
                    <w:tc>
                      <w:tcPr>
                        <w:tcW w:w="8296"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日，公司经营范围增加</w:t>
                        </w:r>
                        <w:r>
                          <w:rPr>
                            <w:rFonts w:ascii="Times New Roman" w:hAnsi="Times New Roman" w:cs="Times New Roman" w:eastAsia="Times New Roman" w:hint="default"/>
                            <w:sz w:val="18"/>
                            <w:szCs w:val="18"/>
                          </w:rPr>
                          <w:t>“</w:t>
                        </w:r>
                        <w:r>
                          <w:rPr>
                            <w:rFonts w:ascii="宋体" w:hAnsi="宋体" w:cs="宋体" w:eastAsia="宋体" w:hint="default"/>
                            <w:sz w:val="18"/>
                            <w:szCs w:val="18"/>
                          </w:rPr>
                          <w:t>电动汽车充电设备设计研发、生产、销售；新能源汽车充电设施</w:t>
                        </w:r>
                      </w:p>
                    </w:tc>
                  </w:tr>
                  <w:tr>
                    <w:trPr>
                      <w:trHeight w:val="307" w:hRule="exact"/>
                    </w:trPr>
                    <w:tc>
                      <w:tcPr>
                        <w:tcW w:w="1372" w:type="dxa"/>
                        <w:tcBorders>
                          <w:top w:val="nil" w:sz="6" w:space="0" w:color="auto"/>
                          <w:left w:val="single" w:sz="4" w:space="0" w:color="000000"/>
                          <w:bottom w:val="nil" w:sz="6" w:space="0" w:color="auto"/>
                          <w:right w:val="single" w:sz="4" w:space="0" w:color="000000"/>
                        </w:tcBorders>
                        <w:shd w:val="clear" w:color="auto" w:fill="D2D2D2"/>
                      </w:tcPr>
                      <w:p>
                        <w:pPr/>
                      </w:p>
                    </w:tc>
                    <w:tc>
                      <w:tcPr>
                        <w:tcW w:w="82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2"/>
                            <w:sz w:val="18"/>
                            <w:szCs w:val="18"/>
                          </w:rPr>
                          <w:t>运营；新能源汽车充换电站规划设计、建设；离网、并网光伏电站的建设和运营；储能系统设备研发制造</w:t>
                        </w:r>
                      </w:p>
                    </w:tc>
                  </w:tr>
                  <w:tr>
                    <w:trPr>
                      <w:trHeight w:val="336" w:hRule="exact"/>
                    </w:trPr>
                    <w:tc>
                      <w:tcPr>
                        <w:tcW w:w="1372" w:type="dxa"/>
                        <w:tcBorders>
                          <w:top w:val="nil" w:sz="6" w:space="0" w:color="auto"/>
                          <w:left w:val="single" w:sz="4" w:space="0" w:color="000000"/>
                          <w:bottom w:val="nil" w:sz="6" w:space="0" w:color="auto"/>
                          <w:right w:val="single" w:sz="4" w:space="0" w:color="000000"/>
                        </w:tcBorders>
                        <w:shd w:val="clear" w:color="auto" w:fill="D2D2D2"/>
                      </w:tcPr>
                      <w:p>
                        <w:pPr/>
                      </w:p>
                    </w:tc>
                    <w:tc>
                      <w:tcPr>
                        <w:tcW w:w="82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及运营；动力电池回收；汽车租赁（不含金融租赁</w:t>
                        </w:r>
                        <w:r>
                          <w:rPr>
                            <w:rFonts w:ascii="宋体" w:hAnsi="宋体" w:cs="宋体" w:eastAsia="宋体" w:hint="default"/>
                            <w:spacing w:val="-92"/>
                            <w:sz w:val="18"/>
                            <w:szCs w:val="18"/>
                          </w:rPr>
                          <w:t>）</w:t>
                        </w:r>
                        <w:r>
                          <w:rPr>
                            <w:rFonts w:ascii="宋体" w:hAnsi="宋体" w:cs="宋体" w:eastAsia="宋体" w:hint="default"/>
                            <w:sz w:val="18"/>
                            <w:szCs w:val="18"/>
                          </w:rPr>
                          <w:t>；有形</w:t>
                        </w:r>
                        <w:r>
                          <w:rPr>
                            <w:rFonts w:ascii="宋体" w:hAnsi="宋体" w:cs="宋体" w:eastAsia="宋体" w:hint="default"/>
                            <w:spacing w:val="2"/>
                            <w:sz w:val="18"/>
                            <w:szCs w:val="18"/>
                          </w:rPr>
                          <w:t>动</w:t>
                        </w:r>
                        <w:r>
                          <w:rPr>
                            <w:rFonts w:ascii="宋体" w:hAnsi="宋体" w:cs="宋体" w:eastAsia="宋体" w:hint="default"/>
                            <w:sz w:val="18"/>
                            <w:szCs w:val="18"/>
                          </w:rPr>
                          <w:t>产设备租赁服</w:t>
                        </w:r>
                        <w:r>
                          <w:rPr>
                            <w:rFonts w:ascii="宋体" w:hAnsi="宋体" w:cs="宋体" w:eastAsia="宋体" w:hint="default"/>
                            <w:spacing w:val="1"/>
                            <w:sz w:val="18"/>
                            <w:szCs w:val="18"/>
                          </w:rPr>
                          <w:t>务</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w:t>
                        </w:r>
                      </w:p>
                    </w:tc>
                  </w:tr>
                  <w:tr>
                    <w:trPr>
                      <w:trHeight w:val="331" w:hRule="exact"/>
                    </w:trPr>
                    <w:tc>
                      <w:tcPr>
                        <w:tcW w:w="1372" w:type="dxa"/>
                        <w:tcBorders>
                          <w:top w:val="nil" w:sz="6" w:space="0" w:color="auto"/>
                          <w:left w:val="single" w:sz="4" w:space="0" w:color="000000"/>
                          <w:bottom w:val="nil" w:sz="6" w:space="0" w:color="auto"/>
                          <w:right w:val="single" w:sz="4" w:space="0" w:color="000000"/>
                        </w:tcBorders>
                        <w:shd w:val="clear" w:color="auto" w:fill="D2D2D2"/>
                      </w:tcPr>
                      <w:p>
                        <w:pPr/>
                      </w:p>
                    </w:tc>
                    <w:tc>
                      <w:tcPr>
                        <w:tcW w:w="8296"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日，公司完成现金收购哆可梦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77.57%</w:t>
                        </w:r>
                        <w:r>
                          <w:rPr>
                            <w:rFonts w:ascii="宋体" w:hAnsi="宋体" w:cs="宋体" w:eastAsia="宋体" w:hint="default"/>
                            <w:sz w:val="18"/>
                            <w:szCs w:val="18"/>
                          </w:rPr>
                          <w:t>股权，哆可梦成为公司控股子公司，哆可梦主要从</w:t>
                        </w:r>
                      </w:p>
                    </w:tc>
                  </w:tr>
                  <w:tr>
                    <w:trPr>
                      <w:trHeight w:val="307" w:hRule="exact"/>
                    </w:trPr>
                    <w:tc>
                      <w:tcPr>
                        <w:tcW w:w="1372" w:type="dxa"/>
                        <w:tcBorders>
                          <w:top w:val="nil" w:sz="6" w:space="0" w:color="auto"/>
                          <w:left w:val="single" w:sz="4" w:space="0" w:color="000000"/>
                          <w:bottom w:val="nil" w:sz="6" w:space="0" w:color="auto"/>
                          <w:right w:val="single" w:sz="4" w:space="0" w:color="000000"/>
                        </w:tcBorders>
                        <w:shd w:val="clear" w:color="auto" w:fill="D2D2D2"/>
                      </w:tcPr>
                      <w:p>
                        <w:pPr/>
                      </w:p>
                    </w:tc>
                    <w:tc>
                      <w:tcPr>
                        <w:tcW w:w="82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1"/>
                            <w:sz w:val="18"/>
                            <w:szCs w:val="18"/>
                          </w:rPr>
                          <w:t>事基于大数据精细化营销的流量经营业务和移动游戏的研发、发行及游戏平台的运营业务，公司增加互联</w:t>
                        </w:r>
                      </w:p>
                    </w:tc>
                  </w:tr>
                  <w:tr>
                    <w:trPr>
                      <w:trHeight w:val="360" w:hRule="exact"/>
                    </w:trPr>
                    <w:tc>
                      <w:tcPr>
                        <w:tcW w:w="13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网文化娱乐产业。</w:t>
                        </w:r>
                      </w:p>
                    </w:tc>
                  </w:tr>
                  <w:tr>
                    <w:trPr>
                      <w:trHeight w:val="303" w:hRule="exact"/>
                    </w:trPr>
                    <w:tc>
                      <w:tcPr>
                        <w:tcW w:w="1372" w:type="dxa"/>
                        <w:tcBorders>
                          <w:top w:val="single" w:sz="4" w:space="0" w:color="000000"/>
                          <w:left w:val="single" w:sz="4" w:space="0" w:color="000000"/>
                          <w:bottom w:val="nil" w:sz="6" w:space="0" w:color="auto"/>
                          <w:right w:val="single" w:sz="13" w:space="0" w:color="FFFFFF"/>
                        </w:tcBorders>
                        <w:shd w:val="clear" w:color="auto" w:fill="D2D2D2"/>
                      </w:tcPr>
                      <w:p>
                        <w:pPr/>
                      </w:p>
                    </w:tc>
                    <w:tc>
                      <w:tcPr>
                        <w:tcW w:w="8296" w:type="dxa"/>
                        <w:tcBorders>
                          <w:top w:val="single" w:sz="4" w:space="0" w:color="000000"/>
                          <w:left w:val="single" w:sz="13" w:space="0" w:color="FFFFFF"/>
                          <w:bottom w:val="nil" w:sz="6" w:space="0" w:color="auto"/>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1999 </w:t>
                        </w:r>
                        <w:r>
                          <w:rPr>
                            <w:rFonts w:ascii="宋体" w:hAnsi="宋体" w:cs="宋体" w:eastAsia="宋体" w:hint="default"/>
                            <w:sz w:val="18"/>
                            <w:szCs w:val="18"/>
                          </w:rPr>
                          <w:t>年至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日，公司控股股东兼实际控制人为吕晓义、何平、任金生；</w:t>
                        </w:r>
                      </w:p>
                    </w:tc>
                  </w:tr>
                  <w:tr>
                    <w:trPr>
                      <w:trHeight w:val="502" w:hRule="exact"/>
                    </w:trPr>
                    <w:tc>
                      <w:tcPr>
                        <w:tcW w:w="1372" w:type="dxa"/>
                        <w:tcBorders>
                          <w:top w:val="nil" w:sz="6" w:space="0" w:color="auto"/>
                          <w:left w:val="single" w:sz="4" w:space="0" w:color="000000"/>
                          <w:bottom w:val="nil" w:sz="6" w:space="0" w:color="auto"/>
                          <w:right w:val="single" w:sz="13" w:space="0" w:color="FFFFFF"/>
                        </w:tcBorders>
                        <w:shd w:val="clear" w:color="auto" w:fill="D2D2D2"/>
                      </w:tcPr>
                      <w:p>
                        <w:pPr>
                          <w:pStyle w:val="TableParagraph"/>
                          <w:spacing w:line="183" w:lineRule="exact"/>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pacing w:val="-5"/>
                            <w:sz w:val="18"/>
                            <w:szCs w:val="18"/>
                          </w:rPr>
                          <w:t>变更情况（如有</w:t>
                        </w:r>
                      </w:p>
                    </w:tc>
                    <w:tc>
                      <w:tcPr>
                        <w:tcW w:w="8296" w:type="dxa"/>
                        <w:tcBorders>
                          <w:top w:val="nil" w:sz="6" w:space="0" w:color="auto"/>
                          <w:left w:val="single" w:sz="13" w:space="0" w:color="FFFFFF"/>
                          <w:bottom w:val="nil" w:sz="6" w:space="0" w:color="auto"/>
                          <w:right w:val="single" w:sz="4" w:space="0" w:color="000000"/>
                        </w:tcBorders>
                      </w:tcPr>
                      <w:p>
                        <w:pPr>
                          <w:pStyle w:val="TableParagraph"/>
                          <w:spacing w:line="203" w:lineRule="exact" w:before="10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日，公司控股股东兼实际控制人为何平、任金生；</w:t>
                        </w:r>
                      </w:p>
                      <w:p>
                        <w:pPr>
                          <w:pStyle w:val="TableParagraph"/>
                          <w:spacing w:line="189"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02" w:hRule="exact"/>
                    </w:trPr>
                    <w:tc>
                      <w:tcPr>
                        <w:tcW w:w="1372" w:type="dxa"/>
                        <w:tcBorders>
                          <w:top w:val="nil" w:sz="6" w:space="0" w:color="auto"/>
                          <w:left w:val="single" w:sz="4" w:space="0" w:color="000000"/>
                          <w:bottom w:val="single" w:sz="4" w:space="0" w:color="000000"/>
                          <w:right w:val="single" w:sz="13" w:space="0" w:color="FFFFFF"/>
                        </w:tcBorders>
                        <w:shd w:val="clear" w:color="auto" w:fill="D2D2D2"/>
                      </w:tcPr>
                      <w:p>
                        <w:pPr/>
                      </w:p>
                    </w:tc>
                    <w:tc>
                      <w:tcPr>
                        <w:tcW w:w="8296" w:type="dxa"/>
                        <w:tcBorders>
                          <w:top w:val="nil" w:sz="6" w:space="0" w:color="auto"/>
                          <w:left w:val="single" w:sz="13" w:space="0" w:color="FFFFFF"/>
                          <w:bottom w:val="single" w:sz="4" w:space="0" w:color="000000"/>
                          <w:right w:val="single" w:sz="4" w:space="0" w:color="000000"/>
                        </w:tcBorders>
                      </w:tcPr>
                      <w:p>
                        <w:pPr>
                          <w:pStyle w:val="TableParagraph"/>
                          <w:spacing w:line="20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日至今，公司控股股东为中驰惠程，实际控制人为汪超涌、李亦非。</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ind w:left="0" w:right="102"/>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spacing w:line="706" w:lineRule="exact"/>
        <w:ind w:left="1554"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411.95pt;height:35.35pt;mso-position-horizontal-relative:char;mso-position-vertical-relative:line" coordorigin="0,0" coordsize="8239,707">
            <v:group style="position:absolute;left:0;top:0;width:8239;height:354" coordorigin="0,0" coordsize="8239,354">
              <v:shape style="position:absolute;left:0;top:0;width:8239;height:354" coordorigin="0,0" coordsize="8239,354" path="m0,353l8238,353,8238,0,0,0,0,353xe" filled="true" fillcolor="#ffffff" stroked="false">
                <v:path arrowok="t"/>
                <v:fill type="solid"/>
              </v:shape>
            </v:group>
            <v:group style="position:absolute;left:0;top:353;width:8239;height:353" coordorigin="0,353" coordsize="8239,353">
              <v:shape style="position:absolute;left:0;top:353;width:8239;height:353" coordorigin="0,353" coordsize="8239,353" path="m0,706l8238,706,8238,353,0,353,0,706xe" filled="true" fillcolor="#ffffff" stroked="false">
                <v:path arrowok="t"/>
                <v:fill type="solid"/>
              </v:shape>
            </v:group>
          </v:group>
        </w:pict>
      </w:r>
      <w:r>
        <w:rPr>
          <w:rFonts w:ascii="宋体" w:hAnsi="宋体" w:cs="宋体" w:eastAsia="宋体" w:hint="default"/>
          <w:position w:val="-13"/>
          <w:sz w:val="20"/>
          <w:szCs w:val="20"/>
        </w:rPr>
      </w:r>
    </w:p>
    <w:p>
      <w:pPr>
        <w:spacing w:line="240" w:lineRule="auto" w:before="10"/>
        <w:rPr>
          <w:rFonts w:ascii="宋体" w:hAnsi="宋体" w:cs="宋体" w:eastAsia="宋体" w:hint="default"/>
          <w:sz w:val="18"/>
          <w:szCs w:val="18"/>
        </w:rPr>
      </w:pPr>
    </w:p>
    <w:p>
      <w:pPr>
        <w:pStyle w:val="Heading2"/>
        <w:spacing w:line="240" w:lineRule="auto" w:before="26"/>
        <w:ind w:right="94"/>
        <w:jc w:val="left"/>
        <w:rPr>
          <w:b w:val="0"/>
          <w:bCs w:val="0"/>
        </w:rPr>
      </w:pPr>
      <w:r>
        <w:rPr/>
        <w:t>五、其他有关资料</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公司聘请的会计师事务所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上会会计师事务所（特殊普通合伙）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上海市威海路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755 </w:t>
            </w:r>
            <w:r>
              <w:rPr>
                <w:rFonts w:ascii="宋体" w:hAnsi="宋体" w:cs="宋体" w:eastAsia="宋体" w:hint="default"/>
                <w:sz w:val="18"/>
                <w:szCs w:val="18"/>
              </w:rPr>
              <w:t>号文新报业大厦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楼</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张晓荣、唐慧珏</w:t>
            </w:r>
          </w:p>
        </w:tc>
      </w:tr>
    </w:tbl>
    <w:p>
      <w:pPr>
        <w:pStyle w:val="BodyText"/>
        <w:spacing w:line="240" w:lineRule="auto" w:before="49"/>
        <w:ind w:right="94"/>
        <w:jc w:val="left"/>
      </w:pPr>
      <w:r>
        <w:rPr/>
        <w:t>公司聘请的报告期内履行持续督导职责的保荐机构</w:t>
      </w:r>
    </w:p>
    <w:p>
      <w:pPr>
        <w:pStyle w:val="BodyText"/>
        <w:spacing w:line="340" w:lineRule="auto" w:before="115"/>
        <w:ind w:right="58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39"/>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2062"/>
        <w:gridCol w:w="3161"/>
        <w:gridCol w:w="1860"/>
        <w:gridCol w:w="2614"/>
      </w:tblGrid>
      <w:tr>
        <w:trPr>
          <w:trHeight w:val="403" w:hRule="exact"/>
        </w:trPr>
        <w:tc>
          <w:tcPr>
            <w:tcW w:w="2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5"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3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54"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1"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401"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海通证券股份有限公司</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上海市黄浦区广东路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689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刘文才、李希</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153"/>
        <w:jc w:val="left"/>
        <w:rPr>
          <w:b w:val="0"/>
          <w:bCs w:val="0"/>
        </w:rPr>
      </w:pPr>
      <w:r>
        <w:rPr/>
        <w:t>六、主要会计数据和财务指标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3"/>
        <w:jc w:val="left"/>
      </w:pPr>
      <w:r>
        <w:rPr/>
        <w:t>公司是否需追溯调整或重述以前年度会计数据</w:t>
      </w:r>
    </w:p>
    <w:p>
      <w:pPr>
        <w:pStyle w:val="BodyText"/>
        <w:spacing w:line="240" w:lineRule="auto" w:before="115"/>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809"/>
        <w:gridCol w:w="1538"/>
        <w:gridCol w:w="1738"/>
        <w:gridCol w:w="1738"/>
        <w:gridCol w:w="1735"/>
      </w:tblGrid>
      <w:tr>
        <w:trPr>
          <w:trHeight w:val="401" w:hRule="exact"/>
        </w:trPr>
        <w:tc>
          <w:tcPr>
            <w:tcW w:w="28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5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373,172,726.25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288,618,425.48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29.30%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209,370,332.34</w:t>
            </w:r>
          </w:p>
        </w:tc>
      </w:tr>
      <w:tr>
        <w:trPr>
          <w:trHeight w:val="401" w:hRule="exact"/>
        </w:trPr>
        <w:tc>
          <w:tcPr>
            <w:tcW w:w="2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538" w:type="dxa"/>
            <w:tcBorders>
              <w:top w:val="single" w:sz="4" w:space="0" w:color="000000"/>
              <w:left w:val="single" w:sz="10" w:space="0" w:color="D2D2D2"/>
              <w:bottom w:val="single" w:sz="4" w:space="0" w:color="000000"/>
              <w:right w:val="single" w:sz="4" w:space="0" w:color="000000"/>
            </w:tcBorders>
          </w:tcPr>
          <w:p>
            <w:pPr>
              <w:pStyle w:val="TableParagraph"/>
              <w:tabs>
                <w:tab w:pos="314" w:val="left" w:leader="none"/>
              </w:tabs>
              <w:spacing w:line="240" w:lineRule="auto" w:before="49"/>
              <w:ind w:left="-117"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-107,607,635.77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75,912,490.21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-241.75%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135,358,464.49</w:t>
            </w:r>
          </w:p>
        </w:tc>
      </w:tr>
      <w:tr>
        <w:trPr>
          <w:trHeight w:val="715" w:hRule="exact"/>
        </w:trPr>
        <w:tc>
          <w:tcPr>
            <w:tcW w:w="2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8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性损益的净利润（元）</w:t>
            </w:r>
          </w:p>
        </w:tc>
        <w:tc>
          <w:tcPr>
            <w:tcW w:w="15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-115,438,310.62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39,723,846.33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-390.60%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26,708,461.83</w:t>
            </w:r>
          </w:p>
        </w:tc>
      </w:tr>
      <w:tr>
        <w:trPr>
          <w:trHeight w:val="401" w:hRule="exact"/>
        </w:trPr>
        <w:tc>
          <w:tcPr>
            <w:tcW w:w="2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538" w:type="dxa"/>
            <w:tcBorders>
              <w:top w:val="single" w:sz="4" w:space="0" w:color="000000"/>
              <w:left w:val="single" w:sz="10" w:space="0" w:color="D2D2D2"/>
              <w:bottom w:val="single" w:sz="4" w:space="0" w:color="000000"/>
              <w:right w:val="single" w:sz="4" w:space="0" w:color="000000"/>
            </w:tcBorders>
          </w:tcPr>
          <w:p>
            <w:pPr>
              <w:pStyle w:val="TableParagraph"/>
              <w:tabs>
                <w:tab w:pos="494" w:val="left" w:leader="none"/>
              </w:tabs>
              <w:spacing w:line="240" w:lineRule="auto" w:before="49"/>
              <w:ind w:left="-117"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-5,470,546.80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-646,210.28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-746.56%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2,863,725.58</w:t>
            </w:r>
          </w:p>
        </w:tc>
      </w:tr>
      <w:tr>
        <w:trPr>
          <w:trHeight w:val="403" w:hRule="exact"/>
        </w:trPr>
        <w:tc>
          <w:tcPr>
            <w:tcW w:w="2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-255.56%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0.18</w:t>
            </w:r>
          </w:p>
        </w:tc>
      </w:tr>
      <w:tr>
        <w:trPr>
          <w:trHeight w:val="401" w:hRule="exact"/>
        </w:trPr>
        <w:tc>
          <w:tcPr>
            <w:tcW w:w="2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-255.56%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0.18</w:t>
            </w:r>
          </w:p>
        </w:tc>
      </w:tr>
      <w:tr>
        <w:trPr>
          <w:trHeight w:val="403" w:hRule="exact"/>
        </w:trPr>
        <w:tc>
          <w:tcPr>
            <w:tcW w:w="2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5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-14.06%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12.27%</w:t>
            </w:r>
          </w:p>
        </w:tc>
      </w:tr>
      <w:tr>
        <w:trPr>
          <w:trHeight w:val="401" w:hRule="exact"/>
        </w:trPr>
        <w:tc>
          <w:tcPr>
            <w:tcW w:w="28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5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3,234,129,192.61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2,042,288,378.46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58.36%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1,431,627,393.32</w:t>
            </w:r>
          </w:p>
        </w:tc>
      </w:tr>
      <w:tr>
        <w:trPr>
          <w:trHeight w:val="403" w:hRule="exact"/>
        </w:trPr>
        <w:tc>
          <w:tcPr>
            <w:tcW w:w="2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5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17"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1,349,637,156.94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1,354,350,780.81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-0.35%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1,200,627,416.12</w:t>
            </w:r>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七、境内外会计准则下会计数据差异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7"/>
        <w:rPr>
          <w:rFonts w:ascii="宋体" w:hAnsi="宋体" w:cs="宋体" w:eastAsia="宋体" w:hint="default"/>
          <w:sz w:val="21"/>
          <w:szCs w:val="21"/>
        </w:rPr>
      </w:pPr>
    </w:p>
    <w:p>
      <w:pPr>
        <w:pStyle w:val="Heading3"/>
        <w:spacing w:line="240" w:lineRule="auto"/>
        <w:ind w:right="153"/>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1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9"/>
        <w:rPr>
          <w:rFonts w:ascii="宋体" w:hAnsi="宋体" w:cs="宋体" w:eastAsia="宋体" w:hint="default"/>
          <w:sz w:val="19"/>
          <w:szCs w:val="19"/>
        </w:rPr>
      </w:pPr>
    </w:p>
    <w:p>
      <w:pPr>
        <w:pStyle w:val="Heading2"/>
        <w:spacing w:line="240" w:lineRule="auto"/>
        <w:ind w:right="153"/>
        <w:jc w:val="left"/>
        <w:rPr>
          <w:b w:val="0"/>
          <w:bCs w:val="0"/>
        </w:rPr>
      </w:pPr>
      <w:r>
        <w:rPr/>
        <w:t>八、分季度主要财务指标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4512"/>
        <w:gridCol w:w="1242"/>
        <w:gridCol w:w="1298"/>
        <w:gridCol w:w="1301"/>
        <w:gridCol w:w="1332"/>
      </w:tblGrid>
      <w:tr>
        <w:trPr>
          <w:trHeight w:val="401" w:hRule="exact"/>
        </w:trPr>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2"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4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53,208,618.29</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99,070,089.48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79,177,645.39</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141,716,373.09</w:t>
            </w:r>
          </w:p>
        </w:tc>
      </w:tr>
      <w:tr>
        <w:trPr>
          <w:trHeight w:val="401" w:hRule="exact"/>
        </w:trPr>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24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-5,562,076.38</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-59,326,129.32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-27,357,759.55</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-15,361,670.52</w:t>
            </w:r>
          </w:p>
        </w:tc>
      </w:tr>
      <w:tr>
        <w:trPr>
          <w:trHeight w:val="403" w:hRule="exact"/>
        </w:trPr>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归属于上市公司股东的扣除非经常性损益的净利润</w:t>
            </w:r>
          </w:p>
        </w:tc>
        <w:tc>
          <w:tcPr>
            <w:tcW w:w="124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-6,792,938.91</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-61,053,506.80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-33,082,594.61</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-14,509,270.30</w:t>
            </w:r>
          </w:p>
        </w:tc>
      </w:tr>
      <w:tr>
        <w:trPr>
          <w:trHeight w:val="401" w:hRule="exact"/>
        </w:trPr>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24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4,202,507.39</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-50,377,595.46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-9,915,184.46</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50,619,725.73</w:t>
            </w:r>
          </w:p>
        </w:tc>
      </w:tr>
    </w:tbl>
    <w:p>
      <w:pPr>
        <w:pStyle w:val="BodyText"/>
        <w:spacing w:line="240" w:lineRule="auto" w:before="49"/>
        <w:ind w:right="153"/>
        <w:jc w:val="left"/>
      </w:pPr>
      <w:r>
        <w:rPr/>
        <w:t>上述财务指标或其加总数是否与公司已披露季度报告、半年度报告相关财务指标存在重大差异</w:t>
      </w:r>
    </w:p>
    <w:p>
      <w:pPr>
        <w:pStyle w:val="BodyText"/>
        <w:spacing w:line="240" w:lineRule="auto" w:before="117"/>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53"/>
        <w:jc w:val="left"/>
        <w:rPr>
          <w:b w:val="0"/>
          <w:bCs w:val="0"/>
        </w:rPr>
      </w:pPr>
      <w:r>
        <w:rPr/>
        <w:t>九、非经常性损益项目及金额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1,800,087.98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28,477,759.46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60,144,474.29</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55"/>
              <w:jc w:val="left"/>
              <w:rPr>
                <w:rFonts w:ascii="宋体" w:hAnsi="宋体" w:cs="宋体" w:eastAsia="宋体" w:hint="default"/>
                <w:sz w:val="18"/>
                <w:szCs w:val="18"/>
              </w:rPr>
            </w:pPr>
            <w:r>
              <w:rPr>
                <w:rFonts w:ascii="宋体" w:hAnsi="宋体" w:cs="宋体" w:eastAsia="宋体" w:hint="default"/>
                <w:sz w:val="18"/>
                <w:szCs w:val="18"/>
              </w:rPr>
              <w:t>主要系报告期内处置 公司闲置房产所致</w:t>
            </w:r>
          </w:p>
        </w:tc>
      </w:tr>
      <w:tr>
        <w:trPr>
          <w:trHeight w:val="355" w:hRule="exact"/>
        </w:trPr>
        <w:tc>
          <w:tcPr>
            <w:tcW w:w="327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w:t>
            </w:r>
          </w:p>
        </w:tc>
        <w:tc>
          <w:tcPr>
            <w:tcW w:w="1532" w:type="dxa"/>
            <w:tcBorders>
              <w:top w:val="single" w:sz="4" w:space="0" w:color="000000"/>
              <w:left w:val="single" w:sz="10" w:space="0" w:color="D2D2D2"/>
              <w:bottom w:val="nil" w:sz="6" w:space="0" w:color="auto"/>
              <w:right w:val="single" w:sz="4" w:space="0" w:color="000000"/>
            </w:tcBorders>
          </w:tcPr>
          <w:p>
            <w:pPr/>
          </w:p>
        </w:tc>
        <w:tc>
          <w:tcPr>
            <w:tcW w:w="1520" w:type="dxa"/>
            <w:tcBorders>
              <w:top w:val="single" w:sz="4" w:space="0" w:color="000000"/>
              <w:left w:val="single" w:sz="4" w:space="0" w:color="000000"/>
              <w:bottom w:val="nil" w:sz="6" w:space="0" w:color="auto"/>
              <w:right w:val="single" w:sz="4" w:space="0" w:color="000000"/>
            </w:tcBorders>
          </w:tcPr>
          <w:p>
            <w:pPr/>
          </w:p>
        </w:tc>
        <w:tc>
          <w:tcPr>
            <w:tcW w:w="1522" w:type="dxa"/>
            <w:tcBorders>
              <w:top w:val="single" w:sz="4" w:space="0" w:color="000000"/>
              <w:left w:val="single" w:sz="4" w:space="0" w:color="000000"/>
              <w:bottom w:val="nil" w:sz="6" w:space="0" w:color="auto"/>
              <w:right w:val="single" w:sz="4" w:space="0" w:color="000000"/>
            </w:tcBorders>
          </w:tcPr>
          <w:p>
            <w:pPr/>
          </w:p>
        </w:tc>
        <w:tc>
          <w:tcPr>
            <w:tcW w:w="1711"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32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切相关，按照国家统一标准定额或定量享</w:t>
            </w:r>
          </w:p>
        </w:tc>
        <w:tc>
          <w:tcPr>
            <w:tcW w:w="1532" w:type="dxa"/>
            <w:tcBorders>
              <w:top w:val="nil" w:sz="6" w:space="0" w:color="auto"/>
              <w:left w:val="single" w:sz="10" w:space="0" w:color="D2D2D2"/>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712,443.23</w:t>
            </w:r>
          </w:p>
        </w:tc>
        <w:tc>
          <w:tcPr>
            <w:tcW w:w="152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326,493.93</w:t>
            </w:r>
          </w:p>
        </w:tc>
        <w:tc>
          <w:tcPr>
            <w:tcW w:w="152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7,621,921.92</w:t>
            </w:r>
          </w:p>
        </w:tc>
        <w:tc>
          <w:tcPr>
            <w:tcW w:w="171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w:t>
            </w:r>
          </w:p>
        </w:tc>
      </w:tr>
      <w:tr>
        <w:trPr>
          <w:trHeight w:val="353" w:hRule="exact"/>
        </w:trPr>
        <w:tc>
          <w:tcPr>
            <w:tcW w:w="327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left="12"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tc>
        <w:tc>
          <w:tcPr>
            <w:tcW w:w="1532" w:type="dxa"/>
            <w:tcBorders>
              <w:top w:val="nil" w:sz="6" w:space="0" w:color="auto"/>
              <w:left w:val="single" w:sz="10" w:space="0" w:color="D2D2D2"/>
              <w:bottom w:val="single" w:sz="4" w:space="0" w:color="000000"/>
              <w:right w:val="single" w:sz="4" w:space="0" w:color="000000"/>
            </w:tcBorders>
          </w:tcPr>
          <w:p>
            <w:pPr/>
          </w:p>
        </w:tc>
        <w:tc>
          <w:tcPr>
            <w:tcW w:w="1520" w:type="dxa"/>
            <w:tcBorders>
              <w:top w:val="nil" w:sz="6" w:space="0" w:color="auto"/>
              <w:left w:val="single" w:sz="4" w:space="0" w:color="000000"/>
              <w:bottom w:val="single" w:sz="4" w:space="0" w:color="000000"/>
              <w:right w:val="single" w:sz="4" w:space="0" w:color="000000"/>
            </w:tcBorders>
          </w:tcPr>
          <w:p>
            <w:pPr/>
          </w:p>
        </w:tc>
        <w:tc>
          <w:tcPr>
            <w:tcW w:w="1522" w:type="dxa"/>
            <w:tcBorders>
              <w:top w:val="nil" w:sz="6" w:space="0" w:color="auto"/>
              <w:left w:val="single" w:sz="4" w:space="0" w:color="000000"/>
              <w:bottom w:val="single" w:sz="4" w:space="0" w:color="000000"/>
              <w:right w:val="single" w:sz="4" w:space="0" w:color="000000"/>
            </w:tcBorders>
          </w:tcPr>
          <w:p>
            <w:pPr/>
          </w:p>
        </w:tc>
        <w:tc>
          <w:tcPr>
            <w:tcW w:w="1711"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-19,177.50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355" w:hRule="exact"/>
        </w:trPr>
        <w:tc>
          <w:tcPr>
            <w:tcW w:w="327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w:t>
            </w:r>
          </w:p>
        </w:tc>
        <w:tc>
          <w:tcPr>
            <w:tcW w:w="1532" w:type="dxa"/>
            <w:tcBorders>
              <w:top w:val="single" w:sz="4" w:space="0" w:color="000000"/>
              <w:left w:val="single" w:sz="10" w:space="0" w:color="D2D2D2"/>
              <w:bottom w:val="nil" w:sz="6" w:space="0" w:color="auto"/>
              <w:right w:val="single" w:sz="4" w:space="0" w:color="000000"/>
            </w:tcBorders>
          </w:tcPr>
          <w:p>
            <w:pPr/>
          </w:p>
        </w:tc>
        <w:tc>
          <w:tcPr>
            <w:tcW w:w="1520" w:type="dxa"/>
            <w:tcBorders>
              <w:top w:val="single" w:sz="4" w:space="0" w:color="000000"/>
              <w:left w:val="single" w:sz="4" w:space="0" w:color="000000"/>
              <w:bottom w:val="nil" w:sz="6" w:space="0" w:color="auto"/>
              <w:right w:val="single" w:sz="4" w:space="0" w:color="000000"/>
            </w:tcBorders>
          </w:tcPr>
          <w:p>
            <w:pPr/>
          </w:p>
        </w:tc>
        <w:tc>
          <w:tcPr>
            <w:tcW w:w="1522" w:type="dxa"/>
            <w:tcBorders>
              <w:top w:val="single" w:sz="4" w:space="0" w:color="000000"/>
              <w:left w:val="single" w:sz="4" w:space="0" w:color="000000"/>
              <w:bottom w:val="nil" w:sz="6" w:space="0" w:color="auto"/>
              <w:right w:val="single" w:sz="4" w:space="0" w:color="000000"/>
            </w:tcBorders>
          </w:tcPr>
          <w:p>
            <w:pPr/>
          </w:p>
        </w:tc>
        <w:tc>
          <w:tcPr>
            <w:tcW w:w="1711"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2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值业务外，持有交易性金融资产、交易性</w:t>
            </w:r>
          </w:p>
        </w:tc>
        <w:tc>
          <w:tcPr>
            <w:tcW w:w="1532" w:type="dxa"/>
            <w:tcBorders>
              <w:top w:val="nil" w:sz="6" w:space="0" w:color="auto"/>
              <w:left w:val="single" w:sz="10" w:space="0" w:color="D2D2D2"/>
              <w:bottom w:val="nil" w:sz="6" w:space="0" w:color="auto"/>
              <w:right w:val="single" w:sz="4" w:space="0" w:color="000000"/>
            </w:tcBorders>
          </w:tcPr>
          <w:p>
            <w:pPr/>
          </w:p>
        </w:tc>
        <w:tc>
          <w:tcPr>
            <w:tcW w:w="1520" w:type="dxa"/>
            <w:tcBorders>
              <w:top w:val="nil" w:sz="6" w:space="0" w:color="auto"/>
              <w:left w:val="single" w:sz="4" w:space="0" w:color="000000"/>
              <w:bottom w:val="nil" w:sz="6" w:space="0" w:color="auto"/>
              <w:right w:val="single" w:sz="4" w:space="0" w:color="000000"/>
            </w:tcBorders>
          </w:tcPr>
          <w:p>
            <w:pPr/>
          </w:p>
        </w:tc>
        <w:tc>
          <w:tcPr>
            <w:tcW w:w="1522" w:type="dxa"/>
            <w:tcBorders>
              <w:top w:val="nil" w:sz="6" w:space="0" w:color="auto"/>
              <w:left w:val="single" w:sz="4" w:space="0" w:color="000000"/>
              <w:bottom w:val="nil" w:sz="6" w:space="0" w:color="auto"/>
              <w:right w:val="single" w:sz="4" w:space="0" w:color="000000"/>
            </w:tcBorders>
          </w:tcPr>
          <w:p>
            <w:pPr/>
          </w:p>
        </w:tc>
        <w:tc>
          <w:tcPr>
            <w:tcW w:w="171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2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金融负债产生的公允价值变动损益，以及</w:t>
            </w:r>
          </w:p>
        </w:tc>
        <w:tc>
          <w:tcPr>
            <w:tcW w:w="1532" w:type="dxa"/>
            <w:tcBorders>
              <w:top w:val="nil" w:sz="6" w:space="0" w:color="auto"/>
              <w:left w:val="single" w:sz="10" w:space="0" w:color="D2D2D2"/>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-352,966.93</w:t>
            </w:r>
          </w:p>
        </w:tc>
        <w:tc>
          <w:tcPr>
            <w:tcW w:w="152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41,183,900.95</w:t>
            </w:r>
          </w:p>
        </w:tc>
        <w:tc>
          <w:tcPr>
            <w:tcW w:w="171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w:t>
            </w:r>
          </w:p>
        </w:tc>
      </w:tr>
      <w:tr>
        <w:trPr>
          <w:trHeight w:val="307" w:hRule="exact"/>
        </w:trPr>
        <w:tc>
          <w:tcPr>
            <w:tcW w:w="32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12" w:right="0"/>
              <w:jc w:val="left"/>
              <w:rPr>
                <w:rFonts w:ascii="宋体" w:hAnsi="宋体" w:cs="宋体" w:eastAsia="宋体" w:hint="default"/>
                <w:sz w:val="18"/>
                <w:szCs w:val="18"/>
              </w:rPr>
            </w:pPr>
            <w:r>
              <w:rPr>
                <w:rFonts w:ascii="宋体" w:hAnsi="宋体" w:cs="宋体" w:eastAsia="宋体" w:hint="default"/>
                <w:sz w:val="18"/>
                <w:szCs w:val="18"/>
              </w:rPr>
              <w:t>处置交易性金融资产、交易性金融负债和</w:t>
            </w:r>
          </w:p>
        </w:tc>
        <w:tc>
          <w:tcPr>
            <w:tcW w:w="1532" w:type="dxa"/>
            <w:tcBorders>
              <w:top w:val="nil" w:sz="6" w:space="0" w:color="auto"/>
              <w:left w:val="single" w:sz="10" w:space="0" w:color="D2D2D2"/>
              <w:bottom w:val="nil" w:sz="6" w:space="0" w:color="auto"/>
              <w:right w:val="single" w:sz="4" w:space="0" w:color="000000"/>
            </w:tcBorders>
          </w:tcPr>
          <w:p>
            <w:pPr/>
          </w:p>
        </w:tc>
        <w:tc>
          <w:tcPr>
            <w:tcW w:w="1520" w:type="dxa"/>
            <w:tcBorders>
              <w:top w:val="nil" w:sz="6" w:space="0" w:color="auto"/>
              <w:left w:val="single" w:sz="4" w:space="0" w:color="000000"/>
              <w:bottom w:val="nil" w:sz="6" w:space="0" w:color="auto"/>
              <w:right w:val="single" w:sz="4" w:space="0" w:color="000000"/>
            </w:tcBorders>
          </w:tcPr>
          <w:p>
            <w:pPr/>
          </w:p>
        </w:tc>
        <w:tc>
          <w:tcPr>
            <w:tcW w:w="1522" w:type="dxa"/>
            <w:tcBorders>
              <w:top w:val="nil" w:sz="6" w:space="0" w:color="auto"/>
              <w:left w:val="single" w:sz="4" w:space="0" w:color="000000"/>
              <w:bottom w:val="nil" w:sz="6" w:space="0" w:color="auto"/>
              <w:right w:val="single" w:sz="4" w:space="0" w:color="000000"/>
            </w:tcBorders>
          </w:tcPr>
          <w:p>
            <w:pPr/>
          </w:p>
        </w:tc>
        <w:tc>
          <w:tcPr>
            <w:tcW w:w="1711"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327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可供出售金融资产取得的投资收益</w:t>
            </w:r>
          </w:p>
        </w:tc>
        <w:tc>
          <w:tcPr>
            <w:tcW w:w="1532" w:type="dxa"/>
            <w:tcBorders>
              <w:top w:val="nil" w:sz="6" w:space="0" w:color="auto"/>
              <w:left w:val="single" w:sz="10" w:space="0" w:color="D2D2D2"/>
              <w:bottom w:val="single" w:sz="4" w:space="0" w:color="000000"/>
              <w:right w:val="single" w:sz="4" w:space="0" w:color="000000"/>
            </w:tcBorders>
          </w:tcPr>
          <w:p>
            <w:pPr/>
          </w:p>
        </w:tc>
        <w:tc>
          <w:tcPr>
            <w:tcW w:w="1520" w:type="dxa"/>
            <w:tcBorders>
              <w:top w:val="nil" w:sz="6" w:space="0" w:color="auto"/>
              <w:left w:val="single" w:sz="4" w:space="0" w:color="000000"/>
              <w:bottom w:val="single" w:sz="4" w:space="0" w:color="000000"/>
              <w:right w:val="single" w:sz="4" w:space="0" w:color="000000"/>
            </w:tcBorders>
          </w:tcPr>
          <w:p>
            <w:pPr/>
          </w:p>
        </w:tc>
        <w:tc>
          <w:tcPr>
            <w:tcW w:w="1522" w:type="dxa"/>
            <w:tcBorders>
              <w:top w:val="nil" w:sz="6" w:space="0" w:color="auto"/>
              <w:left w:val="single" w:sz="4" w:space="0" w:color="000000"/>
              <w:bottom w:val="single" w:sz="4" w:space="0" w:color="000000"/>
              <w:right w:val="single" w:sz="4" w:space="0" w:color="000000"/>
            </w:tcBorders>
          </w:tcPr>
          <w:p>
            <w:pPr/>
          </w:p>
        </w:tc>
        <w:tc>
          <w:tcPr>
            <w:tcW w:w="1711"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 房地产公允价值变动产生的损益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6,690,989.32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16,819,549.37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8,266,972.20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55"/>
              <w:jc w:val="left"/>
              <w:rPr>
                <w:rFonts w:ascii="宋体" w:hAnsi="宋体" w:cs="宋体" w:eastAsia="宋体" w:hint="default"/>
                <w:sz w:val="18"/>
                <w:szCs w:val="18"/>
              </w:rPr>
            </w:pPr>
            <w:r>
              <w:rPr>
                <w:rFonts w:ascii="宋体" w:hAnsi="宋体" w:cs="宋体" w:eastAsia="宋体" w:hint="default"/>
                <w:sz w:val="18"/>
                <w:szCs w:val="18"/>
              </w:rPr>
              <w:t>报告期内公司所持投 资性房地产升值所致</w:t>
            </w:r>
          </w:p>
        </w:tc>
      </w:tr>
      <w:tr>
        <w:trPr>
          <w:trHeight w:val="317" w:hRule="exact"/>
        </w:trPr>
        <w:tc>
          <w:tcPr>
            <w:tcW w:w="32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2" w:type="dxa"/>
            <w:tcBorders>
              <w:top w:val="single" w:sz="4" w:space="0" w:color="000000"/>
              <w:left w:val="single" w:sz="4" w:space="0" w:color="000000"/>
              <w:bottom w:val="nil" w:sz="6" w:space="0" w:color="auto"/>
              <w:right w:val="single" w:sz="4" w:space="0" w:color="000000"/>
            </w:tcBorders>
          </w:tcPr>
          <w:p>
            <w:pPr/>
          </w:p>
        </w:tc>
        <w:tc>
          <w:tcPr>
            <w:tcW w:w="1520" w:type="dxa"/>
            <w:tcBorders>
              <w:top w:val="single" w:sz="4" w:space="0" w:color="000000"/>
              <w:left w:val="single" w:sz="4" w:space="0" w:color="000000"/>
              <w:bottom w:val="nil" w:sz="6" w:space="0" w:color="auto"/>
              <w:right w:val="single" w:sz="4" w:space="0" w:color="000000"/>
            </w:tcBorders>
          </w:tcPr>
          <w:p>
            <w:pPr/>
          </w:p>
        </w:tc>
        <w:tc>
          <w:tcPr>
            <w:tcW w:w="1522" w:type="dxa"/>
            <w:tcBorders>
              <w:top w:val="single" w:sz="4" w:space="0" w:color="000000"/>
              <w:left w:val="single" w:sz="4" w:space="0" w:color="000000"/>
              <w:bottom w:val="nil" w:sz="6" w:space="0" w:color="auto"/>
              <w:right w:val="single" w:sz="4" w:space="0" w:color="000000"/>
            </w:tcBorders>
          </w:tcPr>
          <w:p>
            <w:pPr/>
          </w:p>
        </w:tc>
        <w:tc>
          <w:tcPr>
            <w:tcW w:w="17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主要系无法支付的应</w:t>
            </w:r>
          </w:p>
        </w:tc>
      </w:tr>
      <w:tr>
        <w:trPr>
          <w:trHeight w:val="392" w:hRule="exact"/>
        </w:trPr>
        <w:tc>
          <w:tcPr>
            <w:tcW w:w="32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nil" w:sz="6" w:space="0" w:color="auto"/>
              <w:left w:val="single" w:sz="10" w:space="0" w:color="D2D2D2"/>
              <w:bottom w:val="nil" w:sz="6" w:space="0" w:color="auto"/>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556,406.82</w:t>
            </w:r>
          </w:p>
        </w:tc>
        <w:tc>
          <w:tcPr>
            <w:tcW w:w="1520"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-758,213.02</w:t>
            </w:r>
          </w:p>
        </w:tc>
        <w:tc>
          <w:tcPr>
            <w:tcW w:w="1522"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-269,248.40</w:t>
            </w:r>
          </w:p>
        </w:tc>
        <w:tc>
          <w:tcPr>
            <w:tcW w:w="1711"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付账款以及违约金、</w:t>
            </w:r>
          </w:p>
        </w:tc>
      </w:tr>
      <w:tr>
        <w:trPr>
          <w:trHeight w:val="317" w:hRule="exact"/>
        </w:trPr>
        <w:tc>
          <w:tcPr>
            <w:tcW w:w="32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2" w:type="dxa"/>
            <w:tcBorders>
              <w:top w:val="nil" w:sz="6" w:space="0" w:color="auto"/>
              <w:left w:val="single" w:sz="4" w:space="0" w:color="000000"/>
              <w:bottom w:val="single" w:sz="4" w:space="0" w:color="000000"/>
              <w:right w:val="single" w:sz="4" w:space="0" w:color="000000"/>
            </w:tcBorders>
          </w:tcPr>
          <w:p>
            <w:pPr/>
          </w:p>
        </w:tc>
        <w:tc>
          <w:tcPr>
            <w:tcW w:w="1520" w:type="dxa"/>
            <w:tcBorders>
              <w:top w:val="nil" w:sz="6" w:space="0" w:color="auto"/>
              <w:left w:val="single" w:sz="4" w:space="0" w:color="000000"/>
              <w:bottom w:val="single" w:sz="4" w:space="0" w:color="000000"/>
              <w:right w:val="single" w:sz="4" w:space="0" w:color="000000"/>
            </w:tcBorders>
          </w:tcPr>
          <w:p>
            <w:pPr/>
          </w:p>
        </w:tc>
        <w:tc>
          <w:tcPr>
            <w:tcW w:w="1522" w:type="dxa"/>
            <w:tcBorders>
              <w:top w:val="nil" w:sz="6" w:space="0" w:color="auto"/>
              <w:left w:val="single" w:sz="4" w:space="0" w:color="000000"/>
              <w:bottom w:val="single" w:sz="4" w:space="0" w:color="000000"/>
              <w:right w:val="single" w:sz="4" w:space="0" w:color="000000"/>
            </w:tcBorders>
          </w:tcPr>
          <w:p>
            <w:pPr/>
          </w:p>
        </w:tc>
        <w:tc>
          <w:tcPr>
            <w:tcW w:w="1711"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滞纳金所致</w:t>
            </w: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1,906,979.66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8,323,978.93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7,451,315.13</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3,095.34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846,703.17</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7,830,674.85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36,188,643.88</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108,650,002.66</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2295"/>
        <w:gridCol w:w="2156"/>
        <w:gridCol w:w="5247"/>
      </w:tblGrid>
      <w:tr>
        <w:trPr>
          <w:trHeight w:val="404" w:hRule="exact"/>
        </w:trPr>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2"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025"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99"/>
              <w:jc w:val="left"/>
              <w:rPr>
                <w:rFonts w:ascii="宋体" w:hAnsi="宋体" w:cs="宋体" w:eastAsia="宋体" w:hint="default"/>
                <w:sz w:val="18"/>
                <w:szCs w:val="18"/>
              </w:rPr>
            </w:pPr>
            <w:r>
              <w:rPr>
                <w:rFonts w:ascii="宋体" w:hAnsi="宋体" w:cs="宋体" w:eastAsia="宋体" w:hint="default"/>
                <w:sz w:val="18"/>
                <w:szCs w:val="18"/>
              </w:rPr>
              <w:t>惠程本部、惠程智能股权投 资、理财产品收益</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-39,247,559.81</w:t>
            </w:r>
          </w:p>
        </w:tc>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公司为了产业升级参与的基金投资业务与公司理财业务均属于经 </w:t>
            </w:r>
            <w:r>
              <w:rPr>
                <w:rFonts w:ascii="宋体" w:hAnsi="宋体" w:cs="宋体" w:eastAsia="宋体" w:hint="default"/>
                <w:spacing w:val="-2"/>
                <w:sz w:val="18"/>
                <w:szCs w:val="18"/>
              </w:rPr>
              <w:t>常性业务，未来将持续进行，收益可持续且稳定；符合经常性损益</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与主营业务相关且持续稳定的特性。</w:t>
            </w:r>
          </w:p>
        </w:tc>
      </w:tr>
      <w:tr>
        <w:trPr>
          <w:trHeight w:val="1339"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98"/>
              <w:jc w:val="both"/>
              <w:rPr>
                <w:rFonts w:ascii="宋体" w:hAnsi="宋体" w:cs="宋体" w:eastAsia="宋体" w:hint="default"/>
                <w:sz w:val="18"/>
                <w:szCs w:val="18"/>
              </w:rPr>
            </w:pPr>
            <w:r>
              <w:rPr>
                <w:rFonts w:ascii="宋体" w:hAnsi="宋体" w:cs="宋体" w:eastAsia="宋体" w:hint="default"/>
                <w:sz w:val="18"/>
                <w:szCs w:val="18"/>
              </w:rPr>
              <w:t>北京中汇联银、中汇联鑫、 喀什中汇联银证券、股权、 理财投资收益</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-6,470,949.72</w:t>
            </w:r>
          </w:p>
        </w:tc>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both"/>
              <w:rPr>
                <w:rFonts w:ascii="宋体" w:hAnsi="宋体" w:cs="宋体" w:eastAsia="宋体" w:hint="default"/>
                <w:sz w:val="18"/>
                <w:szCs w:val="18"/>
              </w:rPr>
            </w:pPr>
            <w:r>
              <w:rPr>
                <w:rFonts w:ascii="宋体" w:hAnsi="宋体" w:cs="宋体" w:eastAsia="宋体" w:hint="default"/>
                <w:spacing w:val="-2"/>
                <w:sz w:val="18"/>
                <w:szCs w:val="18"/>
              </w:rPr>
              <w:t>北京中汇联银、中汇联鑫、喀什中汇联银作为公司设立的专门投资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业务平台，主要从事投资类业务，证券、股权、理财投资系三家子</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公司经常性发生的业务，具有持续性；符合经常性损益与主营业务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相关且持续稳定的特性。</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29" w:right="3490"/>
        <w:jc w:val="center"/>
        <w:rPr>
          <w:b w:val="0"/>
          <w:bCs w:val="0"/>
        </w:rPr>
      </w:pPr>
      <w:bookmarkStart w:name="_bookmark1" w:id="2"/>
      <w:bookmarkEnd w:id="2"/>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4"/>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774"/>
        <w:jc w:val="left"/>
      </w:pPr>
      <w:r>
        <w:rPr/>
        <w:t>公司是否需要遵守特殊行业的披露要求 否</w:t>
      </w:r>
    </w:p>
    <w:p>
      <w:pPr>
        <w:pStyle w:val="BodyText"/>
        <w:spacing w:line="316" w:lineRule="auto" w:before="25"/>
        <w:ind w:right="114" w:firstLine="360"/>
        <w:jc w:val="left"/>
      </w:pPr>
      <w:r>
        <w:rPr>
          <w:spacing w:val="-2"/>
        </w:rPr>
        <w:t>报告期，公司继续坚持产业经营与资本运作协同发展，在原有电气业务和投资业务的基础上，通过并购重组取得哆可梦</w:t>
      </w:r>
      <w:r>
        <w:rPr/>
        <w:t> 控制权，成功布局互联网文娱产业，为公司带来新的利润增长点。</w:t>
      </w:r>
    </w:p>
    <w:p>
      <w:pPr>
        <w:pStyle w:val="BodyText"/>
        <w:spacing w:line="316" w:lineRule="auto" w:before="19"/>
        <w:ind w:right="114" w:firstLine="360"/>
        <w:jc w:val="left"/>
      </w:pPr>
      <w:r>
        <w:rPr>
          <w:spacing w:val="-2"/>
        </w:rPr>
        <w:t>公司电气业务以新型高分子电气绝缘材料技术为特色核心优势，致力于提供专业配网装备及综合解决方案，专业从事高</w:t>
      </w:r>
      <w:r>
        <w:rPr/>
        <w:t> 可靠、全密闭、全绝缘、小型化新一代电气装备的研发、生产、销售、安装及配网综合解决方案。产品包括成套开关设备、 </w:t>
      </w:r>
      <w:r>
        <w:rPr>
          <w:spacing w:val="-2"/>
        </w:rPr>
        <w:t>全密闭绝缘中低压电缆分接箱、电缆对接箱、硅橡胶电缆附件、可分离连接器、外置母线连接器、避雷器、电气接点防护罩</w:t>
      </w:r>
      <w:r>
        <w:rPr>
          <w:spacing w:val="-67"/>
        </w:rPr>
        <w:t> </w:t>
      </w:r>
      <w:r>
        <w:rPr>
          <w:spacing w:val="-67"/>
        </w:rPr>
      </w:r>
      <w:r>
        <w:rPr/>
        <w:t>等硅橡胶绝缘制品、</w:t>
      </w:r>
      <w:r>
        <w:rPr>
          <w:rFonts w:ascii="Times New Roman" w:hAnsi="Times New Roman" w:cs="Times New Roman" w:eastAsia="Times New Roman" w:hint="default"/>
        </w:rPr>
        <w:t>APG</w:t>
      </w:r>
      <w:r>
        <w:rPr/>
        <w:t>环氧树脂产品、管型母线、</w:t>
      </w:r>
      <w:r>
        <w:rPr>
          <w:rFonts w:ascii="Times New Roman" w:hAnsi="Times New Roman" w:cs="Times New Roman" w:eastAsia="Times New Roman" w:hint="default"/>
        </w:rPr>
        <w:t>SMC</w:t>
      </w:r>
      <w:r>
        <w:rPr/>
        <w:t>电气设备箱体、新能源汽车充电系统等。</w:t>
      </w:r>
    </w:p>
    <w:p>
      <w:pPr>
        <w:pStyle w:val="BodyText"/>
        <w:spacing w:line="307" w:lineRule="auto"/>
        <w:ind w:right="114" w:firstLine="360"/>
        <w:jc w:val="left"/>
      </w:pPr>
      <w:r>
        <w:rPr/>
        <w:t>公司通过收购哆可梦进入互联网文娱产业，哆可梦主要从事基于大数据精细化营销的流量经营业务和移动游戏的研发、 发行及游戏平台的运营业务，拥有</w:t>
      </w:r>
      <w:r>
        <w:rPr>
          <w:rFonts w:ascii="Times New Roman" w:hAnsi="Times New Roman" w:cs="Times New Roman" w:eastAsia="Times New Roman" w:hint="default"/>
        </w:rPr>
        <w:t>9187.cn</w:t>
      </w:r>
      <w:r>
        <w:rPr/>
        <w:t>（国内）和</w:t>
      </w:r>
      <w:r>
        <w:rPr>
          <w:rFonts w:ascii="Times New Roman" w:hAnsi="Times New Roman" w:cs="Times New Roman" w:eastAsia="Times New Roman" w:hint="default"/>
        </w:rPr>
        <w:t>YahGame</w:t>
      </w:r>
      <w:r>
        <w:rPr/>
        <w:t>（海外）游戏运营平台，已经完成并上线数十款精品游戏产 </w:t>
      </w:r>
      <w:r>
        <w:rPr>
          <w:spacing w:val="-2"/>
        </w:rPr>
        <w:t>品，包括《浩天奇缘》、《宠物大冒险》、《兽人战争》、《斗罗大陆神界传说》、《神话大陆》、《天地豪侠》、《斩龙</w:t>
      </w:r>
      <w:r>
        <w:rPr>
          <w:spacing w:val="-68"/>
        </w:rPr>
        <w:t> </w:t>
      </w:r>
      <w:r>
        <w:rPr>
          <w:spacing w:val="-68"/>
        </w:rPr>
      </w:r>
      <w:r>
        <w:rPr/>
        <w:t>传》等，产品类型覆盖</w:t>
      </w:r>
      <w:r>
        <w:rPr>
          <w:rFonts w:ascii="Times New Roman" w:hAnsi="Times New Roman" w:cs="Times New Roman" w:eastAsia="Times New Roman" w:hint="default"/>
        </w:rPr>
        <w:t>MMORPG</w:t>
      </w:r>
      <w:r>
        <w:rPr/>
        <w:t>、</w:t>
      </w:r>
      <w:r>
        <w:rPr>
          <w:rFonts w:ascii="Times New Roman" w:hAnsi="Times New Roman" w:cs="Times New Roman" w:eastAsia="Times New Roman" w:hint="default"/>
        </w:rPr>
        <w:t>2D</w:t>
      </w:r>
      <w:r>
        <w:rPr/>
        <w:t>卡牌、</w:t>
      </w:r>
      <w:r>
        <w:rPr>
          <w:rFonts w:ascii="Times New Roman" w:hAnsi="Times New Roman" w:cs="Times New Roman" w:eastAsia="Times New Roman" w:hint="default"/>
        </w:rPr>
        <w:t>3D</w:t>
      </w:r>
      <w:r>
        <w:rPr/>
        <w:t>动作</w:t>
      </w:r>
      <w:r>
        <w:rPr>
          <w:rFonts w:ascii="Times New Roman" w:hAnsi="Times New Roman" w:cs="Times New Roman" w:eastAsia="Times New Roman" w:hint="default"/>
        </w:rPr>
        <w:t>RPG</w:t>
      </w:r>
      <w:r>
        <w:rPr/>
        <w:t>、</w:t>
      </w:r>
      <w:r>
        <w:rPr>
          <w:rFonts w:ascii="Times New Roman" w:hAnsi="Times New Roman" w:cs="Times New Roman" w:eastAsia="Times New Roman" w:hint="default"/>
        </w:rPr>
        <w:t>SLG</w:t>
      </w:r>
      <w:r>
        <w:rPr/>
        <w:t>等，产品内容涉及东方玄幻、西方魔幻以及异次元文化等， </w:t>
      </w:r>
      <w:r>
        <w:rPr>
          <w:spacing w:val="-2"/>
        </w:rPr>
        <w:t>坚持</w:t>
      </w:r>
      <w:r>
        <w:rPr>
          <w:rFonts w:ascii="Times New Roman" w:hAnsi="Times New Roman" w:cs="Times New Roman" w:eastAsia="Times New Roman" w:hint="default"/>
          <w:spacing w:val="-2"/>
        </w:rPr>
        <w:t>“</w:t>
      </w:r>
      <w:r>
        <w:rPr>
          <w:spacing w:val="-2"/>
        </w:rPr>
        <w:t>业务平台化、市场全球化、流量自有化、生态链泛娱乐化</w:t>
      </w:r>
      <w:r>
        <w:rPr>
          <w:rFonts w:ascii="Times New Roman" w:hAnsi="Times New Roman" w:cs="Times New Roman" w:eastAsia="Times New Roman" w:hint="default"/>
          <w:spacing w:val="-2"/>
        </w:rPr>
        <w:t>”</w:t>
      </w:r>
      <w:r>
        <w:rPr>
          <w:spacing w:val="-2"/>
        </w:rPr>
        <w:t>的发展战略，凭借高效的游戏研发体系以及精准的游戏推广</w:t>
      </w:r>
      <w:r>
        <w:rPr>
          <w:spacing w:val="-46"/>
        </w:rPr>
        <w:t> </w:t>
      </w:r>
      <w:r>
        <w:rPr>
          <w:spacing w:val="-46"/>
        </w:rPr>
      </w:r>
      <w:r>
        <w:rPr/>
        <w:t>渠道，致力于打造一家立足于全球移动游戏研发、服务于全球移动游戏用户的综合性互动娱乐公司。</w:t>
      </w:r>
    </w:p>
    <w:p>
      <w:pPr>
        <w:pStyle w:val="BodyText"/>
        <w:spacing w:line="319" w:lineRule="auto" w:before="26"/>
        <w:ind w:right="114" w:firstLine="360"/>
        <w:jc w:val="left"/>
      </w:pPr>
      <w:r>
        <w:rPr>
          <w:spacing w:val="-2"/>
        </w:rPr>
        <w:t>公司投资业务主要涵盖以资金管理和运用为主的理财产品投资、证券投资和股权投资。为提升公司盈利能力，积极探索</w:t>
      </w:r>
      <w:r>
        <w:rPr/>
        <w:t> </w:t>
      </w:r>
      <w:r>
        <w:rPr>
          <w:spacing w:val="-4"/>
        </w:rPr>
        <w:t>和尝试以投资业务推动公司产业升级和转型，以公司发展战略为导向，围绕公司电气业务和互联网文娱业务开展外延式发展。</w:t>
      </w:r>
    </w:p>
    <w:p>
      <w:pPr>
        <w:spacing w:line="300" w:lineRule="auto" w:before="17"/>
        <w:ind w:left="513" w:right="11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、行业发展情况</w:t>
      </w:r>
      <w:r>
        <w:rPr>
          <w:rFonts w:ascii="宋体" w:hAnsi="宋体" w:cs="宋体" w:eastAsia="宋体" w:hint="default"/>
          <w:b/>
          <w:bCs/>
          <w:w w:val="99"/>
          <w:sz w:val="18"/>
          <w:szCs w:val="18"/>
        </w:rPr>
        <w:t> </w:t>
      </w:r>
      <w:r>
        <w:rPr>
          <w:rFonts w:ascii="宋体" w:hAnsi="宋体" w:cs="宋体" w:eastAsia="宋体" w:hint="default"/>
          <w:b/>
          <w:bCs/>
          <w:spacing w:val="-4"/>
          <w:sz w:val="18"/>
          <w:szCs w:val="18"/>
        </w:rPr>
        <w:t>电气行业：</w:t>
      </w:r>
      <w:r>
        <w:rPr>
          <w:rFonts w:ascii="宋体" w:hAnsi="宋体" w:cs="宋体" w:eastAsia="宋体" w:hint="default"/>
          <w:spacing w:val="-4"/>
          <w:sz w:val="18"/>
          <w:szCs w:val="18"/>
        </w:rPr>
        <w:t>公司所处的输配电设备制造产业与电力工业密切相关，是国民经济发展的重要装备工业，担负着为国民经济、</w:t>
      </w:r>
    </w:p>
    <w:p>
      <w:pPr>
        <w:pStyle w:val="BodyText"/>
        <w:spacing w:line="307" w:lineRule="auto" w:before="31"/>
        <w:ind w:right="114"/>
        <w:jc w:val="left"/>
      </w:pPr>
      <w:r>
        <w:rPr>
          <w:spacing w:val="-2"/>
        </w:rPr>
        <w:t>国防事业以及人民生活电气化提供各种各样电气设备的重任。国家能源局发布的最新统计数据显示，</w:t>
      </w:r>
      <w:r>
        <w:rPr>
          <w:rFonts w:ascii="Times New Roman" w:hAnsi="Times New Roman" w:cs="Times New Roman" w:eastAsia="Times New Roman" w:hint="default"/>
          <w:spacing w:val="-2"/>
        </w:rPr>
        <w:t>2017</w:t>
      </w:r>
      <w:r>
        <w:rPr>
          <w:spacing w:val="-2"/>
        </w:rPr>
        <w:t>年我国电源基本建</w:t>
      </w:r>
      <w:r>
        <w:rPr>
          <w:spacing w:val="-61"/>
        </w:rPr>
        <w:t> </w:t>
      </w:r>
      <w:r>
        <w:rPr>
          <w:spacing w:val="-61"/>
        </w:rPr>
      </w:r>
      <w:r>
        <w:rPr/>
        <w:t>设完成投资</w:t>
      </w:r>
      <w:r>
        <w:rPr>
          <w:rFonts w:ascii="Times New Roman" w:hAnsi="Times New Roman" w:cs="Times New Roman" w:eastAsia="Times New Roman" w:hint="default"/>
        </w:rPr>
        <w:t>2,700</w:t>
      </w:r>
      <w:r>
        <w:rPr/>
        <w:t>亿元，电网基本建设完成投资</w:t>
      </w:r>
      <w:r>
        <w:rPr>
          <w:rFonts w:ascii="Times New Roman" w:hAnsi="Times New Roman" w:cs="Times New Roman" w:eastAsia="Times New Roman" w:hint="default"/>
        </w:rPr>
        <w:t>5,315</w:t>
      </w:r>
      <w:r>
        <w:rPr/>
        <w:t>亿元，发电新增设备</w:t>
      </w:r>
      <w:r>
        <w:rPr>
          <w:rFonts w:ascii="Times New Roman" w:hAnsi="Times New Roman" w:cs="Times New Roman" w:eastAsia="Times New Roman" w:hint="default"/>
        </w:rPr>
        <w:t>13,372</w:t>
      </w:r>
      <w:r>
        <w:rPr/>
        <w:t>万千瓦，新增</w:t>
      </w:r>
      <w:r>
        <w:rPr>
          <w:rFonts w:ascii="Times New Roman" w:hAnsi="Times New Roman" w:cs="Times New Roman" w:eastAsia="Times New Roman" w:hint="default"/>
        </w:rPr>
        <w:t>220</w:t>
      </w:r>
      <w:r>
        <w:rPr/>
        <w:t>千伏及以上变电设备</w:t>
      </w:r>
      <w:r>
        <w:rPr>
          <w:rFonts w:ascii="Times New Roman" w:hAnsi="Times New Roman" w:cs="Times New Roman" w:eastAsia="Times New Roman" w:hint="default"/>
        </w:rPr>
        <w:t>24,263 </w:t>
      </w:r>
      <w:r>
        <w:rPr/>
        <w:t>万千伏安。根据国家发展改革委和国家能源局发布的《能源发展</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规划》，将全面推进能源惠民工程建设，着力完善 </w:t>
      </w:r>
      <w:r>
        <w:rPr>
          <w:spacing w:val="-6"/>
          <w:w w:val="100"/>
        </w:rPr>
        <w:t>用能基础设施，推进新一轮农村电网改造升级工程，实施城市配电网建设改造行动，在</w:t>
      </w:r>
      <w:r>
        <w:rPr>
          <w:rFonts w:ascii="Times New Roman" w:hAnsi="Times New Roman" w:cs="Times New Roman" w:eastAsia="Times New Roman" w:hint="default"/>
          <w:spacing w:val="-6"/>
          <w:w w:val="100"/>
        </w:rPr>
        <w:t>“</w:t>
      </w:r>
      <w:r>
        <w:rPr>
          <w:spacing w:val="-6"/>
          <w:w w:val="100"/>
        </w:rPr>
        <w:t>十三五</w:t>
      </w:r>
      <w:r>
        <w:rPr>
          <w:rFonts w:ascii="Times New Roman" w:hAnsi="Times New Roman" w:cs="Times New Roman" w:eastAsia="Times New Roman" w:hint="default"/>
          <w:spacing w:val="-6"/>
          <w:w w:val="100"/>
        </w:rPr>
        <w:t>”</w:t>
      </w:r>
      <w:r>
        <w:rPr>
          <w:spacing w:val="-6"/>
          <w:w w:val="100"/>
        </w:rPr>
        <w:t>期间将建成</w:t>
      </w:r>
      <w:r>
        <w:rPr>
          <w:rFonts w:ascii="Times New Roman" w:hAnsi="Times New Roman" w:cs="Times New Roman" w:eastAsia="Times New Roman" w:hint="default"/>
          <w:spacing w:val="-6"/>
          <w:w w:val="100"/>
        </w:rPr>
        <w:t>20</w:t>
      </w:r>
      <w:r>
        <w:rPr>
          <w:spacing w:val="-6"/>
          <w:w w:val="100"/>
        </w:rPr>
        <w:t>个中心城市（区）</w:t>
      </w:r>
      <w:r>
        <w:rPr>
          <w:spacing w:val="-75"/>
          <w:w w:val="100"/>
        </w:rPr>
        <w:t> </w:t>
      </w:r>
      <w:r>
        <w:rPr>
          <w:spacing w:val="-75"/>
          <w:w w:val="100"/>
        </w:rPr>
      </w:r>
      <w:r>
        <w:rPr>
          <w:spacing w:val="-2"/>
        </w:rPr>
        <w:t>核心区高可靠性供电示范区、</w:t>
      </w:r>
      <w:r>
        <w:rPr>
          <w:rFonts w:ascii="Times New Roman" w:hAnsi="Times New Roman" w:cs="Times New Roman" w:eastAsia="Times New Roman" w:hint="default"/>
          <w:spacing w:val="-2"/>
        </w:rPr>
        <w:t>60</w:t>
      </w:r>
      <w:r>
        <w:rPr>
          <w:spacing w:val="-2"/>
        </w:rPr>
        <w:t>个新型城镇化配电网示范区；开展西藏、新疆以及四川、云南、甘肃、青海四省藏区农村电</w:t>
      </w:r>
      <w:r>
        <w:rPr>
          <w:spacing w:val="-63"/>
        </w:rPr>
        <w:t> </w:t>
      </w:r>
      <w:r>
        <w:rPr>
          <w:spacing w:val="-63"/>
        </w:rPr>
      </w:r>
      <w:r>
        <w:rPr>
          <w:spacing w:val="-2"/>
        </w:rPr>
        <w:t>网建设攻坚，加强西部及贫困地区农村电网改造升级，推进东中部地区城乡供电服务便利化进程。结合发展规划及输配电设</w:t>
      </w:r>
      <w:r>
        <w:rPr>
          <w:spacing w:val="-63"/>
        </w:rPr>
        <w:t> </w:t>
      </w:r>
      <w:r>
        <w:rPr>
          <w:spacing w:val="-63"/>
        </w:rPr>
      </w:r>
      <w:r>
        <w:rPr>
          <w:spacing w:val="-2"/>
        </w:rPr>
        <w:t>备更新换代和产品升级换代的旺盛需求情况，预计输配电设备行业仍具巨大的市场发展空间并将保持快速发展。同时，随着</w:t>
      </w:r>
      <w:r>
        <w:rPr>
          <w:spacing w:val="-65"/>
        </w:rPr>
        <w:t> </w:t>
      </w:r>
      <w:r>
        <w:rPr>
          <w:spacing w:val="-65"/>
        </w:rPr>
      </w:r>
      <w:r>
        <w:rPr>
          <w:spacing w:val="-2"/>
        </w:rPr>
        <w:t>能源科技创新的加速推进，能源供需方式和系统形态正在发生着深刻变化，智能电网、分布式能源等技术取得重大突破和商</w:t>
      </w:r>
      <w:r>
        <w:rPr>
          <w:spacing w:val="-66"/>
        </w:rPr>
        <w:t> </w:t>
      </w:r>
      <w:r>
        <w:rPr>
          <w:spacing w:val="-66"/>
        </w:rPr>
      </w:r>
      <w:r>
        <w:rPr/>
        <w:t>业化应用，正在变革性发展。</w:t>
      </w:r>
    </w:p>
    <w:p>
      <w:pPr>
        <w:pStyle w:val="BodyText"/>
        <w:spacing w:line="304" w:lineRule="auto" w:before="26"/>
        <w:ind w:right="134" w:firstLine="360"/>
        <w:jc w:val="left"/>
      </w:pPr>
      <w:r>
        <w:rPr>
          <w:rFonts w:ascii="宋体" w:hAnsi="宋体" w:cs="宋体" w:eastAsia="宋体" w:hint="default"/>
          <w:b/>
          <w:bCs/>
          <w:spacing w:val="-2"/>
        </w:rPr>
        <w:t>互联网文娱行业</w:t>
      </w:r>
      <w:r>
        <w:rPr>
          <w:spacing w:val="-2"/>
        </w:rPr>
        <w:t>：公司新增控股子公司哆可梦主要从事基于大数据精细化营销的流量经营业务和移动游戏的研发、发行</w:t>
      </w:r>
      <w:r>
        <w:rPr/>
        <w:t> 及游戏平台的运营业务，属于互联网文化娱乐的细分行业。</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时期文化产业发展规划明确要优化文化产业结构布局， 加快发展动漫游戏、网络视听、移动多媒体等新兴产业，推动文化娱乐、出版发行、影视制作等传统产业转型升级。</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5</w:t>
      </w:r>
      <w:r>
        <w:rPr/>
        <w:t>月生效的《文化部关于规范网络游戏运营加强事中事后监管工作的通知》旨在进一步规范网络游戏市场秩序，保护消费 </w:t>
      </w:r>
      <w:r>
        <w:rPr>
          <w:spacing w:val="-2"/>
        </w:rPr>
        <w:t>者和企业合法权益，促进网络游戏行业健康有序发展，这也充分说明我国网络游戏行业正在迅速发展，并在促进网络文化市</w:t>
      </w:r>
      <w:r>
        <w:rPr>
          <w:spacing w:val="-63"/>
        </w:rPr>
        <w:t> </w:t>
      </w:r>
      <w:r>
        <w:rPr>
          <w:spacing w:val="-63"/>
        </w:rPr>
      </w:r>
      <w:r>
        <w:rPr>
          <w:spacing w:val="-2"/>
        </w:rPr>
        <w:t>场发展、丰富人民群众文化娱乐活动、扩大和引导文化消费等方面发挥了积极作用。中国文化娱乐行业协会信息中心与中娱</w:t>
      </w:r>
      <w:r>
        <w:rPr>
          <w:spacing w:val="-62"/>
        </w:rPr>
        <w:t> </w:t>
      </w:r>
      <w:r>
        <w:rPr>
          <w:spacing w:val="-62"/>
        </w:rPr>
      </w:r>
      <w:r>
        <w:rPr>
          <w:spacing w:val="-2"/>
        </w:rPr>
        <w:t>智库联合发布的《</w:t>
      </w:r>
      <w:r>
        <w:rPr>
          <w:rFonts w:ascii="Times New Roman" w:hAnsi="Times New Roman" w:cs="Times New Roman" w:eastAsia="Times New Roman" w:hint="default"/>
          <w:spacing w:val="-2"/>
        </w:rPr>
        <w:t>2017</w:t>
      </w:r>
      <w:r>
        <w:rPr>
          <w:spacing w:val="-2"/>
        </w:rPr>
        <w:t>年中国游戏行业发展报告》显示，</w:t>
      </w:r>
      <w:r>
        <w:rPr>
          <w:rFonts w:ascii="Times New Roman" w:hAnsi="Times New Roman" w:cs="Times New Roman" w:eastAsia="Times New Roman" w:hint="default"/>
          <w:spacing w:val="-2"/>
        </w:rPr>
        <w:t>2017</w:t>
      </w:r>
      <w:r>
        <w:rPr>
          <w:spacing w:val="-2"/>
        </w:rPr>
        <w:t>年中国游戏行业整体保持稳健发展，网络游戏预计全年营业收</w:t>
      </w:r>
      <w:r>
        <w:rPr>
          <w:spacing w:val="-58"/>
        </w:rPr>
        <w:t> </w:t>
      </w:r>
      <w:r>
        <w:rPr>
          <w:spacing w:val="-58"/>
        </w:rPr>
      </w:r>
      <w:r>
        <w:rPr>
          <w:spacing w:val="-2"/>
        </w:rPr>
        <w:t>入约为</w:t>
      </w:r>
      <w:r>
        <w:rPr>
          <w:rFonts w:ascii="Times New Roman" w:hAnsi="Times New Roman" w:cs="Times New Roman" w:eastAsia="Times New Roman" w:hint="default"/>
          <w:spacing w:val="-2"/>
        </w:rPr>
        <w:t>2011</w:t>
      </w:r>
      <w:r>
        <w:rPr>
          <w:spacing w:val="-2"/>
        </w:rPr>
        <w:t>亿元，同比增长</w:t>
      </w:r>
      <w:r>
        <w:rPr>
          <w:rFonts w:ascii="Times New Roman" w:hAnsi="Times New Roman" w:cs="Times New Roman" w:eastAsia="Times New Roman" w:hint="default"/>
          <w:spacing w:val="-2"/>
        </w:rPr>
        <w:t>23.1%</w:t>
      </w:r>
      <w:r>
        <w:rPr>
          <w:spacing w:val="-2"/>
        </w:rPr>
        <w:t>，其中移动游戏以全年约</w:t>
      </w:r>
      <w:r>
        <w:rPr>
          <w:rFonts w:ascii="Times New Roman" w:hAnsi="Times New Roman" w:cs="Times New Roman" w:eastAsia="Times New Roman" w:hint="default"/>
          <w:spacing w:val="-2"/>
        </w:rPr>
        <w:t>1122.1</w:t>
      </w:r>
      <w:r>
        <w:rPr>
          <w:spacing w:val="-2"/>
        </w:rPr>
        <w:t>亿元的营业收入领先，同比增长</w:t>
      </w:r>
      <w:r>
        <w:rPr>
          <w:rFonts w:ascii="Times New Roman" w:hAnsi="Times New Roman" w:cs="Times New Roman" w:eastAsia="Times New Roman" w:hint="default"/>
          <w:spacing w:val="-2"/>
        </w:rPr>
        <w:t>38.5%</w:t>
      </w:r>
      <w:r>
        <w:rPr>
          <w:spacing w:val="-2"/>
        </w:rPr>
        <w:t>，占网络游戏的市场</w:t>
      </w:r>
      <w:r>
        <w:rPr>
          <w:spacing w:val="-36"/>
        </w:rPr>
        <w:t> </w:t>
      </w:r>
      <w:r>
        <w:rPr>
          <w:spacing w:val="-36"/>
        </w:rPr>
      </w:r>
      <w:r>
        <w:rPr>
          <w:spacing w:val="-2"/>
        </w:rPr>
        <w:t>份额达</w:t>
      </w:r>
      <w:r>
        <w:rPr>
          <w:rFonts w:ascii="Times New Roman" w:hAnsi="Times New Roman" w:cs="Times New Roman" w:eastAsia="Times New Roman" w:hint="default"/>
          <w:spacing w:val="-2"/>
        </w:rPr>
        <w:t>55.8%</w:t>
      </w:r>
      <w:r>
        <w:rPr>
          <w:spacing w:val="-2"/>
        </w:rPr>
        <w:t>；客户端游戏营业收入约为</w:t>
      </w:r>
      <w:r>
        <w:rPr>
          <w:rFonts w:ascii="Times New Roman" w:hAnsi="Times New Roman" w:cs="Times New Roman" w:eastAsia="Times New Roman" w:hint="default"/>
          <w:spacing w:val="-2"/>
        </w:rPr>
        <w:t>696.6</w:t>
      </w:r>
      <w:r>
        <w:rPr>
          <w:spacing w:val="-2"/>
        </w:rPr>
        <w:t>亿元，同比上升</w:t>
      </w:r>
      <w:r>
        <w:rPr>
          <w:rFonts w:ascii="Times New Roman" w:hAnsi="Times New Roman" w:cs="Times New Roman" w:eastAsia="Times New Roman" w:hint="default"/>
          <w:spacing w:val="-2"/>
        </w:rPr>
        <w:t>18.2%</w:t>
      </w:r>
      <w:r>
        <w:rPr>
          <w:spacing w:val="-2"/>
        </w:rPr>
        <w:t>，占网络游戏市场比重为</w:t>
      </w:r>
      <w:r>
        <w:rPr>
          <w:rFonts w:ascii="Times New Roman" w:hAnsi="Times New Roman" w:cs="Times New Roman" w:eastAsia="Times New Roman" w:hint="default"/>
          <w:spacing w:val="-2"/>
        </w:rPr>
        <w:t>34.6%</w:t>
      </w:r>
      <w:r>
        <w:rPr>
          <w:spacing w:val="-2"/>
        </w:rPr>
        <w:t>；网页游戏营业收入约为</w:t>
      </w:r>
      <w:r>
        <w:rPr>
          <w:spacing w:val="-51"/>
        </w:rPr>
        <w:t> </w:t>
      </w:r>
      <w:r>
        <w:rPr>
          <w:spacing w:val="-51"/>
        </w:rPr>
      </w:r>
      <w:r>
        <w:rPr>
          <w:rFonts w:ascii="Times New Roman" w:hAnsi="Times New Roman" w:cs="Times New Roman" w:eastAsia="Times New Roman" w:hint="default"/>
          <w:spacing w:val="-2"/>
        </w:rPr>
        <w:t>192.3</w:t>
      </w:r>
      <w:r>
        <w:rPr>
          <w:spacing w:val="-2"/>
        </w:rPr>
        <w:t>亿元，同比下降</w:t>
      </w:r>
      <w:r>
        <w:rPr>
          <w:rFonts w:ascii="Times New Roman" w:hAnsi="Times New Roman" w:cs="Times New Roman" w:eastAsia="Times New Roman" w:hint="default"/>
          <w:spacing w:val="-2"/>
        </w:rPr>
        <w:t>14.7%</w:t>
      </w:r>
      <w:r>
        <w:rPr>
          <w:spacing w:val="-2"/>
        </w:rPr>
        <w:t>，占网络游戏市场总份额的</w:t>
      </w:r>
      <w:r>
        <w:rPr>
          <w:rFonts w:ascii="Times New Roman" w:hAnsi="Times New Roman" w:cs="Times New Roman" w:eastAsia="Times New Roman" w:hint="default"/>
          <w:spacing w:val="-2"/>
        </w:rPr>
        <w:t>9.6%</w:t>
      </w:r>
      <w:r>
        <w:rPr>
          <w:spacing w:val="-2"/>
        </w:rPr>
        <w:t>。游戏市场仍保持较高增速和较大发展潜力，并将在政府的有效</w:t>
      </w:r>
      <w:r>
        <w:rPr>
          <w:spacing w:val="-39"/>
        </w:rPr>
        <w:t> </w:t>
      </w:r>
      <w:r>
        <w:rPr>
          <w:spacing w:val="-39"/>
        </w:rPr>
      </w:r>
      <w:r>
        <w:rPr/>
        <w:t>指导和用户的消费升级推动下，健康、有序发展和升级。</w:t>
      </w:r>
    </w:p>
    <w:p>
      <w:pPr>
        <w:spacing w:after="0" w:line="304" w:lineRule="auto"/>
        <w:jc w:val="left"/>
        <w:sectPr>
          <w:pgSz w:w="11910" w:h="16840"/>
          <w:pgMar w:header="745" w:footer="979" w:top="1060" w:bottom="1160" w:left="980" w:right="920"/>
        </w:sectPr>
      </w:pPr>
    </w:p>
    <w:p>
      <w:pPr>
        <w:spacing w:line="240" w:lineRule="auto" w:before="10"/>
        <w:rPr>
          <w:rFonts w:ascii="宋体" w:hAnsi="宋体" w:cs="宋体" w:eastAsia="宋体" w:hint="default"/>
          <w:sz w:val="25"/>
          <w:szCs w:val="25"/>
        </w:rPr>
      </w:pPr>
    </w:p>
    <w:p>
      <w:pPr>
        <w:pStyle w:val="BodyText"/>
        <w:spacing w:line="304" w:lineRule="auto" w:before="44"/>
        <w:ind w:right="94" w:firstLine="398"/>
        <w:jc w:val="left"/>
      </w:pPr>
      <w:r>
        <w:rPr>
          <w:rFonts w:ascii="宋体" w:hAnsi="宋体" w:cs="宋体" w:eastAsia="宋体" w:hint="default"/>
          <w:b/>
          <w:bCs/>
        </w:rPr>
        <w:t>投资行业</w:t>
      </w:r>
      <w:r>
        <w:rPr/>
        <w:t>：报告期内，经济企稳复苏预期不断增强，国家供给侧结构性改革有序进行，双创事业不断推进，在宏观经 </w:t>
      </w:r>
      <w:r>
        <w:rPr>
          <w:spacing w:val="-2"/>
        </w:rPr>
        <w:t>济</w:t>
      </w:r>
      <w:r>
        <w:rPr>
          <w:rFonts w:ascii="Times New Roman" w:hAnsi="Times New Roman" w:cs="Times New Roman" w:eastAsia="Times New Roman" w:hint="default"/>
          <w:spacing w:val="-2"/>
        </w:rPr>
        <w:t>“</w:t>
      </w:r>
      <w:r>
        <w:rPr>
          <w:spacing w:val="-2"/>
        </w:rPr>
        <w:t>去杠杆</w:t>
      </w:r>
      <w:r>
        <w:rPr>
          <w:rFonts w:ascii="Times New Roman" w:hAnsi="Times New Roman" w:cs="Times New Roman" w:eastAsia="Times New Roman" w:hint="default"/>
          <w:spacing w:val="-2"/>
        </w:rPr>
        <w:t>”</w:t>
      </w:r>
      <w:r>
        <w:rPr>
          <w:spacing w:val="-2"/>
        </w:rPr>
        <w:t>、注重防范化解金融风险、金融行业监管趋严的大背景下，</w:t>
      </w:r>
      <w:r>
        <w:rPr>
          <w:rFonts w:ascii="Times New Roman" w:hAnsi="Times New Roman" w:cs="Times New Roman" w:eastAsia="Times New Roman" w:hint="default"/>
          <w:spacing w:val="-2"/>
        </w:rPr>
        <w:t>2017</w:t>
      </w:r>
      <w:r>
        <w:rPr>
          <w:spacing w:val="-2"/>
        </w:rPr>
        <w:t>年资本市场延续了</w:t>
      </w:r>
      <w:r>
        <w:rPr>
          <w:rFonts w:ascii="Times New Roman" w:hAnsi="Times New Roman" w:cs="Times New Roman" w:eastAsia="Times New Roman" w:hint="default"/>
          <w:spacing w:val="-2"/>
        </w:rPr>
        <w:t>2016</w:t>
      </w:r>
      <w:r>
        <w:rPr>
          <w:spacing w:val="-2"/>
        </w:rPr>
        <w:t>年平稳发展的态势，我国</w:t>
      </w:r>
      <w:r>
        <w:rPr>
          <w:spacing w:val="-37"/>
        </w:rPr>
        <w:t> </w:t>
      </w:r>
      <w:r>
        <w:rPr>
          <w:spacing w:val="-37"/>
        </w:rPr>
      </w:r>
      <w:r>
        <w:rPr>
          <w:rFonts w:ascii="Times New Roman" w:hAnsi="Times New Roman" w:cs="Times New Roman" w:eastAsia="Times New Roman" w:hint="default"/>
        </w:rPr>
        <w:t>PE</w:t>
      </w:r>
      <w:r>
        <w:rPr/>
        <w:t>市场可投资本量稳中有增，预计未来可投资本量仍能保持充盈态势。产业并购作为一种外延式发展的手段，深刻地改变</w:t>
      </w:r>
      <w:r>
        <w:rPr>
          <w:spacing w:val="-34"/>
        </w:rPr>
        <w:t> </w:t>
      </w:r>
      <w:r>
        <w:rPr>
          <w:spacing w:val="-34"/>
        </w:rPr>
      </w:r>
      <w:r>
        <w:rPr>
          <w:spacing w:val="-2"/>
        </w:rPr>
        <w:t>上市公司的内涵式增长和中国资本市场的产业结构，上市公司在国内并购市场仍占主导地位，</w:t>
      </w:r>
      <w:r>
        <w:rPr>
          <w:rFonts w:ascii="Times New Roman" w:hAnsi="Times New Roman" w:cs="Times New Roman" w:eastAsia="Times New Roman" w:hint="default"/>
          <w:spacing w:val="-2"/>
        </w:rPr>
        <w:t>2017</w:t>
      </w:r>
      <w:r>
        <w:rPr>
          <w:spacing w:val="-2"/>
        </w:rPr>
        <w:t>年电气行业和游戏行业的</w:t>
      </w:r>
      <w:r>
        <w:rPr>
          <w:spacing w:val="-61"/>
        </w:rPr>
        <w:t> </w:t>
      </w:r>
      <w:r>
        <w:rPr>
          <w:spacing w:val="-61"/>
        </w:rPr>
      </w:r>
      <w:r>
        <w:rPr>
          <w:spacing w:val="-5"/>
        </w:rPr>
        <w:t>公司都在积极通过并购重组寻找优质标的，以扩大产业布局和市场份额，如主营电气成套设备研发、生产和销售的鲁亿通（证</w:t>
      </w:r>
      <w:r>
        <w:rPr>
          <w:spacing w:val="-75"/>
        </w:rPr>
        <w:t> </w:t>
      </w:r>
      <w:r>
        <w:rPr>
          <w:spacing w:val="-75"/>
        </w:rPr>
      </w:r>
      <w:r>
        <w:rPr/>
        <w:t>券代码</w:t>
      </w:r>
      <w:r>
        <w:rPr>
          <w:rFonts w:ascii="Times New Roman" w:hAnsi="Times New Roman" w:cs="Times New Roman" w:eastAsia="Times New Roman" w:hint="default"/>
        </w:rPr>
        <w:t>300423</w:t>
      </w:r>
      <w:r>
        <w:rPr/>
        <w:t>）通过收购广东晟辉电子控股有限公司实现双方在电气成套设备生产技术、产品结构、销售渠道、业务领域、 </w:t>
      </w:r>
      <w:r>
        <w:rPr>
          <w:spacing w:val="-2"/>
        </w:rPr>
        <w:t>生产经营场所等方面的优势互补，同时鲁亿通也增加了</w:t>
      </w:r>
      <w:r>
        <w:rPr>
          <w:rFonts w:ascii="Times New Roman" w:hAnsi="Times New Roman" w:cs="Times New Roman" w:eastAsia="Times New Roman" w:hint="default"/>
          <w:spacing w:val="-2"/>
        </w:rPr>
        <w:t>LED</w:t>
      </w:r>
      <w:r>
        <w:rPr>
          <w:spacing w:val="-2"/>
        </w:rPr>
        <w:t>照明和智能家居业务，实现多元化发展；游戏行业亦是并购重组</w:t>
      </w:r>
      <w:r>
        <w:rPr>
          <w:spacing w:val="-52"/>
        </w:rPr>
        <w:t> </w:t>
      </w:r>
      <w:r>
        <w:rPr>
          <w:spacing w:val="-52"/>
        </w:rPr>
      </w:r>
      <w:r>
        <w:rPr/>
        <w:t>的热点领域，根据</w:t>
      </w:r>
      <w:r>
        <w:rPr>
          <w:rFonts w:ascii="Times New Roman" w:hAnsi="Times New Roman" w:cs="Times New Roman" w:eastAsia="Times New Roman" w:hint="default"/>
        </w:rPr>
        <w:t>DoNews</w:t>
      </w:r>
      <w:r>
        <w:rPr/>
        <w:t>发布的《</w:t>
      </w:r>
      <w:r>
        <w:rPr>
          <w:rFonts w:ascii="Times New Roman" w:hAnsi="Times New Roman" w:cs="Times New Roman" w:eastAsia="Times New Roman" w:hint="default"/>
        </w:rPr>
        <w:t>2017</w:t>
      </w:r>
      <w:r>
        <w:rPr/>
        <w:t>年中国游戏行业投融资报告》，</w:t>
      </w:r>
      <w:r>
        <w:rPr>
          <w:rFonts w:ascii="Times New Roman" w:hAnsi="Times New Roman" w:cs="Times New Roman" w:eastAsia="Times New Roman" w:hint="default"/>
        </w:rPr>
        <w:t>2017</w:t>
      </w:r>
      <w:r>
        <w:rPr/>
        <w:t>年游戏行业共发生</w:t>
      </w:r>
      <w:r>
        <w:rPr>
          <w:rFonts w:ascii="Times New Roman" w:hAnsi="Times New Roman" w:cs="Times New Roman" w:eastAsia="Times New Roman" w:hint="default"/>
        </w:rPr>
        <w:t>164</w:t>
      </w:r>
      <w:r>
        <w:rPr/>
        <w:t>起资本事件，总额近</w:t>
      </w:r>
      <w:r>
        <w:rPr>
          <w:rFonts w:ascii="Times New Roman" w:hAnsi="Times New Roman" w:cs="Times New Roman" w:eastAsia="Times New Roman" w:hint="default"/>
        </w:rPr>
        <w:t>392</w:t>
      </w:r>
      <w:r>
        <w:rPr>
          <w:rFonts w:ascii="Times New Roman" w:hAnsi="Times New Roman" w:cs="Times New Roman" w:eastAsia="Times New Roman" w:hint="default"/>
          <w:spacing w:val="-2"/>
        </w:rPr>
        <w:t> </w:t>
      </w:r>
      <w:r>
        <w:rPr/>
        <w:t>亿元，其中投融资事件</w:t>
      </w:r>
      <w:r>
        <w:rPr>
          <w:rFonts w:ascii="Times New Roman" w:hAnsi="Times New Roman" w:cs="Times New Roman" w:eastAsia="Times New Roman" w:hint="default"/>
        </w:rPr>
        <w:t>140</w:t>
      </w:r>
      <w:r>
        <w:rPr/>
        <w:t>起，总额约</w:t>
      </w:r>
      <w:r>
        <w:rPr>
          <w:rFonts w:ascii="Times New Roman" w:hAnsi="Times New Roman" w:cs="Times New Roman" w:eastAsia="Times New Roman" w:hint="default"/>
        </w:rPr>
        <w:t>147</w:t>
      </w:r>
      <w:r>
        <w:rPr/>
        <w:t>亿元，并购事件</w:t>
      </w:r>
      <w:r>
        <w:rPr>
          <w:rFonts w:ascii="Times New Roman" w:hAnsi="Times New Roman" w:cs="Times New Roman" w:eastAsia="Times New Roman" w:hint="default"/>
        </w:rPr>
        <w:t>24</w:t>
      </w:r>
      <w:r>
        <w:rPr/>
        <w:t>起，总额约</w:t>
      </w:r>
      <w:r>
        <w:rPr>
          <w:rFonts w:ascii="Times New Roman" w:hAnsi="Times New Roman" w:cs="Times New Roman" w:eastAsia="Times New Roman" w:hint="default"/>
        </w:rPr>
        <w:t>245</w:t>
      </w:r>
      <w:r>
        <w:rPr/>
        <w:t>亿元，如巨龙管业（证券代码</w:t>
      </w:r>
      <w:r>
        <w:rPr>
          <w:rFonts w:ascii="Times New Roman" w:hAnsi="Times New Roman" w:cs="Times New Roman" w:eastAsia="Times New Roman" w:hint="default"/>
        </w:rPr>
        <w:t>002619</w:t>
      </w:r>
      <w:r>
        <w:rPr/>
        <w:t>）收购北京 拇指玩科技有限公司和杭州搜影科技有限公司、金科文化（证券代码</w:t>
      </w:r>
      <w:r>
        <w:rPr>
          <w:rFonts w:ascii="Times New Roman" w:hAnsi="Times New Roman" w:cs="Times New Roman" w:eastAsia="Times New Roman" w:hint="default"/>
        </w:rPr>
        <w:t>300459</w:t>
      </w:r>
      <w:r>
        <w:rPr/>
        <w:t>）收购</w:t>
      </w:r>
      <w:r>
        <w:rPr>
          <w:rFonts w:ascii="Times New Roman" w:hAnsi="Times New Roman" w:cs="Times New Roman" w:eastAsia="Times New Roman" w:hint="default"/>
        </w:rPr>
        <w:t>Outfit7 Investments</w:t>
      </w:r>
      <w:r>
        <w:rPr>
          <w:rFonts w:ascii="Times New Roman" w:hAnsi="Times New Roman" w:cs="Times New Roman" w:eastAsia="Times New Roman" w:hint="default"/>
          <w:spacing w:val="22"/>
        </w:rPr>
        <w:t> </w:t>
      </w:r>
      <w:r>
        <w:rPr>
          <w:rFonts w:ascii="Times New Roman" w:hAnsi="Times New Roman" w:cs="Times New Roman" w:eastAsia="Times New Roman" w:hint="default"/>
        </w:rPr>
        <w:t>Limited</w:t>
      </w:r>
      <w:r>
        <w:rPr/>
        <w:t>等。第五次全 </w:t>
      </w:r>
      <w:r>
        <w:rPr>
          <w:spacing w:val="-2"/>
        </w:rPr>
        <w:t>国金融工作会议提到发展直接融资特别是股权融资将被放在突出位置，股权投资市场作为金融市场的重要组成部分，未来将</w:t>
      </w:r>
      <w:r>
        <w:rPr>
          <w:spacing w:val="-64"/>
        </w:rPr>
        <w:t> </w:t>
      </w:r>
      <w:r>
        <w:rPr>
          <w:spacing w:val="-64"/>
        </w:rPr>
      </w:r>
      <w:r>
        <w:rPr/>
        <w:t>朝着加强风险防范，服务实体经济方向稳健发展。</w:t>
      </w:r>
    </w:p>
    <w:p>
      <w:pPr>
        <w:spacing w:line="240" w:lineRule="auto" w:before="7"/>
        <w:rPr>
          <w:rFonts w:ascii="宋体" w:hAnsi="宋体" w:cs="宋体" w:eastAsia="宋体" w:hint="default"/>
          <w:sz w:val="21"/>
          <w:szCs w:val="21"/>
        </w:rPr>
      </w:pPr>
    </w:p>
    <w:p>
      <w:pPr>
        <w:pStyle w:val="Heading2"/>
        <w:spacing w:line="240" w:lineRule="auto"/>
        <w:ind w:right="94"/>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pStyle w:val="BodyText"/>
        <w:spacing w:line="240" w:lineRule="auto"/>
        <w:ind w:left="0" w:right="198"/>
        <w:jc w:val="right"/>
      </w:pPr>
      <w:r>
        <w:rPr/>
        <w:pict>
          <v:shape style="position:absolute;margin-left:56.400002pt;margin-top:-320.258301pt;width:479.3pt;height:393.6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1"/>
                    <w:gridCol w:w="6519"/>
                  </w:tblGrid>
                  <w:tr>
                    <w:trPr>
                      <w:trHeight w:val="18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较上年末减少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3,861.81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万元，主要系报告期内收到产业并购基金收益所致。</w:t>
                        </w:r>
                      </w:p>
                    </w:tc>
                  </w:tr>
                  <w:tr>
                    <w:trPr>
                      <w:trHeight w:val="161"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10" w:space="0" w:color="D2D2D2"/>
                          <w:right w:val="single" w:sz="4" w:space="0" w:color="000000"/>
                        </w:tcBorders>
                      </w:tcPr>
                      <w:p>
                        <w:pPr>
                          <w:pStyle w:val="TableParagraph"/>
                          <w:spacing w:line="300" w:lineRule="auto" w:before="49"/>
                          <w:ind w:left="16" w:right="22"/>
                          <w:jc w:val="left"/>
                          <w:rPr>
                            <w:rFonts w:ascii="宋体" w:hAnsi="宋体" w:cs="宋体" w:eastAsia="宋体" w:hint="default"/>
                            <w:sz w:val="18"/>
                            <w:szCs w:val="18"/>
                          </w:rPr>
                        </w:pPr>
                        <w:r>
                          <w:rPr>
                            <w:rFonts w:ascii="宋体" w:hAnsi="宋体" w:cs="宋体" w:eastAsia="宋体" w:hint="default"/>
                            <w:sz w:val="18"/>
                            <w:szCs w:val="18"/>
                          </w:rPr>
                          <w:t>较上年末减少</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431.20</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万元，主要系报告期内公司处置闲置房产及固定资产正常折旧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所致。</w:t>
                        </w:r>
                      </w:p>
                    </w:tc>
                  </w:tr>
                  <w:tr>
                    <w:trPr>
                      <w:trHeight w:val="392"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vMerge/>
                        <w:tcBorders>
                          <w:left w:val="single" w:sz="10" w:space="0" w:color="D2D2D2"/>
                          <w:right w:val="single" w:sz="4" w:space="0" w:color="000000"/>
                        </w:tcBorders>
                      </w:tcPr>
                      <w:p>
                        <w:pPr/>
                      </w:p>
                    </w:tc>
                  </w:tr>
                  <w:tr>
                    <w:trPr>
                      <w:trHeight w:val="16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10" w:space="0" w:color="D2D2D2"/>
                          <w:bottom w:val="single" w:sz="4" w:space="0" w:color="000000"/>
                          <w:right w:val="single" w:sz="4" w:space="0" w:color="000000"/>
                        </w:tcBorders>
                      </w:tcPr>
                      <w:p>
                        <w:pP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较上年末增加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万元，主要系报告期内公司日常经营增加所致。</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较上年末增加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41.23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万元，主要系报告期内子公司房屋装修所致。</w:t>
                        </w: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较上年末增加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27,915.72 </w:t>
                        </w:r>
                        <w:r>
                          <w:rPr>
                            <w:rFonts w:ascii="宋体" w:hAnsi="宋体" w:cs="宋体" w:eastAsia="宋体" w:hint="default"/>
                            <w:sz w:val="18"/>
                            <w:szCs w:val="18"/>
                          </w:rPr>
                          <w:t>万元，主要系报告期内新增合并控股子公司及理财产品到 期收回转入银行存款所致。</w:t>
                        </w: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5"/>
                          <w:jc w:val="left"/>
                          <w:rPr>
                            <w:rFonts w:ascii="宋体" w:hAnsi="宋体" w:cs="宋体" w:eastAsia="宋体" w:hint="default"/>
                            <w:sz w:val="18"/>
                            <w:szCs w:val="18"/>
                          </w:rPr>
                        </w:pPr>
                        <w:r>
                          <w:rPr>
                            <w:rFonts w:ascii="宋体" w:hAnsi="宋体" w:cs="宋体" w:eastAsia="宋体" w:hint="default"/>
                            <w:sz w:val="18"/>
                            <w:szCs w:val="18"/>
                          </w:rPr>
                          <w:t>以公允价值计量且变动计入当期损益 的金融资产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较上年末减少</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4,667.39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万元，主要系报告期内公司减少证券投资及证券投资收益减 少所致。</w:t>
                        </w:r>
                      </w:p>
                    </w:tc>
                  </w:tr>
                  <w:tr>
                    <w:trPr>
                      <w:trHeight w:val="716"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4"/>
                          <w:jc w:val="left"/>
                          <w:rPr>
                            <w:rFonts w:ascii="宋体" w:hAnsi="宋体" w:cs="宋体" w:eastAsia="宋体" w:hint="default"/>
                            <w:sz w:val="18"/>
                            <w:szCs w:val="18"/>
                          </w:rPr>
                        </w:pPr>
                        <w:r>
                          <w:rPr>
                            <w:rFonts w:ascii="宋体" w:hAnsi="宋体" w:cs="宋体" w:eastAsia="宋体" w:hint="default"/>
                            <w:sz w:val="18"/>
                            <w:szCs w:val="18"/>
                          </w:rPr>
                          <w:t>较上年末增加</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6,113.98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万元，主要系报告期内公司销售额增大导致应收账款增加及 新增合并控股子公司所致。</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较上年末增加</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7,562.77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万元，主要系报告期内新增合并控股子公司所致。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较上年末增加</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2,383.52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万元，主要系报告期内新增合并控股子公司所致。</w:t>
                        </w: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较上年末减少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40,056.80 </w:t>
                        </w:r>
                        <w:r>
                          <w:rPr>
                            <w:rFonts w:ascii="宋体" w:hAnsi="宋体" w:cs="宋体" w:eastAsia="宋体" w:hint="default"/>
                            <w:sz w:val="18"/>
                            <w:szCs w:val="18"/>
                          </w:rPr>
                          <w:t>万元，主要系报告期内公司理财产品到期赎回转入银行存 款所致。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较上年末增加</w:t>
                        </w:r>
                        <w:r>
                          <w:rPr>
                            <w:rFonts w:ascii="宋体" w:hAnsi="宋体" w:cs="宋体" w:eastAsia="宋体" w:hint="default"/>
                            <w:spacing w:val="-5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主要系报告期内公司收购非同一控</w:t>
                        </w:r>
                        <w:r>
                          <w:rPr>
                            <w:rFonts w:ascii="宋体" w:hAnsi="宋体" w:cs="宋体" w:eastAsia="宋体" w:hint="default"/>
                            <w:spacing w:val="1"/>
                            <w:sz w:val="18"/>
                            <w:szCs w:val="18"/>
                          </w:rPr>
                          <w:t>制</w:t>
                        </w:r>
                        <w:r>
                          <w:rPr>
                            <w:rFonts w:ascii="宋体" w:hAnsi="宋体" w:cs="宋体" w:eastAsia="宋体" w:hint="default"/>
                            <w:sz w:val="18"/>
                            <w:szCs w:val="18"/>
                          </w:rPr>
                          <w:t>下子公司所致</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较上年末增加</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1,465.82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万元，主要系报告期内新增合并控股子公司所致。</w:t>
                        </w: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较上年末增加</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820.37</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万元，主要系报告期内股权激励费用及长期股权投资权益法核</w:t>
                        </w:r>
                        <w:r>
                          <w:rPr>
                            <w:rFonts w:ascii="宋体" w:hAnsi="宋体" w:cs="宋体" w:eastAsia="宋体" w:hint="default"/>
                            <w:sz w:val="18"/>
                            <w:szCs w:val="18"/>
                          </w:rPr>
                          <w:t> 算形成的暂时性差异所致。</w:t>
                        </w:r>
                      </w:p>
                    </w:tc>
                  </w:tr>
                </w:tbl>
                <w:p>
                  <w:pPr/>
                </w:p>
              </w:txbxContent>
            </v:textbox>
            <w10:wrap type="none"/>
          </v:shape>
        </w:pict>
      </w:r>
      <w:r>
        <w:rPr/>
        <w:t>。</w:t>
      </w:r>
    </w:p>
    <w:p>
      <w:pPr>
        <w:spacing w:after="0" w:line="240" w:lineRule="auto"/>
        <w:jc w:val="right"/>
        <w:sectPr>
          <w:pgSz w:w="11910" w:h="16840"/>
          <w:pgMar w:header="745" w:footer="979"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94"/>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4"/>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pStyle w:val="Heading4"/>
        <w:spacing w:line="240" w:lineRule="auto" w:before="25"/>
        <w:ind w:right="94"/>
        <w:jc w:val="left"/>
        <w:rPr>
          <w:b w:val="0"/>
          <w:bCs w:val="0"/>
        </w:rPr>
      </w:pPr>
      <w:r>
        <w:rPr>
          <w:rFonts w:ascii="Times New Roman" w:hAnsi="Times New Roman" w:cs="Times New Roman" w:eastAsia="Times New Roman" w:hint="default"/>
        </w:rPr>
        <w:t>1</w:t>
      </w:r>
      <w:r>
        <w:rPr/>
        <w:t>、公司发展战略目标明确</w:t>
      </w:r>
      <w:r>
        <w:rPr>
          <w:b w:val="0"/>
          <w:bCs w:val="0"/>
        </w:rPr>
      </w:r>
    </w:p>
    <w:p>
      <w:pPr>
        <w:pStyle w:val="BodyText"/>
        <w:spacing w:line="307" w:lineRule="auto" w:before="63"/>
        <w:ind w:right="193" w:firstLine="360"/>
        <w:jc w:val="both"/>
      </w:pPr>
      <w:r>
        <w:rPr>
          <w:rFonts w:ascii="Times New Roman" w:hAnsi="Times New Roman" w:cs="Times New Roman" w:eastAsia="Times New Roman" w:hint="default"/>
        </w:rPr>
        <w:t>2017</w:t>
      </w:r>
      <w:r>
        <w:rPr/>
        <w:t>年公司通过并购重组收购哆可梦，快速嫁接互联网资源，成功布局互联网文化产业，形成</w:t>
      </w:r>
      <w:r>
        <w:rPr>
          <w:rFonts w:ascii="Times New Roman" w:hAnsi="Times New Roman" w:cs="Times New Roman" w:eastAsia="Times New Roman" w:hint="default"/>
        </w:rPr>
        <w:t>“</w:t>
      </w:r>
      <w:r>
        <w:rPr/>
        <w:t>电气设备</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互联网文 娱</w:t>
      </w:r>
      <w:r>
        <w:rPr>
          <w:rFonts w:ascii="Times New Roman" w:hAnsi="Times New Roman" w:cs="Times New Roman" w:eastAsia="Times New Roman" w:hint="default"/>
        </w:rPr>
        <w:t>”</w:t>
      </w:r>
      <w:r>
        <w:rPr/>
        <w:t>双轮驱动的业务格局，公司将以既有业务为基础不断深耕，推动电气设备朝着智能、高端、绿色、集成方向发展，以互 </w:t>
      </w:r>
      <w:r>
        <w:rPr>
          <w:spacing w:val="-2"/>
        </w:rPr>
        <w:t>联网文娱业务为起点向互联网综合服务业务发展，此外还要借助公司投资业务发现优质的成长性高、发展潜力大的企业不断</w:t>
      </w:r>
      <w:r>
        <w:rPr>
          <w:spacing w:val="-64"/>
        </w:rPr>
        <w:t> </w:t>
      </w:r>
      <w:r>
        <w:rPr>
          <w:spacing w:val="-64"/>
        </w:rPr>
      </w:r>
      <w:r>
        <w:rPr/>
        <w:t>完善公司产业链条和产业布局，实现</w:t>
      </w:r>
      <w:r>
        <w:rPr>
          <w:rFonts w:ascii="Times New Roman" w:hAnsi="Times New Roman" w:cs="Times New Roman" w:eastAsia="Times New Roman" w:hint="default"/>
        </w:rPr>
        <w:t>“</w:t>
      </w:r>
      <w:r>
        <w:rPr/>
        <w:t>高端智能制造</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互联网综合服务</w:t>
      </w:r>
      <w:r>
        <w:rPr>
          <w:rFonts w:ascii="Times New Roman" w:hAnsi="Times New Roman" w:cs="Times New Roman" w:eastAsia="Times New Roman" w:hint="default"/>
        </w:rPr>
        <w:t>”</w:t>
      </w:r>
      <w:r>
        <w:rPr/>
        <w:t>双轮业绩驱动的发展态势。</w:t>
      </w:r>
    </w:p>
    <w:p>
      <w:pPr>
        <w:spacing w:line="300" w:lineRule="auto" w:before="7"/>
        <w:ind w:left="513" w:right="9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、领先的电气行业技术竞争优势</w:t>
      </w:r>
      <w:r>
        <w:rPr>
          <w:rFonts w:ascii="宋体" w:hAnsi="宋体" w:cs="宋体" w:eastAsia="宋体" w:hint="default"/>
          <w:b/>
          <w:bCs/>
          <w:w w:val="99"/>
          <w:sz w:val="18"/>
          <w:szCs w:val="18"/>
        </w:rPr>
        <w:t> </w:t>
      </w:r>
      <w:r>
        <w:rPr>
          <w:rFonts w:ascii="宋体" w:hAnsi="宋体" w:cs="宋体" w:eastAsia="宋体" w:hint="default"/>
          <w:spacing w:val="-4"/>
          <w:sz w:val="18"/>
          <w:szCs w:val="18"/>
        </w:rPr>
        <w:t>公司电气产品以新型高分子电气绝缘材料技术为特色核心优势，主打产品具有高可靠、全密闭、全绝缘、小型化的特点，</w:t>
      </w:r>
    </w:p>
    <w:p>
      <w:pPr>
        <w:pStyle w:val="BodyText"/>
        <w:spacing w:line="316" w:lineRule="auto" w:before="31"/>
        <w:ind w:right="188"/>
        <w:jc w:val="both"/>
      </w:pPr>
      <w:r>
        <w:rPr>
          <w:spacing w:val="-2"/>
        </w:rPr>
        <w:t>与同行业相比产品整体技术性能及质量稳定可靠，目前技术处于国内先进水平；公司持续提供充足的资金、人力投入到技术</w:t>
      </w:r>
      <w:r>
        <w:rPr>
          <w:spacing w:val="-61"/>
        </w:rPr>
        <w:t> </w:t>
      </w:r>
      <w:r>
        <w:rPr>
          <w:spacing w:val="-61"/>
        </w:rPr>
      </w:r>
      <w:r>
        <w:rPr>
          <w:spacing w:val="-2"/>
        </w:rPr>
        <w:t>研发中，积极与科研院所开展深入交流和合作，现已与西安高压电气研究所、国家电网武汉高压研究院、华北电力大学、苏</w:t>
      </w:r>
      <w:r>
        <w:rPr>
          <w:spacing w:val="-67"/>
        </w:rPr>
        <w:t> </w:t>
      </w:r>
      <w:r>
        <w:rPr>
          <w:spacing w:val="-67"/>
        </w:rPr>
      </w:r>
      <w:r>
        <w:rPr>
          <w:spacing w:val="-2"/>
        </w:rPr>
        <w:t>州电器科学研究院、中国科学院宁波材料技术与工程研究所等科研单位、院校保持长期战略性技术合作关系，不断提升自身</w:t>
      </w:r>
      <w:r>
        <w:rPr>
          <w:spacing w:val="-63"/>
        </w:rPr>
        <w:t> </w:t>
      </w:r>
      <w:r>
        <w:rPr>
          <w:spacing w:val="-63"/>
        </w:rPr>
      </w:r>
      <w:r>
        <w:rPr/>
        <w:t>研发实力，</w:t>
      </w:r>
      <w:r>
        <w:rPr>
          <w:rFonts w:ascii="Times New Roman" w:hAnsi="Times New Roman" w:cs="Times New Roman" w:eastAsia="Times New Roman" w:hint="default"/>
        </w:rPr>
        <w:t>2017</w:t>
      </w:r>
      <w:r>
        <w:rPr/>
        <w:t>年公司再次顺利通过国家高新技术企业复审。</w:t>
      </w:r>
    </w:p>
    <w:p>
      <w:pPr>
        <w:pStyle w:val="BodyText"/>
        <w:spacing w:line="300" w:lineRule="auto"/>
        <w:ind w:left="513" w:right="94"/>
        <w:jc w:val="left"/>
      </w:pPr>
      <w:r>
        <w:rPr>
          <w:rFonts w:ascii="Times New Roman" w:hAnsi="Times New Roman" w:cs="Times New Roman" w:eastAsia="Times New Roman" w:hint="default"/>
          <w:b/>
          <w:bCs/>
        </w:rPr>
        <w:t>3</w:t>
      </w:r>
      <w:r>
        <w:rPr>
          <w:rFonts w:ascii="宋体" w:hAnsi="宋体" w:cs="宋体" w:eastAsia="宋体" w:hint="default"/>
          <w:b/>
          <w:bCs/>
        </w:rPr>
        <w:t>、完善的市场营销体系</w:t>
      </w:r>
      <w:r>
        <w:rPr>
          <w:rFonts w:ascii="宋体" w:hAnsi="宋体" w:cs="宋体" w:eastAsia="宋体" w:hint="default"/>
          <w:b/>
          <w:bCs/>
          <w:w w:val="99"/>
        </w:rPr>
        <w:t> </w:t>
      </w:r>
      <w:r>
        <w:rPr>
          <w:spacing w:val="-2"/>
        </w:rPr>
        <w:t>公司具备四级电力承装（修、试）资质，可以提供全套的电力设备服务业务，拥有全面、发达的营销网络和优秀的营销</w:t>
      </w:r>
    </w:p>
    <w:p>
      <w:pPr>
        <w:pStyle w:val="BodyText"/>
        <w:spacing w:line="309" w:lineRule="auto" w:before="32"/>
        <w:ind w:left="513" w:right="94" w:hanging="361"/>
        <w:jc w:val="left"/>
      </w:pPr>
      <w:r>
        <w:rPr/>
        <w:t>团队，客户资源涵盖国家电网、南方电网等大型企业和部分特殊用电客户，公司以产品和服务品质赢得客户的认可和好评。 </w:t>
      </w:r>
      <w:r>
        <w:rPr>
          <w:rFonts w:ascii="Times New Roman" w:hAnsi="Times New Roman" w:cs="Times New Roman" w:eastAsia="Times New Roman" w:hint="default"/>
          <w:b/>
          <w:bCs/>
        </w:rPr>
        <w:t>4</w:t>
      </w:r>
      <w:r>
        <w:rPr>
          <w:rFonts w:ascii="宋体" w:hAnsi="宋体" w:cs="宋体" w:eastAsia="宋体" w:hint="default"/>
          <w:b/>
          <w:bCs/>
        </w:rPr>
        <w:t>、经验丰富、勇于创新的互联网文娱行业团队</w:t>
      </w:r>
      <w:r>
        <w:rPr>
          <w:rFonts w:ascii="宋体" w:hAnsi="宋体" w:cs="宋体" w:eastAsia="宋体" w:hint="default"/>
          <w:b/>
          <w:bCs/>
          <w:w w:val="99"/>
        </w:rPr>
        <w:t> </w:t>
      </w:r>
      <w:r>
        <w:rPr/>
        <w:t>哆可梦拥有成熟专业的研发团队和与时俱进的发行团队，研发团队拥有员工约</w:t>
      </w:r>
      <w:r>
        <w:rPr>
          <w:rFonts w:ascii="Times New Roman" w:hAnsi="Times New Roman" w:cs="Times New Roman" w:eastAsia="Times New Roman" w:hint="default"/>
        </w:rPr>
        <w:t>150</w:t>
      </w:r>
      <w:r>
        <w:rPr/>
        <w:t>人，其中本科及以上学历占总研发人</w:t>
      </w:r>
    </w:p>
    <w:p>
      <w:pPr>
        <w:pStyle w:val="BodyText"/>
        <w:spacing w:line="300" w:lineRule="auto" w:before="5"/>
        <w:ind w:right="188"/>
        <w:jc w:val="both"/>
      </w:pPr>
      <w:r>
        <w:rPr>
          <w:spacing w:val="-1"/>
        </w:rPr>
        <w:t>员的</w:t>
      </w:r>
      <w:r>
        <w:rPr>
          <w:rFonts w:ascii="Times New Roman" w:hAnsi="Times New Roman" w:cs="Times New Roman" w:eastAsia="Times New Roman" w:hint="default"/>
          <w:spacing w:val="-1"/>
        </w:rPr>
        <w:t>90%</w:t>
      </w:r>
      <w:r>
        <w:rPr>
          <w:spacing w:val="-1"/>
        </w:rPr>
        <w:t>，大部分专业人员曾任职于</w:t>
      </w:r>
      <w:r>
        <w:rPr>
          <w:rFonts w:ascii="Times New Roman" w:hAnsi="Times New Roman" w:cs="Times New Roman" w:eastAsia="Times New Roman" w:hint="default"/>
          <w:spacing w:val="-1"/>
        </w:rPr>
        <w:t>Gameloft</w:t>
      </w:r>
      <w:r>
        <w:rPr>
          <w:spacing w:val="-1"/>
        </w:rPr>
        <w:t>、腾讯、盛大、完美世界、巨人、</w:t>
      </w:r>
      <w:r>
        <w:rPr>
          <w:rFonts w:ascii="Times New Roman" w:hAnsi="Times New Roman" w:cs="Times New Roman" w:eastAsia="Times New Roman" w:hint="default"/>
          <w:spacing w:val="-1"/>
        </w:rPr>
        <w:t>4399</w:t>
      </w:r>
      <w:r>
        <w:rPr>
          <w:spacing w:val="-1"/>
        </w:rPr>
        <w:t>等行业知名游戏制作公司，核心负责人</w:t>
      </w:r>
      <w:r>
        <w:rPr>
          <w:spacing w:val="-49"/>
        </w:rPr>
        <w:t> </w:t>
      </w:r>
      <w:r>
        <w:rPr>
          <w:spacing w:val="-49"/>
        </w:rPr>
      </w:r>
      <w:r>
        <w:rPr>
          <w:spacing w:val="-2"/>
        </w:rPr>
        <w:t>员从事游戏行业</w:t>
      </w:r>
      <w:r>
        <w:rPr>
          <w:rFonts w:ascii="Times New Roman" w:hAnsi="Times New Roman" w:cs="Times New Roman" w:eastAsia="Times New Roman" w:hint="default"/>
          <w:spacing w:val="-2"/>
        </w:rPr>
        <w:t>8</w:t>
      </w:r>
      <w:r>
        <w:rPr>
          <w:spacing w:val="-2"/>
        </w:rPr>
        <w:t>年以上，均有完整从事端游、页游和手机游戏制作的成功经验；发行团队拥有员工约</w:t>
      </w:r>
      <w:r>
        <w:rPr>
          <w:rFonts w:ascii="Times New Roman" w:hAnsi="Times New Roman" w:cs="Times New Roman" w:eastAsia="Times New Roman" w:hint="default"/>
          <w:spacing w:val="-2"/>
        </w:rPr>
        <w:t>190</w:t>
      </w:r>
      <w:r>
        <w:rPr>
          <w:spacing w:val="-2"/>
        </w:rPr>
        <w:t>人，其中本科及以</w:t>
      </w:r>
      <w:r>
        <w:rPr>
          <w:spacing w:val="-59"/>
        </w:rPr>
        <w:t> </w:t>
      </w:r>
      <w:r>
        <w:rPr>
          <w:spacing w:val="-59"/>
        </w:rPr>
      </w:r>
      <w:r>
        <w:rPr>
          <w:spacing w:val="-1"/>
        </w:rPr>
        <w:t>上学历占总人数的</w:t>
      </w:r>
      <w:r>
        <w:rPr>
          <w:rFonts w:ascii="Times New Roman" w:hAnsi="Times New Roman" w:cs="Times New Roman" w:eastAsia="Times New Roman" w:hint="default"/>
          <w:spacing w:val="-1"/>
        </w:rPr>
        <w:t>90%</w:t>
      </w:r>
      <w:r>
        <w:rPr>
          <w:spacing w:val="-1"/>
        </w:rPr>
        <w:t>，大部分专业人员曾任职于</w:t>
      </w:r>
      <w:r>
        <w:rPr>
          <w:rFonts w:ascii="Times New Roman" w:hAnsi="Times New Roman" w:cs="Times New Roman" w:eastAsia="Times New Roman" w:hint="default"/>
          <w:spacing w:val="-1"/>
        </w:rPr>
        <w:t>37</w:t>
      </w:r>
      <w:r>
        <w:rPr>
          <w:spacing w:val="-1"/>
        </w:rPr>
        <w:t>互娱、龙图、广州易幻、</w:t>
      </w:r>
      <w:r>
        <w:rPr>
          <w:rFonts w:ascii="Times New Roman" w:hAnsi="Times New Roman" w:cs="Times New Roman" w:eastAsia="Times New Roman" w:hint="default"/>
          <w:spacing w:val="-1"/>
        </w:rPr>
        <w:t>IGG</w:t>
      </w:r>
      <w:r>
        <w:rPr>
          <w:spacing w:val="-1"/>
        </w:rPr>
        <w:t>、智明星通、巨人、欢聚网络等知名游戏</w:t>
      </w:r>
      <w:r>
        <w:rPr>
          <w:spacing w:val="-50"/>
        </w:rPr>
        <w:t> </w:t>
      </w:r>
      <w:r>
        <w:rPr>
          <w:spacing w:val="-50"/>
        </w:rPr>
      </w:r>
      <w:r>
        <w:rPr/>
        <w:t>公司，核心负责人员具有</w:t>
      </w:r>
      <w:r>
        <w:rPr>
          <w:rFonts w:ascii="Times New Roman" w:hAnsi="Times New Roman" w:cs="Times New Roman" w:eastAsia="Times New Roman" w:hint="default"/>
        </w:rPr>
        <w:t>10</w:t>
      </w:r>
      <w:r>
        <w:rPr/>
        <w:t>年以上游戏行业从业经验，均有完整从事端游、页游和手机游戏发行的成功经验。</w:t>
      </w:r>
    </w:p>
    <w:p>
      <w:pPr>
        <w:pStyle w:val="Heading4"/>
        <w:spacing w:line="240" w:lineRule="auto" w:before="13"/>
        <w:ind w:right="94"/>
        <w:jc w:val="left"/>
        <w:rPr>
          <w:b w:val="0"/>
          <w:bCs w:val="0"/>
        </w:rPr>
      </w:pPr>
      <w:r>
        <w:rPr>
          <w:rFonts w:ascii="Times New Roman" w:hAnsi="Times New Roman" w:cs="Times New Roman" w:eastAsia="Times New Roman" w:hint="default"/>
        </w:rPr>
        <w:t>5</w:t>
      </w:r>
      <w:r>
        <w:rPr/>
        <w:t>、用户认知度高、活跃度高的自有平台</w:t>
      </w:r>
      <w:r>
        <w:rPr>
          <w:b w:val="0"/>
          <w:bCs w:val="0"/>
        </w:rPr>
      </w:r>
    </w:p>
    <w:p>
      <w:pPr>
        <w:pStyle w:val="BodyText"/>
        <w:spacing w:line="300" w:lineRule="auto" w:before="63"/>
        <w:ind w:right="89" w:firstLine="360"/>
        <w:jc w:val="left"/>
      </w:pPr>
      <w:r>
        <w:rPr/>
        <w:t>哆可梦自主开发了游戏数据分析平台</w:t>
      </w:r>
      <w:r>
        <w:rPr>
          <w:rFonts w:ascii="Times New Roman" w:hAnsi="Times New Roman" w:cs="Times New Roman" w:eastAsia="Times New Roman" w:hint="default"/>
        </w:rPr>
        <w:t>GM</w:t>
      </w:r>
      <w:r>
        <w:rPr>
          <w:rFonts w:ascii="Times New Roman" w:hAnsi="Times New Roman" w:cs="Times New Roman" w:eastAsia="Times New Roman" w:hint="default"/>
          <w:spacing w:val="-17"/>
        </w:rPr>
        <w:t> </w:t>
      </w:r>
      <w:r>
        <w:rPr>
          <w:rFonts w:ascii="Times New Roman" w:hAnsi="Times New Roman" w:cs="Times New Roman" w:eastAsia="Times New Roman" w:hint="default"/>
        </w:rPr>
        <w:t>Tool</w:t>
      </w:r>
      <w:r>
        <w:rPr/>
        <w:t>，对所运营的游戏进行实时数据监控，通过优秀的数据分析能力实现精准 的市场投放，建立了以数据为基础、以用户行为为导向的精细化运营体系。哆可梦拥有</w:t>
      </w:r>
      <w:r>
        <w:rPr>
          <w:rFonts w:ascii="Times New Roman" w:hAnsi="Times New Roman" w:cs="Times New Roman" w:eastAsia="Times New Roman" w:hint="default"/>
        </w:rPr>
        <w:t>9187.cn</w:t>
      </w:r>
      <w:r>
        <w:rPr/>
        <w:t>（国内）、</w:t>
      </w:r>
      <w:r>
        <w:rPr>
          <w:rFonts w:ascii="Times New Roman" w:hAnsi="Times New Roman" w:cs="Times New Roman" w:eastAsia="Times New Roman" w:hint="default"/>
        </w:rPr>
        <w:t>Yahgame</w:t>
      </w:r>
      <w:r>
        <w:rPr/>
        <w:t>（海外） 游戏运营平台，</w:t>
      </w:r>
      <w:r>
        <w:rPr>
          <w:rFonts w:ascii="Times New Roman" w:hAnsi="Times New Roman" w:cs="Times New Roman" w:eastAsia="Times New Roman" w:hint="default"/>
        </w:rPr>
        <w:t>9187.cn</w:t>
      </w:r>
      <w:r>
        <w:rPr/>
        <w:t>自</w:t>
      </w:r>
      <w:r>
        <w:rPr>
          <w:rFonts w:ascii="Times New Roman" w:hAnsi="Times New Roman" w:cs="Times New Roman" w:eastAsia="Times New Roman" w:hint="default"/>
        </w:rPr>
        <w:t>2016</w:t>
      </w:r>
      <w:r>
        <w:rPr/>
        <w:t>年成立至今已跃居国内一线手游发行平台，其流量聚合能力、变现能力均处于国内同行领先 地位。目前平台日活跃独立设备用户超过一百万，月累计独立活跃用户逐步接近千万；同期</w:t>
      </w:r>
      <w:r>
        <w:rPr>
          <w:rFonts w:ascii="Times New Roman" w:hAnsi="Times New Roman" w:cs="Times New Roman" w:eastAsia="Times New Roman" w:hint="default"/>
        </w:rPr>
        <w:t>Yahgame</w:t>
      </w:r>
      <w:r>
        <w:rPr/>
        <w:t>也跃居海外一线平台， 用户认知度、活跃度高。</w:t>
      </w:r>
    </w:p>
    <w:p>
      <w:pPr>
        <w:spacing w:line="300" w:lineRule="auto" w:before="31"/>
        <w:ind w:left="513" w:right="9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、完善的管理体系和专业的管理团队</w:t>
      </w:r>
      <w:r>
        <w:rPr>
          <w:rFonts w:ascii="宋体" w:hAnsi="宋体" w:cs="宋体" w:eastAsia="宋体" w:hint="default"/>
          <w:b/>
          <w:bCs/>
          <w:w w:val="99"/>
          <w:sz w:val="18"/>
          <w:szCs w:val="18"/>
        </w:rPr>
        <w:t> </w:t>
      </w:r>
      <w:r>
        <w:rPr>
          <w:rFonts w:ascii="宋体" w:hAnsi="宋体" w:cs="宋体" w:eastAsia="宋体" w:hint="default"/>
          <w:spacing w:val="-2"/>
          <w:sz w:val="18"/>
          <w:szCs w:val="18"/>
        </w:rPr>
        <w:t>公司不断完善内部管理体系、提升内部运营效率。公司专业管理团队在把握行业发展趋势、严格产品质量控制、提高精</w:t>
      </w:r>
    </w:p>
    <w:p>
      <w:pPr>
        <w:pStyle w:val="BodyText"/>
        <w:spacing w:line="316" w:lineRule="auto" w:before="31"/>
        <w:ind w:right="193"/>
        <w:jc w:val="both"/>
      </w:pPr>
      <w:r>
        <w:rPr>
          <w:spacing w:val="-2"/>
        </w:rPr>
        <w:t>细化管理水平、形成企业凝聚力方面积累了专业的经验和领导管理能力，有力地推动了公司产品和服务的升级及市场领域的</w:t>
      </w:r>
      <w:r>
        <w:rPr>
          <w:spacing w:val="-64"/>
        </w:rPr>
        <w:t> </w:t>
      </w:r>
      <w:r>
        <w:rPr>
          <w:spacing w:val="-64"/>
        </w:rPr>
      </w:r>
      <w:r>
        <w:rPr/>
        <w:t>拓展。</w:t>
      </w:r>
    </w:p>
    <w:p>
      <w:pPr>
        <w:spacing w:after="0" w:line="316" w:lineRule="auto"/>
        <w:jc w:val="both"/>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94"/>
        <w:jc w:val="left"/>
        <w:rPr>
          <w:b w:val="0"/>
          <w:bCs w:val="0"/>
        </w:rPr>
      </w:pPr>
      <w:bookmarkStart w:name="_bookmark2" w:id="3"/>
      <w:bookmarkEnd w:id="3"/>
      <w:r>
        <w:rPr>
          <w:b w:val="0"/>
          <w:bCs w:val="0"/>
        </w:rPr>
      </w:r>
      <w:r>
        <w:rPr/>
        <w:t>第四节</w:t>
      </w:r>
      <w:r>
        <w:rPr>
          <w:spacing w:val="-6"/>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4" w:lineRule="auto"/>
        <w:ind w:right="94" w:firstLine="360"/>
        <w:jc w:val="left"/>
      </w:pPr>
      <w:r>
        <w:rPr>
          <w:rFonts w:ascii="Times New Roman" w:hAnsi="Times New Roman" w:cs="Times New Roman" w:eastAsia="Times New Roman" w:hint="default"/>
          <w:spacing w:val="-4"/>
        </w:rPr>
        <w:t>2017</w:t>
      </w:r>
      <w:r>
        <w:rPr>
          <w:spacing w:val="-4"/>
        </w:rPr>
        <w:t>年为公司发展历程中重要的一年，管理层和治理层认真分析目前经济发展形势和行业发展态势，寻求具有成长性高、</w:t>
      </w:r>
      <w:r>
        <w:rPr/>
        <w:t> </w:t>
      </w:r>
      <w:r>
        <w:rPr>
          <w:spacing w:val="-4"/>
        </w:rPr>
        <w:t>收益好、发展潜力大的行业，谋求企业稳健转型和快速发展，积极推进电力业务的产业升级，向智能制造和新能源方向发展；</w:t>
      </w:r>
      <w:r>
        <w:rPr>
          <w:spacing w:val="-46"/>
        </w:rPr>
        <w:t> </w:t>
      </w:r>
      <w:r>
        <w:rPr>
          <w:spacing w:val="-46"/>
        </w:rPr>
      </w:r>
      <w:r>
        <w:rPr>
          <w:spacing w:val="-2"/>
        </w:rPr>
        <w:t>为避免依赖单一产业，公司</w:t>
      </w:r>
      <w:r>
        <w:rPr>
          <w:rFonts w:ascii="Times New Roman" w:hAnsi="Times New Roman" w:cs="Times New Roman" w:eastAsia="Times New Roman" w:hint="default"/>
          <w:spacing w:val="-2"/>
        </w:rPr>
        <w:t>2017</w:t>
      </w:r>
      <w:r>
        <w:rPr>
          <w:spacing w:val="-2"/>
        </w:rPr>
        <w:t>年通过并购重组取得哆可梦控制权，成功布局互联网文化娱乐产业，构建针对文娱等高附加</w:t>
      </w:r>
      <w:r>
        <w:rPr>
          <w:spacing w:val="-61"/>
        </w:rPr>
        <w:t> </w:t>
      </w:r>
      <w:r>
        <w:rPr>
          <w:spacing w:val="-61"/>
        </w:rPr>
      </w:r>
      <w:r>
        <w:rPr>
          <w:spacing w:val="-2"/>
        </w:rPr>
        <w:t>值领域的互联网产业服务作为新的利润增长点，为公司产业转型和升级打下坚实基础，公司在产业经营领域形成</w:t>
      </w:r>
      <w:r>
        <w:rPr>
          <w:rFonts w:ascii="Times New Roman" w:hAnsi="Times New Roman" w:cs="Times New Roman" w:eastAsia="Times New Roman" w:hint="default"/>
          <w:spacing w:val="-2"/>
        </w:rPr>
        <w:t>“</w:t>
      </w:r>
      <w:r>
        <w:rPr>
          <w:spacing w:val="-2"/>
        </w:rPr>
        <w:t>电气设备</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6"/>
        </w:rPr>
        <w:t> </w:t>
      </w:r>
      <w:r>
        <w:rPr/>
        <w:t>互联网文娱</w:t>
      </w:r>
      <w:r>
        <w:rPr>
          <w:rFonts w:ascii="Times New Roman" w:hAnsi="Times New Roman" w:cs="Times New Roman" w:eastAsia="Times New Roman" w:hint="default"/>
        </w:rPr>
        <w:t>”</w:t>
      </w:r>
      <w:r>
        <w:rPr/>
        <w:t>双轮驱动的战略发展格局，结合投资业务对完善公司产业布局的效用，致力于将公司打造成为具有强大产业基 因的互联网综合服务提供商。</w:t>
      </w:r>
    </w:p>
    <w:p>
      <w:pPr>
        <w:pStyle w:val="BodyText"/>
        <w:spacing w:line="240" w:lineRule="auto" w:before="28"/>
        <w:ind w:left="513" w:right="94"/>
        <w:jc w:val="left"/>
      </w:pPr>
      <w:r>
        <w:rPr/>
        <w:t>报告期公司主要工作：</w:t>
      </w:r>
    </w:p>
    <w:p>
      <w:pPr>
        <w:spacing w:line="300" w:lineRule="auto" w:before="76"/>
        <w:ind w:left="513" w:right="9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、夯实基础产品，积极探索产业升级</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报告期内公司坚持董事会制定的发展规划和年度经营计划，以市场需求为中心，发挥公司在输配电设备领域的生产研发</w:t>
      </w:r>
    </w:p>
    <w:p>
      <w:pPr>
        <w:pStyle w:val="BodyText"/>
        <w:spacing w:line="312" w:lineRule="auto" w:before="31"/>
        <w:ind w:right="191"/>
        <w:jc w:val="both"/>
      </w:pPr>
      <w:r>
        <w:rPr>
          <w:spacing w:val="-2"/>
        </w:rPr>
        <w:t>能力以及在电力市场的资源、渠道优势，深入与国家电网和南方电网的合作，加大市场开拓力度和招投标力度，实现中标数</w:t>
      </w:r>
      <w:r>
        <w:rPr>
          <w:spacing w:val="-65"/>
        </w:rPr>
        <w:t> </w:t>
      </w:r>
      <w:r>
        <w:rPr>
          <w:spacing w:val="-65"/>
        </w:rPr>
      </w:r>
      <w:r>
        <w:rPr>
          <w:spacing w:val="-1"/>
        </w:rPr>
        <w:t>量进一步增长，其中重庆、北京、福建等地区实现</w:t>
      </w:r>
      <w:r>
        <w:rPr>
          <w:rFonts w:ascii="Times New Roman" w:hAnsi="Times New Roman" w:cs="Times New Roman" w:eastAsia="Times New Roman" w:hint="default"/>
          <w:spacing w:val="-1"/>
        </w:rPr>
        <w:t>“</w:t>
      </w:r>
      <w:r>
        <w:rPr>
          <w:spacing w:val="-1"/>
        </w:rPr>
        <w:t>零</w:t>
      </w:r>
      <w:r>
        <w:rPr>
          <w:rFonts w:ascii="Times New Roman" w:hAnsi="Times New Roman" w:cs="Times New Roman" w:eastAsia="Times New Roman" w:hint="default"/>
          <w:spacing w:val="-1"/>
        </w:rPr>
        <w:t>”</w:t>
      </w:r>
      <w:r>
        <w:rPr>
          <w:spacing w:val="-1"/>
        </w:rPr>
        <w:t>突破，结合</w:t>
      </w:r>
      <w:r>
        <w:rPr>
          <w:rFonts w:ascii="Times New Roman" w:hAnsi="Times New Roman" w:cs="Times New Roman" w:eastAsia="Times New Roman" w:hint="default"/>
          <w:spacing w:val="-1"/>
        </w:rPr>
        <w:t>“</w:t>
      </w:r>
      <w:r>
        <w:rPr>
          <w:spacing w:val="-1"/>
        </w:rPr>
        <w:t>一带一路</w:t>
      </w:r>
      <w:r>
        <w:rPr>
          <w:rFonts w:ascii="Times New Roman" w:hAnsi="Times New Roman" w:cs="Times New Roman" w:eastAsia="Times New Roman" w:hint="default"/>
          <w:spacing w:val="-1"/>
        </w:rPr>
        <w:t>”</w:t>
      </w:r>
      <w:r>
        <w:rPr>
          <w:spacing w:val="-1"/>
        </w:rPr>
        <w:t>建设，积极探索发展国际市场。公司以输配电</w:t>
      </w:r>
      <w:r>
        <w:rPr>
          <w:spacing w:val="-81"/>
        </w:rPr>
        <w:t> </w:t>
      </w:r>
      <w:r>
        <w:rPr>
          <w:spacing w:val="-81"/>
        </w:rPr>
      </w:r>
      <w:r>
        <w:rPr>
          <w:spacing w:val="-2"/>
        </w:rPr>
        <w:t>设备为基础，加大对智能制造、新能源业务的研发、人力等投入，提高产品性能、拓展产品应用领域，报告期内公司新能源</w:t>
      </w:r>
      <w:r>
        <w:rPr>
          <w:spacing w:val="-66"/>
        </w:rPr>
        <w:t> </w:t>
      </w:r>
      <w:r>
        <w:rPr>
          <w:spacing w:val="-66"/>
        </w:rPr>
      </w:r>
      <w:r>
        <w:rPr/>
        <w:t>汽车充电设备已成功上市销售。</w:t>
      </w:r>
      <w:r>
        <w:rPr>
          <w:rFonts w:ascii="Times New Roman" w:hAnsi="Times New Roman" w:cs="Times New Roman" w:eastAsia="Times New Roman" w:hint="default"/>
        </w:rPr>
        <w:t>2017</w:t>
      </w:r>
      <w:r>
        <w:rPr/>
        <w:t>年度公司电力业务实现营业收入同比增长</w:t>
      </w:r>
      <w:r>
        <w:rPr>
          <w:rFonts w:ascii="Times New Roman" w:hAnsi="Times New Roman" w:cs="Times New Roman" w:eastAsia="Times New Roman" w:hint="default"/>
        </w:rPr>
        <w:t>20.85%</w:t>
      </w:r>
      <w:r>
        <w:rPr/>
        <w:t>，呈现稳健发展态势。</w:t>
      </w:r>
    </w:p>
    <w:p>
      <w:pPr>
        <w:pStyle w:val="Heading4"/>
        <w:spacing w:line="240" w:lineRule="auto" w:before="3"/>
        <w:ind w:right="94"/>
        <w:jc w:val="left"/>
        <w:rPr>
          <w:b w:val="0"/>
          <w:bCs w:val="0"/>
        </w:rPr>
      </w:pPr>
      <w:r>
        <w:rPr>
          <w:rFonts w:ascii="Times New Roman" w:hAnsi="Times New Roman" w:cs="Times New Roman" w:eastAsia="Times New Roman" w:hint="default"/>
        </w:rPr>
        <w:t>2</w:t>
      </w:r>
      <w:r>
        <w:rPr/>
        <w:t>、借力并购重组，增加公司新的利润增长点，实现多业态发展</w:t>
      </w:r>
      <w:r>
        <w:rPr>
          <w:b w:val="0"/>
          <w:bCs w:val="0"/>
        </w:rPr>
      </w:r>
    </w:p>
    <w:p>
      <w:pPr>
        <w:pStyle w:val="BodyText"/>
        <w:spacing w:line="304" w:lineRule="auto" w:before="63"/>
        <w:ind w:right="94" w:firstLine="360"/>
        <w:jc w:val="left"/>
      </w:pPr>
      <w:r>
        <w:rPr>
          <w:rFonts w:ascii="Times New Roman" w:hAnsi="Times New Roman" w:cs="Times New Roman" w:eastAsia="Times New Roman" w:hint="default"/>
          <w:spacing w:val="-2"/>
        </w:rPr>
        <w:t>2017</w:t>
      </w:r>
      <w:r>
        <w:rPr>
          <w:spacing w:val="-2"/>
        </w:rPr>
        <w:t>年公司通过并购重组取得哆可梦控制权，成功布局互联网文娱产业，为公司带来新的利润增长点。哆可梦主要从事</w:t>
      </w:r>
      <w:r>
        <w:rPr/>
        <w:t> 基于大数据精细化营销的流量经营业务和移动游戏的研发、发行及游戏平台的运营业务，旗下拥有</w:t>
      </w:r>
      <w:r>
        <w:rPr>
          <w:spacing w:val="-16"/>
        </w:rPr>
        <w:t> </w:t>
      </w:r>
      <w:r>
        <w:rPr>
          <w:rFonts w:ascii="Times New Roman" w:hAnsi="Times New Roman" w:cs="Times New Roman" w:eastAsia="Times New Roman" w:hint="default"/>
        </w:rPr>
        <w:t>9187.cn</w:t>
      </w:r>
      <w:r>
        <w:rPr/>
        <w:t>（国内）和 </w:t>
      </w:r>
      <w:r>
        <w:rPr>
          <w:rFonts w:ascii="Times New Roman" w:hAnsi="Times New Roman" w:cs="Times New Roman" w:eastAsia="Times New Roman" w:hint="default"/>
        </w:rPr>
        <w:t>YahGame</w:t>
      </w:r>
      <w:r>
        <w:rPr/>
        <w:t>（海外）两个游戏运营平台，以</w:t>
      </w:r>
      <w:r>
        <w:rPr>
          <w:rFonts w:ascii="Times New Roman" w:hAnsi="Times New Roman" w:cs="Times New Roman" w:eastAsia="Times New Roman" w:hint="default"/>
        </w:rPr>
        <w:t>IP</w:t>
      </w:r>
      <w:r>
        <w:rPr/>
        <w:t>化为核心，稳步推进</w:t>
      </w:r>
      <w:r>
        <w:rPr>
          <w:rFonts w:ascii="Times New Roman" w:hAnsi="Times New Roman" w:cs="Times New Roman" w:eastAsia="Times New Roman" w:hint="default"/>
        </w:rPr>
        <w:t>“</w:t>
      </w:r>
      <w:r>
        <w:rPr/>
        <w:t>业务平台化、市场全球化、流量自有化、生态链泛娱乐化</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2"/>
        </w:rPr>
        <w:t>发展战略。报告期内哆可梦持续加大研发投入和人才培养力度，自研产品《斗罗大陆神界传说》、《神话大陆》、《兽人战</w:t>
      </w:r>
      <w:r>
        <w:rPr>
          <w:spacing w:val="-70"/>
        </w:rPr>
        <w:t> </w:t>
      </w:r>
      <w:r>
        <w:rPr>
          <w:spacing w:val="-70"/>
        </w:rPr>
      </w:r>
      <w:r>
        <w:rPr/>
        <w:t>争》、《斩龙传》以及代理产品《绝世武林》等游戏受到用户的好评，进一步持续深耕重度、长周期领域的</w:t>
      </w:r>
      <w:r>
        <w:rPr>
          <w:rFonts w:ascii="Times New Roman" w:hAnsi="Times New Roman" w:cs="Times New Roman" w:eastAsia="Times New Roman" w:hint="default"/>
        </w:rPr>
        <w:t>MMORPG</w:t>
      </w:r>
      <w:r>
        <w:rPr/>
        <w:t>移动</w:t>
      </w:r>
      <w:r>
        <w:rPr>
          <w:spacing w:val="-88"/>
        </w:rPr>
        <w:t> </w:t>
      </w:r>
      <w:r>
        <w:rPr>
          <w:spacing w:val="-2"/>
        </w:rPr>
        <w:t>游戏研发，以用户需求和爱好为导向开展研发立项和调优、产品升级，增加用户黏性；通过成功的流量自主经营模式，移动</w:t>
      </w:r>
      <w:r>
        <w:rPr>
          <w:spacing w:val="-67"/>
        </w:rPr>
        <w:t> </w:t>
      </w:r>
      <w:r>
        <w:rPr>
          <w:spacing w:val="-67"/>
        </w:rPr>
      </w:r>
      <w:r>
        <w:rPr>
          <w:spacing w:val="-2"/>
        </w:rPr>
        <w:t>游戏流量经营业务的市场占有率大幅提高，也为整体平台业务提供了用户的基础数据和后续用户深度精细化运营条件。</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spacing w:val="-1"/>
        </w:rPr>
        <w:t>年度，哆可梦实现营业收入</w:t>
      </w:r>
      <w:r>
        <w:rPr>
          <w:rFonts w:ascii="Times New Roman" w:hAnsi="Times New Roman" w:cs="Times New Roman" w:eastAsia="Times New Roman" w:hint="default"/>
          <w:spacing w:val="-1"/>
        </w:rPr>
        <w:t>71,478.52</w:t>
      </w:r>
      <w:r>
        <w:rPr>
          <w:spacing w:val="-1"/>
        </w:rPr>
        <w:t>万元，较上年同期增长</w:t>
      </w:r>
      <w:r>
        <w:rPr>
          <w:rFonts w:ascii="Times New Roman" w:hAnsi="Times New Roman" w:cs="Times New Roman" w:eastAsia="Times New Roman" w:hint="default"/>
          <w:spacing w:val="-1"/>
        </w:rPr>
        <w:t>332.69%</w:t>
      </w:r>
      <w:r>
        <w:rPr>
          <w:spacing w:val="-1"/>
        </w:rPr>
        <w:t>；实现净利润</w:t>
      </w:r>
      <w:r>
        <w:rPr>
          <w:rFonts w:ascii="Times New Roman" w:hAnsi="Times New Roman" w:cs="Times New Roman" w:eastAsia="Times New Roman" w:hint="default"/>
          <w:spacing w:val="-1"/>
        </w:rPr>
        <w:t>14,939.84</w:t>
      </w:r>
      <w:r>
        <w:rPr>
          <w:spacing w:val="-1"/>
        </w:rPr>
        <w:t>万元，较上年同期增长</w:t>
      </w:r>
      <w:r>
        <w:rPr>
          <w:rFonts w:ascii="Times New Roman" w:hAnsi="Times New Roman" w:cs="Times New Roman" w:eastAsia="Times New Roman" w:hint="default"/>
          <w:spacing w:val="-1"/>
        </w:rPr>
        <w:t>345.93%</w:t>
      </w:r>
      <w:r>
        <w:rPr>
          <w:spacing w:val="-1"/>
        </w:rPr>
        <w:t>，</w:t>
      </w:r>
      <w:r>
        <w:rPr>
          <w:spacing w:val="-50"/>
        </w:rPr>
        <w:t> </w:t>
      </w:r>
      <w:r>
        <w:rPr/>
        <w:t>实现了业绩快速增长。</w:t>
      </w:r>
    </w:p>
    <w:p>
      <w:pPr>
        <w:spacing w:line="300" w:lineRule="auto" w:before="28"/>
        <w:ind w:left="513" w:right="9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、坚持资本服务实体经济，完善产业布局</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报告期公司利用自身上市公司的平台优势，结合管理团队在产业发展、投融资方面的知识和经验，以电力业务和互联网</w:t>
      </w:r>
    </w:p>
    <w:p>
      <w:pPr>
        <w:pStyle w:val="BodyText"/>
        <w:spacing w:line="316" w:lineRule="auto" w:before="32"/>
        <w:ind w:right="191"/>
        <w:jc w:val="both"/>
      </w:pPr>
      <w:r>
        <w:rPr>
          <w:spacing w:val="-2"/>
        </w:rPr>
        <w:t>文化娱乐产业为起点，向新能源、高端制造和互联网服务行业开展股权投资，用优秀投资标的来延长公司产业链条，完善公</w:t>
      </w:r>
      <w:r>
        <w:rPr>
          <w:spacing w:val="-65"/>
        </w:rPr>
        <w:t> </w:t>
      </w:r>
      <w:r>
        <w:rPr>
          <w:spacing w:val="-65"/>
        </w:rPr>
      </w:r>
      <w:r>
        <w:rPr/>
        <w:t>司产业布局，增加公司产品和服务价值。</w:t>
      </w:r>
    </w:p>
    <w:p>
      <w:pPr>
        <w:pStyle w:val="Heading4"/>
        <w:spacing w:line="240" w:lineRule="auto" w:before="19"/>
        <w:ind w:right="94"/>
        <w:jc w:val="left"/>
        <w:rPr>
          <w:b w:val="0"/>
          <w:bCs w:val="0"/>
        </w:rPr>
      </w:pPr>
      <w:r>
        <w:rPr>
          <w:rFonts w:ascii="Times New Roman" w:hAnsi="Times New Roman" w:cs="Times New Roman" w:eastAsia="Times New Roman" w:hint="default"/>
        </w:rPr>
        <w:t>4</w:t>
      </w:r>
      <w:r>
        <w:rPr/>
        <w:t>、完善公司治理，发挥重组协同效应</w:t>
      </w:r>
      <w:r>
        <w:rPr>
          <w:b w:val="0"/>
          <w:bCs w:val="0"/>
        </w:rPr>
      </w:r>
    </w:p>
    <w:p>
      <w:pPr>
        <w:pStyle w:val="BodyText"/>
        <w:spacing w:line="307" w:lineRule="auto" w:before="63"/>
        <w:ind w:right="102" w:firstLine="360"/>
        <w:jc w:val="both"/>
      </w:pPr>
      <w:r>
        <w:rPr>
          <w:rFonts w:ascii="Times New Roman" w:hAnsi="Times New Roman" w:cs="Times New Roman" w:eastAsia="Times New Roman" w:hint="default"/>
        </w:rPr>
        <w:t>2017</w:t>
      </w:r>
      <w:r>
        <w:rPr/>
        <w:t>年度，公司顺利完成董监高换届选举工作，保证</w:t>
      </w:r>
      <w:r>
        <w:rPr>
          <w:rFonts w:ascii="Times New Roman" w:hAnsi="Times New Roman" w:cs="Times New Roman" w:eastAsia="Times New Roman" w:hint="default"/>
        </w:rPr>
        <w:t>“</w:t>
      </w:r>
      <w:r>
        <w:rPr/>
        <w:t>三会</w:t>
      </w:r>
      <w:r>
        <w:rPr>
          <w:rFonts w:ascii="Times New Roman" w:hAnsi="Times New Roman" w:cs="Times New Roman" w:eastAsia="Times New Roman" w:hint="default"/>
        </w:rPr>
        <w:t>”</w:t>
      </w:r>
      <w:r>
        <w:rPr/>
        <w:t>正常运转；根据业务发展需要，尤其是重组完成之后，为了 </w:t>
      </w:r>
      <w:r>
        <w:rPr>
          <w:spacing w:val="-2"/>
        </w:rPr>
        <w:t>发挥协同效应和实现整体利益最大化，公司优化组织结构，发挥各个职能部门的最大功效，助力公司业务发展。在业务发展</w:t>
      </w:r>
      <w:r>
        <w:rPr>
          <w:spacing w:val="-66"/>
        </w:rPr>
        <w:t> </w:t>
      </w:r>
      <w:r>
        <w:rPr>
          <w:spacing w:val="-66"/>
        </w:rPr>
      </w:r>
      <w:r>
        <w:rPr/>
        <w:t>的同时，公司加强自身</w:t>
      </w:r>
      <w:r>
        <w:rPr>
          <w:rFonts w:ascii="Times New Roman" w:hAnsi="Times New Roman" w:cs="Times New Roman" w:eastAsia="Times New Roman" w:hint="default"/>
        </w:rPr>
        <w:t>“</w:t>
      </w:r>
      <w:r>
        <w:rPr/>
        <w:t>体检</w:t>
      </w:r>
      <w:r>
        <w:rPr>
          <w:rFonts w:ascii="Times New Roman" w:hAnsi="Times New Roman" w:cs="Times New Roman" w:eastAsia="Times New Roman" w:hint="default"/>
        </w:rPr>
        <w:t>”</w:t>
      </w:r>
      <w:r>
        <w:rPr/>
        <w:t>工作，充分发挥内审的监督效用，梳理和完善制度建设，提高规范水平和工作效率，使公司各 </w:t>
      </w:r>
      <w:r>
        <w:rPr>
          <w:spacing w:val="-4"/>
        </w:rPr>
        <w:t>项规章制度得到有效执行，以制度治理公司，认真剖析问题，提出切实可行的解决措施，不断完善治理结构，提高治理水平。</w:t>
      </w:r>
    </w:p>
    <w:p>
      <w:pPr>
        <w:spacing w:line="340" w:lineRule="auto" w:before="26"/>
        <w:ind w:left="513" w:right="9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、股东切实履行承诺，维护公司整体利益</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报告期内公司控股股东中驰惠程及其一致行动人按时履行了增持、解决潜在同业竞争问题等承诺，有利于进一步巩固公</w:t>
      </w:r>
    </w:p>
    <w:p>
      <w:pPr>
        <w:pStyle w:val="BodyText"/>
        <w:spacing w:line="234" w:lineRule="exact"/>
        <w:ind w:right="0"/>
        <w:jc w:val="both"/>
      </w:pPr>
      <w:r>
        <w:rPr/>
        <w:t>司控制权稳定，避免利益冲突，促进公司规范运作和稳定发展，切实维护公司尤其是中小股东的合法权益。</w:t>
      </w:r>
    </w:p>
    <w:p>
      <w:pPr>
        <w:spacing w:after="0" w:line="234" w:lineRule="exact"/>
        <w:jc w:val="both"/>
        <w:sectPr>
          <w:pgSz w:w="11910" w:h="16840"/>
          <w:pgMar w:header="745" w:footer="979"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153"/>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54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153"/>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1"/>
        <w:gridCol w:w="1599"/>
        <w:gridCol w:w="1588"/>
        <w:gridCol w:w="1597"/>
      </w:tblGrid>
      <w:tr>
        <w:trPr>
          <w:trHeight w:val="207"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373,172,726.25</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288,618,425.48</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29.30%</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）电力行业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313,522,139.09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84.01%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259,441,546.48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89.89%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20.85%</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）游戏行业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46,979,219.61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12.59%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12,671,367.55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29,176,879.00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10.11%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-56.57%</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电气产品类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264,426,823.68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70.86%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221,309,570.04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76.68%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19.48%</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绝缘产品类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49,095,315.41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13.15%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38,131,976.44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13.21%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28.75%</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游戏发行类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43,498,403.66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11.66%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游戏研发类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3,480,815.95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12,671,367.55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29,176,879.00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10.11%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-56.57%</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369,456,143.15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284,825,407.83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98.69%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29.71%</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3,716,583.10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3,793,017.65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980"/>
        </w:sectPr>
      </w:pPr>
    </w:p>
    <w:p>
      <w:pPr>
        <w:pStyle w:val="BodyText"/>
        <w:spacing w:line="34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1060" w:bottom="1160" w:left="980" w:right="980"/>
          <w:cols w:num="2" w:equalWidth="0">
            <w:col w:w="3213" w:space="5707"/>
            <w:col w:w="1030"/>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6"/>
        <w:gridCol w:w="1368"/>
        <w:gridCol w:w="1366"/>
        <w:gridCol w:w="1369"/>
        <w:gridCol w:w="1370"/>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）电力行业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313,522,139.09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222,532,515.27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29.02%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20.85%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35.40%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3" w:right="0"/>
              <w:jc w:val="left"/>
              <w:rPr>
                <w:rFonts w:ascii="Times New Roman" w:hAnsi="Times New Roman" w:cs="Times New Roman" w:eastAsia="Times New Roman" w:hint="default"/>
                <w:sz w:val="18"/>
                <w:szCs w:val="18"/>
              </w:rPr>
            </w:pPr>
            <w:r>
              <w:rPr>
                <w:rFonts w:ascii="Times New Roman"/>
                <w:sz w:val="18"/>
              </w:rPr>
              <w:t>-7.63%</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）游戏行业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46,979,219.61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7,084,967.74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12,671,367.55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6,064,401.15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52.14%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-56.57%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-51.42%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-5.08%</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电气产品类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264,426,823.68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187,512,224.01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33.88%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-7.62%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绝缘产品类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49,095,315.41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35,020,291.26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44.18%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游戏发行类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43,498,403.66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5,128,308.58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88.21%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游戏研发类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3,480,815.95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1,956,659.16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12,671,367.55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6,064,401.15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52.14%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-56.57%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-51.42%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-5.08%</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369,456,143.15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232,840,454.15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36.98%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29.71%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33.27%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-1.68%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3,716,583.10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2,841,430.01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-20.81%</w:t>
            </w:r>
          </w:p>
        </w:tc>
      </w:tr>
    </w:tbl>
    <w:p>
      <w:pPr>
        <w:pStyle w:val="BodyText"/>
        <w:spacing w:line="240" w:lineRule="auto" w:before="49"/>
        <w:ind w:right="153"/>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4"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r>
              <w:rPr>
                <w:rFonts w:ascii="Times New Roman" w:hAnsi="Times New Roman" w:cs="Times New Roman" w:eastAsia="Times New Roman" w:hint="default"/>
                <w:sz w:val="18"/>
                <w:szCs w:val="18"/>
              </w:rPr>
              <w:t>/</w:t>
            </w:r>
            <w:r>
              <w:rPr>
                <w:rFonts w:ascii="宋体" w:hAnsi="宋体" w:cs="宋体" w:eastAsia="宋体" w:hint="default"/>
                <w:sz w:val="18"/>
                <w:szCs w:val="18"/>
              </w:rPr>
              <w:t>套</w:t>
            </w:r>
            <w:r>
              <w:rPr>
                <w:rFonts w:ascii="Times New Roman" w:hAnsi="Times New Roman" w:cs="Times New Roman" w:eastAsia="Times New Roman" w:hint="default"/>
                <w:sz w:val="18"/>
                <w:szCs w:val="18"/>
              </w:rPr>
              <w:t>/</w:t>
            </w:r>
            <w:r>
              <w:rPr>
                <w:rFonts w:ascii="宋体" w:hAnsi="宋体" w:cs="宋体" w:eastAsia="宋体" w:hint="default"/>
                <w:sz w:val="18"/>
                <w:szCs w:val="18"/>
              </w:rPr>
              <w:t>米</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276,652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229,150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20.73%</w:t>
            </w:r>
          </w:p>
        </w:tc>
      </w:tr>
      <w:tr>
        <w:trPr>
          <w:trHeight w:val="403"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r>
              <w:rPr>
                <w:rFonts w:ascii="Times New Roman" w:hAnsi="Times New Roman" w:cs="Times New Roman" w:eastAsia="Times New Roman" w:hint="default"/>
                <w:sz w:val="18"/>
                <w:szCs w:val="18"/>
              </w:rPr>
              <w:t>/</w:t>
            </w:r>
            <w:r>
              <w:rPr>
                <w:rFonts w:ascii="宋体" w:hAnsi="宋体" w:cs="宋体" w:eastAsia="宋体" w:hint="default"/>
                <w:sz w:val="18"/>
                <w:szCs w:val="18"/>
              </w:rPr>
              <w:t>套</w:t>
            </w:r>
            <w:r>
              <w:rPr>
                <w:rFonts w:ascii="Times New Roman" w:hAnsi="Times New Roman" w:cs="Times New Roman" w:eastAsia="Times New Roman" w:hint="default"/>
                <w:sz w:val="18"/>
                <w:szCs w:val="18"/>
              </w:rPr>
              <w:t>/</w:t>
            </w:r>
            <w:r>
              <w:rPr>
                <w:rFonts w:ascii="宋体" w:hAnsi="宋体" w:cs="宋体" w:eastAsia="宋体" w:hint="default"/>
                <w:sz w:val="18"/>
                <w:szCs w:val="18"/>
              </w:rPr>
              <w:t>米</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277,185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229,666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20.69%</w:t>
            </w:r>
          </w:p>
        </w:tc>
      </w:tr>
      <w:tr>
        <w:trPr>
          <w:trHeight w:val="401"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r>
              <w:rPr>
                <w:rFonts w:ascii="Times New Roman" w:hAnsi="Times New Roman" w:cs="Times New Roman" w:eastAsia="Times New Roman" w:hint="default"/>
                <w:sz w:val="18"/>
                <w:szCs w:val="18"/>
              </w:rPr>
              <w:t>/</w:t>
            </w:r>
            <w:r>
              <w:rPr>
                <w:rFonts w:ascii="宋体" w:hAnsi="宋体" w:cs="宋体" w:eastAsia="宋体" w:hint="default"/>
                <w:sz w:val="18"/>
                <w:szCs w:val="18"/>
              </w:rPr>
              <w:t>套</w:t>
            </w:r>
            <w:r>
              <w:rPr>
                <w:rFonts w:ascii="Times New Roman" w:hAnsi="Times New Roman" w:cs="Times New Roman" w:eastAsia="Times New Roman" w:hint="default"/>
                <w:sz w:val="18"/>
                <w:szCs w:val="18"/>
              </w:rPr>
              <w:t>/</w:t>
            </w:r>
            <w:r>
              <w:rPr>
                <w:rFonts w:ascii="宋体" w:hAnsi="宋体" w:cs="宋体" w:eastAsia="宋体" w:hint="default"/>
                <w:sz w:val="18"/>
                <w:szCs w:val="18"/>
              </w:rPr>
              <w:t>米</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6.93%</w:t>
            </w:r>
          </w:p>
        </w:tc>
      </w:tr>
    </w:tbl>
    <w:p>
      <w:pPr>
        <w:pStyle w:val="BodyText"/>
        <w:spacing w:line="240" w:lineRule="auto" w:before="49"/>
        <w:ind w:right="153"/>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3"/>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3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否</w:t>
      </w:r>
    </w:p>
    <w:p>
      <w:pPr>
        <w:pStyle w:val="BodyText"/>
        <w:spacing w:line="240" w:lineRule="auto" w:before="41"/>
        <w:ind w:right="153"/>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月，国家电网山东电力公司</w:t>
      </w:r>
      <w:r>
        <w:rPr>
          <w:rFonts w:ascii="Times New Roman" w:hAnsi="Times New Roman" w:cs="Times New Roman" w:eastAsia="Times New Roman" w:hint="default"/>
        </w:rPr>
        <w:t>2016</w:t>
      </w:r>
      <w:r>
        <w:rPr/>
        <w:t>年第一批电网物资招标，中标金额共</w:t>
      </w:r>
      <w:r>
        <w:rPr>
          <w:rFonts w:ascii="Times New Roman" w:hAnsi="Times New Roman" w:cs="Times New Roman" w:eastAsia="Times New Roman" w:hint="default"/>
        </w:rPr>
        <w:t>2,499.15</w:t>
      </w:r>
      <w:r>
        <w:rPr/>
        <w:t>万元，报告期末合同执行进度为</w:t>
      </w:r>
    </w:p>
    <w:p>
      <w:pPr>
        <w:pStyle w:val="BodyText"/>
        <w:spacing w:line="240" w:lineRule="auto" w:before="63"/>
        <w:ind w:right="153"/>
        <w:jc w:val="left"/>
      </w:pPr>
      <w:r>
        <w:rPr>
          <w:rFonts w:ascii="Times New Roman" w:hAnsi="Times New Roman" w:cs="Times New Roman" w:eastAsia="Times New Roman" w:hint="default"/>
        </w:rPr>
        <w:t>98.30%</w:t>
      </w:r>
      <w:r>
        <w:rPr/>
        <w:t>。</w:t>
      </w:r>
    </w:p>
    <w:p>
      <w:pPr>
        <w:pStyle w:val="BodyText"/>
        <w:spacing w:line="300" w:lineRule="auto" w:before="63"/>
        <w:ind w:right="189"/>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月，贵州电网有限责任公司</w:t>
      </w:r>
      <w:r>
        <w:rPr>
          <w:rFonts w:ascii="Times New Roman" w:hAnsi="Times New Roman" w:cs="Times New Roman" w:eastAsia="Times New Roman" w:hint="default"/>
        </w:rPr>
        <w:t>2016</w:t>
      </w:r>
      <w:r>
        <w:rPr/>
        <w:t>年第一批二级物资（一次设备）集中采购专项招标，中标金额共</w:t>
      </w:r>
      <w:r>
        <w:rPr>
          <w:rFonts w:ascii="Times New Roman" w:hAnsi="Times New Roman" w:cs="Times New Roman" w:eastAsia="Times New Roman" w:hint="default"/>
        </w:rPr>
        <w:t>2,954</w:t>
      </w:r>
      <w:r>
        <w:rPr/>
        <w:t>万元，报 告期末合同执行进度为</w:t>
      </w:r>
      <w:r>
        <w:rPr>
          <w:rFonts w:ascii="Times New Roman" w:hAnsi="Times New Roman" w:cs="Times New Roman" w:eastAsia="Times New Roman" w:hint="default"/>
        </w:rPr>
        <w:t>94.26%</w:t>
      </w:r>
      <w:r>
        <w:rPr/>
        <w:t>。</w:t>
      </w:r>
    </w:p>
    <w:p>
      <w:pPr>
        <w:pStyle w:val="BodyText"/>
        <w:spacing w:line="319" w:lineRule="auto" w:before="53"/>
        <w:ind w:right="153"/>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月，广东电网有限责任公司</w:t>
      </w:r>
      <w:r>
        <w:rPr>
          <w:rFonts w:ascii="Times New Roman" w:hAnsi="Times New Roman" w:cs="Times New Roman" w:eastAsia="Times New Roman" w:hint="default"/>
        </w:rPr>
        <w:t>2016-2017</w:t>
      </w:r>
      <w:r>
        <w:rPr/>
        <w:t>年配网设备材料（配电箱、熔断器、隔离开关、避雷器等）框架招标，中</w:t>
      </w:r>
      <w:r>
        <w:rPr>
          <w:spacing w:val="-62"/>
        </w:rPr>
        <w:t> </w:t>
      </w:r>
      <w:r>
        <w:rPr>
          <w:spacing w:val="-62"/>
        </w:rPr>
      </w:r>
      <w:r>
        <w:rPr/>
        <w:t>标金额共</w:t>
      </w:r>
      <w:r>
        <w:rPr>
          <w:rFonts w:ascii="Times New Roman" w:hAnsi="Times New Roman" w:cs="Times New Roman" w:eastAsia="Times New Roman" w:hint="default"/>
        </w:rPr>
        <w:t>5,500</w:t>
      </w:r>
      <w:r>
        <w:rPr/>
        <w:t>万元，报告期末合同已执行完毕。 </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月，广东电网有限责任公司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10kV</w:t>
      </w:r>
      <w:r>
        <w:rPr/>
        <w:t>户外开关箱、</w:t>
      </w:r>
      <w:r>
        <w:rPr>
          <w:rFonts w:ascii="Times New Roman" w:hAnsi="Times New Roman" w:cs="Times New Roman" w:eastAsia="Times New Roman" w:hint="default"/>
        </w:rPr>
        <w:t>10kVSF6</w:t>
      </w:r>
      <w:r>
        <w:rPr/>
        <w:t>全绝缘柜等配网箱柜设备框架招标，中标金额</w:t>
      </w:r>
    </w:p>
    <w:p>
      <w:pPr>
        <w:pStyle w:val="BodyText"/>
        <w:spacing w:line="246" w:lineRule="exact"/>
        <w:ind w:right="153"/>
        <w:jc w:val="left"/>
      </w:pPr>
      <w:r>
        <w:rPr>
          <w:rFonts w:ascii="Times New Roman" w:hAnsi="Times New Roman" w:cs="Times New Roman" w:eastAsia="Times New Roman" w:hint="default"/>
        </w:rPr>
        <w:t>4,441.40</w:t>
      </w:r>
      <w:r>
        <w:rPr/>
        <w:t>万元，报告期末合同执行进度为</w:t>
      </w:r>
      <w:r>
        <w:rPr>
          <w:rFonts w:ascii="Times New Roman" w:hAnsi="Times New Roman" w:cs="Times New Roman" w:eastAsia="Times New Roman" w:hint="default"/>
        </w:rPr>
        <w:t>97.72%</w:t>
      </w:r>
      <w:r>
        <w:rPr/>
        <w:t>。</w:t>
      </w:r>
    </w:p>
    <w:p>
      <w:pPr>
        <w:pStyle w:val="BodyText"/>
        <w:spacing w:line="300" w:lineRule="auto" w:before="103"/>
        <w:ind w:right="189"/>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月，广东电网有限责任公司</w:t>
      </w:r>
      <w:r>
        <w:rPr>
          <w:rFonts w:ascii="Times New Roman" w:hAnsi="Times New Roman" w:cs="Times New Roman" w:eastAsia="Times New Roman" w:hint="default"/>
        </w:rPr>
        <w:t>2017</w:t>
      </w:r>
      <w:r>
        <w:rPr/>
        <w:t>年自动化成套开关柜设备等框架招标，中标金额</w:t>
      </w:r>
      <w:r>
        <w:rPr>
          <w:rFonts w:ascii="Times New Roman" w:hAnsi="Times New Roman" w:cs="Times New Roman" w:eastAsia="Times New Roman" w:hint="default"/>
        </w:rPr>
        <w:t>5,476</w:t>
      </w:r>
      <w:r>
        <w:rPr/>
        <w:t>万元，报告期末合同执行 进度为</w:t>
      </w:r>
      <w:r>
        <w:rPr>
          <w:rFonts w:ascii="Times New Roman" w:hAnsi="Times New Roman" w:cs="Times New Roman" w:eastAsia="Times New Roman" w:hint="default"/>
        </w:rPr>
        <w:t>60.94%</w:t>
      </w:r>
      <w:r>
        <w:rPr/>
        <w:t>。</w:t>
      </w:r>
    </w:p>
    <w:p>
      <w:pPr>
        <w:spacing w:after="0" w:line="30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94"/>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4"/>
        <w:jc w:val="left"/>
      </w:pPr>
      <w:r>
        <w:rPr/>
        <w:t>行业和产品分类</w:t>
      </w:r>
    </w:p>
    <w:p>
      <w:pPr>
        <w:pStyle w:val="BodyText"/>
        <w:spacing w:line="240" w:lineRule="auto" w:before="115"/>
        <w:ind w:left="0" w:right="19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222,532,515.27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94.42%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164,346,451.69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92.94%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35.40%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游戏行业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7,084,967.74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3.01%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6,064,401.15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12,483,248.35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-51.42%</w:t>
            </w:r>
          </w:p>
        </w:tc>
      </w:tr>
    </w:tbl>
    <w:p>
      <w:pPr>
        <w:pStyle w:val="BodyText"/>
        <w:spacing w:line="240" w:lineRule="auto" w:before="49"/>
        <w:ind w:left="0" w:right="19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电气产品类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187,512,224.01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79.56%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140,056,911.55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79.20%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33.88%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绝缘产品类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35,020,291.26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24,289,540.14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13.74%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44.18%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游戏发行类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5,128,308.58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游戏研发类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1,956,659.16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6,064,401.15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12,483,248.35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-51.42%</w:t>
            </w:r>
          </w:p>
        </w:tc>
      </w:tr>
    </w:tbl>
    <w:p>
      <w:pPr>
        <w:spacing w:line="240" w:lineRule="auto" w:before="3"/>
        <w:rPr>
          <w:rFonts w:ascii="宋体" w:hAnsi="宋体" w:cs="宋体" w:eastAsia="宋体" w:hint="default"/>
          <w:sz w:val="19"/>
          <w:szCs w:val="19"/>
        </w:rPr>
      </w:pPr>
    </w:p>
    <w:p>
      <w:pPr>
        <w:pStyle w:val="Heading3"/>
        <w:spacing w:line="240" w:lineRule="auto" w:before="36"/>
        <w:ind w:right="94"/>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pStyle w:val="BodyText"/>
        <w:spacing w:line="300" w:lineRule="auto" w:before="103"/>
        <w:ind w:right="172" w:firstLine="288"/>
        <w:jc w:val="left"/>
      </w:pP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日召开第五届董事会第四十四次会议、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日召开第六届董事会第二次会议、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 </w:t>
      </w:r>
      <w:r>
        <w:rPr>
          <w:rFonts w:ascii="Times New Roman" w:hAnsi="Times New Roman" w:cs="Times New Roman" w:eastAsia="Times New Roman" w:hint="default"/>
        </w:rPr>
        <w:t>18</w:t>
      </w:r>
      <w:r>
        <w:rPr/>
        <w:t>日召开</w:t>
      </w:r>
      <w:r>
        <w:rPr>
          <w:rFonts w:ascii="Times New Roman" w:hAnsi="Times New Roman" w:cs="Times New Roman" w:eastAsia="Times New Roman" w:hint="default"/>
        </w:rPr>
        <w:t>2017</w:t>
      </w:r>
      <w:r>
        <w:rPr/>
        <w:t>年第三次临时股东大会，审议通过《关于</w:t>
      </w:r>
      <w:r>
        <w:rPr>
          <w:rFonts w:ascii="Times New Roman" w:hAnsi="Times New Roman" w:cs="Times New Roman" w:eastAsia="Times New Roman" w:hint="default"/>
        </w:rPr>
        <w:t>&lt;</w:t>
      </w:r>
      <w:r>
        <w:rPr/>
        <w:t>深圳市惠程电气股份有限公司重大资产购买暨关联交易报告书（草 案）</w:t>
      </w:r>
      <w:r>
        <w:rPr>
          <w:rFonts w:ascii="Times New Roman" w:hAnsi="Times New Roman" w:cs="Times New Roman" w:eastAsia="Times New Roman" w:hint="default"/>
        </w:rPr>
        <w:t>&gt;</w:t>
      </w:r>
      <w:r>
        <w:rPr/>
        <w:t>及其摘要》等相关议案，同意公司以支付现金方式向寇汉、宁夏和中、完美软件科技、国金凯撒、深圳岚悦和林嘉喜 </w:t>
      </w:r>
      <w:r>
        <w:rPr>
          <w:spacing w:val="-2"/>
        </w:rPr>
        <w:t>购买其合计持有的哆可梦</w:t>
      </w:r>
      <w:r>
        <w:rPr>
          <w:rFonts w:ascii="Times New Roman" w:hAnsi="Times New Roman" w:cs="Times New Roman" w:eastAsia="Times New Roman" w:hint="default"/>
          <w:spacing w:val="-2"/>
        </w:rPr>
        <w:t>77.57%</w:t>
      </w:r>
      <w:r>
        <w:rPr>
          <w:spacing w:val="-2"/>
        </w:rPr>
        <w:t>股权，</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20</w:t>
      </w:r>
      <w:r>
        <w:rPr>
          <w:spacing w:val="-2"/>
        </w:rPr>
        <w:t>日完成此次股权转让的工商变更登记，控股子公司哆可梦纳入公司</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t>年年度财务报表合并范围。</w:t>
      </w:r>
    </w:p>
    <w:p>
      <w:pPr>
        <w:pStyle w:val="BodyText"/>
        <w:spacing w:line="300" w:lineRule="auto" w:before="31"/>
        <w:ind w:right="188" w:firstLine="288"/>
        <w:jc w:val="both"/>
      </w:pPr>
      <w:r>
        <w:rPr>
          <w:spacing w:val="-1"/>
        </w:rPr>
        <w:t>永耀惠程于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27</w:t>
      </w:r>
      <w:r>
        <w:rPr>
          <w:spacing w:val="-1"/>
        </w:rPr>
        <w:t>日完成工商注册，截至</w:t>
      </w:r>
      <w:r>
        <w:rPr>
          <w:rFonts w:ascii="Times New Roman" w:hAnsi="Times New Roman" w:cs="Times New Roman" w:eastAsia="Times New Roman" w:hint="default"/>
          <w:spacing w:val="-1"/>
        </w:rPr>
        <w:t>2016</w:t>
      </w:r>
      <w:r>
        <w:rPr>
          <w:spacing w:val="-1"/>
        </w:rPr>
        <w:t>年末各股东尚未完成出资义务，根据永耀惠程公司章程约定的股权</w:t>
      </w:r>
      <w:r>
        <w:rPr/>
        <w:t> </w:t>
      </w:r>
      <w:r>
        <w:rPr>
          <w:spacing w:val="-2"/>
        </w:rPr>
        <w:t>比例和董事会成员构成，公司认为对永耀惠程具有实际控制权，将其纳入公司财务报表合并范围；</w:t>
      </w:r>
      <w:r>
        <w:rPr>
          <w:rFonts w:ascii="Times New Roman" w:hAnsi="Times New Roman" w:cs="Times New Roman" w:eastAsia="Times New Roman" w:hint="default"/>
          <w:spacing w:val="-2"/>
        </w:rPr>
        <w:t>2017</w:t>
      </w:r>
      <w:r>
        <w:rPr>
          <w:spacing w:val="-2"/>
        </w:rPr>
        <w:t>年实际经营中，公司</w:t>
      </w:r>
      <w:r>
        <w:rPr>
          <w:spacing w:val="-59"/>
        </w:rPr>
        <w:t> </w:t>
      </w:r>
      <w:r>
        <w:rPr>
          <w:spacing w:val="-59"/>
        </w:rPr>
      </w:r>
      <w:r>
        <w:rPr>
          <w:spacing w:val="-2"/>
        </w:rPr>
        <w:t>未能实现对永耀惠程的控制而只能起到重大影响，根据实质重于形式的原则，故在</w:t>
      </w:r>
      <w:r>
        <w:rPr>
          <w:rFonts w:ascii="Times New Roman" w:hAnsi="Times New Roman" w:cs="Times New Roman" w:eastAsia="Times New Roman" w:hint="default"/>
          <w:spacing w:val="-2"/>
        </w:rPr>
        <w:t>2017</w:t>
      </w:r>
      <w:r>
        <w:rPr>
          <w:spacing w:val="-2"/>
        </w:rPr>
        <w:t>年未将永耀惠程纳入财务报表合并范</w:t>
      </w:r>
      <w:r>
        <w:rPr>
          <w:spacing w:val="-61"/>
        </w:rPr>
        <w:t> </w:t>
      </w:r>
      <w:r>
        <w:rPr>
          <w:spacing w:val="-61"/>
        </w:rPr>
      </w:r>
      <w:r>
        <w:rPr/>
        <w:t>围，改按长期股权投资权益法进行核算。</w:t>
      </w:r>
    </w:p>
    <w:p>
      <w:pPr>
        <w:spacing w:line="240" w:lineRule="auto" w:before="10"/>
        <w:rPr>
          <w:rFonts w:ascii="宋体" w:hAnsi="宋体" w:cs="宋体" w:eastAsia="宋体" w:hint="default"/>
          <w:sz w:val="23"/>
          <w:szCs w:val="23"/>
        </w:rPr>
      </w:pPr>
    </w:p>
    <w:p>
      <w:pPr>
        <w:pStyle w:val="Heading3"/>
        <w:spacing w:line="240" w:lineRule="auto"/>
        <w:ind w:right="94"/>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left="513" w:right="94"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1"/>
        </w:rPr>
        <w:t>报告期内，公司原有电气业务继续研发、生产和销售中低压电气设备、</w:t>
      </w:r>
      <w:r>
        <w:rPr>
          <w:rFonts w:ascii="Times New Roman" w:hAnsi="Times New Roman" w:cs="Times New Roman" w:eastAsia="Times New Roman" w:hint="default"/>
          <w:spacing w:val="-1"/>
        </w:rPr>
        <w:t>SMC</w:t>
      </w:r>
      <w:r>
        <w:rPr>
          <w:spacing w:val="-1"/>
        </w:rPr>
        <w:t>电气设备箱体电缆附件、管型母线等产品，</w:t>
      </w:r>
    </w:p>
    <w:p>
      <w:pPr>
        <w:pStyle w:val="BodyText"/>
        <w:spacing w:line="228" w:lineRule="exact"/>
        <w:ind w:right="94"/>
        <w:jc w:val="left"/>
      </w:pPr>
      <w:r>
        <w:rPr/>
        <w:t>同时，公司完成现金收购哆可梦</w:t>
      </w:r>
      <w:r>
        <w:rPr>
          <w:rFonts w:ascii="Times New Roman" w:hAnsi="Times New Roman" w:cs="Times New Roman" w:eastAsia="Times New Roman" w:hint="default"/>
        </w:rPr>
        <w:t>77.57%</w:t>
      </w:r>
      <w:r>
        <w:rPr/>
        <w:t>股权，哆可梦成为公司控股子公司，哆可梦主要从事基于大数据精细化营销的流量</w:t>
      </w:r>
    </w:p>
    <w:p>
      <w:pPr>
        <w:pStyle w:val="BodyText"/>
        <w:spacing w:line="240" w:lineRule="auto" w:before="63"/>
        <w:ind w:right="0"/>
        <w:jc w:val="left"/>
      </w:pPr>
      <w:r>
        <w:rPr/>
        <w:t>经营业务和移动游戏的研发、发行及游戏平台的运营业务，公司成功布局互联网文化娱乐产业，实现公司产业转型和升级。</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25"/>
        <w:gridCol w:w="5045"/>
      </w:tblGrid>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0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125,265,643.84</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0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33.56%</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50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5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43,779,934.51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11.73%</w:t>
            </w:r>
          </w:p>
        </w:tc>
      </w:tr>
      <w:tr>
        <w:trPr>
          <w:trHeight w:val="40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30,350,287.33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8.13%</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29,255,685.00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7.84%</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12,611,991.00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3.38%</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9,267,746.00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125,265,643.84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33.56%</w:t>
            </w:r>
          </w:p>
        </w:tc>
      </w:tr>
    </w:tbl>
    <w:p>
      <w:pPr>
        <w:pStyle w:val="BodyText"/>
        <w:spacing w:line="240" w:lineRule="auto" w:before="49"/>
        <w:ind w:right="153"/>
        <w:jc w:val="left"/>
      </w:pPr>
      <w:r>
        <w:rPr/>
        <w:t>主要客户其他情况说明</w:t>
      </w:r>
    </w:p>
    <w:p>
      <w:pPr>
        <w:pStyle w:val="BodyText"/>
        <w:spacing w:line="340" w:lineRule="auto" w:before="115"/>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677"/>
        <w:gridCol w:w="4892"/>
      </w:tblGrid>
      <w:tr>
        <w:trPr>
          <w:trHeight w:val="401"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51,126,233.66</w:t>
            </w:r>
          </w:p>
        </w:tc>
      </w:tr>
      <w:tr>
        <w:trPr>
          <w:trHeight w:val="403"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22.37%</w:t>
            </w:r>
          </w:p>
        </w:tc>
      </w:tr>
      <w:tr>
        <w:trPr>
          <w:trHeight w:val="401"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5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08"/>
        <w:gridCol w:w="3185"/>
        <w:gridCol w:w="2321"/>
        <w:gridCol w:w="3145"/>
      </w:tblGrid>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15,077,328.62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6.60%</w:t>
            </w:r>
          </w:p>
        </w:tc>
      </w:tr>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10,769,197.00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4.71%</w:t>
            </w:r>
          </w:p>
        </w:tc>
      </w:tr>
      <w:tr>
        <w:trPr>
          <w:trHeight w:val="403"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9,576,781.78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4.19%</w:t>
            </w:r>
          </w:p>
        </w:tc>
      </w:tr>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8,001,342.26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w:t>
            </w:r>
          </w:p>
        </w:tc>
      </w:tr>
      <w:tr>
        <w:trPr>
          <w:trHeight w:val="403"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7,701,584.00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w:t>
            </w:r>
          </w:p>
        </w:tc>
      </w:tr>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51,126,233.66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22.37%</w:t>
            </w:r>
          </w:p>
        </w:tc>
      </w:tr>
    </w:tbl>
    <w:p>
      <w:pPr>
        <w:pStyle w:val="BodyText"/>
        <w:spacing w:line="240" w:lineRule="auto" w:before="49"/>
        <w:ind w:right="153"/>
        <w:jc w:val="left"/>
      </w:pPr>
      <w:r>
        <w:rPr/>
        <w:t>主要供应商其他情况说明</w:t>
      </w:r>
    </w:p>
    <w:p>
      <w:pPr>
        <w:pStyle w:val="BodyText"/>
        <w:spacing w:line="240" w:lineRule="auto" w:before="117"/>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840"/>
        <w:gridCol w:w="1307"/>
        <w:gridCol w:w="1299"/>
        <w:gridCol w:w="850"/>
        <w:gridCol w:w="5401"/>
      </w:tblGrid>
      <w:tr>
        <w:trPr>
          <w:trHeight w:val="401" w:hRule="exact"/>
        </w:trPr>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9"/>
              <w:jc w:val="right"/>
              <w:rPr>
                <w:rFonts w:ascii="宋体" w:hAnsi="宋体" w:cs="宋体" w:eastAsia="宋体" w:hint="default"/>
                <w:sz w:val="18"/>
                <w:szCs w:val="18"/>
              </w:rPr>
            </w:pPr>
            <w:r>
              <w:rPr>
                <w:rFonts w:ascii="宋体" w:hAnsi="宋体" w:cs="宋体" w:eastAsia="宋体" w:hint="default"/>
                <w:sz w:val="18"/>
                <w:szCs w:val="18"/>
              </w:rPr>
              <w:t>同比增减</w:t>
            </w:r>
          </w:p>
        </w:tc>
        <w:tc>
          <w:tcPr>
            <w:tcW w:w="5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30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0" w:right="0"/>
              <w:jc w:val="left"/>
              <w:rPr>
                <w:rFonts w:ascii="Times New Roman" w:hAnsi="Times New Roman" w:cs="Times New Roman" w:eastAsia="Times New Roman" w:hint="default"/>
                <w:sz w:val="18"/>
                <w:szCs w:val="18"/>
              </w:rPr>
            </w:pPr>
            <w:r>
              <w:rPr>
                <w:rFonts w:ascii="Times New Roman"/>
                <w:sz w:val="18"/>
              </w:rPr>
              <w:t>81,308,181.79</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0" w:right="0"/>
              <w:jc w:val="left"/>
              <w:rPr>
                <w:rFonts w:ascii="Times New Roman" w:hAnsi="Times New Roman" w:cs="Times New Roman" w:eastAsia="Times New Roman" w:hint="default"/>
                <w:sz w:val="18"/>
                <w:szCs w:val="18"/>
              </w:rPr>
            </w:pPr>
            <w:r>
              <w:rPr>
                <w:rFonts w:ascii="Times New Roman"/>
                <w:sz w:val="18"/>
              </w:rPr>
              <w:t>49,406,002.36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64.57%</w:t>
            </w:r>
          </w:p>
        </w:tc>
        <w:tc>
          <w:tcPr>
            <w:tcW w:w="5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主要系报告期内新增合并控股子公司哆可梦的广告推广费所致</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20" w:type="dxa"/>
        <w:tblLayout w:type="fixed"/>
        <w:tblCellMar>
          <w:top w:w="0" w:type="dxa"/>
          <w:left w:w="0" w:type="dxa"/>
          <w:bottom w:w="0" w:type="dxa"/>
          <w:right w:w="0" w:type="dxa"/>
        </w:tblCellMar>
        <w:tblLook w:val="01E0"/>
      </w:tblPr>
      <w:tblGrid>
        <w:gridCol w:w="840"/>
        <w:gridCol w:w="1307"/>
        <w:gridCol w:w="1299"/>
        <w:gridCol w:w="850"/>
        <w:gridCol w:w="5401"/>
      </w:tblGrid>
      <w:tr>
        <w:trPr>
          <w:trHeight w:val="401" w:hRule="exact"/>
        </w:trPr>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30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125,799,273.00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120,675,096.54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4.25%</w:t>
            </w:r>
          </w:p>
        </w:tc>
        <w:tc>
          <w:tcPr>
            <w:tcW w:w="5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主要系报告期内并购重组相关费用较上期增长所致</w:t>
            </w:r>
          </w:p>
        </w:tc>
      </w:tr>
      <w:tr>
        <w:trPr>
          <w:trHeight w:val="403" w:hRule="exact"/>
        </w:trPr>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30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1,409,550.45</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-3,517,421.37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140.07%</w:t>
            </w:r>
          </w:p>
        </w:tc>
        <w:tc>
          <w:tcPr>
            <w:tcW w:w="5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主要系报告期内新增银行贷款利息所致</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3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单位：万元</w:t>
      </w:r>
    </w:p>
    <w:tbl>
      <w:tblPr>
        <w:tblW w:w="0" w:type="auto"/>
        <w:jc w:val="left"/>
        <w:tblInd w:w="136" w:type="dxa"/>
        <w:tblLayout w:type="fixed"/>
        <w:tblCellMar>
          <w:top w:w="0" w:type="dxa"/>
          <w:left w:w="0" w:type="dxa"/>
          <w:bottom w:w="0" w:type="dxa"/>
          <w:right w:w="0" w:type="dxa"/>
        </w:tblCellMar>
        <w:tblLook w:val="01E0"/>
      </w:tblPr>
      <w:tblGrid>
        <w:gridCol w:w="2929"/>
        <w:gridCol w:w="2182"/>
        <w:gridCol w:w="2364"/>
        <w:gridCol w:w="2185"/>
      </w:tblGrid>
      <w:tr>
        <w:trPr>
          <w:trHeight w:val="348" w:hRule="exact"/>
        </w:trPr>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809"/>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r>
      <w:tr>
        <w:trPr>
          <w:trHeight w:val="348" w:hRule="exact"/>
        </w:trPr>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765"/>
              <w:jc w:val="right"/>
              <w:rPr>
                <w:rFonts w:ascii="Times New Roman" w:hAnsi="Times New Roman" w:cs="Times New Roman" w:eastAsia="Times New Roman" w:hint="default"/>
                <w:sz w:val="18"/>
                <w:szCs w:val="18"/>
              </w:rPr>
            </w:pPr>
            <w:r>
              <w:rPr>
                <w:rFonts w:ascii="Times New Roman"/>
                <w:w w:val="95"/>
                <w:sz w:val="18"/>
              </w:rPr>
              <w:t>1,470.65</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3" w:right="0"/>
              <w:jc w:val="center"/>
              <w:rPr>
                <w:rFonts w:ascii="Times New Roman" w:hAnsi="Times New Roman" w:cs="Times New Roman" w:eastAsia="Times New Roman" w:hint="default"/>
                <w:sz w:val="18"/>
                <w:szCs w:val="18"/>
              </w:rPr>
            </w:pPr>
            <w:r>
              <w:rPr>
                <w:rFonts w:ascii="Times New Roman"/>
                <w:sz w:val="18"/>
              </w:rPr>
              <w:t>999.07</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3" w:right="0"/>
              <w:jc w:val="center"/>
              <w:rPr>
                <w:rFonts w:ascii="Times New Roman" w:hAnsi="Times New Roman" w:cs="Times New Roman" w:eastAsia="Times New Roman" w:hint="default"/>
                <w:sz w:val="18"/>
                <w:szCs w:val="18"/>
              </w:rPr>
            </w:pPr>
            <w:r>
              <w:rPr>
                <w:rFonts w:ascii="Times New Roman"/>
                <w:sz w:val="18"/>
              </w:rPr>
              <w:t>1,280.13</w:t>
            </w:r>
          </w:p>
        </w:tc>
      </w:tr>
      <w:tr>
        <w:trPr>
          <w:trHeight w:val="346" w:hRule="exact"/>
        </w:trPr>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722"/>
              <w:jc w:val="right"/>
              <w:rPr>
                <w:rFonts w:ascii="Times New Roman" w:hAnsi="Times New Roman" w:cs="Times New Roman" w:eastAsia="Times New Roman" w:hint="default"/>
                <w:sz w:val="18"/>
                <w:szCs w:val="18"/>
              </w:rPr>
            </w:pPr>
            <w:r>
              <w:rPr>
                <w:rFonts w:ascii="Times New Roman"/>
                <w:spacing w:val="-1"/>
                <w:sz w:val="18"/>
              </w:rPr>
              <w:t>37,317.27</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3" w:right="0"/>
              <w:jc w:val="center"/>
              <w:rPr>
                <w:rFonts w:ascii="Times New Roman" w:hAnsi="Times New Roman" w:cs="Times New Roman" w:eastAsia="Times New Roman" w:hint="default"/>
                <w:sz w:val="18"/>
                <w:szCs w:val="18"/>
              </w:rPr>
            </w:pPr>
            <w:r>
              <w:rPr>
                <w:rFonts w:ascii="Times New Roman"/>
                <w:sz w:val="18"/>
              </w:rPr>
              <w:t>28,861.84</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Times New Roman" w:hAnsi="Times New Roman" w:cs="Times New Roman" w:eastAsia="Times New Roman" w:hint="default"/>
                <w:sz w:val="18"/>
                <w:szCs w:val="18"/>
              </w:rPr>
            </w:pPr>
            <w:r>
              <w:rPr>
                <w:rFonts w:ascii="Times New Roman"/>
                <w:sz w:val="18"/>
              </w:rPr>
              <w:t>20,937.03</w:t>
            </w:r>
          </w:p>
        </w:tc>
      </w:tr>
      <w:tr>
        <w:trPr>
          <w:trHeight w:val="349" w:hRule="exact"/>
        </w:trPr>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占营业收入的比重</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center"/>
              <w:rPr>
                <w:rFonts w:ascii="Times New Roman" w:hAnsi="Times New Roman" w:cs="Times New Roman" w:eastAsia="Times New Roman" w:hint="default"/>
                <w:sz w:val="18"/>
                <w:szCs w:val="18"/>
              </w:rPr>
            </w:pPr>
            <w:r>
              <w:rPr>
                <w:rFonts w:ascii="Times New Roman"/>
                <w:sz w:val="18"/>
              </w:rPr>
              <w:t>3.94%</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3" w:right="0"/>
              <w:jc w:val="center"/>
              <w:rPr>
                <w:rFonts w:ascii="Times New Roman" w:hAnsi="Times New Roman" w:cs="Times New Roman" w:eastAsia="Times New Roman" w:hint="default"/>
                <w:sz w:val="18"/>
                <w:szCs w:val="18"/>
              </w:rPr>
            </w:pPr>
            <w:r>
              <w:rPr>
                <w:rFonts w:ascii="Times New Roman"/>
                <w:sz w:val="18"/>
              </w:rPr>
              <w:t>3.46%</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6.11%</w:t>
            </w:r>
          </w:p>
        </w:tc>
      </w:tr>
    </w:tbl>
    <w:p>
      <w:pPr>
        <w:pStyle w:val="BodyText"/>
        <w:spacing w:line="240" w:lineRule="auto" w:before="43"/>
        <w:ind w:right="153"/>
        <w:jc w:val="left"/>
      </w:pPr>
      <w:r>
        <w:rPr/>
        <w:t>公司研发投入情况</w:t>
      </w:r>
    </w:p>
    <w:p>
      <w:pPr>
        <w:spacing w:line="240" w:lineRule="auto" w:before="2"/>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006"/>
        <w:gridCol w:w="2166"/>
        <w:gridCol w:w="2297"/>
        <w:gridCol w:w="2228"/>
      </w:tblGrid>
      <w:tr>
        <w:trPr>
          <w:trHeight w:val="403"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1"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1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330</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511.11%</w:t>
            </w:r>
          </w:p>
        </w:tc>
      </w:tr>
      <w:tr>
        <w:trPr>
          <w:trHeight w:val="403"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1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36.50%</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11.97%</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24.53%</w:t>
            </w:r>
          </w:p>
        </w:tc>
      </w:tr>
      <w:tr>
        <w:trPr>
          <w:trHeight w:val="401"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1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14,706,548.62</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9,990,729.58</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47.20%</w:t>
            </w:r>
          </w:p>
        </w:tc>
      </w:tr>
      <w:tr>
        <w:trPr>
          <w:trHeight w:val="403"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1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0.48%</w:t>
            </w:r>
          </w:p>
        </w:tc>
      </w:tr>
      <w:tr>
        <w:trPr>
          <w:trHeight w:val="401"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1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21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53"/>
        <w:jc w:val="left"/>
      </w:pPr>
      <w:r>
        <w:rPr/>
        <w:t>研发投入总额占营业收入的比重较上年发生显著变化的原因</w:t>
      </w:r>
    </w:p>
    <w:p>
      <w:pPr>
        <w:pStyle w:val="BodyText"/>
        <w:spacing w:line="34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41"/>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2402"/>
        <w:gridCol w:w="2435"/>
        <w:gridCol w:w="2424"/>
        <w:gridCol w:w="2425"/>
      </w:tblGrid>
      <w:tr>
        <w:trPr>
          <w:trHeight w:val="401" w:hRule="exact"/>
        </w:trPr>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3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464,322,863.79</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299,385,367.78</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55.09%</w:t>
            </w:r>
          </w:p>
        </w:tc>
      </w:tr>
      <w:tr>
        <w:trPr>
          <w:trHeight w:val="401" w:hRule="exact"/>
        </w:trPr>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3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469,793,410.59</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300,031,578.06</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56.58%</w:t>
            </w:r>
          </w:p>
        </w:tc>
      </w:tr>
      <w:tr>
        <w:trPr>
          <w:trHeight w:val="403" w:hRule="exact"/>
        </w:trPr>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3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-5,470,546.80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-646,210.28</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-746.56%</w:t>
            </w:r>
          </w:p>
        </w:tc>
      </w:tr>
      <w:tr>
        <w:trPr>
          <w:trHeight w:val="401" w:hRule="exact"/>
        </w:trPr>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3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4,062,299,509.43</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3,406,455,286.44</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19.25%</w:t>
            </w:r>
          </w:p>
        </w:tc>
      </w:tr>
      <w:tr>
        <w:trPr>
          <w:trHeight w:val="403" w:hRule="exact"/>
        </w:trPr>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3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3,809,052,814.73</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4,103,207,196.33</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-7.17%</w:t>
            </w:r>
          </w:p>
        </w:tc>
      </w:tr>
      <w:tr>
        <w:trPr>
          <w:trHeight w:val="401" w:hRule="exact"/>
        </w:trPr>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3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253,246,694.70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-696,751,909.89</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136.35%</w:t>
            </w:r>
          </w:p>
        </w:tc>
      </w:tr>
      <w:tr>
        <w:trPr>
          <w:trHeight w:val="403" w:hRule="exact"/>
        </w:trPr>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3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84,519,723.90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380,426,554.82</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-77.78%</w:t>
            </w:r>
          </w:p>
        </w:tc>
      </w:tr>
      <w:tr>
        <w:trPr>
          <w:trHeight w:val="401" w:hRule="exact"/>
        </w:trPr>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3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93,692,496.59</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228,806.17</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40,848.41%</w:t>
            </w:r>
          </w:p>
        </w:tc>
      </w:tr>
      <w:tr>
        <w:trPr>
          <w:trHeight w:val="403" w:hRule="exact"/>
        </w:trPr>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3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-9,172,772.69</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380,197,748.65</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-102.41%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20" w:type="dxa"/>
        <w:tblLayout w:type="fixed"/>
        <w:tblCellMar>
          <w:top w:w="0" w:type="dxa"/>
          <w:left w:w="0" w:type="dxa"/>
          <w:bottom w:w="0" w:type="dxa"/>
          <w:right w:w="0" w:type="dxa"/>
        </w:tblCellMar>
        <w:tblLook w:val="01E0"/>
      </w:tblPr>
      <w:tblGrid>
        <w:gridCol w:w="2423"/>
        <w:gridCol w:w="2425"/>
        <w:gridCol w:w="2424"/>
        <w:gridCol w:w="2425"/>
      </w:tblGrid>
      <w:tr>
        <w:trPr>
          <w:trHeight w:val="404"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5" w:right="0"/>
              <w:jc w:val="left"/>
              <w:rPr>
                <w:rFonts w:ascii="Times New Roman" w:hAnsi="Times New Roman" w:cs="Times New Roman" w:eastAsia="Times New Roman" w:hint="default"/>
                <w:sz w:val="18"/>
                <w:szCs w:val="18"/>
              </w:rPr>
            </w:pPr>
            <w:r>
              <w:rPr>
                <w:rFonts w:ascii="Times New Roman"/>
                <w:sz w:val="18"/>
              </w:rPr>
              <w:t>238,720,001.66</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07" w:right="0"/>
              <w:jc w:val="left"/>
              <w:rPr>
                <w:rFonts w:ascii="Times New Roman" w:hAnsi="Times New Roman" w:cs="Times New Roman" w:eastAsia="Times New Roman" w:hint="default"/>
                <w:sz w:val="18"/>
                <w:szCs w:val="18"/>
              </w:rPr>
            </w:pPr>
            <w:r>
              <w:rPr>
                <w:rFonts w:ascii="Times New Roman"/>
                <w:sz w:val="18"/>
              </w:rPr>
              <w:t>-316,884,648.69</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175.33%</w:t>
            </w:r>
          </w:p>
        </w:tc>
      </w:tr>
    </w:tbl>
    <w:p>
      <w:pPr>
        <w:pStyle w:val="BodyText"/>
        <w:spacing w:line="240" w:lineRule="auto" w:before="49"/>
        <w:ind w:right="153"/>
        <w:jc w:val="left"/>
      </w:pPr>
      <w:r>
        <w:rPr/>
        <w:t>相关数据同比发生重大变动的主要影响因素说明</w:t>
      </w:r>
    </w:p>
    <w:p>
      <w:pPr>
        <w:pStyle w:val="BodyText"/>
        <w:spacing w:line="240" w:lineRule="auto" w:before="115"/>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44" w:firstLine="360"/>
        <w:jc w:val="left"/>
      </w:pPr>
      <w:r>
        <w:rPr>
          <w:rFonts w:ascii="Times New Roman" w:hAnsi="Times New Roman" w:cs="Times New Roman" w:eastAsia="Times New Roman" w:hint="default"/>
        </w:rPr>
        <w:t>1</w:t>
      </w:r>
      <w:r>
        <w:rPr/>
        <w:t>、经营活动现金流入、现金流出同比有所增幅的主要原因为本期公司电气业务订单增加，收入有所上升，对应的销售 收款及采购业务支出均有不同程度的增加，另吸收合并控股子公司也对经营活动现金流入、流出较上年增长有所影响。</w:t>
      </w:r>
    </w:p>
    <w:p>
      <w:pPr>
        <w:pStyle w:val="BodyText"/>
        <w:spacing w:line="240" w:lineRule="auto" w:before="31"/>
        <w:ind w:left="513" w:right="153"/>
        <w:jc w:val="left"/>
        <w:rPr>
          <w:rFonts w:ascii="Times New Roman" w:hAnsi="Times New Roman" w:cs="Times New Roman" w:eastAsia="Times New Roman" w:hint="default"/>
        </w:rPr>
      </w:pPr>
      <w:r>
        <w:rPr>
          <w:rFonts w:ascii="Times New Roman" w:hAnsi="Times New Roman" w:cs="Times New Roman" w:eastAsia="Times New Roman" w:hint="default"/>
          <w:spacing w:val="-4"/>
        </w:rPr>
        <w:t>2</w:t>
      </w:r>
      <w:r>
        <w:rPr>
          <w:spacing w:val="-4"/>
        </w:rPr>
        <w:t>、投资活动现金流入增加主要原因是理财产品到期收回、收到产业并购基金收益，现金流出同比降低的主要原因是</w:t>
      </w:r>
      <w:r>
        <w:rPr>
          <w:rFonts w:ascii="Times New Roman" w:hAnsi="Times New Roman" w:cs="Times New Roman" w:eastAsia="Times New Roman" w:hint="default"/>
          <w:spacing w:val="-4"/>
        </w:rPr>
        <w:t>2017</w:t>
      </w:r>
    </w:p>
    <w:p>
      <w:pPr>
        <w:pStyle w:val="BodyText"/>
        <w:spacing w:line="240" w:lineRule="auto" w:before="63"/>
        <w:ind w:right="153"/>
        <w:jc w:val="left"/>
      </w:pPr>
      <w:r>
        <w:rPr/>
        <w:t>年公司的投资以中长期为主，资金周转速度下降，资金循环投资次数减少。</w:t>
      </w:r>
    </w:p>
    <w:p>
      <w:pPr>
        <w:pStyle w:val="BodyText"/>
        <w:spacing w:line="297" w:lineRule="auto" w:before="117"/>
        <w:ind w:right="144" w:firstLine="360"/>
        <w:jc w:val="left"/>
      </w:pPr>
      <w:r>
        <w:rPr>
          <w:rFonts w:ascii="Times New Roman" w:hAnsi="Times New Roman" w:cs="Times New Roman" w:eastAsia="Times New Roman" w:hint="default"/>
        </w:rPr>
        <w:t>3</w:t>
      </w:r>
      <w:r>
        <w:rPr/>
        <w:t>、筹资活动产生的现金流入同比大幅减少的主要原因为公司</w:t>
      </w:r>
      <w:r>
        <w:rPr>
          <w:rFonts w:ascii="Times New Roman" w:hAnsi="Times New Roman" w:cs="Times New Roman" w:eastAsia="Times New Roman" w:hint="default"/>
        </w:rPr>
        <w:t>2016</w:t>
      </w:r>
      <w:r>
        <w:rPr/>
        <w:t>年实施股权激励计划，收到激励对象投资款，</w:t>
      </w:r>
      <w:r>
        <w:rPr>
          <w:rFonts w:ascii="Times New Roman" w:hAnsi="Times New Roman" w:cs="Times New Roman" w:eastAsia="Times New Roman" w:hint="default"/>
        </w:rPr>
        <w:t>2017</w:t>
      </w:r>
      <w:r>
        <w:rPr/>
        <w:t>年 无该事项；筹资活动现金流出大幅增加主要原因是偿还银行贷款所致以及支付回购注销股权激励款项。</w:t>
      </w:r>
    </w:p>
    <w:p>
      <w:pPr>
        <w:pStyle w:val="BodyText"/>
        <w:spacing w:line="240" w:lineRule="auto" w:before="74"/>
        <w:ind w:right="153"/>
        <w:jc w:val="left"/>
      </w:pPr>
      <w:r>
        <w:rPr/>
        <w:t>报告期内公司经营活动产生的现金净流量与本年度净利润存在重大差异的原因说明</w:t>
      </w:r>
    </w:p>
    <w:p>
      <w:pPr>
        <w:pStyle w:val="BodyText"/>
        <w:spacing w:line="338" w:lineRule="auto" w:before="118"/>
        <w:ind w:left="513" w:right="0"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因本期存在股权激励摊销费用及联营企业权益法下核算确认的投资收益亏损，该部分导致净利润大幅减少，但不产生相</w:t>
      </w:r>
    </w:p>
    <w:p>
      <w:pPr>
        <w:pStyle w:val="BodyText"/>
        <w:spacing w:line="240" w:lineRule="auto" w:before="2"/>
        <w:ind w:right="153"/>
        <w:jc w:val="left"/>
      </w:pPr>
      <w:r>
        <w:rPr/>
        <w:t>应现金流出，导致净利润与经营活动现金流量存在较大差异。</w:t>
      </w:r>
    </w:p>
    <w:p>
      <w:pPr>
        <w:spacing w:line="240" w:lineRule="auto" w:before="3"/>
        <w:rPr>
          <w:rFonts w:ascii="宋体" w:hAnsi="宋体" w:cs="宋体" w:eastAsia="宋体" w:hint="default"/>
          <w:sz w:val="25"/>
          <w:szCs w:val="25"/>
        </w:rPr>
      </w:pPr>
    </w:p>
    <w:p>
      <w:pPr>
        <w:pStyle w:val="Heading2"/>
        <w:spacing w:line="240" w:lineRule="auto"/>
        <w:ind w:right="153"/>
        <w:jc w:val="left"/>
        <w:rPr>
          <w:b w:val="0"/>
          <w:bCs w:val="0"/>
        </w:rPr>
      </w:pPr>
      <w:r>
        <w:rPr/>
        <w:t>三、非主营业务分析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1577"/>
        <w:gridCol w:w="1136"/>
        <w:gridCol w:w="953"/>
        <w:gridCol w:w="4434"/>
        <w:gridCol w:w="1586"/>
      </w:tblGrid>
      <w:tr>
        <w:trPr>
          <w:trHeight w:val="161" w:hRule="exact"/>
        </w:trPr>
        <w:tc>
          <w:tcPr>
            <w:tcW w:w="15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5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01" w:right="108" w:hanging="89"/>
              <w:jc w:val="left"/>
              <w:rPr>
                <w:rFonts w:ascii="宋体" w:hAnsi="宋体" w:cs="宋体" w:eastAsia="宋体" w:hint="default"/>
                <w:sz w:val="18"/>
                <w:szCs w:val="18"/>
              </w:rPr>
            </w:pPr>
            <w:r>
              <w:rPr>
                <w:rFonts w:ascii="宋体" w:hAnsi="宋体" w:cs="宋体" w:eastAsia="宋体" w:hint="default"/>
                <w:sz w:val="18"/>
                <w:szCs w:val="18"/>
              </w:rPr>
              <w:t>占利润总 额比例</w:t>
            </w:r>
          </w:p>
        </w:tc>
        <w:tc>
          <w:tcPr>
            <w:tcW w:w="44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577" w:type="dxa"/>
            <w:tcBorders>
              <w:top w:val="nil" w:sz="6" w:space="0" w:color="auto"/>
              <w:left w:val="single" w:sz="4" w:space="0" w:color="000000"/>
              <w:bottom w:val="nil" w:sz="6" w:space="0" w:color="auto"/>
              <w:right w:val="single" w:sz="4" w:space="0" w:color="000000"/>
            </w:tcBorders>
            <w:shd w:val="clear" w:color="auto" w:fill="D2D2D2"/>
          </w:tcPr>
          <w:p>
            <w:pPr/>
          </w:p>
        </w:tc>
        <w:tc>
          <w:tcPr>
            <w:tcW w:w="11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53" w:type="dxa"/>
            <w:vMerge/>
            <w:tcBorders>
              <w:left w:val="single" w:sz="4" w:space="0" w:color="000000"/>
              <w:right w:val="single" w:sz="4" w:space="0" w:color="000000"/>
            </w:tcBorders>
            <w:shd w:val="clear" w:color="auto" w:fill="D2D2D2"/>
          </w:tcPr>
          <w:p>
            <w:pPr/>
          </w:p>
        </w:tc>
        <w:tc>
          <w:tcPr>
            <w:tcW w:w="44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5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9"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1" w:hRule="exact"/>
        </w:trPr>
        <w:tc>
          <w:tcPr>
            <w:tcW w:w="15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53" w:type="dxa"/>
            <w:vMerge/>
            <w:tcBorders>
              <w:left w:val="single" w:sz="4" w:space="0" w:color="000000"/>
              <w:bottom w:val="single" w:sz="4" w:space="0" w:color="000000"/>
              <w:right w:val="single" w:sz="4" w:space="0" w:color="000000"/>
            </w:tcBorders>
            <w:shd w:val="clear" w:color="auto" w:fill="D2D2D2"/>
          </w:tcPr>
          <w:p>
            <w:pPr/>
          </w:p>
        </w:tc>
        <w:tc>
          <w:tcPr>
            <w:tcW w:w="44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8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1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970,119.73</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0.82%</w:t>
            </w:r>
          </w:p>
        </w:tc>
        <w:tc>
          <w:tcPr>
            <w:tcW w:w="4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报告期内公司所持投资性房地产市价升值所致</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不具有可持续性</w:t>
            </w:r>
          </w:p>
        </w:tc>
      </w:tr>
      <w:tr>
        <w:trPr>
          <w:trHeight w:val="161" w:hRule="exact"/>
        </w:trPr>
        <w:tc>
          <w:tcPr>
            <w:tcW w:w="15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4" w:right="0"/>
              <w:jc w:val="left"/>
              <w:rPr>
                <w:rFonts w:ascii="Times New Roman" w:hAnsi="Times New Roman" w:cs="Times New Roman" w:eastAsia="Times New Roman" w:hint="default"/>
                <w:sz w:val="18"/>
                <w:szCs w:val="18"/>
              </w:rPr>
            </w:pPr>
            <w:r>
              <w:rPr>
                <w:rFonts w:ascii="Times New Roman"/>
                <w:sz w:val="18"/>
              </w:rPr>
              <w:t>937,783.73</w:t>
            </w:r>
          </w:p>
        </w:tc>
        <w:tc>
          <w:tcPr>
            <w:tcW w:w="9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6" w:right="0"/>
              <w:jc w:val="left"/>
              <w:rPr>
                <w:rFonts w:ascii="Times New Roman" w:hAnsi="Times New Roman" w:cs="Times New Roman" w:eastAsia="Times New Roman" w:hint="default"/>
                <w:sz w:val="18"/>
                <w:szCs w:val="18"/>
              </w:rPr>
            </w:pPr>
            <w:r>
              <w:rPr>
                <w:rFonts w:ascii="Times New Roman"/>
                <w:sz w:val="18"/>
              </w:rPr>
              <w:t>-0.79%</w:t>
            </w:r>
          </w:p>
        </w:tc>
        <w:tc>
          <w:tcPr>
            <w:tcW w:w="4434"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78"/>
              <w:jc w:val="left"/>
              <w:rPr>
                <w:rFonts w:ascii="宋体" w:hAnsi="宋体" w:cs="宋体" w:eastAsia="宋体" w:hint="default"/>
                <w:sz w:val="18"/>
                <w:szCs w:val="18"/>
              </w:rPr>
            </w:pPr>
            <w:r>
              <w:rPr>
                <w:rFonts w:ascii="宋体" w:hAnsi="宋体" w:cs="宋体" w:eastAsia="宋体" w:hint="default"/>
                <w:sz w:val="18"/>
                <w:szCs w:val="18"/>
              </w:rPr>
              <w:t>报告期内计提坏账准备、存货跌价准备以及核销坏账准 备所致</w:t>
            </w:r>
          </w:p>
        </w:tc>
        <w:tc>
          <w:tcPr>
            <w:tcW w:w="158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不具有可持续性</w:t>
            </w:r>
          </w:p>
        </w:tc>
      </w:tr>
      <w:tr>
        <w:trPr>
          <w:trHeight w:val="394" w:hRule="exact"/>
        </w:trPr>
        <w:tc>
          <w:tcPr>
            <w:tcW w:w="15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136" w:type="dxa"/>
            <w:vMerge/>
            <w:tcBorders>
              <w:left w:val="single" w:sz="9" w:space="0" w:color="D2D2D2"/>
              <w:right w:val="single" w:sz="4" w:space="0" w:color="000000"/>
            </w:tcBorders>
          </w:tcPr>
          <w:p>
            <w:pPr/>
          </w:p>
        </w:tc>
        <w:tc>
          <w:tcPr>
            <w:tcW w:w="953" w:type="dxa"/>
            <w:vMerge/>
            <w:tcBorders>
              <w:left w:val="single" w:sz="4" w:space="0" w:color="000000"/>
              <w:right w:val="single" w:sz="4" w:space="0" w:color="000000"/>
            </w:tcBorders>
          </w:tcPr>
          <w:p>
            <w:pPr/>
          </w:p>
        </w:tc>
        <w:tc>
          <w:tcPr>
            <w:tcW w:w="4434" w:type="dxa"/>
            <w:vMerge/>
            <w:tcBorders>
              <w:left w:val="single" w:sz="4" w:space="0" w:color="000000"/>
              <w:right w:val="single" w:sz="4" w:space="0" w:color="000000"/>
            </w:tcBorders>
          </w:tcPr>
          <w:p>
            <w:pPr/>
          </w:p>
        </w:tc>
        <w:tc>
          <w:tcPr>
            <w:tcW w:w="1586" w:type="dxa"/>
            <w:vMerge/>
            <w:tcBorders>
              <w:left w:val="single" w:sz="4" w:space="0" w:color="000000"/>
              <w:right w:val="single" w:sz="4" w:space="0" w:color="000000"/>
            </w:tcBorders>
          </w:tcPr>
          <w:p>
            <w:pPr/>
          </w:p>
        </w:tc>
      </w:tr>
      <w:tr>
        <w:trPr>
          <w:trHeight w:val="161" w:hRule="exact"/>
        </w:trPr>
        <w:tc>
          <w:tcPr>
            <w:tcW w:w="15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6" w:type="dxa"/>
            <w:vMerge/>
            <w:tcBorders>
              <w:left w:val="single" w:sz="9" w:space="0" w:color="D2D2D2"/>
              <w:bottom w:val="single" w:sz="4" w:space="0" w:color="000000"/>
              <w:right w:val="single" w:sz="4" w:space="0" w:color="000000"/>
            </w:tcBorders>
          </w:tcPr>
          <w:p>
            <w:pPr/>
          </w:p>
        </w:tc>
        <w:tc>
          <w:tcPr>
            <w:tcW w:w="953" w:type="dxa"/>
            <w:vMerge/>
            <w:tcBorders>
              <w:left w:val="single" w:sz="4" w:space="0" w:color="000000"/>
              <w:bottom w:val="single" w:sz="4" w:space="0" w:color="000000"/>
              <w:right w:val="single" w:sz="4" w:space="0" w:color="000000"/>
            </w:tcBorders>
          </w:tcPr>
          <w:p>
            <w:pPr/>
          </w:p>
        </w:tc>
        <w:tc>
          <w:tcPr>
            <w:tcW w:w="4434" w:type="dxa"/>
            <w:vMerge/>
            <w:tcBorders>
              <w:left w:val="single" w:sz="4" w:space="0" w:color="000000"/>
              <w:bottom w:val="single" w:sz="4" w:space="0" w:color="000000"/>
              <w:right w:val="single" w:sz="4" w:space="0" w:color="000000"/>
            </w:tcBorders>
          </w:tcPr>
          <w:p>
            <w:pPr/>
          </w:p>
        </w:tc>
        <w:tc>
          <w:tcPr>
            <w:tcW w:w="1586" w:type="dxa"/>
            <w:vMerge/>
            <w:tcBorders>
              <w:left w:val="single" w:sz="4" w:space="0" w:color="000000"/>
              <w:bottom w:val="single" w:sz="4" w:space="0" w:color="000000"/>
              <w:right w:val="single" w:sz="4" w:space="0" w:color="000000"/>
            </w:tcBorders>
          </w:tcPr>
          <w:p>
            <w:pPr/>
          </w:p>
        </w:tc>
      </w:tr>
      <w:tr>
        <w:trPr>
          <w:trHeight w:val="401" w:hRule="exact"/>
        </w:trPr>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1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1,351,681.23</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1.14%</w:t>
            </w:r>
          </w:p>
        </w:tc>
        <w:tc>
          <w:tcPr>
            <w:tcW w:w="4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报告期内确认政府补助及核销应付账款所致</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不具有可持续性</w:t>
            </w:r>
          </w:p>
        </w:tc>
      </w:tr>
      <w:tr>
        <w:trPr>
          <w:trHeight w:val="161" w:hRule="exact"/>
        </w:trPr>
        <w:tc>
          <w:tcPr>
            <w:tcW w:w="15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4" w:right="0"/>
              <w:jc w:val="left"/>
              <w:rPr>
                <w:rFonts w:ascii="Times New Roman" w:hAnsi="Times New Roman" w:cs="Times New Roman" w:eastAsia="Times New Roman" w:hint="default"/>
                <w:sz w:val="18"/>
                <w:szCs w:val="18"/>
              </w:rPr>
            </w:pPr>
            <w:r>
              <w:rPr>
                <w:rFonts w:ascii="Times New Roman"/>
                <w:sz w:val="18"/>
              </w:rPr>
              <w:t>102,008.68</w:t>
            </w:r>
          </w:p>
        </w:tc>
        <w:tc>
          <w:tcPr>
            <w:tcW w:w="9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6" w:right="0"/>
              <w:jc w:val="left"/>
              <w:rPr>
                <w:rFonts w:ascii="Times New Roman" w:hAnsi="Times New Roman" w:cs="Times New Roman" w:eastAsia="Times New Roman" w:hint="default"/>
                <w:sz w:val="18"/>
                <w:szCs w:val="18"/>
              </w:rPr>
            </w:pPr>
            <w:r>
              <w:rPr>
                <w:rFonts w:ascii="Times New Roman"/>
                <w:sz w:val="18"/>
              </w:rPr>
              <w:t>-0.09%</w:t>
            </w:r>
          </w:p>
        </w:tc>
        <w:tc>
          <w:tcPr>
            <w:tcW w:w="4434"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78"/>
              <w:jc w:val="left"/>
              <w:rPr>
                <w:rFonts w:ascii="宋体" w:hAnsi="宋体" w:cs="宋体" w:eastAsia="宋体" w:hint="default"/>
                <w:sz w:val="18"/>
                <w:szCs w:val="18"/>
              </w:rPr>
            </w:pPr>
            <w:r>
              <w:rPr>
                <w:rFonts w:ascii="宋体" w:hAnsi="宋体" w:cs="宋体" w:eastAsia="宋体" w:hint="default"/>
                <w:sz w:val="18"/>
                <w:szCs w:val="18"/>
              </w:rPr>
              <w:t>报告期内支付违约金、滞纳金及债务重组损失等其他事 项所致</w:t>
            </w:r>
          </w:p>
        </w:tc>
        <w:tc>
          <w:tcPr>
            <w:tcW w:w="158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不具有可持续性</w:t>
            </w:r>
          </w:p>
        </w:tc>
      </w:tr>
      <w:tr>
        <w:trPr>
          <w:trHeight w:val="394" w:hRule="exact"/>
        </w:trPr>
        <w:tc>
          <w:tcPr>
            <w:tcW w:w="15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136" w:type="dxa"/>
            <w:vMerge/>
            <w:tcBorders>
              <w:left w:val="single" w:sz="9" w:space="0" w:color="D2D2D2"/>
              <w:right w:val="single" w:sz="4" w:space="0" w:color="000000"/>
            </w:tcBorders>
          </w:tcPr>
          <w:p>
            <w:pPr/>
          </w:p>
        </w:tc>
        <w:tc>
          <w:tcPr>
            <w:tcW w:w="953" w:type="dxa"/>
            <w:vMerge/>
            <w:tcBorders>
              <w:left w:val="single" w:sz="4" w:space="0" w:color="000000"/>
              <w:right w:val="single" w:sz="4" w:space="0" w:color="000000"/>
            </w:tcBorders>
          </w:tcPr>
          <w:p>
            <w:pPr/>
          </w:p>
        </w:tc>
        <w:tc>
          <w:tcPr>
            <w:tcW w:w="4434" w:type="dxa"/>
            <w:vMerge/>
            <w:tcBorders>
              <w:left w:val="single" w:sz="4" w:space="0" w:color="000000"/>
              <w:right w:val="single" w:sz="4" w:space="0" w:color="000000"/>
            </w:tcBorders>
          </w:tcPr>
          <w:p>
            <w:pPr/>
          </w:p>
        </w:tc>
        <w:tc>
          <w:tcPr>
            <w:tcW w:w="1586" w:type="dxa"/>
            <w:vMerge/>
            <w:tcBorders>
              <w:left w:val="single" w:sz="4" w:space="0" w:color="000000"/>
              <w:right w:val="single" w:sz="4" w:space="0" w:color="000000"/>
            </w:tcBorders>
          </w:tcPr>
          <w:p>
            <w:pPr/>
          </w:p>
        </w:tc>
      </w:tr>
      <w:tr>
        <w:trPr>
          <w:trHeight w:val="161" w:hRule="exact"/>
        </w:trPr>
        <w:tc>
          <w:tcPr>
            <w:tcW w:w="15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6" w:type="dxa"/>
            <w:vMerge/>
            <w:tcBorders>
              <w:left w:val="single" w:sz="9" w:space="0" w:color="D2D2D2"/>
              <w:bottom w:val="single" w:sz="4" w:space="0" w:color="000000"/>
              <w:right w:val="single" w:sz="4" w:space="0" w:color="000000"/>
            </w:tcBorders>
          </w:tcPr>
          <w:p>
            <w:pPr/>
          </w:p>
        </w:tc>
        <w:tc>
          <w:tcPr>
            <w:tcW w:w="953" w:type="dxa"/>
            <w:vMerge/>
            <w:tcBorders>
              <w:left w:val="single" w:sz="4" w:space="0" w:color="000000"/>
              <w:bottom w:val="single" w:sz="4" w:space="0" w:color="000000"/>
              <w:right w:val="single" w:sz="4" w:space="0" w:color="000000"/>
            </w:tcBorders>
          </w:tcPr>
          <w:p>
            <w:pPr/>
          </w:p>
        </w:tc>
        <w:tc>
          <w:tcPr>
            <w:tcW w:w="4434" w:type="dxa"/>
            <w:vMerge/>
            <w:tcBorders>
              <w:left w:val="single" w:sz="4" w:space="0" w:color="000000"/>
              <w:bottom w:val="single" w:sz="4" w:space="0" w:color="000000"/>
              <w:right w:val="single" w:sz="4" w:space="0" w:color="000000"/>
            </w:tcBorders>
          </w:tcPr>
          <w:p>
            <w:pPr/>
          </w:p>
        </w:tc>
        <w:tc>
          <w:tcPr>
            <w:tcW w:w="1586" w:type="dxa"/>
            <w:vMerge/>
            <w:tcBorders>
              <w:left w:val="single" w:sz="4" w:space="0" w:color="000000"/>
              <w:bottom w:val="single" w:sz="4" w:space="0" w:color="000000"/>
              <w:right w:val="single" w:sz="4" w:space="0" w:color="000000"/>
            </w:tcBorders>
          </w:tcPr>
          <w:p>
            <w:pPr/>
          </w:p>
        </w:tc>
      </w:tr>
      <w:tr>
        <w:trPr>
          <w:trHeight w:val="401"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2,560,428.35</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w:t>
            </w:r>
          </w:p>
        </w:tc>
        <w:tc>
          <w:tcPr>
            <w:tcW w:w="4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报告期内处置闲置房产所致</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不具有可持续性</w:t>
            </w:r>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四、资产及负债状况分析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1719"/>
        <w:gridCol w:w="1419"/>
        <w:gridCol w:w="850"/>
        <w:gridCol w:w="1275"/>
        <w:gridCol w:w="710"/>
        <w:gridCol w:w="708"/>
        <w:gridCol w:w="3005"/>
      </w:tblGrid>
      <w:tr>
        <w:trPr>
          <w:trHeight w:val="206" w:hRule="exact"/>
        </w:trPr>
        <w:tc>
          <w:tcPr>
            <w:tcW w:w="1719" w:type="dxa"/>
            <w:vMerge w:val="restart"/>
            <w:tcBorders>
              <w:top w:val="single" w:sz="4" w:space="0" w:color="000000"/>
              <w:left w:val="single" w:sz="4" w:space="0" w:color="000000"/>
              <w:right w:val="single" w:sz="4" w:space="0" w:color="000000"/>
            </w:tcBorders>
            <w:shd w:val="clear" w:color="auto" w:fill="D2D2D2"/>
          </w:tcPr>
          <w:p>
            <w:pPr/>
          </w:p>
        </w:tc>
        <w:tc>
          <w:tcPr>
            <w:tcW w:w="22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9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3005" w:type="dxa"/>
            <w:vMerge w:val="restart"/>
            <w:tcBorders>
              <w:top w:val="single" w:sz="4" w:space="0" w:color="000000"/>
              <w:left w:val="single" w:sz="4" w:space="0" w:color="000000"/>
              <w:right w:val="single" w:sz="4" w:space="0" w:color="000000"/>
            </w:tcBorders>
            <w:shd w:val="clear" w:color="auto" w:fill="D2D2D2"/>
          </w:tcPr>
          <w:p>
            <w:pPr/>
          </w:p>
        </w:tc>
      </w:tr>
      <w:tr>
        <w:trPr>
          <w:trHeight w:val="176" w:hRule="exact"/>
        </w:trPr>
        <w:tc>
          <w:tcPr>
            <w:tcW w:w="1719" w:type="dxa"/>
            <w:vMerge/>
            <w:tcBorders>
              <w:left w:val="single" w:sz="4" w:space="0" w:color="000000"/>
              <w:bottom w:val="nil" w:sz="6" w:space="0" w:color="auto"/>
              <w:right w:val="single" w:sz="4" w:space="0" w:color="000000"/>
            </w:tcBorders>
            <w:shd w:val="clear" w:color="auto" w:fill="D2D2D2"/>
          </w:tcPr>
          <w:p>
            <w:pPr/>
          </w:p>
        </w:tc>
        <w:tc>
          <w:tcPr>
            <w:tcW w:w="2269" w:type="dxa"/>
            <w:gridSpan w:val="2"/>
            <w:vMerge/>
            <w:tcBorders>
              <w:left w:val="single" w:sz="4" w:space="0" w:color="000000"/>
              <w:bottom w:val="single" w:sz="4" w:space="0" w:color="000000"/>
              <w:right w:val="single" w:sz="4" w:space="0" w:color="000000"/>
            </w:tcBorders>
            <w:shd w:val="clear" w:color="auto" w:fill="D2D2D2"/>
          </w:tcPr>
          <w:p>
            <w:pPr/>
          </w:p>
        </w:tc>
        <w:tc>
          <w:tcPr>
            <w:tcW w:w="1985" w:type="dxa"/>
            <w:gridSpan w:val="2"/>
            <w:vMerge/>
            <w:tcBorders>
              <w:left w:val="single" w:sz="4" w:space="0" w:color="000000"/>
              <w:bottom w:val="single" w:sz="4" w:space="0" w:color="000000"/>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59" w:right="77"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3005" w:type="dxa"/>
            <w:vMerge/>
            <w:tcBorders>
              <w:left w:val="single" w:sz="4" w:space="0" w:color="000000"/>
              <w:bottom w:val="nil" w:sz="6" w:space="0" w:color="auto"/>
              <w:right w:val="single" w:sz="4" w:space="0" w:color="000000"/>
            </w:tcBorders>
            <w:shd w:val="clear" w:color="auto" w:fill="D2D2D2"/>
          </w:tcPr>
          <w:p>
            <w:pPr/>
          </w:p>
        </w:tc>
      </w:tr>
      <w:tr>
        <w:trPr>
          <w:trHeight w:val="181" w:hRule="exact"/>
        </w:trPr>
        <w:tc>
          <w:tcPr>
            <w:tcW w:w="1719" w:type="dxa"/>
            <w:vMerge w:val="restart"/>
            <w:tcBorders>
              <w:top w:val="nil" w:sz="6" w:space="0" w:color="auto"/>
              <w:left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69"/>
              <w:ind w:left="239" w:right="5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2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69"/>
              <w:ind w:left="81" w:right="77"/>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708" w:type="dxa"/>
            <w:vMerge/>
            <w:tcBorders>
              <w:left w:val="single" w:sz="4" w:space="0" w:color="000000"/>
              <w:right w:val="single" w:sz="4" w:space="0" w:color="000000"/>
            </w:tcBorders>
            <w:shd w:val="clear" w:color="auto" w:fill="D2D2D2"/>
          </w:tcPr>
          <w:p>
            <w:pPr/>
          </w:p>
        </w:tc>
        <w:tc>
          <w:tcPr>
            <w:tcW w:w="30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957"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719" w:type="dxa"/>
            <w:vMerge/>
            <w:tcBorders>
              <w:left w:val="single" w:sz="4" w:space="0" w:color="000000"/>
              <w:bottom w:val="nil" w:sz="6" w:space="0" w:color="auto"/>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vMerge/>
            <w:tcBorders>
              <w:left w:val="single" w:sz="4" w:space="0" w:color="000000"/>
              <w:right w:val="single" w:sz="4" w:space="0" w:color="000000"/>
            </w:tcBorders>
            <w:shd w:val="clear" w:color="auto" w:fill="D2D2D2"/>
          </w:tcPr>
          <w:p>
            <w:pPr/>
          </w:p>
        </w:tc>
        <w:tc>
          <w:tcPr>
            <w:tcW w:w="12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3005"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719" w:type="dxa"/>
            <w:vMerge w:val="restart"/>
            <w:tcBorders>
              <w:top w:val="nil" w:sz="6" w:space="0" w:color="auto"/>
              <w:left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3005"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719"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3005"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7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346,559,958.83</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10.72%</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67,402,733.52</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3.30%</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7.42%</w:t>
            </w:r>
          </w:p>
        </w:tc>
        <w:tc>
          <w:tcPr>
            <w:tcW w:w="3005"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89"/>
              <w:jc w:val="left"/>
              <w:rPr>
                <w:rFonts w:ascii="宋体" w:hAnsi="宋体" w:cs="宋体" w:eastAsia="宋体" w:hint="default"/>
                <w:sz w:val="18"/>
                <w:szCs w:val="18"/>
              </w:rPr>
            </w:pPr>
            <w:r>
              <w:rPr>
                <w:rFonts w:ascii="宋体" w:hAnsi="宋体" w:cs="宋体" w:eastAsia="宋体" w:hint="default"/>
                <w:sz w:val="18"/>
                <w:szCs w:val="18"/>
              </w:rPr>
              <w:t>系报告期末理财产品到期回收及报告 期收购合并控股子公司所致</w:t>
            </w:r>
          </w:p>
        </w:tc>
      </w:tr>
      <w:tr>
        <w:trPr>
          <w:trHeight w:val="394" w:hRule="exact"/>
        </w:trPr>
        <w:tc>
          <w:tcPr>
            <w:tcW w:w="17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9" w:type="dxa"/>
            <w:vMerge/>
            <w:tcBorders>
              <w:left w:val="single" w:sz="9" w:space="0" w:color="D2D2D2"/>
              <w:right w:val="single" w:sz="4" w:space="0" w:color="000000"/>
            </w:tcBorders>
          </w:tcPr>
          <w:p>
            <w:pPr/>
          </w:p>
        </w:tc>
        <w:tc>
          <w:tcPr>
            <w:tcW w:w="85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3005" w:type="dxa"/>
            <w:vMerge/>
            <w:tcBorders>
              <w:left w:val="single" w:sz="4" w:space="0" w:color="000000"/>
              <w:right w:val="single" w:sz="4" w:space="0" w:color="000000"/>
            </w:tcBorders>
          </w:tcPr>
          <w:p>
            <w:pPr/>
          </w:p>
        </w:tc>
      </w:tr>
      <w:tr>
        <w:trPr>
          <w:trHeight w:val="161" w:hRule="exact"/>
        </w:trPr>
        <w:tc>
          <w:tcPr>
            <w:tcW w:w="17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vMerge/>
            <w:tcBorders>
              <w:left w:val="single" w:sz="9"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3005" w:type="dxa"/>
            <w:vMerge/>
            <w:tcBorders>
              <w:left w:val="single" w:sz="4" w:space="0" w:color="000000"/>
              <w:bottom w:val="single" w:sz="4" w:space="0" w:color="000000"/>
              <w:right w:val="single" w:sz="4" w:space="0" w:color="000000"/>
            </w:tcBorders>
          </w:tcPr>
          <w:p>
            <w:pPr/>
          </w:p>
        </w:tc>
      </w:tr>
      <w:tr>
        <w:trPr>
          <w:trHeight w:val="401" w:hRule="exact"/>
        </w:trPr>
        <w:tc>
          <w:tcPr>
            <w:tcW w:w="1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176,228,380.66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center"/>
              <w:rPr>
                <w:rFonts w:ascii="Times New Roman" w:hAnsi="Times New Roman" w:cs="Times New Roman" w:eastAsia="Times New Roman" w:hint="default"/>
                <w:sz w:val="18"/>
                <w:szCs w:val="18"/>
              </w:rPr>
            </w:pPr>
            <w:r>
              <w:rPr>
                <w:rFonts w:ascii="Times New Roman"/>
                <w:sz w:val="18"/>
              </w:rPr>
              <w:t>115,088,573.05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-0.19%</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系报告期内新增合并控股子公司所致</w:t>
            </w:r>
          </w:p>
        </w:tc>
      </w:tr>
      <w:tr>
        <w:trPr>
          <w:trHeight w:val="403" w:hRule="exact"/>
        </w:trPr>
        <w:tc>
          <w:tcPr>
            <w:tcW w:w="1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62,128,773.68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6" w:right="0"/>
              <w:jc w:val="center"/>
              <w:rPr>
                <w:rFonts w:ascii="Times New Roman" w:hAnsi="Times New Roman" w:cs="Times New Roman" w:eastAsia="Times New Roman" w:hint="default"/>
                <w:sz w:val="18"/>
                <w:szCs w:val="18"/>
              </w:rPr>
            </w:pPr>
            <w:r>
              <w:rPr>
                <w:rFonts w:ascii="Times New Roman"/>
                <w:sz w:val="18"/>
              </w:rPr>
              <w:t>66,351,928.70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系报告期内正常结转成本所致</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1731"/>
        <w:gridCol w:w="1419"/>
        <w:gridCol w:w="850"/>
        <w:gridCol w:w="1275"/>
        <w:gridCol w:w="710"/>
        <w:gridCol w:w="708"/>
        <w:gridCol w:w="3005"/>
      </w:tblGrid>
      <w:tr>
        <w:trPr>
          <w:trHeight w:val="713"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266,262,100.00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264,912,386.01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 w:right="0"/>
              <w:jc w:val="center"/>
              <w:rPr>
                <w:rFonts w:ascii="Times New Roman" w:hAnsi="Times New Roman" w:cs="Times New Roman" w:eastAsia="Times New Roman" w:hint="default"/>
                <w:sz w:val="18"/>
                <w:szCs w:val="18"/>
              </w:rPr>
            </w:pPr>
            <w:r>
              <w:rPr>
                <w:rFonts w:ascii="Times New Roman"/>
                <w:sz w:val="18"/>
              </w:rPr>
              <w:t>12.97%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-4.74%</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9"/>
              <w:jc w:val="left"/>
              <w:rPr>
                <w:rFonts w:ascii="宋体" w:hAnsi="宋体" w:cs="宋体" w:eastAsia="宋体" w:hint="default"/>
                <w:sz w:val="18"/>
                <w:szCs w:val="18"/>
              </w:rPr>
            </w:pPr>
            <w:r>
              <w:rPr>
                <w:rFonts w:ascii="宋体" w:hAnsi="宋体" w:cs="宋体" w:eastAsia="宋体" w:hint="default"/>
                <w:sz w:val="18"/>
                <w:szCs w:val="18"/>
              </w:rPr>
              <w:t>系报告期内公司持有房产升值比例低 于总资产增加比例所致</w:t>
            </w:r>
          </w:p>
        </w:tc>
      </w:tr>
      <w:tr>
        <w:trPr>
          <w:trHeight w:val="1027"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578,483,866.20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17.89%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684,619,923.83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6" w:right="0"/>
              <w:jc w:val="center"/>
              <w:rPr>
                <w:rFonts w:ascii="Times New Roman" w:hAnsi="Times New Roman" w:cs="Times New Roman" w:eastAsia="Times New Roman" w:hint="default"/>
                <w:sz w:val="18"/>
                <w:szCs w:val="18"/>
              </w:rPr>
            </w:pPr>
            <w:r>
              <w:rPr>
                <w:rFonts w:ascii="Times New Roman"/>
                <w:sz w:val="18"/>
              </w:rPr>
              <w:t>33.52%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-15.63%</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9"/>
              <w:jc w:val="both"/>
              <w:rPr>
                <w:rFonts w:ascii="宋体" w:hAnsi="宋体" w:cs="宋体" w:eastAsia="宋体" w:hint="default"/>
                <w:sz w:val="18"/>
                <w:szCs w:val="18"/>
              </w:rPr>
            </w:pPr>
            <w:r>
              <w:rPr>
                <w:rFonts w:ascii="宋体" w:hAnsi="宋体" w:cs="宋体" w:eastAsia="宋体" w:hint="default"/>
                <w:sz w:val="18"/>
                <w:szCs w:val="18"/>
              </w:rPr>
              <w:t>系报告期内收到产业并购基金收益及 因权益法核算该基金投资损益变动所 致</w:t>
            </w:r>
          </w:p>
        </w:tc>
      </w:tr>
      <w:tr>
        <w:trPr>
          <w:trHeight w:val="713"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100,527,900.22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3.11%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104,839,944.05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 w:right="0"/>
              <w:jc w:val="center"/>
              <w:rPr>
                <w:rFonts w:ascii="Times New Roman" w:hAnsi="Times New Roman" w:cs="Times New Roman" w:eastAsia="Times New Roman" w:hint="default"/>
                <w:sz w:val="18"/>
                <w:szCs w:val="18"/>
              </w:rPr>
            </w:pPr>
            <w:r>
              <w:rPr>
                <w:rFonts w:ascii="Times New Roman"/>
                <w:sz w:val="18"/>
              </w:rPr>
              <w:t>5.13%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-2.02%</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9"/>
              <w:jc w:val="left"/>
              <w:rPr>
                <w:rFonts w:ascii="宋体" w:hAnsi="宋体" w:cs="宋体" w:eastAsia="宋体" w:hint="default"/>
                <w:sz w:val="18"/>
                <w:szCs w:val="18"/>
              </w:rPr>
            </w:pPr>
            <w:r>
              <w:rPr>
                <w:rFonts w:ascii="宋体" w:hAnsi="宋体" w:cs="宋体" w:eastAsia="宋体" w:hint="default"/>
                <w:sz w:val="18"/>
                <w:szCs w:val="18"/>
              </w:rPr>
              <w:t>系报告期内公司处置闲置房产及固定 资产正常折旧所致</w:t>
            </w:r>
          </w:p>
        </w:tc>
      </w:tr>
      <w:tr>
        <w:trPr>
          <w:trHeight w:val="403"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1,315,533.32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903,218.56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2" w:right="0"/>
              <w:jc w:val="center"/>
              <w:rPr>
                <w:rFonts w:ascii="Times New Roman" w:hAnsi="Times New Roman" w:cs="Times New Roman" w:eastAsia="Times New Roman" w:hint="default"/>
                <w:sz w:val="18"/>
                <w:szCs w:val="18"/>
              </w:rPr>
            </w:pPr>
            <w:r>
              <w:rPr>
                <w:rFonts w:ascii="Times New Roman"/>
                <w:sz w:val="18"/>
              </w:rPr>
              <w:t>0.04%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66,481,627.61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53,650,554.82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 w:right="0"/>
              <w:jc w:val="center"/>
              <w:rPr>
                <w:rFonts w:ascii="Times New Roman" w:hAnsi="Times New Roman" w:cs="Times New Roman" w:eastAsia="Times New Roman" w:hint="default"/>
                <w:sz w:val="18"/>
                <w:szCs w:val="18"/>
              </w:rPr>
            </w:pPr>
            <w:r>
              <w:rPr>
                <w:rFonts w:ascii="Times New Roman"/>
                <w:sz w:val="18"/>
              </w:rPr>
              <w:t>2.63%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-0.57%</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9"/>
              <w:jc w:val="left"/>
              <w:rPr>
                <w:rFonts w:ascii="宋体" w:hAnsi="宋体" w:cs="宋体" w:eastAsia="宋体" w:hint="default"/>
                <w:sz w:val="18"/>
                <w:szCs w:val="18"/>
              </w:rPr>
            </w:pPr>
            <w:r>
              <w:rPr>
                <w:rFonts w:ascii="宋体" w:hAnsi="宋体" w:cs="宋体" w:eastAsia="宋体" w:hint="default"/>
                <w:sz w:val="18"/>
                <w:szCs w:val="18"/>
              </w:rPr>
              <w:t>系报告内短期借款增加比例低于总资 产增加比例所致</w:t>
            </w:r>
          </w:p>
        </w:tc>
      </w:tr>
      <w:tr>
        <w:trPr>
          <w:trHeight w:val="1027"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 金融资产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52,697,854.32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99,371,765.40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92" w:right="0"/>
              <w:jc w:val="center"/>
              <w:rPr>
                <w:rFonts w:ascii="Times New Roman" w:hAnsi="Times New Roman" w:cs="Times New Roman" w:eastAsia="Times New Roman" w:hint="default"/>
                <w:sz w:val="18"/>
                <w:szCs w:val="18"/>
              </w:rPr>
            </w:pPr>
            <w:r>
              <w:rPr>
                <w:rFonts w:ascii="Times New Roman"/>
                <w:sz w:val="18"/>
              </w:rPr>
              <w:t>4.87%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-3.24%</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89"/>
              <w:jc w:val="left"/>
              <w:rPr>
                <w:rFonts w:ascii="宋体" w:hAnsi="宋体" w:cs="宋体" w:eastAsia="宋体" w:hint="default"/>
                <w:sz w:val="18"/>
                <w:szCs w:val="18"/>
              </w:rPr>
            </w:pPr>
            <w:r>
              <w:rPr>
                <w:rFonts w:ascii="宋体" w:hAnsi="宋体" w:cs="宋体" w:eastAsia="宋体" w:hint="default"/>
                <w:sz w:val="18"/>
                <w:szCs w:val="18"/>
              </w:rPr>
              <w:t>系报告期内减少证券投资及证券投资 收益减少所致</w:t>
            </w:r>
          </w:p>
        </w:tc>
      </w:tr>
      <w:tr>
        <w:trPr>
          <w:trHeight w:val="713"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184,600,062.44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585,168,059.08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 w:right="0"/>
              <w:jc w:val="center"/>
              <w:rPr>
                <w:rFonts w:ascii="Times New Roman" w:hAnsi="Times New Roman" w:cs="Times New Roman" w:eastAsia="Times New Roman" w:hint="default"/>
                <w:sz w:val="18"/>
                <w:szCs w:val="18"/>
              </w:rPr>
            </w:pPr>
            <w:r>
              <w:rPr>
                <w:rFonts w:ascii="Times New Roman"/>
                <w:sz w:val="18"/>
              </w:rPr>
              <w:t>28.65%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-22.94%</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9"/>
              <w:jc w:val="left"/>
              <w:rPr>
                <w:rFonts w:ascii="宋体" w:hAnsi="宋体" w:cs="宋体" w:eastAsia="宋体" w:hint="default"/>
                <w:sz w:val="18"/>
                <w:szCs w:val="18"/>
              </w:rPr>
            </w:pPr>
            <w:r>
              <w:rPr>
                <w:rFonts w:ascii="宋体" w:hAnsi="宋体" w:cs="宋体" w:eastAsia="宋体" w:hint="default"/>
                <w:sz w:val="18"/>
                <w:szCs w:val="18"/>
              </w:rPr>
              <w:t>系报告期末理财产品到期收回转入银 行存款所致</w:t>
            </w:r>
          </w:p>
        </w:tc>
      </w:tr>
      <w:tr>
        <w:trPr>
          <w:trHeight w:val="403"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75,875,899.06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2.35%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248,248.60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2" w:right="0"/>
              <w:jc w:val="center"/>
              <w:rPr>
                <w:rFonts w:ascii="Times New Roman" w:hAnsi="Times New Roman" w:cs="Times New Roman" w:eastAsia="Times New Roman" w:hint="default"/>
                <w:sz w:val="18"/>
                <w:szCs w:val="18"/>
              </w:rPr>
            </w:pPr>
            <w:r>
              <w:rPr>
                <w:rFonts w:ascii="Times New Roman"/>
                <w:sz w:val="18"/>
              </w:rPr>
              <w:t>0.01%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2.34%</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5"/>
              <w:jc w:val="center"/>
              <w:rPr>
                <w:rFonts w:ascii="宋体" w:hAnsi="宋体" w:cs="宋体" w:eastAsia="宋体" w:hint="default"/>
                <w:sz w:val="18"/>
                <w:szCs w:val="18"/>
              </w:rPr>
            </w:pPr>
            <w:r>
              <w:rPr>
                <w:rFonts w:ascii="宋体" w:hAnsi="宋体" w:cs="宋体" w:eastAsia="宋体" w:hint="default"/>
                <w:sz w:val="18"/>
                <w:szCs w:val="18"/>
              </w:rPr>
              <w:t>系报告期内新增合并控股子公司所致</w:t>
            </w:r>
          </w:p>
        </w:tc>
      </w:tr>
      <w:tr>
        <w:trPr>
          <w:trHeight w:val="401"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39,874,513.41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16,039,353.71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2" w:right="0"/>
              <w:jc w:val="center"/>
              <w:rPr>
                <w:rFonts w:ascii="Times New Roman" w:hAnsi="Times New Roman" w:cs="Times New Roman" w:eastAsia="Times New Roman" w:hint="default"/>
                <w:sz w:val="18"/>
                <w:szCs w:val="18"/>
              </w:rPr>
            </w:pPr>
            <w:r>
              <w:rPr>
                <w:rFonts w:ascii="Times New Roman"/>
                <w:sz w:val="18"/>
              </w:rPr>
              <w:t>0.79%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0.44%</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
              <w:jc w:val="center"/>
              <w:rPr>
                <w:rFonts w:ascii="宋体" w:hAnsi="宋体" w:cs="宋体" w:eastAsia="宋体" w:hint="default"/>
                <w:sz w:val="18"/>
                <w:szCs w:val="18"/>
              </w:rPr>
            </w:pPr>
            <w:r>
              <w:rPr>
                <w:rFonts w:ascii="宋体" w:hAnsi="宋体" w:cs="宋体" w:eastAsia="宋体" w:hint="default"/>
                <w:sz w:val="18"/>
                <w:szCs w:val="18"/>
              </w:rPr>
              <w:t>系报告期内新增合并控股子公司所致</w:t>
            </w:r>
          </w:p>
        </w:tc>
      </w:tr>
      <w:tr>
        <w:trPr>
          <w:trHeight w:val="716"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67,518,000.00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2" w:right="0"/>
              <w:jc w:val="center"/>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2.09%</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9"/>
              <w:jc w:val="left"/>
              <w:rPr>
                <w:rFonts w:ascii="宋体" w:hAnsi="宋体" w:cs="宋体" w:eastAsia="宋体" w:hint="default"/>
                <w:sz w:val="18"/>
                <w:szCs w:val="18"/>
              </w:rPr>
            </w:pPr>
            <w:r>
              <w:rPr>
                <w:rFonts w:ascii="宋体" w:hAnsi="宋体" w:cs="宋体" w:eastAsia="宋体" w:hint="default"/>
                <w:sz w:val="18"/>
                <w:szCs w:val="18"/>
              </w:rPr>
              <w:t>系报告期内新增股权投资项目爱酷游 所致</w:t>
            </w:r>
          </w:p>
        </w:tc>
      </w:tr>
      <w:tr>
        <w:trPr>
          <w:trHeight w:val="713"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1,220,600,461.98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37.74%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359,972.58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 w:right="0"/>
              <w:jc w:val="center"/>
              <w:rPr>
                <w:rFonts w:ascii="Times New Roman" w:hAnsi="Times New Roman" w:cs="Times New Roman" w:eastAsia="Times New Roman" w:hint="default"/>
                <w:sz w:val="18"/>
                <w:szCs w:val="18"/>
              </w:rPr>
            </w:pPr>
            <w:r>
              <w:rPr>
                <w:rFonts w:ascii="Times New Roman"/>
                <w:sz w:val="18"/>
              </w:rPr>
              <w:t>0.02%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37.72%</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9"/>
              <w:jc w:val="left"/>
              <w:rPr>
                <w:rFonts w:ascii="宋体" w:hAnsi="宋体" w:cs="宋体" w:eastAsia="宋体" w:hint="default"/>
                <w:sz w:val="18"/>
                <w:szCs w:val="18"/>
              </w:rPr>
            </w:pPr>
            <w:r>
              <w:rPr>
                <w:rFonts w:ascii="宋体" w:hAnsi="宋体" w:cs="宋体" w:eastAsia="宋体" w:hint="default"/>
                <w:sz w:val="18"/>
                <w:szCs w:val="18"/>
              </w:rPr>
              <w:t>系报告期内非同一下控制下收购子公 司所致</w:t>
            </w:r>
          </w:p>
        </w:tc>
      </w:tr>
      <w:tr>
        <w:trPr>
          <w:trHeight w:val="403"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15,240,911.61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582,759.11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2" w:right="0"/>
              <w:jc w:val="center"/>
              <w:rPr>
                <w:rFonts w:ascii="Times New Roman" w:hAnsi="Times New Roman" w:cs="Times New Roman" w:eastAsia="Times New Roman" w:hint="default"/>
                <w:sz w:val="18"/>
                <w:szCs w:val="18"/>
              </w:rPr>
            </w:pPr>
            <w:r>
              <w:rPr>
                <w:rFonts w:ascii="Times New Roman"/>
                <w:sz w:val="18"/>
              </w:rPr>
              <w:t>0.03%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0.44%</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5"/>
              <w:jc w:val="center"/>
              <w:rPr>
                <w:rFonts w:ascii="宋体" w:hAnsi="宋体" w:cs="宋体" w:eastAsia="宋体" w:hint="default"/>
                <w:sz w:val="18"/>
                <w:szCs w:val="18"/>
              </w:rPr>
            </w:pPr>
            <w:r>
              <w:rPr>
                <w:rFonts w:ascii="宋体" w:hAnsi="宋体" w:cs="宋体" w:eastAsia="宋体" w:hint="default"/>
                <w:sz w:val="18"/>
                <w:szCs w:val="18"/>
              </w:rPr>
              <w:t>系报告期内新增合并控股子公司所致</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1199"/>
        <w:gridCol w:w="1231"/>
        <w:gridCol w:w="1211"/>
        <w:gridCol w:w="1215"/>
        <w:gridCol w:w="1209"/>
        <w:gridCol w:w="1222"/>
        <w:gridCol w:w="1215"/>
        <w:gridCol w:w="1183"/>
      </w:tblGrid>
      <w:tr>
        <w:trPr>
          <w:trHeight w:val="161" w:hRule="exact"/>
        </w:trPr>
        <w:tc>
          <w:tcPr>
            <w:tcW w:w="1199" w:type="dxa"/>
            <w:vMerge w:val="restart"/>
            <w:tcBorders>
              <w:top w:val="single" w:sz="4" w:space="0" w:color="000000"/>
              <w:left w:val="single" w:sz="4" w:space="0" w:color="000000"/>
              <w:right w:val="single" w:sz="4" w:space="0" w:color="000000"/>
            </w:tcBorders>
            <w:shd w:val="clear" w:color="auto" w:fill="D2D2D2"/>
          </w:tcPr>
          <w:p>
            <w:pPr/>
          </w:p>
        </w:tc>
        <w:tc>
          <w:tcPr>
            <w:tcW w:w="1231" w:type="dxa"/>
            <w:vMerge w:val="restart"/>
            <w:tcBorders>
              <w:top w:val="single" w:sz="4" w:space="0" w:color="000000"/>
              <w:left w:val="single" w:sz="4" w:space="0" w:color="000000"/>
              <w:right w:val="single" w:sz="4" w:space="0" w:color="000000"/>
            </w:tcBorders>
            <w:shd w:val="clear" w:color="auto" w:fill="D2D2D2"/>
          </w:tcPr>
          <w:p>
            <w:pPr/>
          </w:p>
        </w:tc>
        <w:tc>
          <w:tcPr>
            <w:tcW w:w="12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62" w:right="6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2" w:type="dxa"/>
            <w:vMerge w:val="restart"/>
            <w:tcBorders>
              <w:top w:val="single" w:sz="4" w:space="0" w:color="000000"/>
              <w:left w:val="single" w:sz="4" w:space="0" w:color="000000"/>
              <w:right w:val="single" w:sz="4" w:space="0" w:color="000000"/>
            </w:tcBorders>
            <w:shd w:val="clear" w:color="auto" w:fill="D2D2D2"/>
          </w:tcPr>
          <w:p>
            <w:pPr/>
          </w:p>
        </w:tc>
        <w:tc>
          <w:tcPr>
            <w:tcW w:w="1215" w:type="dxa"/>
            <w:vMerge w:val="restart"/>
            <w:tcBorders>
              <w:top w:val="single" w:sz="4" w:space="0" w:color="000000"/>
              <w:left w:val="single" w:sz="4" w:space="0" w:color="000000"/>
              <w:right w:val="single" w:sz="4" w:space="0" w:color="000000"/>
            </w:tcBorders>
            <w:shd w:val="clear" w:color="auto" w:fill="D2D2D2"/>
          </w:tcPr>
          <w:p>
            <w:pPr/>
          </w:p>
        </w:tc>
        <w:tc>
          <w:tcPr>
            <w:tcW w:w="1183"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199" w:type="dxa"/>
            <w:vMerge/>
            <w:tcBorders>
              <w:left w:val="single" w:sz="4" w:space="0" w:color="000000"/>
              <w:bottom w:val="nil" w:sz="6" w:space="0" w:color="auto"/>
              <w:right w:val="single" w:sz="4" w:space="0" w:color="000000"/>
            </w:tcBorders>
            <w:shd w:val="clear" w:color="auto" w:fill="D2D2D2"/>
          </w:tcPr>
          <w:p>
            <w:pPr/>
          </w:p>
        </w:tc>
        <w:tc>
          <w:tcPr>
            <w:tcW w:w="1231" w:type="dxa"/>
            <w:vMerge/>
            <w:tcBorders>
              <w:left w:val="single" w:sz="4" w:space="0" w:color="000000"/>
              <w:bottom w:val="nil" w:sz="6" w:space="0" w:color="auto"/>
              <w:right w:val="single" w:sz="4" w:space="0" w:color="000000"/>
            </w:tcBorders>
            <w:shd w:val="clear" w:color="auto" w:fill="D2D2D2"/>
          </w:tcPr>
          <w:p>
            <w:pPr/>
          </w:p>
        </w:tc>
        <w:tc>
          <w:tcPr>
            <w:tcW w:w="121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36" w:right="63"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15" w:type="dxa"/>
            <w:vMerge/>
            <w:tcBorders>
              <w:left w:val="single" w:sz="4" w:space="0" w:color="000000"/>
              <w:right w:val="single" w:sz="4" w:space="0" w:color="000000"/>
            </w:tcBorders>
            <w:shd w:val="clear" w:color="auto" w:fill="D2D2D2"/>
          </w:tcPr>
          <w:p>
            <w:pPr/>
          </w:p>
        </w:tc>
        <w:tc>
          <w:tcPr>
            <w:tcW w:w="120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513" w:right="55" w:hanging="452"/>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22" w:type="dxa"/>
            <w:vMerge/>
            <w:tcBorders>
              <w:left w:val="single" w:sz="4" w:space="0" w:color="000000"/>
              <w:bottom w:val="nil" w:sz="6" w:space="0" w:color="auto"/>
              <w:right w:val="single" w:sz="4" w:space="0" w:color="000000"/>
            </w:tcBorders>
            <w:shd w:val="clear" w:color="auto" w:fill="D2D2D2"/>
          </w:tcPr>
          <w:p>
            <w:pPr/>
          </w:p>
        </w:tc>
        <w:tc>
          <w:tcPr>
            <w:tcW w:w="1215" w:type="dxa"/>
            <w:vMerge/>
            <w:tcBorders>
              <w:left w:val="single" w:sz="4" w:space="0" w:color="000000"/>
              <w:bottom w:val="nil" w:sz="6" w:space="0" w:color="auto"/>
              <w:right w:val="single" w:sz="4" w:space="0" w:color="000000"/>
            </w:tcBorders>
            <w:shd w:val="clear" w:color="auto" w:fill="D2D2D2"/>
          </w:tcPr>
          <w:p>
            <w:pPr/>
          </w:p>
        </w:tc>
        <w:tc>
          <w:tcPr>
            <w:tcW w:w="1183" w:type="dxa"/>
            <w:vMerge/>
            <w:tcBorders>
              <w:left w:val="single" w:sz="4" w:space="0" w:color="000000"/>
              <w:bottom w:val="nil" w:sz="6" w:space="0" w:color="auto"/>
              <w:right w:val="single" w:sz="4" w:space="0" w:color="000000"/>
            </w:tcBorders>
            <w:shd w:val="clear" w:color="auto" w:fill="D2D2D2"/>
          </w:tcPr>
          <w:p>
            <w:pPr/>
          </w:p>
        </w:tc>
      </w:tr>
      <w:tr>
        <w:trPr>
          <w:trHeight w:val="394" w:hRule="exact"/>
        </w:trPr>
        <w:tc>
          <w:tcPr>
            <w:tcW w:w="11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414"/>
              <w:jc w:val="right"/>
              <w:rPr>
                <w:rFonts w:ascii="宋体" w:hAnsi="宋体" w:cs="宋体" w:eastAsia="宋体" w:hint="default"/>
                <w:sz w:val="18"/>
                <w:szCs w:val="18"/>
              </w:rPr>
            </w:pPr>
            <w:r>
              <w:rPr>
                <w:rFonts w:ascii="宋体" w:hAnsi="宋体" w:cs="宋体" w:eastAsia="宋体" w:hint="default"/>
                <w:sz w:val="18"/>
                <w:szCs w:val="18"/>
              </w:rPr>
              <w:t>项目</w:t>
            </w:r>
          </w:p>
        </w:tc>
        <w:tc>
          <w:tcPr>
            <w:tcW w:w="12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4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11" w:type="dxa"/>
            <w:vMerge/>
            <w:tcBorders>
              <w:left w:val="single" w:sz="4" w:space="0" w:color="000000"/>
              <w:right w:val="single" w:sz="4" w:space="0" w:color="000000"/>
            </w:tcBorders>
            <w:shd w:val="clear" w:color="auto" w:fill="D2D2D2"/>
          </w:tcPr>
          <w:p>
            <w:pPr/>
          </w:p>
        </w:tc>
        <w:tc>
          <w:tcPr>
            <w:tcW w:w="1215" w:type="dxa"/>
            <w:vMerge/>
            <w:tcBorders>
              <w:left w:val="single" w:sz="4" w:space="0" w:color="000000"/>
              <w:right w:val="single" w:sz="4" w:space="0" w:color="000000"/>
            </w:tcBorders>
            <w:shd w:val="clear" w:color="auto" w:fill="D2D2D2"/>
          </w:tcPr>
          <w:p>
            <w:pPr/>
          </w:p>
        </w:tc>
        <w:tc>
          <w:tcPr>
            <w:tcW w:w="1209" w:type="dxa"/>
            <w:vMerge/>
            <w:tcBorders>
              <w:left w:val="single" w:sz="4" w:space="0" w:color="000000"/>
              <w:right w:val="single" w:sz="4" w:space="0" w:color="000000"/>
            </w:tcBorders>
            <w:shd w:val="clear" w:color="auto" w:fill="D2D2D2"/>
          </w:tcPr>
          <w:p>
            <w:pPr/>
          </w:p>
        </w:tc>
        <w:tc>
          <w:tcPr>
            <w:tcW w:w="12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z w:val="18"/>
                <w:szCs w:val="18"/>
              </w:rPr>
              <w:t>本期购买金额</w:t>
            </w:r>
          </w:p>
        </w:tc>
        <w:tc>
          <w:tcPr>
            <w:tcW w:w="12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z w:val="18"/>
                <w:szCs w:val="18"/>
              </w:rPr>
              <w:t>本期出售金额</w:t>
            </w:r>
          </w:p>
        </w:tc>
        <w:tc>
          <w:tcPr>
            <w:tcW w:w="1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199" w:type="dxa"/>
            <w:vMerge w:val="restart"/>
            <w:tcBorders>
              <w:top w:val="nil" w:sz="6" w:space="0" w:color="auto"/>
              <w:left w:val="single" w:sz="4" w:space="0" w:color="000000"/>
              <w:right w:val="single" w:sz="4" w:space="0" w:color="000000"/>
            </w:tcBorders>
            <w:shd w:val="clear" w:color="auto" w:fill="D2D2D2"/>
          </w:tcPr>
          <w:p>
            <w:pPr/>
          </w:p>
        </w:tc>
        <w:tc>
          <w:tcPr>
            <w:tcW w:w="1231" w:type="dxa"/>
            <w:vMerge w:val="restart"/>
            <w:tcBorders>
              <w:top w:val="nil" w:sz="6" w:space="0" w:color="auto"/>
              <w:left w:val="single" w:sz="4" w:space="0" w:color="000000"/>
              <w:right w:val="single" w:sz="4" w:space="0" w:color="000000"/>
            </w:tcBorders>
            <w:shd w:val="clear" w:color="auto" w:fill="D2D2D2"/>
          </w:tcPr>
          <w:p>
            <w:pPr/>
          </w:p>
        </w:tc>
        <w:tc>
          <w:tcPr>
            <w:tcW w:w="1211" w:type="dxa"/>
            <w:vMerge/>
            <w:tcBorders>
              <w:left w:val="single" w:sz="4" w:space="0" w:color="000000"/>
              <w:bottom w:val="nil" w:sz="6" w:space="0" w:color="auto"/>
              <w:right w:val="single" w:sz="4" w:space="0" w:color="000000"/>
            </w:tcBorders>
            <w:shd w:val="clear" w:color="auto" w:fill="D2D2D2"/>
          </w:tcPr>
          <w:p>
            <w:pPr/>
          </w:p>
        </w:tc>
        <w:tc>
          <w:tcPr>
            <w:tcW w:w="1215" w:type="dxa"/>
            <w:vMerge/>
            <w:tcBorders>
              <w:left w:val="single" w:sz="4" w:space="0" w:color="000000"/>
              <w:right w:val="single" w:sz="4" w:space="0" w:color="000000"/>
            </w:tcBorders>
            <w:shd w:val="clear" w:color="auto" w:fill="D2D2D2"/>
          </w:tcPr>
          <w:p>
            <w:pPr/>
          </w:p>
        </w:tc>
        <w:tc>
          <w:tcPr>
            <w:tcW w:w="1209" w:type="dxa"/>
            <w:vMerge/>
            <w:tcBorders>
              <w:left w:val="single" w:sz="4" w:space="0" w:color="000000"/>
              <w:bottom w:val="nil" w:sz="6" w:space="0" w:color="auto"/>
              <w:right w:val="single" w:sz="4" w:space="0" w:color="000000"/>
            </w:tcBorders>
            <w:shd w:val="clear" w:color="auto" w:fill="D2D2D2"/>
          </w:tcPr>
          <w:p>
            <w:pPr/>
          </w:p>
        </w:tc>
        <w:tc>
          <w:tcPr>
            <w:tcW w:w="1222" w:type="dxa"/>
            <w:vMerge w:val="restart"/>
            <w:tcBorders>
              <w:top w:val="nil" w:sz="6" w:space="0" w:color="auto"/>
              <w:left w:val="single" w:sz="4" w:space="0" w:color="000000"/>
              <w:right w:val="single" w:sz="4" w:space="0" w:color="000000"/>
            </w:tcBorders>
            <w:shd w:val="clear" w:color="auto" w:fill="D2D2D2"/>
          </w:tcPr>
          <w:p>
            <w:pPr/>
          </w:p>
        </w:tc>
        <w:tc>
          <w:tcPr>
            <w:tcW w:w="1215" w:type="dxa"/>
            <w:vMerge w:val="restart"/>
            <w:tcBorders>
              <w:top w:val="nil" w:sz="6" w:space="0" w:color="auto"/>
              <w:left w:val="single" w:sz="4" w:space="0" w:color="000000"/>
              <w:right w:val="single" w:sz="4" w:space="0" w:color="000000"/>
            </w:tcBorders>
            <w:shd w:val="clear" w:color="auto" w:fill="D2D2D2"/>
          </w:tcPr>
          <w:p>
            <w:pPr/>
          </w:p>
        </w:tc>
        <w:tc>
          <w:tcPr>
            <w:tcW w:w="1183"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199" w:type="dxa"/>
            <w:vMerge/>
            <w:tcBorders>
              <w:left w:val="single" w:sz="4" w:space="0" w:color="000000"/>
              <w:bottom w:val="single" w:sz="4" w:space="0" w:color="000000"/>
              <w:right w:val="single" w:sz="4" w:space="0" w:color="000000"/>
            </w:tcBorders>
            <w:shd w:val="clear" w:color="auto" w:fill="D2D2D2"/>
          </w:tcPr>
          <w:p>
            <w:pPr/>
          </w:p>
        </w:tc>
        <w:tc>
          <w:tcPr>
            <w:tcW w:w="1231" w:type="dxa"/>
            <w:vMerge/>
            <w:tcBorders>
              <w:left w:val="single" w:sz="4" w:space="0" w:color="000000"/>
              <w:bottom w:val="single" w:sz="4" w:space="0" w:color="000000"/>
              <w:right w:val="single" w:sz="4" w:space="0" w:color="000000"/>
            </w:tcBorders>
            <w:shd w:val="clear" w:color="auto" w:fill="D2D2D2"/>
          </w:tcPr>
          <w:p>
            <w:pPr/>
          </w:p>
        </w:tc>
        <w:tc>
          <w:tcPr>
            <w:tcW w:w="12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5" w:type="dxa"/>
            <w:vMerge/>
            <w:tcBorders>
              <w:left w:val="single" w:sz="4" w:space="0" w:color="000000"/>
              <w:bottom w:val="single" w:sz="4" w:space="0" w:color="000000"/>
              <w:right w:val="single" w:sz="4" w:space="0" w:color="000000"/>
            </w:tcBorders>
            <w:shd w:val="clear" w:color="auto" w:fill="D2D2D2"/>
          </w:tcPr>
          <w:p>
            <w:pPr/>
          </w:p>
        </w:tc>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2" w:type="dxa"/>
            <w:vMerge/>
            <w:tcBorders>
              <w:left w:val="single" w:sz="4" w:space="0" w:color="000000"/>
              <w:bottom w:val="single" w:sz="4" w:space="0" w:color="000000"/>
              <w:right w:val="single" w:sz="4" w:space="0" w:color="000000"/>
            </w:tcBorders>
            <w:shd w:val="clear" w:color="auto" w:fill="D2D2D2"/>
          </w:tcPr>
          <w:p>
            <w:pPr/>
          </w:p>
        </w:tc>
        <w:tc>
          <w:tcPr>
            <w:tcW w:w="1215" w:type="dxa"/>
            <w:vMerge/>
            <w:tcBorders>
              <w:left w:val="single" w:sz="4" w:space="0" w:color="000000"/>
              <w:bottom w:val="single" w:sz="4" w:space="0" w:color="000000"/>
              <w:right w:val="single" w:sz="4" w:space="0" w:color="000000"/>
            </w:tcBorders>
            <w:shd w:val="clear" w:color="auto" w:fill="D2D2D2"/>
          </w:tcPr>
          <w:p>
            <w:pPr/>
          </w:p>
        </w:tc>
        <w:tc>
          <w:tcPr>
            <w:tcW w:w="1183"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455"/>
              <w:jc w:val="right"/>
              <w:rPr>
                <w:rFonts w:ascii="宋体" w:hAnsi="宋体" w:cs="宋体" w:eastAsia="宋体" w:hint="default"/>
                <w:sz w:val="18"/>
                <w:szCs w:val="18"/>
              </w:rPr>
            </w:pPr>
            <w:r>
              <w:rPr>
                <w:rFonts w:ascii="宋体" w:hAnsi="宋体" w:cs="宋体" w:eastAsia="宋体" w:hint="default"/>
                <w:sz w:val="18"/>
                <w:szCs w:val="18"/>
              </w:rPr>
              <w:t>金融资产</w:t>
            </w:r>
          </w:p>
        </w:tc>
        <w:tc>
          <w:tcPr>
            <w:tcW w:w="8487"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961" w:hRule="exact"/>
        </w:trPr>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2" w:right="95"/>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 计量且其变动 计入当期损益 的金融资产</w:t>
            </w:r>
          </w:p>
          <w:p>
            <w:pPr>
              <w:pStyle w:val="TableParagraph"/>
              <w:spacing w:line="316" w:lineRule="auto" w:before="22"/>
              <w:ind w:left="12" w:right="95"/>
              <w:jc w:val="both"/>
              <w:rPr>
                <w:rFonts w:ascii="宋体" w:hAnsi="宋体" w:cs="宋体" w:eastAsia="宋体" w:hint="default"/>
                <w:sz w:val="18"/>
                <w:szCs w:val="18"/>
              </w:rPr>
            </w:pPr>
            <w:r>
              <w:rPr>
                <w:rFonts w:ascii="宋体" w:hAnsi="宋体" w:cs="宋体" w:eastAsia="宋体" w:hint="default"/>
                <w:sz w:val="18"/>
                <w:szCs w:val="18"/>
              </w:rPr>
              <w:t>（不含衍生金 融资产）</w:t>
            </w:r>
          </w:p>
        </w:tc>
        <w:tc>
          <w:tcPr>
            <w:tcW w:w="12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99,371,765.40</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-1,070,891.90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122,017,072.64</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136,305,971.86</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52,697,854.32</w:t>
            </w:r>
          </w:p>
        </w:tc>
      </w:tr>
      <w:tr>
        <w:trPr>
          <w:trHeight w:val="716" w:hRule="exact"/>
        </w:trPr>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3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 产</w:t>
            </w:r>
          </w:p>
        </w:tc>
        <w:tc>
          <w:tcPr>
            <w:tcW w:w="12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20" w:type="dxa"/>
        <w:tblLayout w:type="fixed"/>
        <w:tblCellMar>
          <w:top w:w="0" w:type="dxa"/>
          <w:left w:w="0" w:type="dxa"/>
          <w:bottom w:w="0" w:type="dxa"/>
          <w:right w:w="0" w:type="dxa"/>
        </w:tblCellMar>
        <w:tblLook w:val="01E0"/>
      </w:tblPr>
      <w:tblGrid>
        <w:gridCol w:w="1221"/>
        <w:gridCol w:w="1214"/>
        <w:gridCol w:w="1217"/>
        <w:gridCol w:w="1214"/>
        <w:gridCol w:w="1215"/>
        <w:gridCol w:w="1217"/>
        <w:gridCol w:w="1215"/>
        <w:gridCol w:w="1183"/>
      </w:tblGrid>
      <w:tr>
        <w:trPr>
          <w:trHeight w:val="713" w:hRule="exact"/>
        </w:trPr>
        <w:tc>
          <w:tcPr>
            <w:tcW w:w="12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 融资产</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27,477,700.71</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44,640,299.29</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67,518,000.00</w:t>
            </w:r>
          </w:p>
        </w:tc>
      </w:tr>
      <w:tr>
        <w:trPr>
          <w:trHeight w:val="403" w:hRule="exact"/>
        </w:trPr>
        <w:tc>
          <w:tcPr>
            <w:tcW w:w="12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99,371,765.40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-1,070,891.90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27,477,700.71</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166,657,371.93</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166,305,971.86</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120,215,854.32</w:t>
            </w:r>
          </w:p>
        </w:tc>
      </w:tr>
      <w:tr>
        <w:trPr>
          <w:trHeight w:val="401" w:hRule="exact"/>
        </w:trPr>
        <w:tc>
          <w:tcPr>
            <w:tcW w:w="12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264,912,386.01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6,690,989.32</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18,716,793.68</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5,505,196.67</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10,846,472.00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266,262,100.00</w:t>
            </w:r>
          </w:p>
        </w:tc>
      </w:tr>
      <w:tr>
        <w:trPr>
          <w:trHeight w:val="403" w:hRule="exact"/>
        </w:trPr>
        <w:tc>
          <w:tcPr>
            <w:tcW w:w="12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364,284,151.41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5,620,097.42</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46,194,494.39</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172,162,568.60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177,152,443.86</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386,477,954.32</w:t>
            </w:r>
          </w:p>
        </w:tc>
      </w:tr>
      <w:tr>
        <w:trPr>
          <w:trHeight w:val="403" w:hRule="exact"/>
        </w:trPr>
        <w:tc>
          <w:tcPr>
            <w:tcW w:w="12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53"/>
        <w:jc w:val="left"/>
      </w:pPr>
      <w:r>
        <w:rPr/>
        <w:t>报告期内公司主要资产计量属性是否发生重大变化</w:t>
      </w:r>
    </w:p>
    <w:p>
      <w:pPr>
        <w:pStyle w:val="BodyText"/>
        <w:spacing w:line="240" w:lineRule="auto" w:before="115"/>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6" w:type="dxa"/>
        <w:tblLayout w:type="fixed"/>
        <w:tblCellMar>
          <w:top w:w="0" w:type="dxa"/>
          <w:left w:w="0" w:type="dxa"/>
          <w:bottom w:w="0" w:type="dxa"/>
          <w:right w:w="0" w:type="dxa"/>
        </w:tblCellMar>
        <w:tblLook w:val="01E0"/>
      </w:tblPr>
      <w:tblGrid>
        <w:gridCol w:w="2160"/>
        <w:gridCol w:w="3215"/>
        <w:gridCol w:w="4285"/>
      </w:tblGrid>
      <w:tr>
        <w:trPr>
          <w:trHeight w:val="346"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期末账面价值（元）</w:t>
            </w:r>
          </w:p>
        </w:tc>
        <w:tc>
          <w:tcPr>
            <w:tcW w:w="4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受限原因</w:t>
            </w:r>
          </w:p>
        </w:tc>
      </w:tr>
      <w:tr>
        <w:trPr>
          <w:trHeight w:val="348"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57,247,143.35</w:t>
            </w:r>
          </w:p>
        </w:tc>
        <w:tc>
          <w:tcPr>
            <w:tcW w:w="4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保函、银行承兑汇票保证金</w:t>
            </w:r>
          </w:p>
        </w:tc>
      </w:tr>
      <w:tr>
        <w:trPr>
          <w:trHeight w:val="346"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62,780,067.56</w:t>
            </w:r>
          </w:p>
        </w:tc>
        <w:tc>
          <w:tcPr>
            <w:tcW w:w="4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借款抵押</w:t>
            </w:r>
          </w:p>
        </w:tc>
      </w:tr>
      <w:tr>
        <w:trPr>
          <w:trHeight w:val="348"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3,694,797.76</w:t>
            </w:r>
          </w:p>
        </w:tc>
        <w:tc>
          <w:tcPr>
            <w:tcW w:w="4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借款抵押</w:t>
            </w:r>
          </w:p>
        </w:tc>
      </w:tr>
    </w:tbl>
    <w:p>
      <w:pPr>
        <w:spacing w:line="240" w:lineRule="auto" w:before="1"/>
        <w:rPr>
          <w:rFonts w:ascii="宋体" w:hAnsi="宋体" w:cs="宋体" w:eastAsia="宋体" w:hint="default"/>
          <w:b/>
          <w:bCs/>
          <w:sz w:val="18"/>
          <w:szCs w:val="18"/>
        </w:rPr>
      </w:pPr>
    </w:p>
    <w:p>
      <w:pPr>
        <w:pStyle w:val="Heading2"/>
        <w:spacing w:line="240" w:lineRule="auto" w:before="26"/>
        <w:ind w:right="153"/>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6" w:right="0"/>
              <w:jc w:val="left"/>
              <w:rPr>
                <w:rFonts w:ascii="Times New Roman" w:hAnsi="Times New Roman" w:cs="Times New Roman" w:eastAsia="Times New Roman" w:hint="default"/>
                <w:sz w:val="18"/>
                <w:szCs w:val="18"/>
              </w:rPr>
            </w:pPr>
            <w:r>
              <w:rPr>
                <w:rFonts w:ascii="Times New Roman"/>
                <w:sz w:val="18"/>
              </w:rPr>
              <w:t>5,983,472,168.93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8" w:right="0"/>
              <w:jc w:val="left"/>
              <w:rPr>
                <w:rFonts w:ascii="Times New Roman" w:hAnsi="Times New Roman" w:cs="Times New Roman" w:eastAsia="Times New Roman" w:hint="default"/>
                <w:sz w:val="18"/>
                <w:szCs w:val="18"/>
              </w:rPr>
            </w:pPr>
            <w:r>
              <w:rPr>
                <w:rFonts w:ascii="Times New Roman"/>
                <w:sz w:val="18"/>
              </w:rPr>
              <w:t>5,382,478,918.61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11.17%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40" w:right="148"/>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140"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7"/>
        <w:jc w:val="right"/>
      </w:pPr>
      <w:r>
        <w:rPr/>
        <w:t>单位：元</w:t>
      </w:r>
    </w:p>
    <w:p>
      <w:pPr>
        <w:spacing w:line="240" w:lineRule="auto" w:before="3"/>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449"/>
        <w:gridCol w:w="3356"/>
        <w:gridCol w:w="343"/>
        <w:gridCol w:w="1318"/>
        <w:gridCol w:w="641"/>
        <w:gridCol w:w="516"/>
        <w:gridCol w:w="308"/>
        <w:gridCol w:w="341"/>
        <w:gridCol w:w="866"/>
        <w:gridCol w:w="655"/>
        <w:gridCol w:w="343"/>
        <w:gridCol w:w="1100"/>
        <w:gridCol w:w="432"/>
        <w:gridCol w:w="1694"/>
        <w:gridCol w:w="1656"/>
      </w:tblGrid>
      <w:tr>
        <w:trPr>
          <w:trHeight w:val="1651" w:hRule="exact"/>
        </w:trPr>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8" w:right="39"/>
              <w:jc w:val="both"/>
              <w:rPr>
                <w:rFonts w:ascii="宋体" w:hAnsi="宋体" w:cs="宋体" w:eastAsia="宋体" w:hint="default"/>
                <w:sz w:val="18"/>
                <w:szCs w:val="18"/>
              </w:rPr>
            </w:pPr>
            <w:r>
              <w:rPr>
                <w:rFonts w:ascii="宋体" w:hAnsi="宋体" w:cs="宋体" w:eastAsia="宋体" w:hint="default"/>
                <w:sz w:val="18"/>
                <w:szCs w:val="18"/>
              </w:rPr>
              <w:t>被投 资公 司名 称</w:t>
            </w:r>
          </w:p>
        </w:tc>
        <w:tc>
          <w:tcPr>
            <w:tcW w:w="3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投 资 方 式</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223" w:right="47"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74" w:right="71"/>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57" w:right="58"/>
              <w:jc w:val="both"/>
              <w:rPr>
                <w:rFonts w:ascii="宋体" w:hAnsi="宋体" w:cs="宋体" w:eastAsia="宋体" w:hint="default"/>
                <w:sz w:val="18"/>
                <w:szCs w:val="18"/>
              </w:rPr>
            </w:pPr>
            <w:r>
              <w:rPr>
                <w:rFonts w:ascii="宋体" w:hAnsi="宋体" w:cs="宋体" w:eastAsia="宋体" w:hint="default"/>
                <w:sz w:val="18"/>
                <w:szCs w:val="18"/>
              </w:rPr>
              <w:t>合 作 方</w:t>
            </w:r>
          </w:p>
        </w:tc>
        <w:tc>
          <w:tcPr>
            <w:tcW w:w="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4" w:right="74"/>
              <w:jc w:val="both"/>
              <w:rPr>
                <w:rFonts w:ascii="宋体" w:hAnsi="宋体" w:cs="宋体" w:eastAsia="宋体" w:hint="default"/>
                <w:sz w:val="18"/>
                <w:szCs w:val="18"/>
              </w:rPr>
            </w:pPr>
            <w:r>
              <w:rPr>
                <w:rFonts w:ascii="宋体" w:hAnsi="宋体" w:cs="宋体" w:eastAsia="宋体" w:hint="default"/>
                <w:sz w:val="18"/>
                <w:szCs w:val="18"/>
              </w:rPr>
              <w:t>投 资 期 限</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产品类型</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2" w:right="50"/>
              <w:jc w:val="center"/>
              <w:rPr>
                <w:rFonts w:ascii="宋体" w:hAnsi="宋体" w:cs="宋体" w:eastAsia="宋体" w:hint="default"/>
                <w:sz w:val="18"/>
                <w:szCs w:val="18"/>
              </w:rPr>
            </w:pPr>
            <w:r>
              <w:rPr>
                <w:rFonts w:ascii="宋体" w:hAnsi="宋体" w:cs="宋体" w:eastAsia="宋体" w:hint="default"/>
                <w:sz w:val="18"/>
                <w:szCs w:val="18"/>
              </w:rPr>
              <w:t>截至资 产负债 表日的 进展情 况</w:t>
            </w:r>
          </w:p>
        </w:tc>
        <w:tc>
          <w:tcPr>
            <w:tcW w:w="3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预 计 收 益</w:t>
            </w:r>
          </w:p>
        </w:tc>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453" w:right="94" w:hanging="360"/>
              <w:jc w:val="left"/>
              <w:rPr>
                <w:rFonts w:ascii="宋体" w:hAnsi="宋体" w:cs="宋体" w:eastAsia="宋体" w:hint="default"/>
                <w:sz w:val="18"/>
                <w:szCs w:val="18"/>
              </w:rPr>
            </w:pPr>
            <w:r>
              <w:rPr>
                <w:rFonts w:ascii="宋体" w:hAnsi="宋体" w:cs="宋体" w:eastAsia="宋体" w:hint="default"/>
                <w:sz w:val="18"/>
                <w:szCs w:val="18"/>
              </w:rPr>
              <w:t>本期投资盈 亏</w:t>
            </w:r>
          </w:p>
        </w:tc>
        <w:tc>
          <w:tcPr>
            <w:tcW w:w="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28" w:right="31"/>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1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披露日期（如有）</w:t>
            </w:r>
          </w:p>
        </w:tc>
        <w:tc>
          <w:tcPr>
            <w:tcW w:w="1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披露索引（如有）</w:t>
            </w:r>
          </w:p>
        </w:tc>
      </w:tr>
      <w:tr>
        <w:trPr>
          <w:trHeight w:val="1649" w:hRule="exact"/>
        </w:trPr>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53"/>
              <w:jc w:val="left"/>
              <w:rPr>
                <w:rFonts w:ascii="宋体" w:hAnsi="宋体" w:cs="宋体" w:eastAsia="宋体" w:hint="default"/>
                <w:sz w:val="18"/>
                <w:szCs w:val="18"/>
              </w:rPr>
            </w:pPr>
            <w:r>
              <w:rPr>
                <w:rFonts w:ascii="宋体" w:hAnsi="宋体" w:cs="宋体" w:eastAsia="宋体" w:hint="default"/>
                <w:sz w:val="18"/>
                <w:szCs w:val="18"/>
              </w:rPr>
              <w:t>爱酷 游</w:t>
            </w:r>
          </w:p>
        </w:tc>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82"/>
              <w:jc w:val="both"/>
              <w:rPr>
                <w:rFonts w:ascii="宋体" w:hAnsi="宋体" w:cs="宋体" w:eastAsia="宋体" w:hint="default"/>
                <w:sz w:val="18"/>
                <w:szCs w:val="18"/>
              </w:rPr>
            </w:pPr>
            <w:r>
              <w:rPr>
                <w:rFonts w:ascii="宋体" w:hAnsi="宋体" w:cs="宋体" w:eastAsia="宋体" w:hint="default"/>
                <w:sz w:val="18"/>
                <w:szCs w:val="18"/>
              </w:rPr>
              <w:t>计算机系统服务；基础软件服务；应用软 件服务；销售软件；设计、制作、代理、 发布广告；电脑动画设计；技术咨询、技 术服务；会议服务；承办展览展示活动； 企业策划；从事互联网文化活动</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收 购</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40,040,299.29</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2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68"/>
              <w:jc w:val="center"/>
              <w:rPr>
                <w:rFonts w:ascii="宋体" w:hAnsi="宋体" w:cs="宋体" w:eastAsia="宋体" w:hint="default"/>
                <w:sz w:val="18"/>
                <w:szCs w:val="18"/>
              </w:rPr>
            </w:pPr>
            <w:r>
              <w:rPr>
                <w:rFonts w:ascii="宋体" w:hAnsi="宋体" w:cs="宋体" w:eastAsia="宋体" w:hint="default"/>
                <w:sz w:val="18"/>
                <w:szCs w:val="18"/>
              </w:rPr>
              <w:t>无</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1" w:right="127"/>
              <w:jc w:val="left"/>
              <w:rPr>
                <w:rFonts w:ascii="宋体" w:hAnsi="宋体" w:cs="宋体" w:eastAsia="宋体" w:hint="default"/>
                <w:sz w:val="18"/>
                <w:szCs w:val="18"/>
              </w:rPr>
            </w:pPr>
            <w:r>
              <w:rPr>
                <w:rFonts w:ascii="宋体" w:hAnsi="宋体" w:cs="宋体" w:eastAsia="宋体" w:hint="default"/>
                <w:sz w:val="18"/>
                <w:szCs w:val="18"/>
              </w:rPr>
              <w:t>长 期</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10"/>
              <w:jc w:val="left"/>
              <w:rPr>
                <w:rFonts w:ascii="宋体" w:hAnsi="宋体" w:cs="宋体" w:eastAsia="宋体" w:hint="default"/>
                <w:sz w:val="18"/>
                <w:szCs w:val="18"/>
              </w:rPr>
            </w:pPr>
            <w:r>
              <w:rPr>
                <w:rFonts w:ascii="宋体" w:hAnsi="宋体" w:cs="宋体" w:eastAsia="宋体" w:hint="default"/>
                <w:sz w:val="18"/>
                <w:szCs w:val="18"/>
              </w:rPr>
              <w:t>互联网应 用软件</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79"/>
              <w:jc w:val="left"/>
              <w:rPr>
                <w:rFonts w:ascii="宋体" w:hAnsi="宋体" w:cs="宋体" w:eastAsia="宋体" w:hint="default"/>
                <w:sz w:val="18"/>
                <w:szCs w:val="18"/>
              </w:rPr>
            </w:pPr>
            <w:r>
              <w:rPr>
                <w:rFonts w:ascii="宋体" w:hAnsi="宋体" w:cs="宋体" w:eastAsia="宋体" w:hint="default"/>
                <w:sz w:val="18"/>
                <w:szCs w:val="18"/>
              </w:rPr>
              <w:t>股权已 过户</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27,477,700.71</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r>
        <w:trPr>
          <w:trHeight w:val="1652" w:hRule="exact"/>
        </w:trPr>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3" w:right="53"/>
              <w:jc w:val="left"/>
              <w:rPr>
                <w:rFonts w:ascii="宋体" w:hAnsi="宋体" w:cs="宋体" w:eastAsia="宋体" w:hint="default"/>
                <w:sz w:val="18"/>
                <w:szCs w:val="18"/>
              </w:rPr>
            </w:pPr>
            <w:r>
              <w:rPr>
                <w:rFonts w:ascii="宋体" w:hAnsi="宋体" w:cs="宋体" w:eastAsia="宋体" w:hint="default"/>
                <w:sz w:val="18"/>
                <w:szCs w:val="18"/>
              </w:rPr>
              <w:t>哆可 梦</w:t>
            </w:r>
          </w:p>
        </w:tc>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 w:right="82"/>
              <w:jc w:val="both"/>
              <w:rPr>
                <w:rFonts w:ascii="宋体" w:hAnsi="宋体" w:cs="宋体" w:eastAsia="宋体" w:hint="default"/>
                <w:sz w:val="18"/>
                <w:szCs w:val="18"/>
              </w:rPr>
            </w:pPr>
            <w:r>
              <w:rPr>
                <w:rFonts w:ascii="宋体" w:hAnsi="宋体" w:cs="宋体" w:eastAsia="宋体" w:hint="default"/>
                <w:sz w:val="18"/>
                <w:szCs w:val="18"/>
              </w:rPr>
              <w:t>基于大数据精细化营销的流量经营业务和 移动游戏的研发、发行及游戏平台的运营 业务</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3" w:right="127"/>
              <w:jc w:val="left"/>
              <w:rPr>
                <w:rFonts w:ascii="宋体" w:hAnsi="宋体" w:cs="宋体" w:eastAsia="宋体" w:hint="default"/>
                <w:sz w:val="18"/>
                <w:szCs w:val="18"/>
              </w:rPr>
            </w:pPr>
            <w:r>
              <w:rPr>
                <w:rFonts w:ascii="宋体" w:hAnsi="宋体" w:cs="宋体" w:eastAsia="宋体" w:hint="default"/>
                <w:sz w:val="18"/>
                <w:szCs w:val="18"/>
              </w:rPr>
              <w:t>收 购</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1,383,460,950.00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77.57%</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0"/>
              <w:jc w:val="both"/>
              <w:rPr>
                <w:rFonts w:ascii="宋体" w:hAnsi="宋体" w:cs="宋体" w:eastAsia="宋体" w:hint="default"/>
                <w:sz w:val="18"/>
                <w:szCs w:val="18"/>
              </w:rPr>
            </w:pPr>
            <w:r>
              <w:rPr>
                <w:rFonts w:ascii="宋体" w:hAnsi="宋体" w:cs="宋体" w:eastAsia="宋体" w:hint="default"/>
                <w:sz w:val="18"/>
                <w:szCs w:val="18"/>
              </w:rPr>
              <w:t>自有 资金 和自 筹资 金</w:t>
            </w:r>
          </w:p>
        </w:tc>
        <w:tc>
          <w:tcPr>
            <w:tcW w:w="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68"/>
              <w:jc w:val="center"/>
              <w:rPr>
                <w:rFonts w:ascii="宋体" w:hAnsi="宋体" w:cs="宋体" w:eastAsia="宋体" w:hint="default"/>
                <w:sz w:val="18"/>
                <w:szCs w:val="18"/>
              </w:rPr>
            </w:pPr>
            <w:r>
              <w:rPr>
                <w:rFonts w:ascii="宋体" w:hAnsi="宋体" w:cs="宋体" w:eastAsia="宋体" w:hint="default"/>
                <w:sz w:val="18"/>
                <w:szCs w:val="18"/>
              </w:rPr>
              <w:t>无</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1" w:right="127"/>
              <w:jc w:val="left"/>
              <w:rPr>
                <w:rFonts w:ascii="宋体" w:hAnsi="宋体" w:cs="宋体" w:eastAsia="宋体" w:hint="default"/>
                <w:sz w:val="18"/>
                <w:szCs w:val="18"/>
              </w:rPr>
            </w:pPr>
            <w:r>
              <w:rPr>
                <w:rFonts w:ascii="宋体" w:hAnsi="宋体" w:cs="宋体" w:eastAsia="宋体" w:hint="default"/>
                <w:sz w:val="18"/>
                <w:szCs w:val="18"/>
              </w:rPr>
              <w:t>长 期</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主要集中 在移动游 戏中的手 机网络游 戏系列</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4" w:right="79"/>
              <w:jc w:val="left"/>
              <w:rPr>
                <w:rFonts w:ascii="宋体" w:hAnsi="宋体" w:cs="宋体" w:eastAsia="宋体" w:hint="default"/>
                <w:sz w:val="18"/>
                <w:szCs w:val="18"/>
              </w:rPr>
            </w:pPr>
            <w:r>
              <w:rPr>
                <w:rFonts w:ascii="宋体" w:hAnsi="宋体" w:cs="宋体" w:eastAsia="宋体" w:hint="default"/>
                <w:sz w:val="18"/>
                <w:szCs w:val="18"/>
              </w:rPr>
              <w:t>股权已 过户</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4,289,446.58</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7" w:lineRule="auto" w:before="74"/>
              <w:ind w:left="24" w:right="3"/>
              <w:jc w:val="both"/>
              <w:rPr>
                <w:rFonts w:ascii="宋体" w:hAnsi="宋体" w:cs="宋体" w:eastAsia="宋体" w:hint="default"/>
                <w:sz w:val="18"/>
                <w:szCs w:val="18"/>
              </w:rPr>
            </w:pPr>
            <w:r>
              <w:rPr>
                <w:rFonts w:ascii="宋体" w:hAnsi="宋体" w:cs="宋体" w:eastAsia="宋体" w:hint="default"/>
                <w:sz w:val="18"/>
                <w:szCs w:val="18"/>
              </w:rPr>
              <w:t>（</w:t>
            </w:r>
            <w:hyperlink r:id="rId18">
              <w:r>
                <w:rPr>
                  <w:rFonts w:ascii="Times New Roman" w:hAnsi="Times New Roman" w:cs="Times New Roman" w:eastAsia="Times New Roman" w:hint="default"/>
                  <w:sz w:val="18"/>
                  <w:szCs w:val="18"/>
                </w:rPr>
                <w:t>www.cninfo.com.c</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n</w:t>
            </w:r>
            <w:r>
              <w:rPr>
                <w:rFonts w:ascii="宋体" w:hAnsi="宋体" w:cs="宋体" w:eastAsia="宋体" w:hint="default"/>
                <w:spacing w:val="-12"/>
                <w:sz w:val="18"/>
                <w:szCs w:val="18"/>
              </w:rPr>
              <w:t>）《重大资产购买暨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关联交易报告书（草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9"/>
                <w:sz w:val="18"/>
                <w:szCs w:val="18"/>
              </w:rPr>
              <w:t>案）（二次修订稿）》</w:t>
            </w:r>
          </w:p>
        </w:tc>
      </w:tr>
      <w:tr>
        <w:trPr>
          <w:trHeight w:val="403" w:hRule="exact"/>
        </w:trPr>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3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7" w:right="0"/>
              <w:jc w:val="left"/>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1,423,501,249.29</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31,767,147.29</w:t>
            </w:r>
          </w:p>
        </w:tc>
        <w:tc>
          <w:tcPr>
            <w:tcW w:w="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left="140" w:right="148"/>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140"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headerReference w:type="default" r:id="rId16"/>
          <w:footerReference w:type="default" r:id="rId17"/>
          <w:pgSz w:w="16840" w:h="11910" w:orient="landscape"/>
          <w:pgMar w:header="867" w:footer="980" w:top="1060" w:bottom="1160" w:left="1300" w:right="1280"/>
          <w:pgNumType w:start="23"/>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40" w:right="148"/>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140"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7"/>
        <w:jc w:val="right"/>
      </w:pPr>
      <w:r>
        <w:rPr/>
        <w:t>单位：元</w:t>
      </w:r>
    </w:p>
    <w:p>
      <w:pPr>
        <w:spacing w:line="240" w:lineRule="auto" w:before="3"/>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886"/>
        <w:gridCol w:w="1344"/>
        <w:gridCol w:w="2115"/>
        <w:gridCol w:w="2727"/>
        <w:gridCol w:w="1704"/>
        <w:gridCol w:w="1705"/>
        <w:gridCol w:w="1310"/>
        <w:gridCol w:w="1346"/>
        <w:gridCol w:w="881"/>
      </w:tblGrid>
      <w:tr>
        <w:trPr>
          <w:trHeight w:val="402" w:hRule="exact"/>
        </w:trPr>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6"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4"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1" w:right="0"/>
              <w:jc w:val="left"/>
              <w:rPr>
                <w:rFonts w:ascii="宋体" w:hAnsi="宋体" w:cs="宋体" w:eastAsia="宋体" w:hint="default"/>
                <w:sz w:val="18"/>
                <w:szCs w:val="18"/>
              </w:rPr>
            </w:pPr>
            <w:r>
              <w:rPr>
                <w:rFonts w:ascii="宋体" w:hAnsi="宋体" w:cs="宋体" w:eastAsia="宋体" w:hint="default"/>
                <w:sz w:val="18"/>
                <w:szCs w:val="18"/>
              </w:rPr>
              <w:t>本期公允价值变动损益</w:t>
            </w:r>
          </w:p>
        </w:tc>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7" w:right="0"/>
              <w:jc w:val="left"/>
              <w:rPr>
                <w:rFonts w:ascii="宋体" w:hAnsi="宋体" w:cs="宋体" w:eastAsia="宋体" w:hint="default"/>
                <w:sz w:val="18"/>
                <w:szCs w:val="18"/>
              </w:rPr>
            </w:pPr>
            <w:r>
              <w:rPr>
                <w:rFonts w:ascii="宋体" w:hAnsi="宋体" w:cs="宋体" w:eastAsia="宋体" w:hint="default"/>
                <w:sz w:val="18"/>
                <w:szCs w:val="18"/>
              </w:rPr>
              <w:t>计入权益的累计公允价值变动</w:t>
            </w:r>
          </w:p>
        </w:tc>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4" w:right="0"/>
              <w:jc w:val="left"/>
              <w:rPr>
                <w:rFonts w:ascii="宋体" w:hAnsi="宋体" w:cs="宋体" w:eastAsia="宋体" w:hint="default"/>
                <w:sz w:val="18"/>
                <w:szCs w:val="18"/>
              </w:rPr>
            </w:pPr>
            <w:r>
              <w:rPr>
                <w:rFonts w:ascii="宋体" w:hAnsi="宋体" w:cs="宋体" w:eastAsia="宋体" w:hint="default"/>
                <w:sz w:val="18"/>
                <w:szCs w:val="18"/>
              </w:rPr>
              <w:t>报告期内购入金额</w:t>
            </w:r>
          </w:p>
        </w:tc>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4" w:right="0"/>
              <w:jc w:val="left"/>
              <w:rPr>
                <w:rFonts w:ascii="宋体" w:hAnsi="宋体" w:cs="宋体" w:eastAsia="宋体" w:hint="default"/>
                <w:sz w:val="18"/>
                <w:szCs w:val="18"/>
              </w:rPr>
            </w:pPr>
            <w:r>
              <w:rPr>
                <w:rFonts w:ascii="宋体" w:hAnsi="宋体" w:cs="宋体" w:eastAsia="宋体" w:hint="default"/>
                <w:sz w:val="18"/>
                <w:szCs w:val="18"/>
              </w:rPr>
              <w:t>报告期内售出金额</w:t>
            </w:r>
          </w:p>
        </w:tc>
        <w:tc>
          <w:tcPr>
            <w:tcW w:w="13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累计投资收益</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7"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401"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100,223,728.74</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-1,070,891.90</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122,017,072.64</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136,305,971.86</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-31,273,418.64</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52,697,854.32</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6"/>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3"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27,477,700.71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44,640,299.29</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25,400,000.00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67,518,000.00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6"/>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4" w:hRule="exact"/>
        </w:trPr>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100,223,728.74</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-1,070,891.90</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27,477,700.71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166,657,371.93</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166,305,971.86</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-5,873,418.64</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120,215,854.32</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left="140" w:right="148"/>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left="140" w:right="113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公司报告期无募集资金使用情况。</w:t>
      </w:r>
    </w:p>
    <w:p>
      <w:pPr>
        <w:spacing w:line="240" w:lineRule="auto" w:before="4"/>
        <w:rPr>
          <w:rFonts w:ascii="宋体" w:hAnsi="宋体" w:cs="宋体" w:eastAsia="宋体" w:hint="default"/>
          <w:sz w:val="19"/>
          <w:szCs w:val="19"/>
        </w:rPr>
      </w:pPr>
    </w:p>
    <w:p>
      <w:pPr>
        <w:pStyle w:val="Heading2"/>
        <w:spacing w:line="240" w:lineRule="auto"/>
        <w:ind w:left="140" w:right="148"/>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40" w:right="148"/>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40"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6840" w:h="11910" w:orient="landscape"/>
          <w:pgMar w:header="867" w:footer="980" w:top="1060" w:bottom="1160" w:left="1300" w:right="128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ind w:left="0" w:right="109"/>
        <w:jc w:val="right"/>
      </w:pPr>
      <w:r>
        <w:rPr/>
        <w:pict>
          <v:shape style="position:absolute;margin-left:70.320pt;margin-top:-279.458282pt;width:701.65pt;height:413.15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4"/>
                    <w:gridCol w:w="1008"/>
                    <w:gridCol w:w="727"/>
                    <w:gridCol w:w="866"/>
                    <w:gridCol w:w="872"/>
                    <w:gridCol w:w="866"/>
                    <w:gridCol w:w="866"/>
                    <w:gridCol w:w="872"/>
                    <w:gridCol w:w="864"/>
                    <w:gridCol w:w="871"/>
                    <w:gridCol w:w="864"/>
                    <w:gridCol w:w="867"/>
                    <w:gridCol w:w="869"/>
                    <w:gridCol w:w="1512"/>
                    <w:gridCol w:w="1229"/>
                  </w:tblGrid>
                  <w:tr>
                    <w:trPr>
                      <w:trHeight w:val="2588"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交易对方</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被出售资产</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6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0" w:right="71"/>
                          <w:jc w:val="center"/>
                          <w:rPr>
                            <w:rFonts w:ascii="宋体" w:hAnsi="宋体" w:cs="宋体" w:eastAsia="宋体" w:hint="default"/>
                            <w:sz w:val="18"/>
                            <w:szCs w:val="18"/>
                          </w:rPr>
                        </w:pPr>
                        <w:r>
                          <w:rPr>
                            <w:rFonts w:ascii="宋体" w:hAnsi="宋体" w:cs="宋体" w:eastAsia="宋体" w:hint="default"/>
                            <w:sz w:val="18"/>
                            <w:szCs w:val="18"/>
                          </w:rPr>
                          <w:t>本期初起 至出售日 该资产为 上市公司 贡献的净 利润（万 元）</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67" w:right="67"/>
                          <w:jc w:val="left"/>
                          <w:rPr>
                            <w:rFonts w:ascii="宋体" w:hAnsi="宋体" w:cs="宋体" w:eastAsia="宋体" w:hint="default"/>
                            <w:sz w:val="18"/>
                            <w:szCs w:val="18"/>
                          </w:rPr>
                        </w:pPr>
                        <w:r>
                          <w:rPr>
                            <w:rFonts w:ascii="宋体" w:hAnsi="宋体" w:cs="宋体" w:eastAsia="宋体" w:hint="default"/>
                            <w:sz w:val="18"/>
                            <w:szCs w:val="18"/>
                          </w:rPr>
                          <w:t>出售对公 司的影响</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7" w:right="67"/>
                          <w:jc w:val="both"/>
                          <w:rPr>
                            <w:rFonts w:ascii="宋体" w:hAnsi="宋体" w:cs="宋体" w:eastAsia="宋体" w:hint="default"/>
                            <w:sz w:val="18"/>
                            <w:szCs w:val="18"/>
                          </w:rPr>
                        </w:pPr>
                        <w:r>
                          <w:rPr>
                            <w:rFonts w:ascii="宋体" w:hAnsi="宋体" w:cs="宋体" w:eastAsia="宋体" w:hint="default"/>
                            <w:sz w:val="18"/>
                            <w:szCs w:val="18"/>
                          </w:rPr>
                          <w:t>资产出售 为上市公 司贡献的 净利润占 净利润总 额的比例</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69" w:right="70"/>
                          <w:jc w:val="left"/>
                          <w:rPr>
                            <w:rFonts w:ascii="宋体" w:hAnsi="宋体" w:cs="宋体" w:eastAsia="宋体" w:hint="default"/>
                            <w:sz w:val="18"/>
                            <w:szCs w:val="18"/>
                          </w:rPr>
                        </w:pPr>
                        <w:r>
                          <w:rPr>
                            <w:rFonts w:ascii="宋体" w:hAnsi="宋体" w:cs="宋体" w:eastAsia="宋体" w:hint="default"/>
                            <w:sz w:val="18"/>
                            <w:szCs w:val="18"/>
                          </w:rPr>
                          <w:t>资产出售 定价原则</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55" w:right="65" w:hanging="89"/>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23" w:hanging="3"/>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8"/>
                            <w:sz w:val="18"/>
                            <w:szCs w:val="18"/>
                          </w:rPr>
                          <w:t>关系（适用</w:t>
                        </w:r>
                        <w:r>
                          <w:rPr>
                            <w:rFonts w:ascii="宋体" w:hAnsi="宋体" w:cs="宋体" w:eastAsia="宋体" w:hint="default"/>
                            <w:sz w:val="18"/>
                            <w:szCs w:val="18"/>
                          </w:rPr>
                          <w:t> 关联交易 情形）</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所涉及的 资产产权 是否已全 部过户</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9" w:right="65"/>
                          <w:jc w:val="both"/>
                          <w:rPr>
                            <w:rFonts w:ascii="宋体" w:hAnsi="宋体" w:cs="宋体" w:eastAsia="宋体" w:hint="default"/>
                            <w:sz w:val="18"/>
                            <w:szCs w:val="18"/>
                          </w:rPr>
                        </w:pPr>
                        <w:r>
                          <w:rPr>
                            <w:rFonts w:ascii="宋体" w:hAnsi="宋体" w:cs="宋体" w:eastAsia="宋体" w:hint="default"/>
                            <w:sz w:val="18"/>
                            <w:szCs w:val="18"/>
                          </w:rPr>
                          <w:t>所涉及的 债权债务 是否已全 部转移</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hanging="3"/>
                          <w:jc w:val="center"/>
                          <w:rPr>
                            <w:rFonts w:ascii="宋体" w:hAnsi="宋体" w:cs="宋体" w:eastAsia="宋体" w:hint="default"/>
                            <w:sz w:val="18"/>
                            <w:szCs w:val="18"/>
                          </w:rPr>
                        </w:pPr>
                        <w:r>
                          <w:rPr>
                            <w:rFonts w:ascii="宋体" w:hAnsi="宋体" w:cs="宋体" w:eastAsia="宋体" w:hint="default"/>
                            <w:sz w:val="18"/>
                            <w:szCs w:val="18"/>
                          </w:rPr>
                          <w:t>是否按计 划如期实 </w:t>
                        </w:r>
                        <w:r>
                          <w:rPr>
                            <w:rFonts w:ascii="宋体" w:hAnsi="宋体" w:cs="宋体" w:eastAsia="宋体" w:hint="default"/>
                            <w:spacing w:val="-18"/>
                            <w:sz w:val="18"/>
                            <w:szCs w:val="18"/>
                          </w:rPr>
                          <w:t>施，如未按</w:t>
                        </w:r>
                        <w:r>
                          <w:rPr>
                            <w:rFonts w:ascii="宋体" w:hAnsi="宋体" w:cs="宋体" w:eastAsia="宋体" w:hint="default"/>
                            <w:sz w:val="18"/>
                            <w:szCs w:val="18"/>
                          </w:rPr>
                          <w:t> 计划实施 应当说明 原因及公 司已采取 的措施</w:t>
                        </w:r>
                      </w:p>
                    </w:tc>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196" w:lineRule="exact"/>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39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4" w:hRule="exact"/>
                    </w:trPr>
                    <w:tc>
                      <w:tcPr>
                        <w:tcW w:w="864" w:type="dxa"/>
                        <w:tcBorders>
                          <w:top w:val="single" w:sz="4" w:space="0" w:color="000000"/>
                          <w:left w:val="single" w:sz="4" w:space="0" w:color="000000"/>
                          <w:bottom w:val="nil" w:sz="6" w:space="0" w:color="auto"/>
                          <w:right w:val="single" w:sz="4" w:space="0" w:color="000000"/>
                        </w:tcBorders>
                      </w:tcPr>
                      <w:p>
                        <w:pPr/>
                      </w:p>
                    </w:tc>
                    <w:tc>
                      <w:tcPr>
                        <w:tcW w:w="10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乌鲁木齐市</w:t>
                        </w:r>
                      </w:p>
                    </w:tc>
                    <w:tc>
                      <w:tcPr>
                        <w:tcW w:w="727" w:type="dxa"/>
                        <w:tcBorders>
                          <w:top w:val="single" w:sz="4" w:space="0" w:color="000000"/>
                          <w:left w:val="single" w:sz="4" w:space="0" w:color="000000"/>
                          <w:bottom w:val="nil" w:sz="6" w:space="0" w:color="auto"/>
                          <w:right w:val="single" w:sz="4" w:space="0" w:color="000000"/>
                        </w:tcBorders>
                      </w:tcPr>
                      <w:p>
                        <w:pPr/>
                      </w:p>
                    </w:tc>
                    <w:tc>
                      <w:tcPr>
                        <w:tcW w:w="866" w:type="dxa"/>
                        <w:tcBorders>
                          <w:top w:val="single" w:sz="4" w:space="0" w:color="000000"/>
                          <w:left w:val="single" w:sz="4" w:space="0" w:color="000000"/>
                          <w:bottom w:val="nil" w:sz="6" w:space="0" w:color="auto"/>
                          <w:right w:val="single" w:sz="4" w:space="0" w:color="000000"/>
                        </w:tcBorders>
                      </w:tcPr>
                      <w:p>
                        <w:pPr/>
                      </w:p>
                    </w:tc>
                    <w:tc>
                      <w:tcPr>
                        <w:tcW w:w="872" w:type="dxa"/>
                        <w:tcBorders>
                          <w:top w:val="single" w:sz="4" w:space="0" w:color="000000"/>
                          <w:left w:val="single" w:sz="4" w:space="0" w:color="000000"/>
                          <w:bottom w:val="nil" w:sz="6" w:space="0" w:color="auto"/>
                          <w:right w:val="single" w:sz="4" w:space="0" w:color="000000"/>
                        </w:tcBorders>
                      </w:tcPr>
                      <w:p>
                        <w:pPr/>
                      </w:p>
                    </w:tc>
                    <w:tc>
                      <w:tcPr>
                        <w:tcW w:w="866" w:type="dxa"/>
                        <w:tcBorders>
                          <w:top w:val="single" w:sz="4" w:space="0" w:color="000000"/>
                          <w:left w:val="single" w:sz="4" w:space="0" w:color="000000"/>
                          <w:bottom w:val="nil" w:sz="6" w:space="0" w:color="auto"/>
                          <w:right w:val="single" w:sz="4" w:space="0" w:color="000000"/>
                        </w:tcBorders>
                      </w:tcPr>
                      <w:p>
                        <w:pPr/>
                      </w:p>
                    </w:tc>
                    <w:tc>
                      <w:tcPr>
                        <w:tcW w:w="866" w:type="dxa"/>
                        <w:tcBorders>
                          <w:top w:val="single" w:sz="4" w:space="0" w:color="000000"/>
                          <w:left w:val="single" w:sz="4" w:space="0" w:color="000000"/>
                          <w:bottom w:val="nil" w:sz="6" w:space="0" w:color="auto"/>
                          <w:right w:val="single" w:sz="4" w:space="0" w:color="000000"/>
                        </w:tcBorders>
                      </w:tcPr>
                      <w:p>
                        <w:pPr/>
                      </w:p>
                    </w:tc>
                    <w:tc>
                      <w:tcPr>
                        <w:tcW w:w="872" w:type="dxa"/>
                        <w:tcBorders>
                          <w:top w:val="single" w:sz="4" w:space="0" w:color="000000"/>
                          <w:left w:val="single" w:sz="4" w:space="0" w:color="000000"/>
                          <w:bottom w:val="nil" w:sz="6" w:space="0" w:color="auto"/>
                          <w:right w:val="single" w:sz="4" w:space="0" w:color="000000"/>
                        </w:tcBorders>
                      </w:tcPr>
                      <w:p>
                        <w:pPr/>
                      </w:p>
                    </w:tc>
                    <w:tc>
                      <w:tcPr>
                        <w:tcW w:w="864"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4" w:type="dxa"/>
                        <w:tcBorders>
                          <w:top w:val="single" w:sz="4" w:space="0" w:color="000000"/>
                          <w:left w:val="single" w:sz="4" w:space="0" w:color="000000"/>
                          <w:bottom w:val="nil" w:sz="6" w:space="0" w:color="auto"/>
                          <w:right w:val="single" w:sz="4" w:space="0" w:color="000000"/>
                        </w:tcBorders>
                      </w:tcPr>
                      <w:p>
                        <w:pPr/>
                      </w:p>
                    </w:tc>
                    <w:tc>
                      <w:tcPr>
                        <w:tcW w:w="867"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1512" w:type="dxa"/>
                        <w:tcBorders>
                          <w:top w:val="single" w:sz="4" w:space="0" w:color="000000"/>
                          <w:left w:val="single" w:sz="4" w:space="0" w:color="000000"/>
                          <w:bottom w:val="nil" w:sz="6" w:space="0" w:color="auto"/>
                          <w:right w:val="single" w:sz="4" w:space="0" w:color="000000"/>
                        </w:tcBorders>
                      </w:tcPr>
                      <w:p>
                        <w:pPr/>
                      </w:p>
                    </w:tc>
                    <w:tc>
                      <w:tcPr>
                        <w:tcW w:w="1229"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864" w:type="dxa"/>
                        <w:tcBorders>
                          <w:top w:val="nil" w:sz="6" w:space="0" w:color="auto"/>
                          <w:left w:val="single" w:sz="4" w:space="0" w:color="000000"/>
                          <w:bottom w:val="nil" w:sz="6" w:space="0" w:color="auto"/>
                          <w:right w:val="single" w:sz="4" w:space="0" w:color="000000"/>
                        </w:tcBorders>
                      </w:tcPr>
                      <w:p>
                        <w:pPr/>
                      </w:p>
                    </w:tc>
                    <w:tc>
                      <w:tcPr>
                        <w:tcW w:w="100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高新区北京</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66" w:type="dxa"/>
                        <w:tcBorders>
                          <w:top w:val="nil" w:sz="6" w:space="0" w:color="auto"/>
                          <w:left w:val="single" w:sz="4" w:space="0" w:color="000000"/>
                          <w:bottom w:val="nil" w:sz="6" w:space="0" w:color="auto"/>
                          <w:right w:val="single" w:sz="4" w:space="0" w:color="000000"/>
                        </w:tcBorders>
                      </w:tcPr>
                      <w:p>
                        <w:pPr/>
                      </w:p>
                    </w:tc>
                    <w:tc>
                      <w:tcPr>
                        <w:tcW w:w="872" w:type="dxa"/>
                        <w:tcBorders>
                          <w:top w:val="nil" w:sz="6" w:space="0" w:color="auto"/>
                          <w:left w:val="single" w:sz="4" w:space="0" w:color="000000"/>
                          <w:bottom w:val="nil" w:sz="6" w:space="0" w:color="auto"/>
                          <w:right w:val="single" w:sz="4" w:space="0" w:color="000000"/>
                        </w:tcBorders>
                      </w:tcPr>
                      <w:p>
                        <w:pPr/>
                      </w:p>
                    </w:tc>
                    <w:tc>
                      <w:tcPr>
                        <w:tcW w:w="866" w:type="dxa"/>
                        <w:tcBorders>
                          <w:top w:val="nil" w:sz="6" w:space="0" w:color="auto"/>
                          <w:left w:val="single" w:sz="4" w:space="0" w:color="000000"/>
                          <w:bottom w:val="nil" w:sz="6" w:space="0" w:color="auto"/>
                          <w:right w:val="single" w:sz="4" w:space="0" w:color="000000"/>
                        </w:tcBorders>
                      </w:tcPr>
                      <w:p>
                        <w:pPr/>
                      </w:p>
                    </w:tc>
                    <w:tc>
                      <w:tcPr>
                        <w:tcW w:w="866" w:type="dxa"/>
                        <w:tcBorders>
                          <w:top w:val="nil" w:sz="6" w:space="0" w:color="auto"/>
                          <w:left w:val="single" w:sz="4" w:space="0" w:color="000000"/>
                          <w:bottom w:val="nil" w:sz="6" w:space="0" w:color="auto"/>
                          <w:right w:val="single" w:sz="4" w:space="0" w:color="000000"/>
                        </w:tcBorders>
                      </w:tcPr>
                      <w:p>
                        <w:pPr/>
                      </w:p>
                    </w:tc>
                    <w:tc>
                      <w:tcPr>
                        <w:tcW w:w="87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867"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c>
                      <w:tcPr>
                        <w:tcW w:w="122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孙某某</w:t>
                        </w:r>
                      </w:p>
                    </w:tc>
                    <w:tc>
                      <w:tcPr>
                        <w:tcW w:w="100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北路</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号华</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tc>
                    <w:tc>
                      <w:tcPr>
                        <w:tcW w:w="866"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60</w:t>
                        </w:r>
                      </w:p>
                    </w:tc>
                    <w:tc>
                      <w:tcPr>
                        <w:tcW w:w="872"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37.18</w:t>
                        </w:r>
                      </w:p>
                    </w:tc>
                    <w:tc>
                      <w:tcPr>
                        <w:tcW w:w="8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37.18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866"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0.35%</w:t>
                        </w:r>
                      </w:p>
                    </w:tc>
                    <w:tc>
                      <w:tcPr>
                        <w:tcW w:w="8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评估</w:t>
                        </w:r>
                      </w:p>
                    </w:tc>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512" w:type="dxa"/>
                        <w:tcBorders>
                          <w:top w:val="nil" w:sz="6" w:space="0" w:color="auto"/>
                          <w:left w:val="single" w:sz="4" w:space="0" w:color="000000"/>
                          <w:bottom w:val="nil" w:sz="6" w:space="0" w:color="auto"/>
                          <w:right w:val="single" w:sz="4" w:space="0" w:color="000000"/>
                        </w:tcBorders>
                      </w:tcPr>
                      <w:p>
                        <w:pPr/>
                      </w:p>
                    </w:tc>
                    <w:tc>
                      <w:tcPr>
                        <w:tcW w:w="1229"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864" w:type="dxa"/>
                        <w:tcBorders>
                          <w:top w:val="nil" w:sz="6" w:space="0" w:color="auto"/>
                          <w:left w:val="single" w:sz="4" w:space="0" w:color="000000"/>
                          <w:bottom w:val="nil" w:sz="6" w:space="0" w:color="auto"/>
                          <w:right w:val="single" w:sz="4" w:space="0" w:color="000000"/>
                        </w:tcBorders>
                      </w:tcPr>
                      <w:p>
                        <w:pPr/>
                      </w:p>
                    </w:tc>
                    <w:tc>
                      <w:tcPr>
                        <w:tcW w:w="100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联大厦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6" w:type="dxa"/>
                        <w:tcBorders>
                          <w:top w:val="nil" w:sz="6" w:space="0" w:color="auto"/>
                          <w:left w:val="single" w:sz="4" w:space="0" w:color="000000"/>
                          <w:bottom w:val="nil" w:sz="6" w:space="0" w:color="auto"/>
                          <w:right w:val="single" w:sz="4" w:space="0" w:color="000000"/>
                        </w:tcBorders>
                      </w:tcPr>
                      <w:p>
                        <w:pPr/>
                      </w:p>
                    </w:tc>
                    <w:tc>
                      <w:tcPr>
                        <w:tcW w:w="872" w:type="dxa"/>
                        <w:tcBorders>
                          <w:top w:val="nil" w:sz="6" w:space="0" w:color="auto"/>
                          <w:left w:val="single" w:sz="4" w:space="0" w:color="000000"/>
                          <w:bottom w:val="nil" w:sz="6" w:space="0" w:color="auto"/>
                          <w:right w:val="single" w:sz="4" w:space="0" w:color="000000"/>
                        </w:tcBorders>
                      </w:tcPr>
                      <w:p>
                        <w:pPr/>
                      </w:p>
                    </w:tc>
                    <w:tc>
                      <w:tcPr>
                        <w:tcW w:w="866" w:type="dxa"/>
                        <w:tcBorders>
                          <w:top w:val="nil" w:sz="6" w:space="0" w:color="auto"/>
                          <w:left w:val="single" w:sz="4" w:space="0" w:color="000000"/>
                          <w:bottom w:val="nil" w:sz="6" w:space="0" w:color="auto"/>
                          <w:right w:val="single" w:sz="4" w:space="0" w:color="000000"/>
                        </w:tcBorders>
                      </w:tcPr>
                      <w:p>
                        <w:pPr/>
                      </w:p>
                    </w:tc>
                    <w:tc>
                      <w:tcPr>
                        <w:tcW w:w="866" w:type="dxa"/>
                        <w:tcBorders>
                          <w:top w:val="nil" w:sz="6" w:space="0" w:color="auto"/>
                          <w:left w:val="single" w:sz="4" w:space="0" w:color="000000"/>
                          <w:bottom w:val="nil" w:sz="6" w:space="0" w:color="auto"/>
                          <w:right w:val="single" w:sz="4" w:space="0" w:color="000000"/>
                        </w:tcBorders>
                      </w:tcPr>
                      <w:p>
                        <w:pPr/>
                      </w:p>
                    </w:tc>
                    <w:tc>
                      <w:tcPr>
                        <w:tcW w:w="87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867"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c>
                      <w:tcPr>
                        <w:tcW w:w="1229"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864" w:type="dxa"/>
                        <w:tcBorders>
                          <w:top w:val="nil" w:sz="6" w:space="0" w:color="auto"/>
                          <w:left w:val="single" w:sz="4" w:space="0" w:color="000000"/>
                          <w:bottom w:val="single" w:sz="4" w:space="0" w:color="000000"/>
                          <w:right w:val="single" w:sz="4" w:space="0" w:color="000000"/>
                        </w:tcBorders>
                      </w:tcPr>
                      <w:p>
                        <w:pPr/>
                      </w:p>
                    </w:tc>
                    <w:tc>
                      <w:tcPr>
                        <w:tcW w:w="10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727" w:type="dxa"/>
                        <w:tcBorders>
                          <w:top w:val="nil" w:sz="6" w:space="0" w:color="auto"/>
                          <w:left w:val="single" w:sz="4" w:space="0" w:color="000000"/>
                          <w:bottom w:val="single" w:sz="4" w:space="0" w:color="000000"/>
                          <w:right w:val="single" w:sz="4" w:space="0" w:color="000000"/>
                        </w:tcBorders>
                      </w:tcPr>
                      <w:p>
                        <w:pPr/>
                      </w:p>
                    </w:tc>
                    <w:tc>
                      <w:tcPr>
                        <w:tcW w:w="866" w:type="dxa"/>
                        <w:tcBorders>
                          <w:top w:val="nil" w:sz="6" w:space="0" w:color="auto"/>
                          <w:left w:val="single" w:sz="4" w:space="0" w:color="000000"/>
                          <w:bottom w:val="single" w:sz="4" w:space="0" w:color="000000"/>
                          <w:right w:val="single" w:sz="4" w:space="0" w:color="000000"/>
                        </w:tcBorders>
                      </w:tcPr>
                      <w:p>
                        <w:pPr/>
                      </w:p>
                    </w:tc>
                    <w:tc>
                      <w:tcPr>
                        <w:tcW w:w="872" w:type="dxa"/>
                        <w:tcBorders>
                          <w:top w:val="nil" w:sz="6" w:space="0" w:color="auto"/>
                          <w:left w:val="single" w:sz="4" w:space="0" w:color="000000"/>
                          <w:bottom w:val="single" w:sz="4" w:space="0" w:color="000000"/>
                          <w:right w:val="single" w:sz="4" w:space="0" w:color="000000"/>
                        </w:tcBorders>
                      </w:tcPr>
                      <w:p>
                        <w:pPr/>
                      </w:p>
                    </w:tc>
                    <w:tc>
                      <w:tcPr>
                        <w:tcW w:w="866" w:type="dxa"/>
                        <w:tcBorders>
                          <w:top w:val="nil" w:sz="6" w:space="0" w:color="auto"/>
                          <w:left w:val="single" w:sz="4" w:space="0" w:color="000000"/>
                          <w:bottom w:val="single" w:sz="4" w:space="0" w:color="000000"/>
                          <w:right w:val="single" w:sz="4" w:space="0" w:color="000000"/>
                        </w:tcBorders>
                      </w:tcPr>
                      <w:p>
                        <w:pPr/>
                      </w:p>
                    </w:tc>
                    <w:tc>
                      <w:tcPr>
                        <w:tcW w:w="866" w:type="dxa"/>
                        <w:tcBorders>
                          <w:top w:val="nil" w:sz="6" w:space="0" w:color="auto"/>
                          <w:left w:val="single" w:sz="4" w:space="0" w:color="000000"/>
                          <w:bottom w:val="single" w:sz="4" w:space="0" w:color="000000"/>
                          <w:right w:val="single" w:sz="4" w:space="0" w:color="000000"/>
                        </w:tcBorders>
                      </w:tcPr>
                      <w:p>
                        <w:pPr/>
                      </w:p>
                    </w:tc>
                    <w:tc>
                      <w:tcPr>
                        <w:tcW w:w="872" w:type="dxa"/>
                        <w:tcBorders>
                          <w:top w:val="nil" w:sz="6" w:space="0" w:color="auto"/>
                          <w:left w:val="single" w:sz="4" w:space="0" w:color="000000"/>
                          <w:bottom w:val="single" w:sz="4" w:space="0" w:color="000000"/>
                          <w:right w:val="single" w:sz="4" w:space="0" w:color="000000"/>
                        </w:tcBorders>
                      </w:tcPr>
                      <w:p>
                        <w:pPr/>
                      </w:p>
                    </w:tc>
                    <w:tc>
                      <w:tcPr>
                        <w:tcW w:w="864"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4" w:type="dxa"/>
                        <w:tcBorders>
                          <w:top w:val="nil" w:sz="6" w:space="0" w:color="auto"/>
                          <w:left w:val="single" w:sz="4" w:space="0" w:color="000000"/>
                          <w:bottom w:val="single" w:sz="4" w:space="0" w:color="000000"/>
                          <w:right w:val="single" w:sz="4" w:space="0" w:color="000000"/>
                        </w:tcBorders>
                      </w:tcPr>
                      <w:p>
                        <w:pPr/>
                      </w:p>
                    </w:tc>
                    <w:tc>
                      <w:tcPr>
                        <w:tcW w:w="867"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c>
                      <w:tcPr>
                        <w:tcW w:w="1229" w:type="dxa"/>
                        <w:tcBorders>
                          <w:top w:val="nil" w:sz="6" w:space="0" w:color="auto"/>
                          <w:left w:val="single" w:sz="4" w:space="0" w:color="000000"/>
                          <w:bottom w:val="nil" w:sz="6" w:space="0" w:color="auto"/>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赵某某</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4"/>
                          <w:jc w:val="both"/>
                          <w:rPr>
                            <w:rFonts w:ascii="宋体" w:hAnsi="宋体" w:cs="宋体" w:eastAsia="宋体" w:hint="default"/>
                            <w:sz w:val="18"/>
                            <w:szCs w:val="18"/>
                          </w:rPr>
                        </w:pPr>
                        <w:r>
                          <w:rPr>
                            <w:rFonts w:ascii="宋体" w:hAnsi="宋体" w:cs="宋体" w:eastAsia="宋体" w:hint="default"/>
                            <w:sz w:val="18"/>
                            <w:szCs w:val="18"/>
                          </w:rPr>
                          <w:t>深圳南山区 南油大道以 西金晖大厦 </w:t>
                        </w:r>
                        <w:r>
                          <w:rPr>
                            <w:rFonts w:ascii="Times New Roman" w:hAnsi="Times New Roman" w:cs="Times New Roman" w:eastAsia="Times New Roman" w:hint="default"/>
                            <w:sz w:val="18"/>
                            <w:szCs w:val="18"/>
                          </w:rPr>
                          <w:t>1413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号房产</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125.51</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21" w:right="110"/>
                          <w:jc w:val="left"/>
                          <w:rPr>
                            <w:rFonts w:ascii="宋体" w:hAnsi="宋体" w:cs="宋体" w:eastAsia="宋体" w:hint="default"/>
                            <w:sz w:val="18"/>
                            <w:szCs w:val="18"/>
                          </w:rPr>
                        </w:pPr>
                        <w:r>
                          <w:rPr>
                            <w:rFonts w:ascii="Times New Roman" w:hAnsi="Times New Roman" w:cs="Times New Roman" w:eastAsia="Times New Roman" w:hint="default"/>
                            <w:sz w:val="18"/>
                            <w:szCs w:val="18"/>
                          </w:rPr>
                          <w:t>125.51 </w:t>
                        </w:r>
                        <w:r>
                          <w:rPr>
                            <w:rFonts w:ascii="宋体" w:hAnsi="宋体" w:cs="宋体" w:eastAsia="宋体" w:hint="default"/>
                            <w:sz w:val="18"/>
                            <w:szCs w:val="18"/>
                          </w:rPr>
                          <w:t>万 元</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评估</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229"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left="21" w:right="-39"/>
                          <w:jc w:val="left"/>
                          <w:rPr>
                            <w:rFonts w:ascii="宋体" w:hAnsi="宋体" w:cs="宋体" w:eastAsia="宋体" w:hint="default"/>
                            <w:sz w:val="18"/>
                            <w:szCs w:val="18"/>
                          </w:rPr>
                        </w:pPr>
                        <w:r>
                          <w:rPr>
                            <w:rFonts w:ascii="宋体" w:hAnsi="宋体" w:cs="宋体" w:eastAsia="宋体" w:hint="default"/>
                            <w:spacing w:val="53"/>
                            <w:sz w:val="18"/>
                            <w:szCs w:val="18"/>
                          </w:rPr>
                          <w:t>巨潮资讯网</w:t>
                        </w:r>
                        <w:r>
                          <w:rPr>
                            <w:rFonts w:ascii="宋体" w:hAnsi="宋体" w:cs="宋体" w:eastAsia="宋体" w:hint="default"/>
                            <w:spacing w:val="-23"/>
                            <w:sz w:val="18"/>
                            <w:szCs w:val="18"/>
                          </w:rPr>
                          <w:t> </w:t>
                        </w:r>
                        <w:r>
                          <w:rPr>
                            <w:rFonts w:ascii="宋体" w:hAnsi="宋体" w:cs="宋体" w:eastAsia="宋体" w:hint="default"/>
                            <w:sz w:val="18"/>
                            <w:szCs w:val="18"/>
                          </w:rPr>
                        </w:r>
                      </w:p>
                      <w:p>
                        <w:pPr>
                          <w:pStyle w:val="TableParagraph"/>
                          <w:spacing w:line="300" w:lineRule="auto" w:before="77"/>
                          <w:ind w:left="21" w:right="-1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www.cninfo. com.cn</w:t>
                        </w:r>
                        <w:r>
                          <w:rPr>
                            <w:rFonts w:ascii="Times New Roman" w:hAnsi="Times New Roman" w:cs="Times New Roman" w:eastAsia="Times New Roman" w:hint="default"/>
                            <w:spacing w:val="-13"/>
                            <w:sz w:val="18"/>
                            <w:szCs w:val="18"/>
                          </w:rPr>
                          <w:t> </w:t>
                        </w:r>
                        <w:r>
                          <w:rPr>
                            <w:rFonts w:ascii="宋体" w:hAnsi="宋体" w:cs="宋体" w:eastAsia="宋体" w:hint="default"/>
                            <w:spacing w:val="24"/>
                            <w:sz w:val="18"/>
                            <w:szCs w:val="18"/>
                          </w:rPr>
                          <w:t>）上的</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9"/>
                            <w:sz w:val="18"/>
                            <w:szCs w:val="18"/>
                          </w:rPr>
                          <w:t> </w:t>
                        </w:r>
                        <w:r>
                          <w:rPr>
                            <w:rFonts w:ascii="宋体" w:hAnsi="宋体" w:cs="宋体" w:eastAsia="宋体" w:hint="default"/>
                            <w:spacing w:val="14"/>
                            <w:sz w:val="18"/>
                            <w:szCs w:val="18"/>
                          </w:rPr>
                          <w:t>关于处置公</w:t>
                        </w: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许某某</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上海绥德路 </w:t>
                        </w:r>
                        <w:r>
                          <w:rPr>
                            <w:rFonts w:ascii="Times New Roman" w:hAnsi="Times New Roman" w:cs="Times New Roman" w:eastAsia="Times New Roman" w:hint="default"/>
                            <w:sz w:val="18"/>
                            <w:szCs w:val="18"/>
                          </w:rPr>
                          <w:t>2 </w:t>
                        </w:r>
                        <w:r>
                          <w:rPr>
                            <w:rFonts w:ascii="宋体" w:hAnsi="宋体" w:cs="宋体" w:eastAsia="宋体" w:hint="default"/>
                            <w:sz w:val="18"/>
                            <w:szCs w:val="18"/>
                          </w:rPr>
                          <w:t>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层</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-138.95</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-138.95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评估</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512" w:type="dxa"/>
                        <w:tcBorders>
                          <w:top w:val="nil" w:sz="6" w:space="0" w:color="auto"/>
                          <w:left w:val="single" w:sz="4" w:space="0" w:color="000000"/>
                          <w:bottom w:val="nil" w:sz="6" w:space="0" w:color="auto"/>
                          <w:right w:val="single" w:sz="4" w:space="0" w:color="000000"/>
                        </w:tcBorders>
                      </w:tcPr>
                      <w:p>
                        <w:pPr/>
                      </w:p>
                    </w:tc>
                    <w:tc>
                      <w:tcPr>
                        <w:tcW w:w="122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司房产的公告</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9"/>
                            <w:sz w:val="18"/>
                            <w:szCs w:val="18"/>
                          </w:rPr>
                          <w:t> </w:t>
                        </w:r>
                        <w:r>
                          <w:rPr>
                            <w:rFonts w:ascii="宋体" w:hAnsi="宋体" w:cs="宋体" w:eastAsia="宋体" w:hint="default"/>
                            <w:spacing w:val="14"/>
                            <w:sz w:val="18"/>
                            <w:szCs w:val="18"/>
                          </w:rPr>
                          <w:t>公告编号：</w:t>
                        </w:r>
                      </w:p>
                      <w:p>
                        <w:pPr>
                          <w:pStyle w:val="TableParagraph"/>
                          <w:spacing w:line="240" w:lineRule="auto" w:before="76"/>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2017-037</w:t>
                        </w:r>
                        <w:r>
                          <w:rPr>
                            <w:rFonts w:ascii="宋体" w:hAnsi="宋体" w:cs="宋体" w:eastAsia="宋体" w:hint="default"/>
                            <w:sz w:val="18"/>
                            <w:szCs w:val="18"/>
                          </w:rPr>
                          <w:t>）</w:t>
                        </w:r>
                      </w:p>
                    </w:tc>
                  </w:tr>
                  <w:tr>
                    <w:trPr>
                      <w:trHeight w:val="355" w:hRule="exact"/>
                    </w:trPr>
                    <w:tc>
                      <w:tcPr>
                        <w:tcW w:w="864" w:type="dxa"/>
                        <w:tcBorders>
                          <w:top w:val="single" w:sz="4" w:space="0" w:color="000000"/>
                          <w:left w:val="single" w:sz="4" w:space="0" w:color="000000"/>
                          <w:bottom w:val="nil" w:sz="6" w:space="0" w:color="auto"/>
                          <w:right w:val="single" w:sz="4" w:space="0" w:color="000000"/>
                        </w:tcBorders>
                      </w:tcPr>
                      <w:p>
                        <w:pPr/>
                      </w:p>
                    </w:tc>
                    <w:tc>
                      <w:tcPr>
                        <w:tcW w:w="10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广州越秀区</w:t>
                        </w:r>
                      </w:p>
                    </w:tc>
                    <w:tc>
                      <w:tcPr>
                        <w:tcW w:w="727" w:type="dxa"/>
                        <w:tcBorders>
                          <w:top w:val="single" w:sz="4" w:space="0" w:color="000000"/>
                          <w:left w:val="single" w:sz="4" w:space="0" w:color="000000"/>
                          <w:bottom w:val="nil" w:sz="6" w:space="0" w:color="auto"/>
                          <w:right w:val="single" w:sz="4" w:space="0" w:color="000000"/>
                        </w:tcBorders>
                      </w:tcPr>
                      <w:p>
                        <w:pPr/>
                      </w:p>
                    </w:tc>
                    <w:tc>
                      <w:tcPr>
                        <w:tcW w:w="866" w:type="dxa"/>
                        <w:tcBorders>
                          <w:top w:val="single" w:sz="4" w:space="0" w:color="000000"/>
                          <w:left w:val="single" w:sz="4" w:space="0" w:color="000000"/>
                          <w:bottom w:val="nil" w:sz="6" w:space="0" w:color="auto"/>
                          <w:right w:val="single" w:sz="4" w:space="0" w:color="000000"/>
                        </w:tcBorders>
                      </w:tcPr>
                      <w:p>
                        <w:pPr/>
                      </w:p>
                    </w:tc>
                    <w:tc>
                      <w:tcPr>
                        <w:tcW w:w="872" w:type="dxa"/>
                        <w:tcBorders>
                          <w:top w:val="single" w:sz="4" w:space="0" w:color="000000"/>
                          <w:left w:val="single" w:sz="4" w:space="0" w:color="000000"/>
                          <w:bottom w:val="nil" w:sz="6" w:space="0" w:color="auto"/>
                          <w:right w:val="single" w:sz="4" w:space="0" w:color="000000"/>
                        </w:tcBorders>
                      </w:tcPr>
                      <w:p>
                        <w:pPr/>
                      </w:p>
                    </w:tc>
                    <w:tc>
                      <w:tcPr>
                        <w:tcW w:w="866" w:type="dxa"/>
                        <w:tcBorders>
                          <w:top w:val="single" w:sz="4" w:space="0" w:color="000000"/>
                          <w:left w:val="single" w:sz="4" w:space="0" w:color="000000"/>
                          <w:bottom w:val="nil" w:sz="6" w:space="0" w:color="auto"/>
                          <w:right w:val="single" w:sz="4" w:space="0" w:color="000000"/>
                        </w:tcBorders>
                      </w:tcPr>
                      <w:p>
                        <w:pPr/>
                      </w:p>
                    </w:tc>
                    <w:tc>
                      <w:tcPr>
                        <w:tcW w:w="866" w:type="dxa"/>
                        <w:tcBorders>
                          <w:top w:val="single" w:sz="4" w:space="0" w:color="000000"/>
                          <w:left w:val="single" w:sz="4" w:space="0" w:color="000000"/>
                          <w:bottom w:val="nil" w:sz="6" w:space="0" w:color="auto"/>
                          <w:right w:val="single" w:sz="4" w:space="0" w:color="000000"/>
                        </w:tcBorders>
                      </w:tcPr>
                      <w:p>
                        <w:pPr/>
                      </w:p>
                    </w:tc>
                    <w:tc>
                      <w:tcPr>
                        <w:tcW w:w="872" w:type="dxa"/>
                        <w:tcBorders>
                          <w:top w:val="single" w:sz="4" w:space="0" w:color="000000"/>
                          <w:left w:val="single" w:sz="4" w:space="0" w:color="000000"/>
                          <w:bottom w:val="nil" w:sz="6" w:space="0" w:color="auto"/>
                          <w:right w:val="single" w:sz="4" w:space="0" w:color="000000"/>
                        </w:tcBorders>
                      </w:tcPr>
                      <w:p>
                        <w:pPr/>
                      </w:p>
                    </w:tc>
                    <w:tc>
                      <w:tcPr>
                        <w:tcW w:w="864"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4" w:type="dxa"/>
                        <w:tcBorders>
                          <w:top w:val="single" w:sz="4" w:space="0" w:color="000000"/>
                          <w:left w:val="single" w:sz="4" w:space="0" w:color="000000"/>
                          <w:bottom w:val="nil" w:sz="6" w:space="0" w:color="auto"/>
                          <w:right w:val="single" w:sz="4" w:space="0" w:color="000000"/>
                        </w:tcBorders>
                      </w:tcPr>
                      <w:p>
                        <w:pPr/>
                      </w:p>
                    </w:tc>
                    <w:tc>
                      <w:tcPr>
                        <w:tcW w:w="867"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c>
                      <w:tcPr>
                        <w:tcW w:w="122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64" w:type="dxa"/>
                        <w:tcBorders>
                          <w:top w:val="nil" w:sz="6" w:space="0" w:color="auto"/>
                          <w:left w:val="single" w:sz="4" w:space="0" w:color="000000"/>
                          <w:bottom w:val="nil" w:sz="6" w:space="0" w:color="auto"/>
                          <w:right w:val="single" w:sz="4" w:space="0" w:color="000000"/>
                        </w:tcBorders>
                      </w:tcPr>
                      <w:p>
                        <w:pPr/>
                      </w:p>
                    </w:tc>
                    <w:tc>
                      <w:tcPr>
                        <w:tcW w:w="10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广州大道中</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66" w:type="dxa"/>
                        <w:tcBorders>
                          <w:top w:val="nil" w:sz="6" w:space="0" w:color="auto"/>
                          <w:left w:val="single" w:sz="4" w:space="0" w:color="000000"/>
                          <w:bottom w:val="nil" w:sz="6" w:space="0" w:color="auto"/>
                          <w:right w:val="single" w:sz="4" w:space="0" w:color="000000"/>
                        </w:tcBorders>
                      </w:tcPr>
                      <w:p>
                        <w:pPr/>
                      </w:p>
                    </w:tc>
                    <w:tc>
                      <w:tcPr>
                        <w:tcW w:w="872" w:type="dxa"/>
                        <w:tcBorders>
                          <w:top w:val="nil" w:sz="6" w:space="0" w:color="auto"/>
                          <w:left w:val="single" w:sz="4" w:space="0" w:color="000000"/>
                          <w:bottom w:val="nil" w:sz="6" w:space="0" w:color="auto"/>
                          <w:right w:val="single" w:sz="4" w:space="0" w:color="000000"/>
                        </w:tcBorders>
                      </w:tcPr>
                      <w:p>
                        <w:pPr/>
                      </w:p>
                    </w:tc>
                    <w:tc>
                      <w:tcPr>
                        <w:tcW w:w="866" w:type="dxa"/>
                        <w:tcBorders>
                          <w:top w:val="nil" w:sz="6" w:space="0" w:color="auto"/>
                          <w:left w:val="single" w:sz="4" w:space="0" w:color="000000"/>
                          <w:bottom w:val="nil" w:sz="6" w:space="0" w:color="auto"/>
                          <w:right w:val="single" w:sz="4" w:space="0" w:color="000000"/>
                        </w:tcBorders>
                      </w:tcPr>
                      <w:p>
                        <w:pPr/>
                      </w:p>
                    </w:tc>
                    <w:tc>
                      <w:tcPr>
                        <w:tcW w:w="866" w:type="dxa"/>
                        <w:tcBorders>
                          <w:top w:val="nil" w:sz="6" w:space="0" w:color="auto"/>
                          <w:left w:val="single" w:sz="4" w:space="0" w:color="000000"/>
                          <w:bottom w:val="nil" w:sz="6" w:space="0" w:color="auto"/>
                          <w:right w:val="single" w:sz="4" w:space="0" w:color="000000"/>
                        </w:tcBorders>
                      </w:tcPr>
                      <w:p>
                        <w:pPr/>
                      </w:p>
                    </w:tc>
                    <w:tc>
                      <w:tcPr>
                        <w:tcW w:w="87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867"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c>
                      <w:tcPr>
                        <w:tcW w:w="122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周某某</w:t>
                        </w:r>
                      </w:p>
                    </w:tc>
                    <w:tc>
                      <w:tcPr>
                        <w:tcW w:w="100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123,125</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tc>
                    <w:tc>
                      <w:tcPr>
                        <w:tcW w:w="866"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355</w:t>
                        </w:r>
                      </w:p>
                    </w:tc>
                    <w:tc>
                      <w:tcPr>
                        <w:tcW w:w="872"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90.01</w:t>
                        </w:r>
                      </w:p>
                    </w:tc>
                    <w:tc>
                      <w:tcPr>
                        <w:tcW w:w="8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866"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0.84%</w:t>
                        </w:r>
                      </w:p>
                    </w:tc>
                    <w:tc>
                      <w:tcPr>
                        <w:tcW w:w="8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评估</w:t>
                        </w:r>
                      </w:p>
                    </w:tc>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512" w:type="dxa"/>
                        <w:tcBorders>
                          <w:top w:val="nil" w:sz="6" w:space="0" w:color="auto"/>
                          <w:left w:val="single" w:sz="4" w:space="0" w:color="000000"/>
                          <w:bottom w:val="nil" w:sz="6" w:space="0" w:color="auto"/>
                          <w:right w:val="single" w:sz="4" w:space="0" w:color="000000"/>
                        </w:tcBorders>
                      </w:tcPr>
                      <w:p>
                        <w:pPr/>
                      </w:p>
                    </w:tc>
                    <w:tc>
                      <w:tcPr>
                        <w:tcW w:w="122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64" w:type="dxa"/>
                        <w:tcBorders>
                          <w:top w:val="nil" w:sz="6" w:space="0" w:color="auto"/>
                          <w:left w:val="single" w:sz="4" w:space="0" w:color="000000"/>
                          <w:bottom w:val="nil" w:sz="6" w:space="0" w:color="auto"/>
                          <w:right w:val="single" w:sz="4" w:space="0" w:color="000000"/>
                        </w:tcBorders>
                      </w:tcPr>
                      <w:p>
                        <w:pPr/>
                      </w:p>
                    </w:tc>
                    <w:tc>
                      <w:tcPr>
                        <w:tcW w:w="10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号丽景大厦</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6" w:type="dxa"/>
                        <w:tcBorders>
                          <w:top w:val="nil" w:sz="6" w:space="0" w:color="auto"/>
                          <w:left w:val="single" w:sz="4" w:space="0" w:color="000000"/>
                          <w:bottom w:val="nil" w:sz="6" w:space="0" w:color="auto"/>
                          <w:right w:val="single" w:sz="4" w:space="0" w:color="000000"/>
                        </w:tcBorders>
                      </w:tcPr>
                      <w:p>
                        <w:pPr/>
                      </w:p>
                    </w:tc>
                    <w:tc>
                      <w:tcPr>
                        <w:tcW w:w="872" w:type="dxa"/>
                        <w:tcBorders>
                          <w:top w:val="nil" w:sz="6" w:space="0" w:color="auto"/>
                          <w:left w:val="single" w:sz="4" w:space="0" w:color="000000"/>
                          <w:bottom w:val="nil" w:sz="6" w:space="0" w:color="auto"/>
                          <w:right w:val="single" w:sz="4" w:space="0" w:color="000000"/>
                        </w:tcBorders>
                      </w:tcPr>
                      <w:p>
                        <w:pPr/>
                      </w:p>
                    </w:tc>
                    <w:tc>
                      <w:tcPr>
                        <w:tcW w:w="866" w:type="dxa"/>
                        <w:tcBorders>
                          <w:top w:val="nil" w:sz="6" w:space="0" w:color="auto"/>
                          <w:left w:val="single" w:sz="4" w:space="0" w:color="000000"/>
                          <w:bottom w:val="nil" w:sz="6" w:space="0" w:color="auto"/>
                          <w:right w:val="single" w:sz="4" w:space="0" w:color="000000"/>
                        </w:tcBorders>
                      </w:tcPr>
                      <w:p>
                        <w:pPr/>
                      </w:p>
                    </w:tc>
                    <w:tc>
                      <w:tcPr>
                        <w:tcW w:w="866" w:type="dxa"/>
                        <w:tcBorders>
                          <w:top w:val="nil" w:sz="6" w:space="0" w:color="auto"/>
                          <w:left w:val="single" w:sz="4" w:space="0" w:color="000000"/>
                          <w:bottom w:val="nil" w:sz="6" w:space="0" w:color="auto"/>
                          <w:right w:val="single" w:sz="4" w:space="0" w:color="000000"/>
                        </w:tcBorders>
                      </w:tcPr>
                      <w:p>
                        <w:pPr/>
                      </w:p>
                    </w:tc>
                    <w:tc>
                      <w:tcPr>
                        <w:tcW w:w="87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867"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c>
                      <w:tcPr>
                        <w:tcW w:w="1229"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864" w:type="dxa"/>
                        <w:tcBorders>
                          <w:top w:val="nil" w:sz="6" w:space="0" w:color="auto"/>
                          <w:left w:val="single" w:sz="4" w:space="0" w:color="000000"/>
                          <w:bottom w:val="single" w:sz="4" w:space="0" w:color="000000"/>
                          <w:right w:val="single" w:sz="4" w:space="0" w:color="000000"/>
                        </w:tcBorders>
                      </w:tcPr>
                      <w:p>
                        <w:pPr/>
                      </w:p>
                    </w:tc>
                    <w:tc>
                      <w:tcPr>
                        <w:tcW w:w="10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房</w:t>
                        </w:r>
                      </w:p>
                    </w:tc>
                    <w:tc>
                      <w:tcPr>
                        <w:tcW w:w="727" w:type="dxa"/>
                        <w:tcBorders>
                          <w:top w:val="nil" w:sz="6" w:space="0" w:color="auto"/>
                          <w:left w:val="single" w:sz="4" w:space="0" w:color="000000"/>
                          <w:bottom w:val="single" w:sz="4" w:space="0" w:color="000000"/>
                          <w:right w:val="single" w:sz="4" w:space="0" w:color="000000"/>
                        </w:tcBorders>
                      </w:tcPr>
                      <w:p>
                        <w:pPr/>
                      </w:p>
                    </w:tc>
                    <w:tc>
                      <w:tcPr>
                        <w:tcW w:w="866" w:type="dxa"/>
                        <w:tcBorders>
                          <w:top w:val="nil" w:sz="6" w:space="0" w:color="auto"/>
                          <w:left w:val="single" w:sz="4" w:space="0" w:color="000000"/>
                          <w:bottom w:val="single" w:sz="4" w:space="0" w:color="000000"/>
                          <w:right w:val="single" w:sz="4" w:space="0" w:color="000000"/>
                        </w:tcBorders>
                      </w:tcPr>
                      <w:p>
                        <w:pPr/>
                      </w:p>
                    </w:tc>
                    <w:tc>
                      <w:tcPr>
                        <w:tcW w:w="872" w:type="dxa"/>
                        <w:tcBorders>
                          <w:top w:val="nil" w:sz="6" w:space="0" w:color="auto"/>
                          <w:left w:val="single" w:sz="4" w:space="0" w:color="000000"/>
                          <w:bottom w:val="single" w:sz="4" w:space="0" w:color="000000"/>
                          <w:right w:val="single" w:sz="4" w:space="0" w:color="000000"/>
                        </w:tcBorders>
                      </w:tcPr>
                      <w:p>
                        <w:pPr/>
                      </w:p>
                    </w:tc>
                    <w:tc>
                      <w:tcPr>
                        <w:tcW w:w="866" w:type="dxa"/>
                        <w:tcBorders>
                          <w:top w:val="nil" w:sz="6" w:space="0" w:color="auto"/>
                          <w:left w:val="single" w:sz="4" w:space="0" w:color="000000"/>
                          <w:bottom w:val="single" w:sz="4" w:space="0" w:color="000000"/>
                          <w:right w:val="single" w:sz="4" w:space="0" w:color="000000"/>
                        </w:tcBorders>
                      </w:tcPr>
                      <w:p>
                        <w:pPr/>
                      </w:p>
                    </w:tc>
                    <w:tc>
                      <w:tcPr>
                        <w:tcW w:w="866" w:type="dxa"/>
                        <w:tcBorders>
                          <w:top w:val="nil" w:sz="6" w:space="0" w:color="auto"/>
                          <w:left w:val="single" w:sz="4" w:space="0" w:color="000000"/>
                          <w:bottom w:val="single" w:sz="4" w:space="0" w:color="000000"/>
                          <w:right w:val="single" w:sz="4" w:space="0" w:color="000000"/>
                        </w:tcBorders>
                      </w:tcPr>
                      <w:p>
                        <w:pPr/>
                      </w:p>
                    </w:tc>
                    <w:tc>
                      <w:tcPr>
                        <w:tcW w:w="872" w:type="dxa"/>
                        <w:tcBorders>
                          <w:top w:val="nil" w:sz="6" w:space="0" w:color="auto"/>
                          <w:left w:val="single" w:sz="4" w:space="0" w:color="000000"/>
                          <w:bottom w:val="single" w:sz="4" w:space="0" w:color="000000"/>
                          <w:right w:val="single" w:sz="4" w:space="0" w:color="000000"/>
                        </w:tcBorders>
                      </w:tcPr>
                      <w:p>
                        <w:pPr/>
                      </w:p>
                    </w:tc>
                    <w:tc>
                      <w:tcPr>
                        <w:tcW w:w="864"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4" w:type="dxa"/>
                        <w:tcBorders>
                          <w:top w:val="nil" w:sz="6" w:space="0" w:color="auto"/>
                          <w:left w:val="single" w:sz="4" w:space="0" w:color="000000"/>
                          <w:bottom w:val="single" w:sz="4" w:space="0" w:color="000000"/>
                          <w:right w:val="single" w:sz="4" w:space="0" w:color="000000"/>
                        </w:tcBorders>
                      </w:tcPr>
                      <w:p>
                        <w:pPr/>
                      </w:p>
                    </w:tc>
                    <w:tc>
                      <w:tcPr>
                        <w:tcW w:w="867"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
                    </w:tc>
                    <w:tc>
                      <w:tcPr>
                        <w:tcW w:w="1229" w:type="dxa"/>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6840" w:h="11910" w:orient="landscape"/>
          <w:pgMar w:header="867" w:footer="980" w:top="1060" w:bottom="1160" w:left="1300" w:right="124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40" w:right="0"/>
        <w:jc w:val="left"/>
        <w:rPr>
          <w:b w:val="0"/>
          <w:bCs w:val="0"/>
        </w:rPr>
      </w:pPr>
      <w:r>
        <w:rPr>
          <w:rFonts w:ascii="Times New Roman" w:hAnsi="Times New Roman" w:cs="Times New Roman" w:eastAsia="Times New Roman" w:hint="default"/>
        </w:rPr>
        <w:t>2</w:t>
      </w:r>
      <w:r>
        <w:rPr/>
        <w:t>、</w:t>
      </w:r>
      <w:r>
        <w:rPr>
          <w:spacing w:val="2"/>
        </w:rPr>
        <w:t> </w:t>
      </w:r>
      <w:r>
        <w:rPr/>
        <w:t>其他说明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140"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日公司与客户肖某某签订不可撤销合同，向其销售公司位于石家庄长安区中山东路</w:t>
      </w:r>
      <w:r>
        <w:rPr>
          <w:rFonts w:ascii="Times New Roman" w:hAnsi="Times New Roman" w:cs="Times New Roman" w:eastAsia="Times New Roman" w:hint="default"/>
        </w:rPr>
        <w:t>265</w:t>
      </w:r>
      <w:r>
        <w:rPr/>
        <w:t>号汇景国际</w:t>
      </w:r>
      <w:r>
        <w:rPr>
          <w:rFonts w:ascii="Times New Roman" w:hAnsi="Times New Roman" w:cs="Times New Roman" w:eastAsia="Times New Roman" w:hint="default"/>
        </w:rPr>
        <w:t>4-903</w:t>
      </w:r>
      <w:r>
        <w:rPr/>
        <w:t>房产，交易金额为</w:t>
      </w:r>
      <w:r>
        <w:rPr>
          <w:rFonts w:ascii="Times New Roman" w:hAnsi="Times New Roman" w:cs="Times New Roman" w:eastAsia="Times New Roman" w:hint="default"/>
        </w:rPr>
        <w:t>120</w:t>
      </w:r>
      <w:r>
        <w:rPr/>
        <w:t>万元，预期对公司净利润影响为</w:t>
      </w:r>
      <w:r>
        <w:rPr>
          <w:rFonts w:ascii="Times New Roman" w:hAnsi="Times New Roman" w:cs="Times New Roman" w:eastAsia="Times New Roman" w:hint="default"/>
        </w:rPr>
        <w:t>49.15</w:t>
      </w:r>
      <w:r>
        <w:rPr/>
        <w:t>万 </w:t>
      </w:r>
      <w:r>
        <w:rPr>
          <w:spacing w:val="-3"/>
        </w:rPr>
        <w:t>元。公司收到合同约定的进度款后确认房产出售，并于</w:t>
      </w:r>
      <w:r>
        <w:rPr>
          <w:rFonts w:ascii="Times New Roman" w:hAnsi="Times New Roman" w:cs="Times New Roman" w:eastAsia="Times New Roman" w:hint="default"/>
          <w:spacing w:val="-3"/>
        </w:rPr>
        <w:t>2017</w:t>
      </w:r>
      <w:r>
        <w:rPr>
          <w:spacing w:val="-3"/>
        </w:rPr>
        <w:t>年度半年报进行了披露，后因客户支付能力出现严重问题，经双方友好协商，公司在收取约定违约金后，将该交易取消。</w:t>
      </w:r>
    </w:p>
    <w:p>
      <w:pPr>
        <w:spacing w:line="240" w:lineRule="auto" w:before="4"/>
        <w:rPr>
          <w:rFonts w:ascii="宋体" w:hAnsi="宋体" w:cs="宋体" w:eastAsia="宋体" w:hint="default"/>
          <w:sz w:val="22"/>
          <w:szCs w:val="22"/>
        </w:rPr>
      </w:pPr>
    </w:p>
    <w:p>
      <w:pPr>
        <w:pStyle w:val="Heading3"/>
        <w:spacing w:line="240" w:lineRule="auto"/>
        <w:ind w:left="140" w:right="0"/>
        <w:jc w:val="left"/>
        <w:rPr>
          <w:b w:val="0"/>
          <w:bCs w:val="0"/>
        </w:rPr>
      </w:pPr>
      <w:r>
        <w:rPr>
          <w:rFonts w:ascii="Times New Roman" w:hAnsi="Times New Roman" w:cs="Times New Roman" w:eastAsia="Times New Roman" w:hint="default"/>
        </w:rPr>
        <w:t>3</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BodyText"/>
        <w:spacing w:line="240" w:lineRule="auto" w:before="44"/>
        <w:ind w:left="0" w:right="104"/>
        <w:jc w:val="right"/>
      </w:pPr>
      <w:r>
        <w:rPr/>
        <w:pict>
          <v:shape style="position:absolute;margin-left:70.320pt;margin-top:-130.138290pt;width:701.65pt;height:149.950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10"/>
                    <w:gridCol w:w="979"/>
                    <w:gridCol w:w="850"/>
                    <w:gridCol w:w="566"/>
                    <w:gridCol w:w="1136"/>
                    <w:gridCol w:w="852"/>
                    <w:gridCol w:w="1133"/>
                    <w:gridCol w:w="566"/>
                    <w:gridCol w:w="569"/>
                    <w:gridCol w:w="566"/>
                    <w:gridCol w:w="708"/>
                    <w:gridCol w:w="1418"/>
                    <w:gridCol w:w="850"/>
                    <w:gridCol w:w="3214"/>
                  </w:tblGrid>
                  <w:tr>
                    <w:trPr>
                      <w:trHeight w:val="1652" w:hRule="exact"/>
                    </w:trPr>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08" w:right="29"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被出售股权</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交易 价格</w:t>
                        </w:r>
                      </w:p>
                      <w:p>
                        <w:pPr>
                          <w:pStyle w:val="TableParagraph"/>
                          <w:spacing w:line="316" w:lineRule="auto" w:before="19"/>
                          <w:ind w:left="98" w:right="96"/>
                          <w:jc w:val="left"/>
                          <w:rPr>
                            <w:rFonts w:ascii="宋体" w:hAnsi="宋体" w:cs="宋体" w:eastAsia="宋体" w:hint="default"/>
                            <w:sz w:val="18"/>
                            <w:szCs w:val="18"/>
                          </w:rPr>
                        </w:pPr>
                        <w:r>
                          <w:rPr>
                            <w:rFonts w:ascii="宋体" w:hAnsi="宋体" w:cs="宋体" w:eastAsia="宋体" w:hint="default"/>
                            <w:sz w:val="18"/>
                            <w:szCs w:val="18"/>
                          </w:rPr>
                          <w:t>（万 元）</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0" w:firstLine="88"/>
                          <w:jc w:val="both"/>
                          <w:rPr>
                            <w:rFonts w:ascii="宋体" w:hAnsi="宋体" w:cs="宋体" w:eastAsia="宋体" w:hint="default"/>
                            <w:sz w:val="18"/>
                            <w:szCs w:val="18"/>
                          </w:rPr>
                        </w:pPr>
                        <w:r>
                          <w:rPr>
                            <w:rFonts w:ascii="宋体" w:hAnsi="宋体" w:cs="宋体" w:eastAsia="宋体" w:hint="default"/>
                            <w:sz w:val="18"/>
                            <w:szCs w:val="18"/>
                          </w:rPr>
                          <w:t>本期初起至 出售日该股 权为上市公 司贡献的净 利润（万元）</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0" w:right="60"/>
                          <w:jc w:val="left"/>
                          <w:rPr>
                            <w:rFonts w:ascii="宋体" w:hAnsi="宋体" w:cs="宋体" w:eastAsia="宋体" w:hint="default"/>
                            <w:sz w:val="18"/>
                            <w:szCs w:val="18"/>
                          </w:rPr>
                        </w:pPr>
                        <w:r>
                          <w:rPr>
                            <w:rFonts w:ascii="宋体" w:hAnsi="宋体" w:cs="宋体" w:eastAsia="宋体" w:hint="default"/>
                            <w:sz w:val="18"/>
                            <w:szCs w:val="18"/>
                          </w:rPr>
                          <w:t>出售对公 司的影响</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 w:right="110"/>
                          <w:jc w:val="both"/>
                          <w:rPr>
                            <w:rFonts w:ascii="宋体" w:hAnsi="宋体" w:cs="宋体" w:eastAsia="宋体" w:hint="default"/>
                            <w:sz w:val="18"/>
                            <w:szCs w:val="18"/>
                          </w:rPr>
                        </w:pPr>
                        <w:r>
                          <w:rPr>
                            <w:rFonts w:ascii="宋体" w:hAnsi="宋体" w:cs="宋体" w:eastAsia="宋体" w:hint="default"/>
                            <w:sz w:val="18"/>
                            <w:szCs w:val="18"/>
                          </w:rPr>
                          <w:t>股权出售为 上市公司贡 献的净利润 占净利润总 额的比例</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6"/>
                          <w:jc w:val="both"/>
                          <w:rPr>
                            <w:rFonts w:ascii="宋体" w:hAnsi="宋体" w:cs="宋体" w:eastAsia="宋体" w:hint="default"/>
                            <w:sz w:val="18"/>
                            <w:szCs w:val="18"/>
                          </w:rPr>
                        </w:pPr>
                        <w:r>
                          <w:rPr>
                            <w:rFonts w:ascii="宋体" w:hAnsi="宋体" w:cs="宋体" w:eastAsia="宋体" w:hint="default"/>
                            <w:sz w:val="18"/>
                            <w:szCs w:val="18"/>
                          </w:rPr>
                          <w:t>股权 出售 定价 原则</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8"/>
                          <w:jc w:val="both"/>
                          <w:rPr>
                            <w:rFonts w:ascii="宋体" w:hAnsi="宋体" w:cs="宋体" w:eastAsia="宋体" w:hint="default"/>
                            <w:sz w:val="18"/>
                            <w:szCs w:val="18"/>
                          </w:rPr>
                        </w:pPr>
                        <w:r>
                          <w:rPr>
                            <w:rFonts w:ascii="宋体" w:hAnsi="宋体" w:cs="宋体" w:eastAsia="宋体" w:hint="default"/>
                            <w:sz w:val="18"/>
                            <w:szCs w:val="18"/>
                          </w:rPr>
                          <w:t>是否 为关 联交 易</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5" w:right="98"/>
                          <w:jc w:val="both"/>
                          <w:rPr>
                            <w:rFonts w:ascii="宋体" w:hAnsi="宋体" w:cs="宋体" w:eastAsia="宋体" w:hint="default"/>
                            <w:sz w:val="18"/>
                            <w:szCs w:val="18"/>
                          </w:rPr>
                        </w:pPr>
                        <w:r>
                          <w:rPr>
                            <w:rFonts w:ascii="宋体" w:hAnsi="宋体" w:cs="宋体" w:eastAsia="宋体" w:hint="default"/>
                            <w:sz w:val="18"/>
                            <w:szCs w:val="18"/>
                          </w:rPr>
                          <w:t>与交 易对 方的 关联 关系</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9"/>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 w:right="24"/>
                          <w:jc w:val="center"/>
                          <w:rPr>
                            <w:rFonts w:ascii="宋体" w:hAnsi="宋体" w:cs="宋体" w:eastAsia="宋体" w:hint="default"/>
                            <w:sz w:val="18"/>
                            <w:szCs w:val="18"/>
                          </w:rPr>
                        </w:pPr>
                        <w:r>
                          <w:rPr>
                            <w:rFonts w:ascii="宋体" w:hAnsi="宋体" w:cs="宋体" w:eastAsia="宋体" w:hint="default"/>
                            <w:sz w:val="18"/>
                            <w:szCs w:val="18"/>
                          </w:rPr>
                          <w:t>是否按计划如期 </w:t>
                        </w:r>
                        <w:r>
                          <w:rPr>
                            <w:rFonts w:ascii="宋体" w:hAnsi="宋体" w:cs="宋体" w:eastAsia="宋体" w:hint="default"/>
                            <w:spacing w:val="-10"/>
                            <w:sz w:val="18"/>
                            <w:szCs w:val="18"/>
                          </w:rPr>
                          <w:t>实施，如未按计划</w:t>
                        </w:r>
                        <w:r>
                          <w:rPr>
                            <w:rFonts w:ascii="宋体" w:hAnsi="宋体" w:cs="宋体" w:eastAsia="宋体" w:hint="default"/>
                            <w:sz w:val="18"/>
                            <w:szCs w:val="18"/>
                          </w:rPr>
                          <w:t> </w:t>
                        </w:r>
                        <w:r>
                          <w:rPr>
                            <w:rFonts w:ascii="宋体" w:hAnsi="宋体" w:cs="宋体" w:eastAsia="宋体" w:hint="default"/>
                            <w:spacing w:val="-10"/>
                            <w:sz w:val="18"/>
                            <w:szCs w:val="18"/>
                          </w:rPr>
                          <w:t>实施，应当说明原</w:t>
                        </w:r>
                        <w:r>
                          <w:rPr>
                            <w:rFonts w:ascii="宋体" w:hAnsi="宋体" w:cs="宋体" w:eastAsia="宋体" w:hint="default"/>
                            <w:sz w:val="18"/>
                            <w:szCs w:val="18"/>
                          </w:rPr>
                          <w:t> 因及公司已采取 的措施</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3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0" w:hRule="exact"/>
                    </w:trPr>
                    <w:tc>
                      <w:tcPr>
                        <w:tcW w:w="6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广州游</w:t>
                        </w:r>
                      </w:p>
                    </w:tc>
                    <w:tc>
                      <w:tcPr>
                        <w:tcW w:w="979"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569"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32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巨潮资讯</w:t>
                        </w:r>
                        <w:r>
                          <w:rPr>
                            <w:rFonts w:ascii="宋体" w:hAnsi="宋体" w:cs="宋体" w:eastAsia="宋体" w:hint="default"/>
                            <w:spacing w:val="-3"/>
                            <w:sz w:val="18"/>
                            <w:szCs w:val="18"/>
                          </w:rPr>
                          <w:t>网</w:t>
                        </w:r>
                        <w:r>
                          <w:rPr>
                            <w:rFonts w:ascii="宋体" w:hAnsi="宋体" w:cs="宋体" w:eastAsia="宋体" w:hint="default"/>
                            <w:spacing w:val="-1"/>
                            <w:sz w:val="18"/>
                            <w:szCs w:val="18"/>
                          </w:rPr>
                          <w:t>（</w:t>
                        </w:r>
                        <w:hyperlink r:id="rId15">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3"/>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3"/>
                              <w:sz w:val="18"/>
                              <w:szCs w:val="18"/>
                            </w:rPr>
                            <w:t>n</w:t>
                          </w:r>
                        </w:hyperlink>
                        <w:r>
                          <w:rPr>
                            <w:rFonts w:ascii="宋体" w:hAnsi="宋体" w:cs="宋体" w:eastAsia="宋体" w:hint="default"/>
                            <w:spacing w:val="-94"/>
                            <w:sz w:val="18"/>
                            <w:szCs w:val="18"/>
                          </w:rPr>
                          <w:t>）</w:t>
                        </w:r>
                        <w:r>
                          <w:rPr>
                            <w:rFonts w:ascii="宋体" w:hAnsi="宋体" w:cs="宋体" w:eastAsia="宋体" w:hint="default"/>
                            <w:sz w:val="18"/>
                            <w:szCs w:val="18"/>
                          </w:rPr>
                          <w:t>《关于</w:t>
                        </w:r>
                      </w:p>
                    </w:tc>
                  </w:tr>
                  <w:tr>
                    <w:trPr>
                      <w:trHeight w:val="624" w:hRule="exact"/>
                    </w:trPr>
                    <w:tc>
                      <w:tcPr>
                        <w:tcW w:w="61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34"/>
                          <w:jc w:val="left"/>
                          <w:rPr>
                            <w:rFonts w:ascii="宋体" w:hAnsi="宋体" w:cs="宋体" w:eastAsia="宋体" w:hint="default"/>
                            <w:sz w:val="18"/>
                            <w:szCs w:val="18"/>
                          </w:rPr>
                        </w:pPr>
                        <w:r>
                          <w:rPr>
                            <w:rFonts w:ascii="宋体" w:hAnsi="宋体" w:cs="宋体" w:eastAsia="宋体" w:hint="default"/>
                            <w:sz w:val="18"/>
                            <w:szCs w:val="18"/>
                          </w:rPr>
                          <w:t>爱网络 技术有</w:t>
                        </w:r>
                      </w:p>
                    </w:tc>
                    <w:tc>
                      <w:tcPr>
                        <w:tcW w:w="9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海南奇遇</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股权</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3,000</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96" w:right="0"/>
                          <w:jc w:val="left"/>
                          <w:rPr>
                            <w:rFonts w:ascii="Times New Roman" w:hAnsi="Times New Roman" w:cs="Times New Roman" w:eastAsia="Times New Roman" w:hint="default"/>
                            <w:sz w:val="18"/>
                            <w:szCs w:val="18"/>
                          </w:rPr>
                        </w:pPr>
                        <w:r>
                          <w:rPr>
                            <w:rFonts w:ascii="Times New Roman"/>
                            <w:sz w:val="18"/>
                          </w:rPr>
                          <w:t>2,540</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44" w:right="0"/>
                          <w:jc w:val="left"/>
                          <w:rPr>
                            <w:rFonts w:ascii="Times New Roman" w:hAnsi="Times New Roman" w:cs="Times New Roman" w:eastAsia="Times New Roman" w:hint="default"/>
                            <w:sz w:val="18"/>
                            <w:szCs w:val="18"/>
                          </w:rPr>
                        </w:pPr>
                        <w:r>
                          <w:rPr>
                            <w:rFonts w:ascii="Times New Roman"/>
                            <w:sz w:val="18"/>
                          </w:rPr>
                          <w:t>23.60%</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协商</w:t>
                        </w: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1" w:right="173"/>
                          <w:jc w:val="left"/>
                          <w:rPr>
                            <w:rFonts w:ascii="宋体" w:hAnsi="宋体" w:cs="宋体" w:eastAsia="宋体" w:hint="default"/>
                            <w:sz w:val="18"/>
                            <w:szCs w:val="18"/>
                          </w:rPr>
                        </w:pPr>
                        <w:r>
                          <w:rPr>
                            <w:rFonts w:ascii="宋体" w:hAnsi="宋体" w:cs="宋体" w:eastAsia="宋体" w:hint="default"/>
                            <w:sz w:val="18"/>
                            <w:szCs w:val="18"/>
                          </w:rPr>
                          <w:t>无关 系</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14"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1" w:right="120"/>
                          <w:jc w:val="left"/>
                          <w:rPr>
                            <w:rFonts w:ascii="宋体" w:hAnsi="宋体" w:cs="宋体" w:eastAsia="宋体" w:hint="default"/>
                            <w:sz w:val="18"/>
                            <w:szCs w:val="18"/>
                          </w:rPr>
                        </w:pPr>
                        <w:r>
                          <w:rPr>
                            <w:rFonts w:ascii="宋体" w:hAnsi="宋体" w:cs="宋体" w:eastAsia="宋体" w:hint="default"/>
                            <w:sz w:val="18"/>
                            <w:szCs w:val="18"/>
                          </w:rPr>
                          <w:t>子公司喀什中汇联银创业投资有限公司 转让海南奇遇天下网络科技有限公司</w:t>
                        </w:r>
                      </w:p>
                    </w:tc>
                  </w:tr>
                  <w:tr>
                    <w:trPr>
                      <w:trHeight w:val="353" w:hRule="exact"/>
                    </w:trPr>
                    <w:tc>
                      <w:tcPr>
                        <w:tcW w:w="6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10"/>
                          <w:jc w:val="center"/>
                          <w:rPr>
                            <w:rFonts w:ascii="宋体" w:hAnsi="宋体" w:cs="宋体" w:eastAsia="宋体" w:hint="default"/>
                            <w:sz w:val="18"/>
                            <w:szCs w:val="18"/>
                          </w:rPr>
                        </w:pPr>
                        <w:r>
                          <w:rPr>
                            <w:rFonts w:ascii="宋体" w:hAnsi="宋体" w:cs="宋体" w:eastAsia="宋体" w:hint="default"/>
                            <w:sz w:val="18"/>
                            <w:szCs w:val="18"/>
                          </w:rPr>
                          <w:t>限公司</w:t>
                        </w:r>
                      </w:p>
                    </w:tc>
                    <w:tc>
                      <w:tcPr>
                        <w:tcW w:w="979"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569"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32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9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w w:val="99"/>
                            <w:sz w:val="18"/>
                            <w:szCs w:val="18"/>
                          </w:rPr>
                          <w:t>10</w:t>
                        </w:r>
                        <w:r>
                          <w:rPr>
                            <w:rFonts w:ascii="Times New Roman" w:hAnsi="Times New Roman" w:cs="Times New Roman" w:eastAsia="Times New Roman" w:hint="default"/>
                            <w:spacing w:val="-2"/>
                            <w:w w:val="99"/>
                            <w:sz w:val="18"/>
                            <w:szCs w:val="18"/>
                          </w:rPr>
                          <w:t>%</w:t>
                        </w:r>
                        <w:r>
                          <w:rPr>
                            <w:rFonts w:ascii="宋体" w:hAnsi="宋体" w:cs="宋体" w:eastAsia="宋体" w:hint="default"/>
                            <w:w w:val="99"/>
                            <w:sz w:val="18"/>
                            <w:szCs w:val="18"/>
                          </w:rPr>
                          <w:t>股权的公告</w:t>
                        </w:r>
                        <w:r>
                          <w:rPr>
                            <w:rFonts w:ascii="宋体" w:hAnsi="宋体" w:cs="宋体" w:eastAsia="宋体" w:hint="default"/>
                            <w:spacing w:val="-104"/>
                            <w:w w:val="99"/>
                            <w:sz w:val="18"/>
                            <w:szCs w:val="18"/>
                          </w:rPr>
                          <w:t>》</w:t>
                        </w:r>
                        <w:r>
                          <w:rPr>
                            <w:rFonts w:ascii="宋体" w:hAnsi="宋体" w:cs="宋体" w:eastAsia="宋体" w:hint="default"/>
                            <w:w w:val="99"/>
                            <w:sz w:val="18"/>
                            <w:szCs w:val="18"/>
                          </w:rPr>
                          <w:t>（公告编号</w:t>
                        </w:r>
                        <w:r>
                          <w:rPr>
                            <w:rFonts w:ascii="宋体" w:hAnsi="宋体" w:cs="宋体" w:eastAsia="宋体" w:hint="default"/>
                            <w:spacing w:val="-10"/>
                            <w:w w:val="99"/>
                            <w:sz w:val="18"/>
                            <w:szCs w:val="18"/>
                          </w:rPr>
                          <w:t>：</w:t>
                        </w:r>
                        <w:r>
                          <w:rPr>
                            <w:rFonts w:ascii="Times New Roman" w:hAnsi="Times New Roman" w:cs="Times New Roman" w:eastAsia="Times New Roman" w:hint="default"/>
                            <w:spacing w:val="1"/>
                            <w:w w:val="99"/>
                            <w:sz w:val="18"/>
                            <w:szCs w:val="18"/>
                          </w:rPr>
                          <w:t>20</w:t>
                        </w:r>
                        <w:r>
                          <w:rPr>
                            <w:rFonts w:ascii="Times New Roman" w:hAnsi="Times New Roman" w:cs="Times New Roman" w:eastAsia="Times New Roman" w:hint="default"/>
                            <w:spacing w:val="-2"/>
                            <w:w w:val="99"/>
                            <w:sz w:val="18"/>
                            <w:szCs w:val="18"/>
                          </w:rPr>
                          <w:t>1</w:t>
                        </w:r>
                        <w:r>
                          <w:rPr>
                            <w:rFonts w:ascii="Times New Roman" w:hAnsi="Times New Roman" w:cs="Times New Roman" w:eastAsia="Times New Roman" w:hint="default"/>
                            <w:spacing w:val="1"/>
                            <w:w w:val="99"/>
                            <w:sz w:val="18"/>
                            <w:szCs w:val="18"/>
                          </w:rPr>
                          <w:t>7</w:t>
                        </w:r>
                        <w:r>
                          <w:rPr>
                            <w:rFonts w:ascii="Times New Roman" w:hAnsi="Times New Roman" w:cs="Times New Roman" w:eastAsia="Times New Roman" w:hint="default"/>
                            <w:spacing w:val="-3"/>
                            <w:w w:val="99"/>
                            <w:sz w:val="18"/>
                            <w:szCs w:val="18"/>
                          </w:rPr>
                          <w:t>-</w:t>
                        </w:r>
                        <w:r>
                          <w:rPr>
                            <w:rFonts w:ascii="Times New Roman" w:hAnsi="Times New Roman" w:cs="Times New Roman" w:eastAsia="Times New Roman" w:hint="default"/>
                            <w:spacing w:val="1"/>
                            <w:w w:val="99"/>
                            <w:sz w:val="18"/>
                            <w:szCs w:val="18"/>
                          </w:rPr>
                          <w:t>1</w:t>
                        </w:r>
                        <w:r>
                          <w:rPr>
                            <w:rFonts w:ascii="Times New Roman" w:hAnsi="Times New Roman" w:cs="Times New Roman" w:eastAsia="Times New Roman" w:hint="default"/>
                            <w:spacing w:val="-2"/>
                            <w:w w:val="99"/>
                            <w:sz w:val="18"/>
                            <w:szCs w:val="18"/>
                          </w:rPr>
                          <w:t>4</w:t>
                        </w:r>
                        <w:r>
                          <w:rPr>
                            <w:rFonts w:ascii="Times New Roman" w:hAnsi="Times New Roman" w:cs="Times New Roman" w:eastAsia="Times New Roman" w:hint="default"/>
                            <w:w w:val="99"/>
                            <w:sz w:val="18"/>
                            <w:szCs w:val="18"/>
                          </w:rPr>
                          <w:t>1</w:t>
                        </w:r>
                        <w:r>
                          <w:rPr>
                            <w:rFonts w:ascii="Times New Roman" w:hAnsi="Times New Roman" w:cs="Times New Roman" w:eastAsia="Times New Roman" w:hint="default"/>
                            <w:sz w:val="18"/>
                            <w:szCs w:val="18"/>
                          </w:rPr>
                        </w:r>
                      </w:p>
                    </w:tc>
                  </w:tr>
                </w:tbl>
                <w:p>
                  <w:pPr/>
                </w:p>
              </w:txbxContent>
            </v:textbox>
            <w10:wrap type="none"/>
          </v:shape>
        </w:pict>
      </w:r>
      <w:r>
        <w:rPr/>
        <w:t>）</w:t>
      </w:r>
    </w:p>
    <w:p>
      <w:pPr>
        <w:spacing w:line="240" w:lineRule="auto" w:before="12"/>
        <w:rPr>
          <w:rFonts w:ascii="宋体" w:hAnsi="宋体" w:cs="宋体" w:eastAsia="宋体" w:hint="default"/>
          <w:sz w:val="26"/>
          <w:szCs w:val="26"/>
        </w:rPr>
      </w:pPr>
    </w:p>
    <w:p>
      <w:pPr>
        <w:pStyle w:val="Heading2"/>
        <w:spacing w:line="240" w:lineRule="auto" w:before="26"/>
        <w:ind w:left="140" w:right="0"/>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6840" w:h="11910" w:orient="landscape"/>
          <w:pgMar w:header="867" w:footer="980" w:top="1060" w:bottom="1160" w:left="1300" w:right="1240"/>
        </w:sectPr>
      </w:pPr>
    </w:p>
    <w:p>
      <w:pPr>
        <w:pStyle w:val="BodyText"/>
        <w:spacing w:line="240" w:lineRule="auto" w:before="44"/>
        <w:ind w:left="140"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140" w:right="-19"/>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40" w:right="0"/>
        <w:jc w:val="left"/>
      </w:pPr>
      <w:r>
        <w:rPr/>
        <w:t>单位：元</w:t>
      </w:r>
    </w:p>
    <w:p>
      <w:pPr>
        <w:spacing w:after="0" w:line="240" w:lineRule="auto"/>
        <w:jc w:val="left"/>
        <w:sectPr>
          <w:type w:val="continuous"/>
          <w:pgSz w:w="16840" w:h="11910" w:orient="landscape"/>
          <w:pgMar w:top="1060" w:bottom="1160" w:left="1300" w:right="1240"/>
          <w:cols w:num="2" w:equalWidth="0">
            <w:col w:w="4838" w:space="8403"/>
            <w:col w:w="1059"/>
          </w:cols>
        </w:sectPr>
      </w:pP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576"/>
        <w:gridCol w:w="439"/>
        <w:gridCol w:w="5509"/>
        <w:gridCol w:w="1318"/>
        <w:gridCol w:w="1315"/>
        <w:gridCol w:w="1316"/>
        <w:gridCol w:w="1181"/>
        <w:gridCol w:w="1181"/>
        <w:gridCol w:w="1184"/>
      </w:tblGrid>
      <w:tr>
        <w:trPr>
          <w:trHeight w:val="713" w:hRule="exact"/>
        </w:trPr>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公司 名称</w:t>
            </w:r>
          </w:p>
        </w:tc>
        <w:tc>
          <w:tcPr>
            <w:tcW w:w="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5" w:right="31"/>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5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7"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0"/>
              <w:jc w:val="both"/>
              <w:rPr>
                <w:rFonts w:ascii="宋体" w:hAnsi="宋体" w:cs="宋体" w:eastAsia="宋体" w:hint="default"/>
                <w:sz w:val="18"/>
                <w:szCs w:val="18"/>
              </w:rPr>
            </w:pPr>
            <w:r>
              <w:rPr>
                <w:rFonts w:ascii="宋体" w:hAnsi="宋体" w:cs="宋体" w:eastAsia="宋体" w:hint="default"/>
                <w:sz w:val="18"/>
                <w:szCs w:val="18"/>
              </w:rPr>
              <w:t>北京 中汇 联银</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43"/>
              <w:jc w:val="left"/>
              <w:rPr>
                <w:rFonts w:ascii="宋体" w:hAnsi="宋体" w:cs="宋体" w:eastAsia="宋体" w:hint="default"/>
                <w:sz w:val="18"/>
                <w:szCs w:val="18"/>
              </w:rPr>
            </w:pPr>
            <w:r>
              <w:rPr>
                <w:rFonts w:ascii="宋体" w:hAnsi="宋体" w:cs="宋体" w:eastAsia="宋体" w:hint="default"/>
                <w:sz w:val="18"/>
                <w:szCs w:val="18"/>
              </w:rPr>
              <w:t>子公 司</w:t>
            </w:r>
          </w:p>
        </w:tc>
        <w:tc>
          <w:tcPr>
            <w:tcW w:w="5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投资管理；项目投资；资产管理；投资咨询；经济贸易咨询</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32"/>
              <w:jc w:val="center"/>
              <w:rPr>
                <w:rFonts w:ascii="Times New Roman" w:hAnsi="Times New Roman" w:cs="Times New Roman" w:eastAsia="Times New Roman" w:hint="default"/>
                <w:sz w:val="18"/>
                <w:szCs w:val="18"/>
              </w:rPr>
            </w:pPr>
            <w:r>
              <w:rPr>
                <w:rFonts w:ascii="Times New Roman"/>
                <w:sz w:val="18"/>
              </w:rPr>
              <w:t>200,000,000.00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413,934,336.23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203,965,007.91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1,111,230.24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-10,073,691.62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-9,744,664.28</w:t>
            </w:r>
          </w:p>
        </w:tc>
      </w:tr>
    </w:tbl>
    <w:p>
      <w:pPr>
        <w:spacing w:after="0" w:line="240" w:lineRule="auto"/>
        <w:jc w:val="left"/>
        <w:rPr>
          <w:rFonts w:ascii="Times New Roman" w:hAnsi="Times New Roman" w:cs="Times New Roman" w:eastAsia="Times New Roman" w:hint="default"/>
          <w:sz w:val="18"/>
          <w:szCs w:val="18"/>
        </w:rPr>
        <w:sectPr>
          <w:type w:val="continuous"/>
          <w:pgSz w:w="16840" w:h="11910" w:orient="landscape"/>
          <w:pgMar w:top="1060" w:bottom="1160" w:left="1300" w:right="1240"/>
        </w:sectPr>
      </w:pPr>
    </w:p>
    <w:p>
      <w:pPr>
        <w:spacing w:line="240" w:lineRule="auto" w:before="11"/>
        <w:rPr>
          <w:rFonts w:ascii="宋体" w:hAnsi="宋体" w:cs="宋体" w:eastAsia="宋体" w:hint="default"/>
          <w:sz w:val="2"/>
          <w:szCs w:val="2"/>
        </w:rPr>
      </w:pPr>
      <w:r>
        <w:rPr/>
        <w:pict>
          <v:shape style="position:absolute;margin-left:183.863007pt;margin-top:57.236008pt;width:278.6pt;height:15.65pt;mso-position-horizontal-relative:page;mso-position-vertical-relative:page;z-index:-1104856" type="#_x0000_t202" filled="false" stroked="false">
            <v:textbox inset="0,0,0,0">
              <w:txbxContent>
                <w:p>
                  <w:pPr>
                    <w:pStyle w:val="BodyText"/>
                    <w:spacing w:line="240" w:lineRule="auto" w:before="49"/>
                    <w:ind w:left="0" w:right="0"/>
                    <w:jc w:val="left"/>
                  </w:pPr>
                  <w:r>
                    <w:rPr/>
                    <w:t>代理其他创业投资企业等机构或个人的创业投资业务；</w:t>
                  </w:r>
                </w:p>
              </w:txbxContent>
            </v:textbox>
            <w10:wrap type="none"/>
          </v:shape>
        </w:pict>
      </w:r>
    </w:p>
    <w:tbl>
      <w:tblPr>
        <w:tblW w:w="0" w:type="auto"/>
        <w:jc w:val="left"/>
        <w:tblInd w:w="106" w:type="dxa"/>
        <w:tblLayout w:type="fixed"/>
        <w:tblCellMar>
          <w:top w:w="0" w:type="dxa"/>
          <w:left w:w="0" w:type="dxa"/>
          <w:bottom w:w="0" w:type="dxa"/>
          <w:right w:w="0" w:type="dxa"/>
        </w:tblCellMar>
        <w:tblLook w:val="01E0"/>
      </w:tblPr>
      <w:tblGrid>
        <w:gridCol w:w="576"/>
        <w:gridCol w:w="439"/>
        <w:gridCol w:w="5509"/>
        <w:gridCol w:w="1318"/>
        <w:gridCol w:w="1315"/>
        <w:gridCol w:w="1316"/>
        <w:gridCol w:w="1181"/>
        <w:gridCol w:w="1181"/>
        <w:gridCol w:w="1184"/>
      </w:tblGrid>
      <w:tr>
        <w:trPr>
          <w:trHeight w:val="1042" w:hRule="exact"/>
        </w:trPr>
        <w:tc>
          <w:tcPr>
            <w:tcW w:w="576"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51"/>
              <w:ind w:left="23" w:right="180"/>
              <w:jc w:val="both"/>
              <w:rPr>
                <w:rFonts w:ascii="宋体" w:hAnsi="宋体" w:cs="宋体" w:eastAsia="宋体" w:hint="default"/>
                <w:sz w:val="18"/>
                <w:szCs w:val="18"/>
              </w:rPr>
            </w:pPr>
            <w:r>
              <w:rPr>
                <w:rFonts w:ascii="宋体" w:hAnsi="宋体" w:cs="宋体" w:eastAsia="宋体" w:hint="default"/>
                <w:sz w:val="18"/>
                <w:szCs w:val="18"/>
              </w:rPr>
              <w:t>喀什 中汇 联银</w:t>
            </w:r>
          </w:p>
        </w:tc>
        <w:tc>
          <w:tcPr>
            <w:tcW w:w="43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43"/>
              <w:jc w:val="left"/>
              <w:rPr>
                <w:rFonts w:ascii="宋体" w:hAnsi="宋体" w:cs="宋体" w:eastAsia="宋体" w:hint="default"/>
                <w:sz w:val="18"/>
                <w:szCs w:val="18"/>
              </w:rPr>
            </w:pPr>
            <w:r>
              <w:rPr>
                <w:rFonts w:ascii="宋体" w:hAnsi="宋体" w:cs="宋体" w:eastAsia="宋体" w:hint="default"/>
                <w:sz w:val="18"/>
                <w:szCs w:val="18"/>
              </w:rPr>
              <w:t>子公 司</w:t>
            </w:r>
          </w:p>
        </w:tc>
        <w:tc>
          <w:tcPr>
            <w:tcW w:w="5509"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创业投资业务； 创业投资咨询业务；为创业企业提供创业管理服务业务；参与设立创 业投资企业与企业投资管理顾问机构</w:t>
            </w:r>
          </w:p>
        </w:tc>
        <w:tc>
          <w:tcPr>
            <w:tcW w:w="1318" w:type="dxa"/>
            <w:tcBorders>
              <w:top w:val="single" w:sz="15"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65.45pt;height:15.65pt;mso-position-horizontal-relative:char;mso-position-vertical-relative:line" coordorigin="0,0" coordsize="1309,313">
                  <v:group style="position:absolute;left:0;top:0;width:1309;height:313" coordorigin="0,0" coordsize="1309,313">
                    <v:shape style="position:absolute;left:0;top:0;width:1309;height:313" coordorigin="0,0" coordsize="1309,313" path="m0,312l1308,312,1308,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30,000,000.00</w:t>
            </w:r>
          </w:p>
        </w:tc>
        <w:tc>
          <w:tcPr>
            <w:tcW w:w="131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281,286,089.05</w:t>
            </w:r>
          </w:p>
        </w:tc>
        <w:tc>
          <w:tcPr>
            <w:tcW w:w="131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110,296,068.49</w:t>
            </w: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-13,351,935.15</w:t>
            </w:r>
          </w:p>
        </w:tc>
        <w:tc>
          <w:tcPr>
            <w:tcW w:w="118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-13,051,520.78</w:t>
            </w:r>
          </w:p>
        </w:tc>
      </w:tr>
      <w:tr>
        <w:trPr>
          <w:trHeight w:val="713"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0"/>
              <w:jc w:val="left"/>
              <w:rPr>
                <w:rFonts w:ascii="宋体" w:hAnsi="宋体" w:cs="宋体" w:eastAsia="宋体" w:hint="default"/>
                <w:sz w:val="18"/>
                <w:szCs w:val="18"/>
              </w:rPr>
            </w:pPr>
            <w:r>
              <w:rPr>
                <w:rFonts w:ascii="宋体" w:hAnsi="宋体" w:cs="宋体" w:eastAsia="宋体" w:hint="default"/>
                <w:sz w:val="18"/>
                <w:szCs w:val="18"/>
              </w:rPr>
              <w:t>哆可 梦</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3"/>
              <w:jc w:val="left"/>
              <w:rPr>
                <w:rFonts w:ascii="宋体" w:hAnsi="宋体" w:cs="宋体" w:eastAsia="宋体" w:hint="default"/>
                <w:sz w:val="18"/>
                <w:szCs w:val="18"/>
              </w:rPr>
            </w:pPr>
            <w:r>
              <w:rPr>
                <w:rFonts w:ascii="宋体" w:hAnsi="宋体" w:cs="宋体" w:eastAsia="宋体" w:hint="default"/>
                <w:sz w:val="18"/>
                <w:szCs w:val="18"/>
              </w:rPr>
              <w:t>子公 司</w:t>
            </w:r>
          </w:p>
        </w:tc>
        <w:tc>
          <w:tcPr>
            <w:tcW w:w="55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网络技术服务；电脑游戏软件开发；计算机、软件及辅助设备销售； 第二类增值电信业务中的信息服务业务</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20,000,000.00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313,954,237.71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211,859,364.85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714,785,210.33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148,447,424.31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149,398,424.31</w:t>
            </w:r>
          </w:p>
        </w:tc>
      </w:tr>
      <w:tr>
        <w:trPr>
          <w:trHeight w:val="1028"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0"/>
              <w:jc w:val="both"/>
              <w:rPr>
                <w:rFonts w:ascii="宋体" w:hAnsi="宋体" w:cs="宋体" w:eastAsia="宋体" w:hint="default"/>
                <w:sz w:val="18"/>
                <w:szCs w:val="18"/>
              </w:rPr>
            </w:pPr>
            <w:r>
              <w:rPr>
                <w:rFonts w:ascii="宋体" w:hAnsi="宋体" w:cs="宋体" w:eastAsia="宋体" w:hint="default"/>
                <w:sz w:val="18"/>
                <w:szCs w:val="18"/>
              </w:rPr>
              <w:t>信中 利赞 信</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43"/>
              <w:jc w:val="left"/>
              <w:rPr>
                <w:rFonts w:ascii="宋体" w:hAnsi="宋体" w:cs="宋体" w:eastAsia="宋体" w:hint="default"/>
                <w:sz w:val="18"/>
                <w:szCs w:val="18"/>
              </w:rPr>
            </w:pPr>
            <w:r>
              <w:rPr>
                <w:rFonts w:ascii="宋体" w:hAnsi="宋体" w:cs="宋体" w:eastAsia="宋体" w:hint="default"/>
                <w:sz w:val="18"/>
                <w:szCs w:val="18"/>
              </w:rPr>
              <w:t>参股 公司</w:t>
            </w:r>
          </w:p>
        </w:tc>
        <w:tc>
          <w:tcPr>
            <w:tcW w:w="5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项目投资；投资管理；资产管理</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1,800,000,000.00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1,983,852,337.81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1,800,459,420.73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-19,824,721.50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-10,863,684.74</w:t>
            </w:r>
          </w:p>
        </w:tc>
      </w:tr>
    </w:tbl>
    <w:p>
      <w:pPr>
        <w:pStyle w:val="BodyText"/>
        <w:spacing w:line="240" w:lineRule="auto" w:before="49"/>
        <w:ind w:left="140" w:right="148"/>
        <w:jc w:val="left"/>
      </w:pPr>
      <w:r>
        <w:rPr/>
        <w:t>报告期内取得和处置子公司的情况</w:t>
      </w:r>
    </w:p>
    <w:p>
      <w:pPr>
        <w:pStyle w:val="BodyText"/>
        <w:spacing w:line="240" w:lineRule="auto" w:before="115"/>
        <w:ind w:left="140"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4671"/>
        <w:gridCol w:w="4673"/>
        <w:gridCol w:w="4674"/>
      </w:tblGrid>
      <w:tr>
        <w:trPr>
          <w:trHeight w:val="403" w:hRule="exact"/>
        </w:trPr>
        <w:tc>
          <w:tcPr>
            <w:tcW w:w="4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4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4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1" w:hRule="exact"/>
        </w:trPr>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成都哆可梦网络科技有限公司</w:t>
            </w:r>
          </w:p>
        </w:tc>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非同一控制下吸收合并</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3.99%</w:t>
            </w:r>
          </w:p>
        </w:tc>
      </w:tr>
    </w:tbl>
    <w:p>
      <w:pPr>
        <w:pStyle w:val="BodyText"/>
        <w:spacing w:line="360" w:lineRule="auto" w:before="49"/>
        <w:ind w:left="500" w:right="148" w:hanging="361"/>
        <w:jc w:val="left"/>
      </w:pPr>
      <w:r>
        <w:rPr/>
        <w:t>主要控股参股公司情况说明 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日召开第五届董事会第四十四次会议、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日召开第六届董事会第二次会议、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日召开</w:t>
      </w:r>
      <w:r>
        <w:rPr>
          <w:rFonts w:ascii="Times New Roman" w:hAnsi="Times New Roman" w:cs="Times New Roman" w:eastAsia="Times New Roman" w:hint="default"/>
        </w:rPr>
        <w:t>2017</w:t>
      </w:r>
      <w:r>
        <w:rPr/>
        <w:t>年第三次临时股东大会，审议通过《关于</w:t>
      </w:r>
    </w:p>
    <w:p>
      <w:pPr>
        <w:pStyle w:val="BodyText"/>
        <w:spacing w:line="213" w:lineRule="exact"/>
        <w:ind w:left="140" w:right="148"/>
        <w:jc w:val="left"/>
      </w:pPr>
      <w:r>
        <w:rPr>
          <w:rFonts w:ascii="Times New Roman" w:hAnsi="Times New Roman" w:cs="Times New Roman" w:eastAsia="Times New Roman" w:hint="default"/>
        </w:rPr>
        <w:t>&lt;</w:t>
      </w:r>
      <w:r>
        <w:rPr/>
        <w:t>深圳市惠程电气股份有限公司重大资产购买暨关联交易报告书（草案）</w:t>
      </w:r>
      <w:r>
        <w:rPr>
          <w:rFonts w:ascii="Times New Roman" w:hAnsi="Times New Roman" w:cs="Times New Roman" w:eastAsia="Times New Roman" w:hint="default"/>
        </w:rPr>
        <w:t>&gt;</w:t>
      </w:r>
      <w:r>
        <w:rPr/>
        <w:t>及其摘要》等相关议案，同意公司以支付现金方式向寇汉、宁夏和中、完美软件科技、国金凯撒、深圳</w:t>
      </w:r>
    </w:p>
    <w:p>
      <w:pPr>
        <w:pStyle w:val="BodyText"/>
        <w:spacing w:line="240" w:lineRule="auto" w:before="63"/>
        <w:ind w:left="140" w:right="148"/>
        <w:jc w:val="left"/>
      </w:pPr>
      <w:r>
        <w:rPr/>
        <w:t>岚悦和林嘉喜购买其合计持有的哆可梦</w:t>
      </w:r>
      <w:r>
        <w:rPr>
          <w:rFonts w:ascii="Times New Roman" w:hAnsi="Times New Roman" w:cs="Times New Roman" w:eastAsia="Times New Roman" w:hint="default"/>
        </w:rPr>
        <w:t>77.57%</w:t>
      </w:r>
      <w:r>
        <w:rPr/>
        <w:t>股权，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日完成此次股权转让的工商变更登记，控股子公司哆可梦纳入公司</w:t>
      </w:r>
      <w:r>
        <w:rPr>
          <w:rFonts w:ascii="Times New Roman" w:hAnsi="Times New Roman" w:cs="Times New Roman" w:eastAsia="Times New Roman" w:hint="default"/>
        </w:rPr>
        <w:t>2017</w:t>
      </w:r>
      <w:r>
        <w:rPr/>
        <w:t>年年度财务报表合并范围。</w:t>
      </w:r>
    </w:p>
    <w:p>
      <w:pPr>
        <w:spacing w:line="240" w:lineRule="auto" w:before="0"/>
        <w:rPr>
          <w:rFonts w:ascii="宋体" w:hAnsi="宋体" w:cs="宋体" w:eastAsia="宋体" w:hint="default"/>
          <w:sz w:val="24"/>
          <w:szCs w:val="24"/>
        </w:rPr>
      </w:pPr>
    </w:p>
    <w:p>
      <w:pPr>
        <w:pStyle w:val="Heading2"/>
        <w:spacing w:line="240" w:lineRule="auto"/>
        <w:ind w:left="140" w:right="148"/>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40"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6840" w:h="11910" w:orient="landscape"/>
          <w:pgMar w:header="867" w:footer="980" w:top="1060" w:bottom="1160" w:left="1300" w:right="1280"/>
        </w:sectPr>
      </w:pPr>
    </w:p>
    <w:p>
      <w:pPr>
        <w:spacing w:line="240" w:lineRule="auto" w:before="10"/>
        <w:rPr>
          <w:rFonts w:ascii="宋体" w:hAnsi="宋体" w:cs="宋体" w:eastAsia="宋体" w:hint="default"/>
          <w:sz w:val="19"/>
          <w:szCs w:val="19"/>
        </w:rPr>
      </w:pPr>
    </w:p>
    <w:p>
      <w:pPr>
        <w:pStyle w:val="Heading2"/>
        <w:spacing w:line="240" w:lineRule="auto" w:before="26"/>
        <w:ind w:right="0"/>
        <w:jc w:val="both"/>
        <w:rPr>
          <w:b w:val="0"/>
          <w:bCs w:val="0"/>
        </w:rPr>
      </w:pP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513" w:right="190"/>
        <w:jc w:val="left"/>
      </w:pPr>
      <w:r>
        <w:rPr>
          <w:rFonts w:ascii="Times New Roman" w:hAnsi="Times New Roman" w:cs="Times New Roman" w:eastAsia="Times New Roman" w:hint="default"/>
          <w:b/>
          <w:bCs/>
        </w:rPr>
        <w:t>1</w:t>
      </w:r>
      <w:r>
        <w:rPr>
          <w:rFonts w:ascii="宋体" w:hAnsi="宋体" w:cs="宋体" w:eastAsia="宋体" w:hint="default"/>
          <w:b/>
          <w:bCs/>
        </w:rPr>
        <w:t>、行业情况</w:t>
      </w:r>
      <w:r>
        <w:rPr>
          <w:rFonts w:ascii="宋体" w:hAnsi="宋体" w:cs="宋体" w:eastAsia="宋体" w:hint="default"/>
          <w:b/>
          <w:bCs/>
          <w:w w:val="99"/>
        </w:rPr>
        <w:t> </w:t>
      </w:r>
      <w:r>
        <w:rPr>
          <w:rFonts w:ascii="宋体" w:hAnsi="宋体" w:cs="宋体" w:eastAsia="宋体" w:hint="default"/>
          <w:b/>
          <w:bCs/>
        </w:rPr>
        <w:t>电力行业：</w:t>
      </w:r>
      <w:r>
        <w:rPr/>
        <w:t>《关于加快配电网建设改造的指导意见》、《配电网建设改造行动计划（</w:t>
      </w:r>
      <w:r>
        <w:rPr>
          <w:rFonts w:ascii="Times New Roman" w:hAnsi="Times New Roman" w:cs="Times New Roman" w:eastAsia="Times New Roman" w:hint="default"/>
        </w:rPr>
        <w:t>2015</w:t>
      </w:r>
      <w:r>
        <w:rPr>
          <w:rFonts w:ascii="Times New Roman" w:hAnsi="Times New Roman" w:cs="Times New Roman" w:eastAsia="Times New Roman" w:hint="default"/>
        </w:rPr>
        <w:t>——</w:t>
      </w:r>
      <w:r>
        <w:rPr>
          <w:rFonts w:ascii="Times New Roman" w:hAnsi="Times New Roman" w:cs="Times New Roman" w:eastAsia="Times New Roman" w:hint="default"/>
        </w:rPr>
        <w:t>2020</w:t>
      </w:r>
      <w:r>
        <w:rPr/>
        <w:t>年）》、《关于</w:t>
      </w:r>
      <w:r>
        <w:rPr>
          <w:rFonts w:ascii="Times New Roman" w:hAnsi="Times New Roman" w:cs="Times New Roman" w:eastAsia="Times New Roman" w:hint="default"/>
        </w:rPr>
        <w:t>“</w:t>
      </w:r>
      <w:r>
        <w:rPr/>
        <w:t>十</w:t>
      </w:r>
    </w:p>
    <w:p>
      <w:pPr>
        <w:pStyle w:val="BodyText"/>
        <w:spacing w:line="300" w:lineRule="auto" w:before="13"/>
        <w:ind w:right="191"/>
        <w:jc w:val="both"/>
      </w:pPr>
      <w:r>
        <w:rPr/>
        <w:t>三五</w:t>
      </w:r>
      <w:r>
        <w:rPr>
          <w:rFonts w:ascii="Times New Roman" w:hAnsi="Times New Roman" w:cs="Times New Roman" w:eastAsia="Times New Roman" w:hint="default"/>
        </w:rPr>
        <w:t>”</w:t>
      </w:r>
      <w:r>
        <w:rPr/>
        <w:t>期间实施新一轮农村电网改造升级工程的意见》等文件的出台，电网将按照分层分区、结构清晰、安全可控、经济高 </w:t>
      </w:r>
      <w:r>
        <w:rPr>
          <w:spacing w:val="-1"/>
        </w:rPr>
        <w:t>效的原则发展，</w:t>
      </w:r>
      <w:r>
        <w:rPr>
          <w:rFonts w:ascii="Times New Roman" w:hAnsi="Times New Roman" w:cs="Times New Roman" w:eastAsia="Times New Roman" w:hint="default"/>
          <w:spacing w:val="-1"/>
        </w:rPr>
        <w:t>2015</w:t>
      </w:r>
      <w:r>
        <w:rPr>
          <w:spacing w:val="-1"/>
        </w:rPr>
        <w:t>年至</w:t>
      </w:r>
      <w:r>
        <w:rPr>
          <w:rFonts w:ascii="Times New Roman" w:hAnsi="Times New Roman" w:cs="Times New Roman" w:eastAsia="Times New Roman" w:hint="default"/>
          <w:spacing w:val="-1"/>
        </w:rPr>
        <w:t>2020</w:t>
      </w:r>
      <w:r>
        <w:rPr>
          <w:spacing w:val="-1"/>
        </w:rPr>
        <w:t>年期间，配电网建设改造投资不低于</w:t>
      </w:r>
      <w:r>
        <w:rPr>
          <w:rFonts w:ascii="Times New Roman" w:hAnsi="Times New Roman" w:cs="Times New Roman" w:eastAsia="Times New Roman" w:hint="default"/>
          <w:spacing w:val="-1"/>
        </w:rPr>
        <w:t>2</w:t>
      </w:r>
      <w:r>
        <w:rPr>
          <w:spacing w:val="-1"/>
        </w:rPr>
        <w:t>万亿元，</w:t>
      </w:r>
      <w:r>
        <w:rPr>
          <w:rFonts w:ascii="Times New Roman" w:hAnsi="Times New Roman" w:cs="Times New Roman" w:eastAsia="Times New Roman" w:hint="default"/>
          <w:spacing w:val="-1"/>
        </w:rPr>
        <w:t>“</w:t>
      </w:r>
      <w:r>
        <w:rPr>
          <w:spacing w:val="-1"/>
        </w:rPr>
        <w:t>十三五</w:t>
      </w:r>
      <w:r>
        <w:rPr>
          <w:rFonts w:ascii="Times New Roman" w:hAnsi="Times New Roman" w:cs="Times New Roman" w:eastAsia="Times New Roman" w:hint="default"/>
          <w:spacing w:val="-1"/>
        </w:rPr>
        <w:t>”</w:t>
      </w:r>
      <w:r>
        <w:rPr>
          <w:spacing w:val="-1"/>
        </w:rPr>
        <w:t>期间计划新增跨省区输电能力</w:t>
      </w:r>
      <w:r>
        <w:rPr>
          <w:rFonts w:ascii="Times New Roman" w:hAnsi="Times New Roman" w:cs="Times New Roman" w:eastAsia="Times New Roman" w:hint="default"/>
          <w:spacing w:val="-1"/>
        </w:rPr>
        <w:t>1.3</w:t>
      </w:r>
      <w:r>
        <w:rPr>
          <w:spacing w:val="-1"/>
        </w:rPr>
        <w:t>亿千</w:t>
      </w:r>
      <w:r>
        <w:rPr>
          <w:spacing w:val="-51"/>
        </w:rPr>
        <w:t> </w:t>
      </w:r>
      <w:r>
        <w:rPr/>
        <w:t>瓦左右，电力行业作为国家基础产业，依旧具有重要地位和发展潜力。</w:t>
      </w:r>
    </w:p>
    <w:p>
      <w:pPr>
        <w:pStyle w:val="BodyText"/>
        <w:spacing w:line="314" w:lineRule="auto" w:before="31"/>
        <w:ind w:right="188" w:firstLine="360"/>
        <w:jc w:val="both"/>
      </w:pPr>
      <w:r>
        <w:rPr>
          <w:spacing w:val="-2"/>
        </w:rPr>
        <w:t>《中国制造</w:t>
      </w:r>
      <w:r>
        <w:rPr>
          <w:rFonts w:ascii="Times New Roman" w:hAnsi="Times New Roman" w:cs="Times New Roman" w:eastAsia="Times New Roman" w:hint="default"/>
          <w:spacing w:val="-2"/>
        </w:rPr>
        <w:t>2025</w:t>
      </w:r>
      <w:r>
        <w:rPr>
          <w:spacing w:val="-2"/>
        </w:rPr>
        <w:t>》作为实施制造强国战略第一个十年的行动纲领，提出以提高制造业创新能力和基础能力为重点，推进</w:t>
      </w:r>
      <w:r>
        <w:rPr/>
        <w:t> </w:t>
      </w:r>
      <w:r>
        <w:rPr>
          <w:spacing w:val="-2"/>
        </w:rPr>
        <w:t>信息技术与制造技术深度融合，促进制造业朝高端、智能、绿色、服务方向发展，培育制造业竞争新优势。新能源科技创新</w:t>
      </w:r>
      <w:r>
        <w:rPr>
          <w:spacing w:val="-68"/>
        </w:rPr>
        <w:t> </w:t>
      </w:r>
      <w:r>
        <w:rPr>
          <w:spacing w:val="-68"/>
        </w:rPr>
      </w:r>
      <w:r>
        <w:rPr>
          <w:spacing w:val="-2"/>
        </w:rPr>
        <w:t>正在加速推进，以智能化为特征的能源生产消费模式不断涌现，智能电网、新能源汽车和分布式光伏发电均加快发展，新能</w:t>
      </w:r>
      <w:r>
        <w:rPr>
          <w:spacing w:val="-64"/>
        </w:rPr>
        <w:t> </w:t>
      </w:r>
      <w:r>
        <w:rPr>
          <w:spacing w:val="-64"/>
        </w:rPr>
      </w:r>
      <w:r>
        <w:rPr>
          <w:spacing w:val="-2"/>
        </w:rPr>
        <w:t>源汽车产业化进程加快，鼓励城市公交和出租汽车使用新能源汽车，将大力发展纯电动汽车和插电式混合动力汽车；分布式</w:t>
      </w:r>
      <w:r>
        <w:rPr>
          <w:spacing w:val="-61"/>
        </w:rPr>
        <w:t> </w:t>
      </w:r>
      <w:r>
        <w:rPr>
          <w:spacing w:val="-61"/>
        </w:rPr>
      </w:r>
      <w:r>
        <w:rPr/>
        <w:t>光伏发电正在全面推广，至</w:t>
      </w:r>
      <w:r>
        <w:rPr>
          <w:rFonts w:ascii="Times New Roman" w:hAnsi="Times New Roman" w:cs="Times New Roman" w:eastAsia="Times New Roman" w:hint="default"/>
        </w:rPr>
        <w:t>2020</w:t>
      </w:r>
      <w:r>
        <w:rPr/>
        <w:t>年分布式光伏装机容量计划达到</w:t>
      </w:r>
      <w:r>
        <w:rPr>
          <w:rFonts w:ascii="Times New Roman" w:hAnsi="Times New Roman" w:cs="Times New Roman" w:eastAsia="Times New Roman" w:hint="default"/>
        </w:rPr>
        <w:t>60GW</w:t>
      </w:r>
      <w:r>
        <w:rPr/>
        <w:t>以上。</w:t>
      </w:r>
    </w:p>
    <w:p>
      <w:pPr>
        <w:pStyle w:val="BodyText"/>
        <w:spacing w:line="307" w:lineRule="auto" w:before="1"/>
        <w:ind w:right="94" w:firstLine="360"/>
        <w:jc w:val="left"/>
      </w:pPr>
      <w:r>
        <w:rPr>
          <w:rFonts w:ascii="宋体" w:hAnsi="宋体" w:cs="宋体" w:eastAsia="宋体" w:hint="default"/>
          <w:b/>
          <w:bCs/>
          <w:spacing w:val="-2"/>
        </w:rPr>
        <w:t>互联网文娱行业：</w:t>
      </w:r>
      <w:r>
        <w:rPr>
          <w:spacing w:val="-2"/>
        </w:rPr>
        <w:t>随着中国经济快速发展，中国互联网游戏行业经营环境明显改善，商业化进程加快，创新性的商业模</w:t>
      </w:r>
      <w:r>
        <w:rPr/>
        <w:t> 式和运营模式为行业带来更多发展空间，根据艾瑞咨询的研究报告，预计中国游戏市场在</w:t>
      </w:r>
      <w:r>
        <w:rPr>
          <w:rFonts w:ascii="Times New Roman" w:hAnsi="Times New Roman" w:cs="Times New Roman" w:eastAsia="Times New Roman" w:hint="default"/>
        </w:rPr>
        <w:t>2018</w:t>
      </w:r>
      <w:r>
        <w:rPr/>
        <w:t>年将达到</w:t>
      </w:r>
      <w:r>
        <w:rPr>
          <w:rFonts w:ascii="Times New Roman" w:hAnsi="Times New Roman" w:cs="Times New Roman" w:eastAsia="Times New Roman" w:hint="default"/>
        </w:rPr>
        <w:t>2871</w:t>
      </w:r>
      <w:r>
        <w:rPr/>
        <w:t>亿元，较</w:t>
      </w:r>
      <w:r>
        <w:rPr>
          <w:rFonts w:ascii="Times New Roman" w:hAnsi="Times New Roman" w:cs="Times New Roman" w:eastAsia="Times New Roman" w:hint="default"/>
        </w:rPr>
        <w:t>2017 </w:t>
      </w:r>
      <w:r>
        <w:rPr/>
        <w:t>年增长</w:t>
      </w:r>
      <w:r>
        <w:rPr>
          <w:rFonts w:ascii="Times New Roman" w:hAnsi="Times New Roman" w:cs="Times New Roman" w:eastAsia="Times New Roman" w:hint="default"/>
        </w:rPr>
        <w:t>21.9%</w:t>
      </w:r>
      <w:r>
        <w:rPr/>
        <w:t>，到</w:t>
      </w:r>
      <w:r>
        <w:rPr>
          <w:rFonts w:ascii="Times New Roman" w:hAnsi="Times New Roman" w:cs="Times New Roman" w:eastAsia="Times New Roman" w:hint="default"/>
        </w:rPr>
        <w:t>2022</w:t>
      </w:r>
      <w:r>
        <w:rPr/>
        <w:t>年将达到</w:t>
      </w:r>
      <w:r>
        <w:rPr>
          <w:rFonts w:ascii="Times New Roman" w:hAnsi="Times New Roman" w:cs="Times New Roman" w:eastAsia="Times New Roman" w:hint="default"/>
        </w:rPr>
        <w:t>4195.9</w:t>
      </w:r>
      <w:r>
        <w:rPr/>
        <w:t>亿元，其中移动游戏在</w:t>
      </w:r>
      <w:r>
        <w:rPr>
          <w:rFonts w:ascii="Times New Roman" w:hAnsi="Times New Roman" w:cs="Times New Roman" w:eastAsia="Times New Roman" w:hint="default"/>
        </w:rPr>
        <w:t>2018</w:t>
      </w:r>
      <w:r>
        <w:rPr/>
        <w:t>年至</w:t>
      </w:r>
      <w:r>
        <w:rPr>
          <w:rFonts w:ascii="Times New Roman" w:hAnsi="Times New Roman" w:cs="Times New Roman" w:eastAsia="Times New Roman" w:hint="default"/>
        </w:rPr>
        <w:t>2022</w:t>
      </w:r>
      <w:r>
        <w:rPr/>
        <w:t>年占游戏市场的比重将不断提升，到</w:t>
      </w:r>
      <w:r>
        <w:rPr>
          <w:rFonts w:ascii="Times New Roman" w:hAnsi="Times New Roman" w:cs="Times New Roman" w:eastAsia="Times New Roman" w:hint="default"/>
        </w:rPr>
        <w:t>2022</w:t>
      </w:r>
      <w:r>
        <w:rPr/>
        <w:t>年占比 将提升至</w:t>
      </w:r>
      <w:r>
        <w:rPr>
          <w:rFonts w:ascii="Times New Roman" w:hAnsi="Times New Roman" w:cs="Times New Roman" w:eastAsia="Times New Roman" w:hint="default"/>
        </w:rPr>
        <w:t>76.5%</w:t>
      </w:r>
      <w:r>
        <w:rPr/>
        <w:t>，中国游戏市场尤其是移动市场仍具有巨大的增长潜力。</w:t>
      </w:r>
    </w:p>
    <w:p>
      <w:pPr>
        <w:pStyle w:val="BodyText"/>
        <w:spacing w:line="309" w:lineRule="auto" w:before="7"/>
        <w:ind w:right="190" w:firstLine="360"/>
        <w:jc w:val="both"/>
      </w:pPr>
      <w:r>
        <w:rPr>
          <w:rFonts w:ascii="宋体" w:hAnsi="宋体" w:cs="宋体" w:eastAsia="宋体" w:hint="default"/>
          <w:b/>
          <w:bCs/>
          <w:spacing w:val="-1"/>
        </w:rPr>
        <w:t>投资行业：</w:t>
      </w:r>
      <w:r>
        <w:rPr>
          <w:rFonts w:ascii="Times New Roman" w:hAnsi="Times New Roman" w:cs="Times New Roman" w:eastAsia="Times New Roman" w:hint="default"/>
          <w:spacing w:val="-1"/>
        </w:rPr>
        <w:t>2017</w:t>
      </w:r>
      <w:r>
        <w:rPr>
          <w:spacing w:val="-1"/>
        </w:rPr>
        <w:t>年中国国内生产总值达到</w:t>
      </w:r>
      <w:r>
        <w:rPr>
          <w:rFonts w:ascii="Times New Roman" w:hAnsi="Times New Roman" w:cs="Times New Roman" w:eastAsia="Times New Roman" w:hint="default"/>
          <w:spacing w:val="-1"/>
        </w:rPr>
        <w:t>82.7</w:t>
      </w:r>
      <w:r>
        <w:rPr>
          <w:spacing w:val="-1"/>
        </w:rPr>
        <w:t>万亿元，增长</w:t>
      </w:r>
      <w:r>
        <w:rPr>
          <w:rFonts w:ascii="Times New Roman" w:hAnsi="Times New Roman" w:cs="Times New Roman" w:eastAsia="Times New Roman" w:hint="default"/>
          <w:spacing w:val="-1"/>
        </w:rPr>
        <w:t>6.9%</w:t>
      </w:r>
      <w:r>
        <w:rPr>
          <w:spacing w:val="-1"/>
        </w:rPr>
        <w:t>，中国经济保持了中高速增长，经济长期向好的基本面</w:t>
      </w:r>
      <w:r>
        <w:rPr/>
        <w:t> </w:t>
      </w:r>
      <w:r>
        <w:rPr>
          <w:spacing w:val="-2"/>
        </w:rPr>
        <w:t>不断巩固和发展，经济实力跃上新台阶。资本市场对国家经济发展的重要作用得到进一步肯定，国家鼓励和大力发展直接融</w:t>
      </w:r>
      <w:r>
        <w:rPr>
          <w:spacing w:val="-63"/>
        </w:rPr>
        <w:t> </w:t>
      </w:r>
      <w:r>
        <w:rPr>
          <w:spacing w:val="-63"/>
        </w:rPr>
      </w:r>
      <w:r>
        <w:rPr>
          <w:spacing w:val="-2"/>
        </w:rPr>
        <w:t>资尤其是股权融资对实体经济的服务功能，支持优质创新型企业上市融资，将创业投资、天使投资税收优惠政策试点范围扩</w:t>
      </w:r>
      <w:r>
        <w:rPr>
          <w:spacing w:val="-65"/>
        </w:rPr>
        <w:t> </w:t>
      </w:r>
      <w:r>
        <w:rPr>
          <w:spacing w:val="-65"/>
        </w:rPr>
      </w:r>
      <w:r>
        <w:rPr>
          <w:spacing w:val="-1"/>
        </w:rPr>
        <w:t>大到全国，</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w:t>
      </w:r>
      <w:r>
        <w:rPr>
          <w:spacing w:val="-1"/>
        </w:rPr>
        <w:t>两会</w:t>
      </w:r>
      <w:r>
        <w:rPr>
          <w:rFonts w:ascii="Times New Roman" w:hAnsi="Times New Roman" w:cs="Times New Roman" w:eastAsia="Times New Roman" w:hint="default"/>
          <w:spacing w:val="-1"/>
        </w:rPr>
        <w:t>”</w:t>
      </w:r>
      <w:r>
        <w:rPr>
          <w:spacing w:val="-1"/>
        </w:rPr>
        <w:t>期间，</w:t>
      </w:r>
      <w:r>
        <w:rPr>
          <w:rFonts w:ascii="Times New Roman" w:hAnsi="Times New Roman" w:cs="Times New Roman" w:eastAsia="Times New Roman" w:hint="default"/>
          <w:spacing w:val="-1"/>
        </w:rPr>
        <w:t>“</w:t>
      </w:r>
      <w:r>
        <w:rPr>
          <w:spacing w:val="-1"/>
        </w:rPr>
        <w:t>独角兽</w:t>
      </w:r>
      <w:r>
        <w:rPr>
          <w:rFonts w:ascii="Times New Roman" w:hAnsi="Times New Roman" w:cs="Times New Roman" w:eastAsia="Times New Roman" w:hint="default"/>
          <w:spacing w:val="-1"/>
        </w:rPr>
        <w:t>”</w:t>
      </w:r>
      <w:r>
        <w:rPr>
          <w:spacing w:val="-1"/>
        </w:rPr>
        <w:t>企业在国内上市更是受到热议和重视，未来股权投资将对发现和助力新技术、新产</w:t>
      </w:r>
      <w:r>
        <w:rPr>
          <w:spacing w:val="-78"/>
        </w:rPr>
        <w:t> </w:t>
      </w:r>
      <w:r>
        <w:rPr>
          <w:spacing w:val="-78"/>
        </w:rPr>
      </w:r>
      <w:r>
        <w:rPr/>
        <w:t>业、新业态、新模式企业发展具有不可替代的功效，股权投资市场也将受益于政策支持和经济增长而获得快速发展。</w:t>
      </w:r>
    </w:p>
    <w:p>
      <w:pPr>
        <w:pStyle w:val="Heading4"/>
        <w:spacing w:line="240" w:lineRule="auto" w:before="24"/>
        <w:ind w:right="94"/>
        <w:jc w:val="left"/>
        <w:rPr>
          <w:b w:val="0"/>
          <w:bCs w:val="0"/>
        </w:rPr>
      </w:pPr>
      <w:r>
        <w:rPr>
          <w:rFonts w:ascii="Times New Roman" w:hAnsi="Times New Roman" w:cs="Times New Roman" w:eastAsia="Times New Roman" w:hint="default"/>
        </w:rPr>
        <w:t>2</w:t>
      </w:r>
      <w:r>
        <w:rPr/>
        <w:t>、公司未来发展发展战略</w:t>
      </w:r>
      <w:r>
        <w:rPr>
          <w:b w:val="0"/>
          <w:bCs w:val="0"/>
        </w:rPr>
      </w:r>
    </w:p>
    <w:p>
      <w:pPr>
        <w:pStyle w:val="BodyText"/>
        <w:spacing w:line="307" w:lineRule="auto" w:before="63"/>
        <w:ind w:right="94" w:firstLine="360"/>
        <w:jc w:val="left"/>
      </w:pPr>
      <w:r>
        <w:rPr>
          <w:rFonts w:ascii="Times New Roman" w:hAnsi="Times New Roman" w:cs="Times New Roman" w:eastAsia="Times New Roman" w:hint="default"/>
        </w:rPr>
        <w:t>2017</w:t>
      </w:r>
      <w:r>
        <w:rPr/>
        <w:t>年公司已形成</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电气设备</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互联网文娱</w:t>
      </w:r>
      <w:r>
        <w:rPr>
          <w:rFonts w:ascii="Times New Roman" w:hAnsi="Times New Roman" w:cs="Times New Roman" w:eastAsia="Times New Roman" w:hint="default"/>
        </w:rPr>
        <w:t>”</w:t>
      </w:r>
      <w:r>
        <w:rPr/>
        <w:t>双轮驱动的业务格局，将以公司主业为起点进行产业升级，延伸服务链 </w:t>
      </w:r>
      <w:r>
        <w:rPr>
          <w:spacing w:val="-2"/>
        </w:rPr>
        <w:t>条、促进服务增值。公司将立足配电设备研发和制造主业，利用自身品牌优势、技术创新能力和产业链升级等优势，积极布</w:t>
      </w:r>
      <w:r>
        <w:rPr>
          <w:spacing w:val="-67"/>
        </w:rPr>
        <w:t> </w:t>
      </w:r>
      <w:r>
        <w:rPr>
          <w:spacing w:val="-67"/>
        </w:rPr>
      </w:r>
      <w:r>
        <w:rPr/>
        <w:t>局高端制造、智能制造、新能源等战略性新兴产业，推进由生产型向服务型转变；同时，以哆可梦为切入点，稳步推进</w:t>
      </w:r>
      <w:r>
        <w:rPr>
          <w:rFonts w:ascii="Times New Roman" w:hAnsi="Times New Roman" w:cs="Times New Roman" w:eastAsia="Times New Roman" w:hint="default"/>
        </w:rPr>
        <w:t>“</w:t>
      </w:r>
      <w:r>
        <w:rPr/>
        <w:t>业 </w:t>
      </w:r>
      <w:r>
        <w:rPr>
          <w:spacing w:val="-2"/>
        </w:rPr>
        <w:t>务平台化、市场全球化、流量自有化、生态链泛娱乐化</w:t>
      </w:r>
      <w:r>
        <w:rPr>
          <w:rFonts w:ascii="Times New Roman" w:hAnsi="Times New Roman" w:cs="Times New Roman" w:eastAsia="Times New Roman" w:hint="default"/>
          <w:spacing w:val="-2"/>
        </w:rPr>
        <w:t>”</w:t>
      </w:r>
      <w:r>
        <w:rPr>
          <w:spacing w:val="-2"/>
        </w:rPr>
        <w:t>战略，在此基础上深化互联网文娱板块，继续整合互联网优质资源，</w:t>
      </w:r>
      <w:r>
        <w:rPr>
          <w:spacing w:val="-55"/>
        </w:rPr>
        <w:t> </w:t>
      </w:r>
      <w:r>
        <w:rPr>
          <w:spacing w:val="-55"/>
        </w:rPr>
      </w:r>
      <w:r>
        <w:rPr>
          <w:spacing w:val="-2"/>
        </w:rPr>
        <w:t>致力于发展为互联网综合服务提供商，此外还要借助公司投资业务发现优质的成长性高、发展潜力大的企业，通过内生外延</w:t>
      </w:r>
      <w:r>
        <w:rPr>
          <w:spacing w:val="-63"/>
        </w:rPr>
        <w:t> </w:t>
      </w:r>
      <w:r>
        <w:rPr>
          <w:spacing w:val="-63"/>
        </w:rPr>
      </w:r>
      <w:r>
        <w:rPr/>
        <w:t>式协同发展，不断完善公司产业链条和产业布局，实现</w:t>
      </w:r>
      <w:r>
        <w:rPr>
          <w:rFonts w:ascii="Times New Roman" w:hAnsi="Times New Roman" w:cs="Times New Roman" w:eastAsia="Times New Roman" w:hint="default"/>
        </w:rPr>
        <w:t>“</w:t>
      </w:r>
      <w:r>
        <w:rPr/>
        <w:t>高端智能制造</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互联网综合服务</w:t>
      </w:r>
      <w:r>
        <w:rPr>
          <w:rFonts w:ascii="Times New Roman" w:hAnsi="Times New Roman" w:cs="Times New Roman" w:eastAsia="Times New Roman" w:hint="default"/>
        </w:rPr>
        <w:t>”</w:t>
      </w:r>
      <w:r>
        <w:rPr/>
        <w:t>双轮业绩驱动的发展态势。</w:t>
      </w:r>
    </w:p>
    <w:p>
      <w:pPr>
        <w:pStyle w:val="BodyText"/>
        <w:spacing w:line="300" w:lineRule="auto" w:before="7"/>
        <w:ind w:left="513" w:right="187"/>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Times New Roman" w:hAnsi="Times New Roman" w:cs="Times New Roman" w:eastAsia="Times New Roman" w:hint="default"/>
          <w:b/>
          <w:bCs/>
        </w:rPr>
        <w:t>2018</w:t>
      </w:r>
      <w:r>
        <w:rPr>
          <w:rFonts w:ascii="宋体" w:hAnsi="宋体" w:cs="宋体" w:eastAsia="宋体" w:hint="default"/>
          <w:b/>
          <w:bCs/>
        </w:rPr>
        <w:t>年度经营计划</w:t>
      </w:r>
      <w:r>
        <w:rPr>
          <w:rFonts w:ascii="宋体" w:hAnsi="宋体" w:cs="宋体" w:eastAsia="宋体" w:hint="default"/>
          <w:b/>
          <w:bCs/>
          <w:w w:val="99"/>
        </w:rPr>
        <w:t> </w:t>
      </w:r>
      <w:r>
        <w:rPr>
          <w:spacing w:val="-1"/>
        </w:rPr>
        <w:t>在坚持</w:t>
      </w:r>
      <w:r>
        <w:rPr>
          <w:rFonts w:ascii="Times New Roman" w:hAnsi="Times New Roman" w:cs="Times New Roman" w:eastAsia="Times New Roman" w:hint="default"/>
          <w:spacing w:val="-1"/>
        </w:rPr>
        <w:t>“</w:t>
      </w:r>
      <w:r>
        <w:rPr>
          <w:spacing w:val="-1"/>
        </w:rPr>
        <w:t>两手都发展、两手都要硬</w:t>
      </w:r>
      <w:r>
        <w:rPr>
          <w:rFonts w:ascii="Times New Roman" w:hAnsi="Times New Roman" w:cs="Times New Roman" w:eastAsia="Times New Roman" w:hint="default"/>
          <w:spacing w:val="-1"/>
        </w:rPr>
        <w:t>”</w:t>
      </w:r>
      <w:r>
        <w:rPr>
          <w:spacing w:val="-1"/>
        </w:rPr>
        <w:t>的基本思路下，公司将以</w:t>
      </w:r>
      <w:r>
        <w:rPr>
          <w:rFonts w:ascii="Times New Roman" w:hAnsi="Times New Roman" w:cs="Times New Roman" w:eastAsia="Times New Roman" w:hint="default"/>
          <w:spacing w:val="-1"/>
        </w:rPr>
        <w:t>“</w:t>
      </w:r>
      <w:r>
        <w:rPr>
          <w:spacing w:val="-1"/>
        </w:rPr>
        <w:t>真抓实干</w:t>
      </w:r>
      <w:r>
        <w:rPr>
          <w:rFonts w:ascii="Times New Roman" w:hAnsi="Times New Roman" w:cs="Times New Roman" w:eastAsia="Times New Roman" w:hint="default"/>
          <w:spacing w:val="-1"/>
        </w:rPr>
        <w:t>”</w:t>
      </w:r>
      <w:r>
        <w:rPr>
          <w:spacing w:val="-1"/>
        </w:rPr>
        <w:t>的态度，在保持各个主业板块独立规范运作基础</w:t>
      </w:r>
    </w:p>
    <w:p>
      <w:pPr>
        <w:pStyle w:val="BodyText"/>
        <w:spacing w:line="316" w:lineRule="auto" w:before="13"/>
        <w:ind w:right="195"/>
        <w:jc w:val="both"/>
      </w:pPr>
      <w:r>
        <w:rPr>
          <w:spacing w:val="-2"/>
        </w:rPr>
        <w:t>上，从管理机制、组织架构、人员安排、资金配置等方面采取措施并协调资源，努力构建双主业运营的产业链接点，为公司</w:t>
      </w:r>
      <w:r>
        <w:rPr>
          <w:spacing w:val="-70"/>
        </w:rPr>
        <w:t> </w:t>
      </w:r>
      <w:r>
        <w:rPr>
          <w:spacing w:val="-70"/>
        </w:rPr>
      </w:r>
      <w:r>
        <w:rPr/>
        <w:t>向高端装备制造及互联网综合服务提供商转型升级奠定基础。</w:t>
      </w:r>
    </w:p>
    <w:p>
      <w:pPr>
        <w:pStyle w:val="BodyText"/>
        <w:spacing w:line="312" w:lineRule="auto" w:before="19"/>
        <w:ind w:right="191" w:firstLine="360"/>
        <w:jc w:val="both"/>
      </w:pPr>
      <w:r>
        <w:rPr>
          <w:spacing w:val="-2"/>
        </w:rPr>
        <w:t>电力业务层面：公司将继续推进原有的电气设备业务发展，加大与各个专业院所在配网、发电、自供电、市政等工程建</w:t>
      </w:r>
      <w:r>
        <w:rPr/>
        <w:t> </w:t>
      </w:r>
      <w:r>
        <w:rPr>
          <w:spacing w:val="-2"/>
        </w:rPr>
        <w:t>设相关领域针对市场开拓、技术服务、工程项目管理及资本运作等方面展开深入合作，在技术储备、产品研发、专业人才培</w:t>
      </w:r>
      <w:r>
        <w:rPr>
          <w:spacing w:val="-67"/>
        </w:rPr>
        <w:t> </w:t>
      </w:r>
      <w:r>
        <w:rPr>
          <w:spacing w:val="-67"/>
        </w:rPr>
      </w:r>
      <w:r>
        <w:rPr>
          <w:spacing w:val="-2"/>
        </w:rPr>
        <w:t>养方面进行资源共享，推进电气业务向高端制造、智能制造方向发展，公司亦将向新能源行业延伸发展，加大新能源汽车充</w:t>
      </w:r>
      <w:r>
        <w:rPr>
          <w:spacing w:val="-65"/>
        </w:rPr>
        <w:t> </w:t>
      </w:r>
      <w:r>
        <w:rPr>
          <w:spacing w:val="-65"/>
        </w:rPr>
      </w:r>
      <w:r>
        <w:rPr/>
        <w:t>电系统和分布式光伏发电项目建设的投入，提高市场份额和品牌影响力，保持国内市场份额稳步增长的同时，按照国家</w:t>
      </w:r>
      <w:r>
        <w:rPr>
          <w:rFonts w:ascii="Times New Roman" w:hAnsi="Times New Roman" w:cs="Times New Roman" w:eastAsia="Times New Roman" w:hint="default"/>
        </w:rPr>
        <w:t>“</w:t>
      </w:r>
      <w:r>
        <w:rPr/>
        <w:t>一 带一路</w:t>
      </w:r>
      <w:r>
        <w:rPr>
          <w:rFonts w:ascii="Times New Roman" w:hAnsi="Times New Roman" w:cs="Times New Roman" w:eastAsia="Times New Roman" w:hint="default"/>
        </w:rPr>
        <w:t>”</w:t>
      </w:r>
      <w:r>
        <w:rPr/>
        <w:t>政策，扩大海外市场的影响力。</w:t>
      </w:r>
    </w:p>
    <w:p>
      <w:pPr>
        <w:pStyle w:val="BodyText"/>
        <w:spacing w:line="312" w:lineRule="auto" w:before="3"/>
        <w:ind w:right="94" w:firstLine="360"/>
        <w:jc w:val="left"/>
      </w:pPr>
      <w:r>
        <w:rPr/>
        <w:t>互联网文娱层面：哆可梦将继续发挥自身的研发和品牌优势，持续围绕</w:t>
      </w:r>
      <w:r>
        <w:rPr>
          <w:rFonts w:ascii="Times New Roman" w:hAnsi="Times New Roman" w:cs="Times New Roman" w:eastAsia="Times New Roman" w:hint="default"/>
        </w:rPr>
        <w:t>IP</w:t>
      </w:r>
      <w:r>
        <w:rPr/>
        <w:t>化，推进</w:t>
      </w:r>
      <w:r>
        <w:rPr>
          <w:rFonts w:ascii="Times New Roman" w:hAnsi="Times New Roman" w:cs="Times New Roman" w:eastAsia="Times New Roman" w:hint="default"/>
        </w:rPr>
        <w:t>“</w:t>
      </w:r>
      <w:r>
        <w:rPr/>
        <w:t>业务平台化、市场全球化、流量自 </w:t>
      </w:r>
      <w:r>
        <w:rPr>
          <w:spacing w:val="-2"/>
        </w:rPr>
        <w:t>有化、生态链泛娱乐化</w:t>
      </w:r>
      <w:r>
        <w:rPr>
          <w:rFonts w:ascii="Times New Roman" w:hAnsi="Times New Roman" w:cs="Times New Roman" w:eastAsia="Times New Roman" w:hint="default"/>
          <w:spacing w:val="-2"/>
        </w:rPr>
        <w:t>”</w:t>
      </w:r>
      <w:r>
        <w:rPr>
          <w:spacing w:val="-2"/>
        </w:rPr>
        <w:t>的整体战略；平台流量经营持续巩固核心流量媒体的整体市场占有率，结合媒体特效从产品、包装、</w:t>
      </w:r>
      <w:r>
        <w:rPr>
          <w:spacing w:val="-52"/>
        </w:rPr>
        <w:t> </w:t>
      </w:r>
      <w:r>
        <w:rPr>
          <w:spacing w:val="-52"/>
        </w:rPr>
      </w:r>
      <w:r>
        <w:rPr>
          <w:spacing w:val="-2"/>
        </w:rPr>
        <w:t>用户等方面提供专业精细化运营；持续加大精品品类的自研产品开发和外部产品储备，推出有质量、有内容、有创新的精品</w:t>
      </w:r>
      <w:r>
        <w:rPr>
          <w:spacing w:val="-64"/>
        </w:rPr>
        <w:t> </w:t>
      </w:r>
      <w:r>
        <w:rPr>
          <w:spacing w:val="-64"/>
        </w:rPr>
      </w:r>
      <w:r>
        <w:rPr>
          <w:spacing w:val="-2"/>
        </w:rPr>
        <w:t>游戏，以产品撬动整体国内外发行业务；凭借基于数据分析的精细化营销和运营体系、较强的研发能力以及国际化经验，逐</w:t>
      </w:r>
      <w:r>
        <w:rPr>
          <w:spacing w:val="-64"/>
        </w:rPr>
        <w:t> </w:t>
      </w:r>
      <w:r>
        <w:rPr>
          <w:spacing w:val="-64"/>
        </w:rPr>
      </w:r>
      <w:r>
        <w:rPr>
          <w:spacing w:val="-2"/>
        </w:rPr>
        <w:t>步开拓全球市场，加强与游戏开发商和游戏运营商、渠道商的合作，进一步做大做强。在此基础上，公司将充分利用现有的</w:t>
      </w:r>
      <w:r>
        <w:rPr>
          <w:spacing w:val="-67"/>
        </w:rPr>
        <w:t> </w:t>
      </w:r>
      <w:r>
        <w:rPr>
          <w:spacing w:val="-67"/>
        </w:rPr>
      </w:r>
      <w:r>
        <w:rPr>
          <w:spacing w:val="-2"/>
        </w:rPr>
        <w:t>平台优势、资金优势、品牌优势以及规范化管理经验，深化互联网文娱板块，继续整合互联网优质资源。在注重国内市场的</w:t>
      </w:r>
      <w:r>
        <w:rPr>
          <w:spacing w:val="-67"/>
        </w:rPr>
        <w:t> </w:t>
      </w:r>
      <w:r>
        <w:rPr>
          <w:spacing w:val="-67"/>
        </w:rPr>
      </w:r>
      <w:r>
        <w:rPr/>
        <w:t>同时，将大力发展海外市场，发挥互联网游戏在向全球推广中国文化的重要作用。</w:t>
      </w:r>
    </w:p>
    <w:p>
      <w:pPr>
        <w:spacing w:after="0" w:line="312" w:lineRule="auto"/>
        <w:jc w:val="left"/>
        <w:sectPr>
          <w:headerReference w:type="default" r:id="rId19"/>
          <w:footerReference w:type="default" r:id="rId20"/>
          <w:pgSz w:w="11910" w:h="16840"/>
          <w:pgMar w:header="877" w:footer="979" w:top="1100" w:bottom="1160" w:left="980" w:right="940"/>
          <w:pgNumType w:start="28"/>
        </w:sectPr>
      </w:pPr>
    </w:p>
    <w:p>
      <w:pPr>
        <w:spacing w:line="240" w:lineRule="auto" w:before="11"/>
        <w:rPr>
          <w:rFonts w:ascii="宋体" w:hAnsi="宋体" w:cs="宋体" w:eastAsia="宋体" w:hint="default"/>
          <w:sz w:val="21"/>
          <w:szCs w:val="21"/>
        </w:rPr>
      </w:pPr>
    </w:p>
    <w:p>
      <w:pPr>
        <w:pStyle w:val="BodyText"/>
        <w:spacing w:line="312" w:lineRule="auto" w:before="44"/>
        <w:ind w:right="94" w:firstLine="360"/>
        <w:jc w:val="left"/>
      </w:pPr>
      <w:r>
        <w:rPr/>
        <w:t>投资层面：公司将重点加强投资业务的风险管控，明确投资方向，坚持价值投资理念，谋求投资业务的持续稳定发展， </w:t>
      </w:r>
      <w:r>
        <w:rPr>
          <w:spacing w:val="-2"/>
        </w:rPr>
        <w:t>公司将围绕电气业务和互联网文娱行业上下游产业链进行股权投资，以实现外延式发展。</w:t>
      </w:r>
      <w:r>
        <w:rPr>
          <w:rFonts w:ascii="Times New Roman" w:hAnsi="Times New Roman" w:cs="Times New Roman" w:eastAsia="Times New Roman" w:hint="default"/>
          <w:spacing w:val="-2"/>
        </w:rPr>
        <w:t>2017</w:t>
      </w:r>
      <w:r>
        <w:rPr>
          <w:spacing w:val="-2"/>
        </w:rPr>
        <w:t>年底公司已启动重大资产重组</w:t>
      </w:r>
      <w:r>
        <w:rPr>
          <w:spacing w:val="-61"/>
        </w:rPr>
        <w:t> </w:t>
      </w:r>
      <w:r>
        <w:rPr>
          <w:spacing w:val="-61"/>
        </w:rPr>
      </w:r>
      <w:r>
        <w:rPr>
          <w:spacing w:val="-2"/>
        </w:rPr>
        <w:t>拟继续收购互联网服务行业标的，以期与公司现有业务实现优势互补和协同发展，进一步完善公司互联网服务行业的产业布</w:t>
      </w:r>
      <w:r>
        <w:rPr>
          <w:spacing w:val="-64"/>
        </w:rPr>
        <w:t> </w:t>
      </w:r>
      <w:r>
        <w:rPr>
          <w:spacing w:val="-64"/>
        </w:rPr>
      </w:r>
      <w:r>
        <w:rPr/>
        <w:t>局。公司未来还将考虑以并购基金等多种形式扩展公司产业链上下游的布局，逐步强大自身业务。</w:t>
      </w:r>
    </w:p>
    <w:p>
      <w:pPr>
        <w:pStyle w:val="Heading4"/>
        <w:spacing w:line="240" w:lineRule="auto" w:before="22"/>
        <w:ind w:right="94"/>
        <w:jc w:val="left"/>
        <w:rPr>
          <w:b w:val="0"/>
          <w:bCs w:val="0"/>
        </w:rPr>
      </w:pPr>
      <w:r>
        <w:rPr>
          <w:rFonts w:ascii="Times New Roman" w:hAnsi="Times New Roman" w:cs="Times New Roman" w:eastAsia="Times New Roman" w:hint="default"/>
        </w:rPr>
        <w:t>4</w:t>
      </w:r>
      <w:r>
        <w:rPr/>
        <w:t>、可能面对的风险及解决方案</w:t>
      </w:r>
      <w:r>
        <w:rPr>
          <w:b w:val="0"/>
          <w:bCs w:val="0"/>
        </w:rPr>
      </w:r>
    </w:p>
    <w:p>
      <w:pPr>
        <w:pStyle w:val="BodyText"/>
        <w:spacing w:line="300" w:lineRule="auto" w:before="63"/>
        <w:ind w:left="513" w:right="94"/>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）行业政策变化风险</w:t>
      </w:r>
      <w:r>
        <w:rPr>
          <w:rFonts w:ascii="宋体" w:hAnsi="宋体" w:cs="宋体" w:eastAsia="宋体" w:hint="default"/>
          <w:b/>
          <w:bCs/>
          <w:w w:val="99"/>
        </w:rPr>
        <w:t> </w:t>
      </w:r>
      <w:r>
        <w:rPr>
          <w:spacing w:val="-2"/>
        </w:rPr>
        <w:t>电气设备行业容易受到国家总体经济政策和宏观经济环境的影响，市场行业环境发生大幅波动可能造成公司电气业务收</w:t>
      </w:r>
    </w:p>
    <w:p>
      <w:pPr>
        <w:pStyle w:val="BodyText"/>
        <w:spacing w:line="316" w:lineRule="auto" w:before="31"/>
        <w:ind w:right="190"/>
        <w:jc w:val="both"/>
      </w:pPr>
      <w:r>
        <w:rPr>
          <w:spacing w:val="-2"/>
        </w:rPr>
        <w:t>入较大波动。随着国家经济和电力设备行业的快速发展，输配电设备企业数量迅速增加，同时国外输配电企业纷纷进入我国</w:t>
      </w:r>
      <w:r>
        <w:rPr>
          <w:spacing w:val="-63"/>
        </w:rPr>
        <w:t> </w:t>
      </w:r>
      <w:r>
        <w:rPr>
          <w:spacing w:val="-63"/>
        </w:rPr>
      </w:r>
      <w:r>
        <w:rPr>
          <w:spacing w:val="-2"/>
        </w:rPr>
        <w:t>市场，导致供给增加、竞争加剧。公司将严格执行国家政策，紧跟市场，采取差异化产品战略，加快产品结构调整，优化生</w:t>
      </w:r>
      <w:r>
        <w:rPr>
          <w:spacing w:val="-73"/>
        </w:rPr>
        <w:t> </w:t>
      </w:r>
      <w:r>
        <w:rPr>
          <w:spacing w:val="-73"/>
        </w:rPr>
      </w:r>
      <w:r>
        <w:rPr/>
        <w:t>产管理流程，完善销售网络建设，切实提高公司竞争实力和抗风险能力。</w:t>
      </w:r>
    </w:p>
    <w:p>
      <w:pPr>
        <w:pStyle w:val="BodyText"/>
        <w:spacing w:line="319" w:lineRule="auto" w:before="19"/>
        <w:ind w:right="190" w:firstLine="360"/>
        <w:jc w:val="both"/>
      </w:pPr>
      <w:r>
        <w:rPr>
          <w:spacing w:val="-2"/>
        </w:rPr>
        <w:t>如果未来我国互联网相关行业政策发生较大不利调整或者我国经济环境发生不利变化，导致行业发展放缓，或政府减少</w:t>
      </w:r>
      <w:r>
        <w:rPr/>
        <w:t> </w:t>
      </w:r>
      <w:r>
        <w:rPr>
          <w:spacing w:val="-2"/>
        </w:rPr>
        <w:t>投入和支持，则对公司互联网业务的发展将产生一定的不利影响。公司将密切关注相关行业政策发展的动态，加强对行业政</w:t>
      </w:r>
      <w:r>
        <w:rPr>
          <w:spacing w:val="-63"/>
        </w:rPr>
        <w:t> </w:t>
      </w:r>
      <w:r>
        <w:rPr>
          <w:spacing w:val="-63"/>
        </w:rPr>
      </w:r>
      <w:r>
        <w:rPr/>
        <w:t>策变化的分析，并针对行业政策变化，调整公司的经营策略。</w:t>
      </w:r>
    </w:p>
    <w:p>
      <w:pPr>
        <w:pStyle w:val="Heading4"/>
        <w:spacing w:line="240" w:lineRule="auto"/>
        <w:ind w:right="94"/>
        <w:jc w:val="left"/>
        <w:rPr>
          <w:b w:val="0"/>
          <w:bCs w:val="0"/>
        </w:rPr>
      </w:pPr>
      <w:r>
        <w:rPr/>
        <w:t>（</w:t>
      </w:r>
      <w:r>
        <w:rPr>
          <w:rFonts w:ascii="Times New Roman" w:hAnsi="Times New Roman" w:cs="Times New Roman" w:eastAsia="Times New Roman" w:hint="default"/>
        </w:rPr>
        <w:t>2</w:t>
      </w:r>
      <w:r>
        <w:rPr/>
        <w:t>）业务转型和整合风险</w:t>
      </w:r>
      <w:r>
        <w:rPr>
          <w:b w:val="0"/>
          <w:bCs w:val="0"/>
        </w:rPr>
      </w:r>
    </w:p>
    <w:p>
      <w:pPr>
        <w:pStyle w:val="BodyText"/>
        <w:spacing w:line="312" w:lineRule="auto" w:before="63"/>
        <w:ind w:right="94" w:firstLine="360"/>
        <w:jc w:val="left"/>
      </w:pPr>
      <w:r>
        <w:rPr>
          <w:rFonts w:ascii="Times New Roman" w:hAnsi="Times New Roman" w:cs="Times New Roman" w:eastAsia="Times New Roman" w:hint="default"/>
        </w:rPr>
        <w:t>2017</w:t>
      </w:r>
      <w:r>
        <w:rPr/>
        <w:t>年公司通过收购哆可梦，成功布局互联网文化娱乐产业，实现公司产业转型和升级，为公司带来新的利润增长点， </w:t>
      </w:r>
      <w:r>
        <w:rPr>
          <w:spacing w:val="-2"/>
        </w:rPr>
        <w:t>但哆可梦主要从事基于大数据精细化营销的流量经营业务和移动游戏的研发、发行及游戏平台的运营业务。公司原有主业与</w:t>
      </w:r>
      <w:r>
        <w:rPr>
          <w:spacing w:val="-64"/>
        </w:rPr>
        <w:t> </w:t>
      </w:r>
      <w:r>
        <w:rPr>
          <w:spacing w:val="-64"/>
        </w:rPr>
      </w:r>
      <w:r>
        <w:rPr>
          <w:spacing w:val="-2"/>
        </w:rPr>
        <w:t>哆可梦业务分属于不同行业，在行业监管、商业管理、公司管理制度、企业文化等经营管理方面存在差异，未来业务整合到</w:t>
      </w:r>
      <w:r>
        <w:rPr>
          <w:spacing w:val="-67"/>
        </w:rPr>
        <w:t> </w:t>
      </w:r>
      <w:r>
        <w:rPr>
          <w:spacing w:val="-67"/>
        </w:rPr>
      </w:r>
      <w:r>
        <w:rPr/>
        <w:t>位尚需一定时间，公司与哆可梦之间的整合能否达到预期具有不确定性。</w:t>
      </w:r>
    </w:p>
    <w:p>
      <w:pPr>
        <w:pStyle w:val="BodyText"/>
        <w:spacing w:line="316" w:lineRule="auto" w:before="22"/>
        <w:ind w:right="194" w:firstLine="360"/>
        <w:jc w:val="both"/>
      </w:pPr>
      <w:r>
        <w:rPr>
          <w:spacing w:val="-2"/>
        </w:rPr>
        <w:t>公司将完善与哆可梦相适应的企业文化、组织模式、财务管理与内控、人力资源管理、技术研发管理、业务合作等方面</w:t>
      </w:r>
      <w:r>
        <w:rPr/>
        <w:t> 的具体整合措施，实现整合效应最大化。</w:t>
      </w:r>
    </w:p>
    <w:p>
      <w:pPr>
        <w:pStyle w:val="Heading4"/>
        <w:spacing w:line="240" w:lineRule="auto" w:before="19"/>
        <w:ind w:right="94"/>
        <w:jc w:val="left"/>
        <w:rPr>
          <w:b w:val="0"/>
          <w:bCs w:val="0"/>
        </w:rPr>
      </w:pPr>
      <w:r>
        <w:rPr/>
        <w:t>（</w:t>
      </w:r>
      <w:r>
        <w:rPr>
          <w:rFonts w:ascii="Times New Roman" w:hAnsi="Times New Roman" w:cs="Times New Roman" w:eastAsia="Times New Roman" w:hint="default"/>
        </w:rPr>
        <w:t>3</w:t>
      </w:r>
      <w:r>
        <w:rPr/>
        <w:t>）商誉减值风险</w:t>
      </w:r>
      <w:r>
        <w:rPr>
          <w:b w:val="0"/>
          <w:bCs w:val="0"/>
        </w:rPr>
      </w:r>
    </w:p>
    <w:p>
      <w:pPr>
        <w:pStyle w:val="BodyText"/>
        <w:spacing w:line="300" w:lineRule="auto" w:before="63"/>
        <w:ind w:right="244" w:firstLine="360"/>
        <w:jc w:val="both"/>
      </w:pPr>
      <w:r>
        <w:rPr>
          <w:rFonts w:ascii="Times New Roman" w:hAnsi="Times New Roman" w:cs="Times New Roman" w:eastAsia="Times New Roman" w:hint="default"/>
        </w:rPr>
        <w:t>2017</w:t>
      </w:r>
      <w:r>
        <w:rPr/>
        <w:t>年公司以现金方式收购哆可梦</w:t>
      </w:r>
      <w:r>
        <w:rPr>
          <w:rFonts w:ascii="Times New Roman" w:hAnsi="Times New Roman" w:cs="Times New Roman" w:eastAsia="Times New Roman" w:hint="default"/>
        </w:rPr>
        <w:t>77.57%</w:t>
      </w:r>
      <w:r>
        <w:rPr/>
        <w:t>股权为非同一控制下企业合并，且哆可梦为轻资产型公司，本报告期末公司 存在商誉</w:t>
      </w:r>
      <w:r>
        <w:rPr>
          <w:rFonts w:ascii="Times New Roman" w:hAnsi="Times New Roman" w:cs="Times New Roman" w:eastAsia="Times New Roman" w:hint="default"/>
        </w:rPr>
        <w:t>12.21</w:t>
      </w:r>
      <w:r>
        <w:rPr/>
        <w:t>亿元，根据《企业会计准则》等相关规定，商誉不作摊销处理，但需在未来每年年度终了做减值测试。如哆 可梦未来经营状况恶化，则存在商誉减值的风险，从而对上市公司的当期损益及未来年度的收益造成不利影响。</w:t>
      </w:r>
    </w:p>
    <w:p>
      <w:pPr>
        <w:pStyle w:val="BodyText"/>
        <w:spacing w:line="316" w:lineRule="auto" w:before="31"/>
        <w:ind w:right="190" w:firstLine="360"/>
        <w:jc w:val="both"/>
      </w:pPr>
      <w:r>
        <w:rPr>
          <w:spacing w:val="-2"/>
        </w:rPr>
        <w:t>寇汉、林嘉喜对哆可梦利润承诺期的经营业绩作出了承诺，若未实现承诺业绩，将按照约定方式对上市公司进行业绩补</w:t>
      </w:r>
      <w:r>
        <w:rPr/>
        <w:t> </w:t>
      </w:r>
      <w:r>
        <w:rPr>
          <w:spacing w:val="-2"/>
        </w:rPr>
        <w:t>偿，上述业绩补偿措施一定程度上能够减少商誉减值对于公司当期损益的影响。但是，业绩承诺期满后若哆可梦经营业绩大</w:t>
      </w:r>
      <w:r>
        <w:rPr>
          <w:spacing w:val="-66"/>
        </w:rPr>
        <w:t> </w:t>
      </w:r>
      <w:r>
        <w:rPr>
          <w:spacing w:val="-66"/>
        </w:rPr>
      </w:r>
      <w:r>
        <w:rPr>
          <w:spacing w:val="-2"/>
        </w:rPr>
        <w:t>幅下降，仍有可能会造成商誉减值。公司将采取多种措施调动哆可梦团队的积极性和创造性，为哆可梦提供发展所需的各种</w:t>
      </w:r>
      <w:r>
        <w:rPr>
          <w:spacing w:val="-63"/>
        </w:rPr>
        <w:t> </w:t>
      </w:r>
      <w:r>
        <w:rPr>
          <w:spacing w:val="-63"/>
        </w:rPr>
      </w:r>
      <w:r>
        <w:rPr/>
        <w:t>资源和机会，保持哆可梦的持续盈利能力，保证公司与哆可梦的整体利益最大化。</w:t>
      </w:r>
    </w:p>
    <w:p>
      <w:pPr>
        <w:pStyle w:val="BodyText"/>
        <w:spacing w:line="300" w:lineRule="auto" w:before="19"/>
        <w:ind w:left="513" w:right="94"/>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）人才流失风险</w:t>
      </w:r>
      <w:r>
        <w:rPr>
          <w:rFonts w:ascii="宋体" w:hAnsi="宋体" w:cs="宋体" w:eastAsia="宋体" w:hint="default"/>
          <w:b/>
          <w:bCs/>
          <w:w w:val="99"/>
        </w:rPr>
        <w:t> </w:t>
      </w:r>
      <w:r>
        <w:rPr>
          <w:spacing w:val="-2"/>
        </w:rPr>
        <w:t>优秀的管理和人才团队是公司的核心优势之一，尤其是哆可梦属于互联网文娱行业，更是轻资产运营模式，人才的重要</w:t>
      </w:r>
    </w:p>
    <w:p>
      <w:pPr>
        <w:pStyle w:val="BodyText"/>
        <w:spacing w:line="316" w:lineRule="auto" w:before="31"/>
        <w:ind w:right="94"/>
        <w:jc w:val="left"/>
      </w:pPr>
      <w:r>
        <w:rPr>
          <w:spacing w:val="-2"/>
        </w:rPr>
        <w:t>性尤为突出。如果公司不能有效保持核心人员的激励机制并根据环境变化而不断完善，将会影响到核心人员积极性、创造性</w:t>
      </w:r>
      <w:r>
        <w:rPr>
          <w:spacing w:val="-63"/>
        </w:rPr>
        <w:t> </w:t>
      </w:r>
      <w:r>
        <w:rPr>
          <w:spacing w:val="-63"/>
        </w:rPr>
      </w:r>
      <w:r>
        <w:rPr/>
        <w:t>的发挥，甚至造成核心人员的流失。</w:t>
      </w:r>
    </w:p>
    <w:p>
      <w:pPr>
        <w:pStyle w:val="BodyText"/>
        <w:spacing w:line="316" w:lineRule="auto" w:before="19"/>
        <w:ind w:right="190" w:firstLine="360"/>
        <w:jc w:val="both"/>
      </w:pPr>
      <w:r>
        <w:rPr>
          <w:spacing w:val="-2"/>
        </w:rPr>
        <w:t>公司将更加重视对专业人才的培养，向员工制定培训计划，为人员提供锻炼机会、业务发展及职务晋升空间，给予其更</w:t>
      </w:r>
      <w:r>
        <w:rPr/>
        <w:t> </w:t>
      </w:r>
      <w:r>
        <w:rPr>
          <w:spacing w:val="-2"/>
        </w:rPr>
        <w:t>大的创作空间；从外部引进并保留与业务发展所需密切相关的技术及运营人才，重视企业文化的建设，增强员工对公司的归</w:t>
      </w:r>
      <w:r>
        <w:rPr>
          <w:spacing w:val="-63"/>
        </w:rPr>
        <w:t> </w:t>
      </w:r>
      <w:r>
        <w:rPr>
          <w:spacing w:val="-63"/>
        </w:rPr>
      </w:r>
      <w:r>
        <w:rPr/>
        <w:t>属感，提升员工的主人翁精神。</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十、接待调研、沟通、采访等活动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5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公司报告期内未发生接待调研、沟通、采访等活动。</w:t>
      </w:r>
    </w:p>
    <w:p>
      <w:pPr>
        <w:spacing w:after="0" w:line="340" w:lineRule="auto"/>
        <w:jc w:val="left"/>
        <w:sectPr>
          <w:pgSz w:w="11910" w:h="16840"/>
          <w:pgMar w:header="877" w:footer="979" w:top="110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590" w:right="3626"/>
        <w:jc w:val="center"/>
        <w:rPr>
          <w:b w:val="0"/>
          <w:bCs w:val="0"/>
        </w:rPr>
      </w:pPr>
      <w:bookmarkStart w:name="_bookmark3" w:id="4"/>
      <w:bookmarkEnd w:id="4"/>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94"/>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报告期内普通股利润分配政策，特别是现金分红政策的制定、执行或调整情况</w:t>
      </w:r>
    </w:p>
    <w:p>
      <w:pPr>
        <w:pStyle w:val="BodyText"/>
        <w:spacing w:line="338" w:lineRule="auto" w:before="117"/>
        <w:ind w:left="513" w:right="273" w:hanging="361"/>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根据中国证监会《关于进一步落实上市公司现金分红有关事项的通知》及深圳证监局有关文件等的规定和要求，</w:t>
      </w:r>
      <w:r>
        <w:rPr>
          <w:rFonts w:ascii="Times New Roman" w:hAnsi="Times New Roman" w:cs="Times New Roman" w:eastAsia="Times New Roman" w:hint="default"/>
        </w:rPr>
        <w:t>2015</w:t>
      </w:r>
    </w:p>
    <w:p>
      <w:pPr>
        <w:pStyle w:val="BodyText"/>
        <w:spacing w:line="230" w:lineRule="exact"/>
        <w:ind w:right="94"/>
        <w:jc w:val="left"/>
      </w:pP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6</w:t>
      </w:r>
      <w:r>
        <w:rPr/>
        <w:t>日公司第五届董事会第四次会议审议通过并发布了《未来三年股东回报规划（</w:t>
      </w:r>
      <w:r>
        <w:rPr>
          <w:rFonts w:ascii="Times New Roman" w:hAnsi="Times New Roman" w:cs="Times New Roman" w:eastAsia="Times New Roman" w:hint="default"/>
        </w:rPr>
        <w:t>2015-2017</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22</w:t>
      </w:r>
      <w:r>
        <w:rPr/>
        <w:t>日公司召</w:t>
      </w:r>
    </w:p>
    <w:p>
      <w:pPr>
        <w:pStyle w:val="BodyText"/>
        <w:spacing w:line="240" w:lineRule="auto" w:before="63"/>
        <w:ind w:right="94"/>
        <w:jc w:val="left"/>
      </w:pPr>
      <w:r>
        <w:rPr/>
        <w:t>开的</w:t>
      </w:r>
      <w:r>
        <w:rPr>
          <w:rFonts w:ascii="Times New Roman" w:hAnsi="Times New Roman" w:cs="Times New Roman" w:eastAsia="Times New Roman" w:hint="default"/>
        </w:rPr>
        <w:t>2015</w:t>
      </w:r>
      <w:r>
        <w:rPr/>
        <w:t>年第一次临时股东大会审议通过了该规划。</w:t>
      </w:r>
    </w:p>
    <w:p>
      <w:pPr>
        <w:pStyle w:val="BodyText"/>
        <w:spacing w:line="300" w:lineRule="auto" w:before="63"/>
        <w:ind w:right="154" w:firstLine="360"/>
        <w:jc w:val="left"/>
      </w:pPr>
      <w:r>
        <w:rPr/>
        <w:t>公司制定《未来三年股东回报规划（</w:t>
      </w:r>
      <w:r>
        <w:rPr>
          <w:rFonts w:ascii="Times New Roman" w:hAnsi="Times New Roman" w:cs="Times New Roman" w:eastAsia="Times New Roman" w:hint="default"/>
        </w:rPr>
        <w:t>2015-2017</w:t>
      </w:r>
      <w:r>
        <w:rPr/>
        <w:t>）》，明确了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-2017</w:t>
      </w:r>
      <w:r>
        <w:rPr/>
        <w:t>年期间公司的利润分配形式、利润分配周期、 利润分配比例和利润分配方案的制定和执行。</w:t>
      </w:r>
    </w:p>
    <w:p>
      <w:pPr>
        <w:spacing w:line="240" w:lineRule="auto" w:before="0"/>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6499"/>
        <w:gridCol w:w="3059"/>
      </w:tblGrid>
      <w:tr>
        <w:trPr>
          <w:trHeight w:val="40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305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305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305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305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305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305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7"/>
        <w:ind w:right="94"/>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240" w:lineRule="auto" w:before="101"/>
        <w:ind w:right="94"/>
        <w:jc w:val="left"/>
      </w:pPr>
      <w:r>
        <w:rPr>
          <w:spacing w:val="-2"/>
        </w:rPr>
        <w:t>（</w:t>
      </w:r>
      <w:r>
        <w:rPr>
          <w:rFonts w:ascii="Times New Roman" w:hAnsi="Times New Roman" w:cs="Times New Roman" w:eastAsia="Times New Roman" w:hint="default"/>
          <w:spacing w:val="-2"/>
        </w:rPr>
        <w:t>1</w:t>
      </w:r>
      <w:r>
        <w:rPr>
          <w:spacing w:val="-2"/>
        </w:rPr>
        <w:t>）公司</w:t>
      </w:r>
      <w:r>
        <w:rPr>
          <w:rFonts w:ascii="Times New Roman" w:hAnsi="Times New Roman" w:cs="Times New Roman" w:eastAsia="Times New Roman" w:hint="default"/>
          <w:spacing w:val="-2"/>
        </w:rPr>
        <w:t>2015</w:t>
      </w:r>
      <w:r>
        <w:rPr>
          <w:spacing w:val="-2"/>
        </w:rPr>
        <w:t>年度不进行利润分配，不进行分红送股，也不以资本公积金转增股本，留存收益全部用于公司日常生产经营。</w:t>
      </w:r>
    </w:p>
    <w:p>
      <w:pPr>
        <w:pStyle w:val="BodyText"/>
        <w:spacing w:line="240" w:lineRule="auto" w:before="103"/>
        <w:ind w:right="94"/>
        <w:jc w:val="left"/>
      </w:pPr>
      <w:r>
        <w:rPr>
          <w:spacing w:val="-2"/>
        </w:rPr>
        <w:t>（</w:t>
      </w:r>
      <w:r>
        <w:rPr>
          <w:rFonts w:ascii="Times New Roman" w:hAnsi="Times New Roman" w:cs="Times New Roman" w:eastAsia="Times New Roman" w:hint="default"/>
          <w:spacing w:val="-2"/>
        </w:rPr>
        <w:t>2</w:t>
      </w:r>
      <w:r>
        <w:rPr>
          <w:spacing w:val="-2"/>
        </w:rPr>
        <w:t>）公司</w:t>
      </w:r>
      <w:r>
        <w:rPr>
          <w:rFonts w:ascii="Times New Roman" w:hAnsi="Times New Roman" w:cs="Times New Roman" w:eastAsia="Times New Roman" w:hint="default"/>
          <w:spacing w:val="-2"/>
        </w:rPr>
        <w:t>2016</w:t>
      </w:r>
      <w:r>
        <w:rPr>
          <w:spacing w:val="-2"/>
        </w:rPr>
        <w:t>年度不进行利润分配，不进行分红送股，也不以资本公积金转增股本，留存收益全部用于公司日常生产经营。</w:t>
      </w:r>
    </w:p>
    <w:p>
      <w:pPr>
        <w:pStyle w:val="BodyText"/>
        <w:spacing w:line="338" w:lineRule="auto" w:before="103"/>
        <w:ind w:right="94"/>
        <w:jc w:val="left"/>
      </w:pPr>
      <w:r>
        <w:rPr>
          <w:spacing w:val="-2"/>
        </w:rPr>
        <w:t>（</w:t>
      </w:r>
      <w:r>
        <w:rPr>
          <w:rFonts w:ascii="Times New Roman" w:hAnsi="Times New Roman" w:cs="Times New Roman" w:eastAsia="Times New Roman" w:hint="default"/>
          <w:spacing w:val="-2"/>
        </w:rPr>
        <w:t>3</w:t>
      </w:r>
      <w:r>
        <w:rPr>
          <w:spacing w:val="-2"/>
        </w:rPr>
        <w:t>）公司</w:t>
      </w:r>
      <w:r>
        <w:rPr>
          <w:rFonts w:ascii="Times New Roman" w:hAnsi="Times New Roman" w:cs="Times New Roman" w:eastAsia="Times New Roman" w:hint="default"/>
          <w:spacing w:val="-2"/>
        </w:rPr>
        <w:t>2017</w:t>
      </w:r>
      <w:r>
        <w:rPr>
          <w:spacing w:val="-2"/>
        </w:rPr>
        <w:t>年度不进行利润分配，不进行分红送股，也不以资本公积金转增股本，留存收益全部用于公司日常生产经营。</w:t>
      </w:r>
      <w:r>
        <w:rPr>
          <w:spacing w:val="-61"/>
        </w:rPr>
        <w:t> </w:t>
      </w:r>
      <w:r>
        <w:rPr>
          <w:spacing w:val="-61"/>
        </w:rPr>
      </w:r>
      <w:r>
        <w:rPr/>
        <w:t>公司近三年（包括本报告期）普通股现金分红情况表</w:t>
      </w:r>
    </w:p>
    <w:p>
      <w:pPr>
        <w:pStyle w:val="BodyText"/>
        <w:spacing w:line="240" w:lineRule="auto" w:before="43"/>
        <w:ind w:left="0" w:right="191"/>
        <w:jc w:val="right"/>
      </w:pPr>
      <w:r>
        <w:rPr/>
        <w:t>单位：元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620"/>
        <w:gridCol w:w="1529"/>
        <w:gridCol w:w="1704"/>
        <w:gridCol w:w="1697"/>
        <w:gridCol w:w="1532"/>
        <w:gridCol w:w="1615"/>
      </w:tblGrid>
      <w:tr>
        <w:trPr>
          <w:trHeight w:val="161" w:hRule="exact"/>
        </w:trPr>
        <w:tc>
          <w:tcPr>
            <w:tcW w:w="1620" w:type="dxa"/>
            <w:vMerge w:val="restart"/>
            <w:tcBorders>
              <w:top w:val="single" w:sz="4" w:space="0" w:color="000000"/>
              <w:left w:val="single" w:sz="4" w:space="0" w:color="000000"/>
              <w:right w:val="single" w:sz="4" w:space="0" w:color="000000"/>
            </w:tcBorders>
            <w:shd w:val="clear" w:color="auto" w:fill="D2D2D2"/>
          </w:tcPr>
          <w:p>
            <w:pP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38" w:right="35"/>
              <w:jc w:val="center"/>
              <w:rPr>
                <w:rFonts w:ascii="宋体" w:hAnsi="宋体" w:cs="宋体" w:eastAsia="宋体" w:hint="default"/>
                <w:sz w:val="18"/>
                <w:szCs w:val="18"/>
              </w:rPr>
            </w:pPr>
            <w:r>
              <w:rPr>
                <w:rFonts w:ascii="宋体" w:hAnsi="宋体" w:cs="宋体" w:eastAsia="宋体" w:hint="default"/>
                <w:sz w:val="18"/>
                <w:szCs w:val="18"/>
              </w:rPr>
              <w:t>分红年度合并报表中 归属于上市公司普通 股股东的净利润</w:t>
            </w:r>
          </w:p>
        </w:tc>
        <w:tc>
          <w:tcPr>
            <w:tcW w:w="169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33" w:right="33"/>
              <w:jc w:val="center"/>
              <w:rPr>
                <w:rFonts w:ascii="宋体" w:hAnsi="宋体" w:cs="宋体" w:eastAsia="宋体" w:hint="default"/>
                <w:sz w:val="18"/>
                <w:szCs w:val="18"/>
              </w:rPr>
            </w:pPr>
            <w:r>
              <w:rPr>
                <w:rFonts w:ascii="宋体" w:hAnsi="宋体" w:cs="宋体" w:eastAsia="宋体" w:hint="default"/>
                <w:sz w:val="18"/>
                <w:szCs w:val="18"/>
              </w:rPr>
              <w:t>占合并报表中归属于 上市公司普通股股东 的净利润的比率</w:t>
            </w:r>
          </w:p>
        </w:tc>
        <w:tc>
          <w:tcPr>
            <w:tcW w:w="15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620" w:type="dxa"/>
            <w:vMerge/>
            <w:tcBorders>
              <w:left w:val="single" w:sz="4" w:space="0" w:color="000000"/>
              <w:bottom w:val="nil" w:sz="6" w:space="0" w:color="auto"/>
              <w:right w:val="single" w:sz="4" w:space="0" w:color="000000"/>
            </w:tcBorders>
            <w:shd w:val="clear" w:color="auto" w:fill="D2D2D2"/>
          </w:tcPr>
          <w:p>
            <w:pPr/>
          </w:p>
        </w:tc>
        <w:tc>
          <w:tcPr>
            <w:tcW w:w="152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80" w:right="38"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704" w:type="dxa"/>
            <w:vMerge/>
            <w:tcBorders>
              <w:left w:val="single" w:sz="4" w:space="0" w:color="000000"/>
              <w:right w:val="single" w:sz="4" w:space="0" w:color="000000"/>
            </w:tcBorders>
            <w:shd w:val="clear" w:color="auto" w:fill="D2D2D2"/>
          </w:tcPr>
          <w:p>
            <w:pPr/>
          </w:p>
        </w:tc>
        <w:tc>
          <w:tcPr>
            <w:tcW w:w="1697" w:type="dxa"/>
            <w:vMerge/>
            <w:tcBorders>
              <w:left w:val="single" w:sz="4" w:space="0" w:color="000000"/>
              <w:right w:val="single" w:sz="4" w:space="0" w:color="000000"/>
            </w:tcBorders>
            <w:shd w:val="clear" w:color="auto" w:fill="D2D2D2"/>
          </w:tcPr>
          <w:p>
            <w:pPr/>
          </w:p>
        </w:tc>
        <w:tc>
          <w:tcPr>
            <w:tcW w:w="153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00" w:right="39"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61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44" w:right="79"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1" w:hRule="exact"/>
        </w:trPr>
        <w:tc>
          <w:tcPr>
            <w:tcW w:w="16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4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29" w:type="dxa"/>
            <w:vMerge/>
            <w:tcBorders>
              <w:left w:val="single" w:sz="4" w:space="0" w:color="000000"/>
              <w:right w:val="single" w:sz="4" w:space="0" w:color="000000"/>
            </w:tcBorders>
            <w:shd w:val="clear" w:color="auto" w:fill="D2D2D2"/>
          </w:tcPr>
          <w:p>
            <w:pPr/>
          </w:p>
        </w:tc>
        <w:tc>
          <w:tcPr>
            <w:tcW w:w="1704" w:type="dxa"/>
            <w:vMerge/>
            <w:tcBorders>
              <w:left w:val="single" w:sz="4" w:space="0" w:color="000000"/>
              <w:right w:val="single" w:sz="4" w:space="0" w:color="000000"/>
            </w:tcBorders>
            <w:shd w:val="clear" w:color="auto" w:fill="D2D2D2"/>
          </w:tcPr>
          <w:p>
            <w:pPr/>
          </w:p>
        </w:tc>
        <w:tc>
          <w:tcPr>
            <w:tcW w:w="1697" w:type="dxa"/>
            <w:vMerge/>
            <w:tcBorders>
              <w:left w:val="single" w:sz="4" w:space="0" w:color="000000"/>
              <w:right w:val="single" w:sz="4" w:space="0" w:color="000000"/>
            </w:tcBorders>
            <w:shd w:val="clear" w:color="auto" w:fill="D2D2D2"/>
          </w:tcPr>
          <w:p>
            <w:pPr/>
          </w:p>
        </w:tc>
        <w:tc>
          <w:tcPr>
            <w:tcW w:w="1532" w:type="dxa"/>
            <w:vMerge/>
            <w:tcBorders>
              <w:left w:val="single" w:sz="4" w:space="0" w:color="000000"/>
              <w:right w:val="single" w:sz="4" w:space="0" w:color="000000"/>
            </w:tcBorders>
            <w:shd w:val="clear" w:color="auto" w:fill="D2D2D2"/>
          </w:tcPr>
          <w:p>
            <w:pPr/>
          </w:p>
        </w:tc>
        <w:tc>
          <w:tcPr>
            <w:tcW w:w="1615" w:type="dxa"/>
            <w:vMerge/>
            <w:tcBorders>
              <w:left w:val="single" w:sz="4" w:space="0" w:color="000000"/>
              <w:right w:val="single" w:sz="4" w:space="0" w:color="000000"/>
            </w:tcBorders>
            <w:shd w:val="clear" w:color="auto" w:fill="D2D2D2"/>
          </w:tcPr>
          <w:p>
            <w:pPr/>
          </w:p>
        </w:tc>
      </w:tr>
      <w:tr>
        <w:trPr>
          <w:trHeight w:val="157" w:hRule="exact"/>
        </w:trPr>
        <w:tc>
          <w:tcPr>
            <w:tcW w:w="1620" w:type="dxa"/>
            <w:vMerge w:val="restart"/>
            <w:tcBorders>
              <w:top w:val="nil" w:sz="6" w:space="0" w:color="auto"/>
              <w:left w:val="single" w:sz="4" w:space="0" w:color="000000"/>
              <w:right w:val="single" w:sz="4" w:space="0" w:color="000000"/>
            </w:tcBorders>
            <w:shd w:val="clear" w:color="auto" w:fill="D2D2D2"/>
          </w:tcPr>
          <w:p>
            <w:pPr/>
          </w:p>
        </w:tc>
        <w:tc>
          <w:tcPr>
            <w:tcW w:w="1529" w:type="dxa"/>
            <w:vMerge/>
            <w:tcBorders>
              <w:left w:val="single" w:sz="4" w:space="0" w:color="000000"/>
              <w:bottom w:val="nil" w:sz="6" w:space="0" w:color="auto"/>
              <w:right w:val="single" w:sz="4" w:space="0" w:color="000000"/>
            </w:tcBorders>
            <w:shd w:val="clear" w:color="auto" w:fill="D2D2D2"/>
          </w:tcPr>
          <w:p>
            <w:pPr/>
          </w:p>
        </w:tc>
        <w:tc>
          <w:tcPr>
            <w:tcW w:w="1704" w:type="dxa"/>
            <w:vMerge/>
            <w:tcBorders>
              <w:left w:val="single" w:sz="4" w:space="0" w:color="000000"/>
              <w:right w:val="single" w:sz="4" w:space="0" w:color="000000"/>
            </w:tcBorders>
            <w:shd w:val="clear" w:color="auto" w:fill="D2D2D2"/>
          </w:tcPr>
          <w:p>
            <w:pPr/>
          </w:p>
        </w:tc>
        <w:tc>
          <w:tcPr>
            <w:tcW w:w="1697" w:type="dxa"/>
            <w:vMerge/>
            <w:tcBorders>
              <w:left w:val="single" w:sz="4" w:space="0" w:color="000000"/>
              <w:right w:val="single" w:sz="4" w:space="0" w:color="000000"/>
            </w:tcBorders>
            <w:shd w:val="clear" w:color="auto" w:fill="D2D2D2"/>
          </w:tcPr>
          <w:p>
            <w:pPr/>
          </w:p>
        </w:tc>
        <w:tc>
          <w:tcPr>
            <w:tcW w:w="1532" w:type="dxa"/>
            <w:vMerge/>
            <w:tcBorders>
              <w:left w:val="single" w:sz="4" w:space="0" w:color="000000"/>
              <w:bottom w:val="nil" w:sz="6" w:space="0" w:color="auto"/>
              <w:right w:val="single" w:sz="4" w:space="0" w:color="000000"/>
            </w:tcBorders>
            <w:shd w:val="clear" w:color="auto" w:fill="D2D2D2"/>
          </w:tcPr>
          <w:p>
            <w:pPr/>
          </w:p>
        </w:tc>
        <w:tc>
          <w:tcPr>
            <w:tcW w:w="1615"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620" w:type="dxa"/>
            <w:vMerge/>
            <w:tcBorders>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4" w:type="dxa"/>
            <w:vMerge/>
            <w:tcBorders>
              <w:left w:val="single" w:sz="4" w:space="0" w:color="000000"/>
              <w:bottom w:val="single" w:sz="4" w:space="0" w:color="000000"/>
              <w:right w:val="single" w:sz="4" w:space="0" w:color="000000"/>
            </w:tcBorders>
            <w:shd w:val="clear" w:color="auto" w:fill="D2D2D2"/>
          </w:tcPr>
          <w:p>
            <w:pPr/>
          </w:p>
        </w:tc>
        <w:tc>
          <w:tcPr>
            <w:tcW w:w="1697" w:type="dxa"/>
            <w:vMerge/>
            <w:tcBorders>
              <w:left w:val="single" w:sz="4" w:space="0" w:color="000000"/>
              <w:bottom w:val="single" w:sz="4" w:space="0" w:color="000000"/>
              <w:right w:val="single" w:sz="4" w:space="0" w:color="000000"/>
            </w:tcBorders>
            <w:shd w:val="clear" w:color="auto" w:fill="D2D2D2"/>
          </w:tcPr>
          <w:p>
            <w:pPr/>
          </w:p>
        </w:tc>
        <w:tc>
          <w:tcPr>
            <w:tcW w:w="15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-107,607,635.77</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75,912,490.21</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135,358,464.49</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94"/>
        <w:jc w:val="left"/>
      </w:pPr>
      <w:r>
        <w:rPr/>
        <w:t>公司报告期内盈利且母公司可供普通股股东分配利润为正但未提出普通股现金红利分配预案</w:t>
      </w:r>
    </w:p>
    <w:p>
      <w:pPr>
        <w:pStyle w:val="BodyText"/>
        <w:spacing w:line="240" w:lineRule="auto" w:before="115"/>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4"/>
        <w:jc w:val="left"/>
        <w:rPr>
          <w:b w:val="0"/>
          <w:bCs w:val="0"/>
        </w:rPr>
      </w:pPr>
      <w:r>
        <w:rPr/>
        <w:t>二、本报告期利润分配及资本公积金转增股本预案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4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公司计划年度不派发现金红利，不送红股，不以公积金转增股本。</w:t>
      </w:r>
    </w:p>
    <w:p>
      <w:pPr>
        <w:spacing w:after="0" w:line="338" w:lineRule="auto"/>
        <w:jc w:val="left"/>
        <w:sectPr>
          <w:pgSz w:w="11910" w:h="16840"/>
          <w:pgMar w:header="877" w:footer="979" w:top="1100" w:bottom="1160" w:left="980" w:right="940"/>
        </w:sectPr>
      </w:pPr>
    </w:p>
    <w:p>
      <w:pPr>
        <w:pStyle w:val="Heading2"/>
        <w:spacing w:line="240" w:lineRule="auto" w:before="28"/>
        <w:ind w:left="140" w:right="148"/>
        <w:jc w:val="left"/>
        <w:rPr>
          <w:b w:val="0"/>
          <w:bCs w:val="0"/>
        </w:rPr>
      </w:pPr>
      <w:r>
        <w:rPr/>
        <w:pict>
          <v:group style="position:absolute;margin-left:70.559998pt;margin-top:2.195603pt;width:700.95pt;height:.1pt;mso-position-horizontal-relative:page;mso-position-vertical-relative:paragraph;z-index:-1104832" coordorigin="1411,44" coordsize="14019,2">
            <v:shape style="position:absolute;left:1411;top:44;width:14019;height:2" coordorigin="1411,44" coordsize="14019,0" path="m1411,44l15430,44e" filled="false" stroked="true" strokeweight=".72pt" strokecolor="#000000">
              <v:path arrowok="t"/>
            </v:shape>
            <w10:wrap type="none"/>
          </v:group>
        </w:pict>
      </w:r>
      <w:r>
        <w:rPr/>
        <w:t>三、承诺事项履行情况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40" w:right="148"/>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40"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893"/>
        <w:gridCol w:w="1687"/>
        <w:gridCol w:w="1561"/>
        <w:gridCol w:w="6805"/>
        <w:gridCol w:w="1133"/>
        <w:gridCol w:w="1135"/>
        <w:gridCol w:w="804"/>
      </w:tblGrid>
      <w:tr>
        <w:trPr>
          <w:trHeight w:val="403" w:hRule="exact"/>
        </w:trPr>
        <w:tc>
          <w:tcPr>
            <w:tcW w:w="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6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3" w:hRule="exact"/>
        </w:trPr>
        <w:tc>
          <w:tcPr>
            <w:tcW w:w="8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3" w:right="137"/>
              <w:jc w:val="both"/>
              <w:rPr>
                <w:rFonts w:ascii="宋体" w:hAnsi="宋体" w:cs="宋体" w:eastAsia="宋体" w:hint="default"/>
                <w:sz w:val="18"/>
                <w:szCs w:val="18"/>
              </w:rPr>
            </w:pPr>
            <w:r>
              <w:rPr>
                <w:rFonts w:ascii="宋体" w:hAnsi="宋体" w:cs="宋体" w:eastAsia="宋体" w:hint="default"/>
                <w:sz w:val="18"/>
                <w:szCs w:val="18"/>
              </w:rPr>
              <w:t>收购报告 书或权益 变动报告 书中所作 承诺</w:t>
            </w:r>
          </w:p>
        </w:tc>
        <w:tc>
          <w:tcPr>
            <w:tcW w:w="16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中驰惠程；中源信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保证深圳惠程在资产、人员、财务、业务和机构等方面独立。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日至长期</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8"/>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027" w:hRule="exact"/>
        </w:trPr>
        <w:tc>
          <w:tcPr>
            <w:tcW w:w="893" w:type="dxa"/>
            <w:vMerge/>
            <w:tcBorders>
              <w:left w:val="single" w:sz="4" w:space="0" w:color="000000"/>
              <w:bottom w:val="single" w:sz="4" w:space="0" w:color="000000"/>
              <w:right w:val="single" w:sz="4" w:space="0" w:color="000000"/>
            </w:tcBorders>
            <w:shd w:val="clear" w:color="auto" w:fill="D2D2D2"/>
          </w:tcPr>
          <w:p>
            <w:pPr/>
          </w:p>
        </w:tc>
        <w:tc>
          <w:tcPr>
            <w:tcW w:w="16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 w:right="35"/>
              <w:jc w:val="left"/>
              <w:rPr>
                <w:rFonts w:ascii="宋体" w:hAnsi="宋体" w:cs="宋体" w:eastAsia="宋体" w:hint="default"/>
                <w:sz w:val="18"/>
                <w:szCs w:val="18"/>
              </w:rPr>
            </w:pPr>
            <w:r>
              <w:rPr>
                <w:rFonts w:ascii="宋体" w:hAnsi="宋体" w:cs="宋体" w:eastAsia="宋体" w:hint="default"/>
                <w:sz w:val="18"/>
                <w:szCs w:val="18"/>
              </w:rPr>
              <w:t>中驰惠程；中源信； 信中利</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6"/>
              <w:jc w:val="both"/>
              <w:rPr>
                <w:rFonts w:ascii="宋体" w:hAnsi="宋体" w:cs="宋体" w:eastAsia="宋体" w:hint="default"/>
                <w:sz w:val="18"/>
                <w:szCs w:val="18"/>
              </w:rPr>
            </w:pPr>
            <w:r>
              <w:rPr>
                <w:rFonts w:ascii="宋体" w:hAnsi="宋体" w:cs="宋体" w:eastAsia="宋体" w:hint="default"/>
                <w:sz w:val="18"/>
                <w:szCs w:val="18"/>
              </w:rPr>
              <w:t>关于同业竞争、关 联交易、资金占用 方面的承诺</w:t>
            </w:r>
          </w:p>
        </w:tc>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承诺在权益变动完成后十二个月内解决同业竞争问题。</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48"/>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1025" w:hRule="exact"/>
        </w:trPr>
        <w:tc>
          <w:tcPr>
            <w:tcW w:w="893" w:type="dxa"/>
            <w:vMerge w:val="restart"/>
            <w:tcBorders>
              <w:top w:val="single" w:sz="4" w:space="0" w:color="000000"/>
              <w:left w:val="single" w:sz="4" w:space="0" w:color="000000"/>
              <w:right w:val="single" w:sz="4" w:space="0" w:color="000000"/>
            </w:tcBorders>
            <w:shd w:val="clear" w:color="auto" w:fill="D2D2D2"/>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35"/>
              <w:jc w:val="both"/>
              <w:rPr>
                <w:rFonts w:ascii="宋体" w:hAnsi="宋体" w:cs="宋体" w:eastAsia="宋体" w:hint="default"/>
                <w:sz w:val="18"/>
                <w:szCs w:val="18"/>
              </w:rPr>
            </w:pPr>
            <w:r>
              <w:rPr>
                <w:rFonts w:ascii="宋体" w:hAnsi="宋体" w:cs="宋体" w:eastAsia="宋体" w:hint="default"/>
                <w:sz w:val="18"/>
                <w:szCs w:val="18"/>
              </w:rPr>
              <w:t>中驰惠程；中源信； 信中利；汪超涌；田 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6"/>
              <w:jc w:val="both"/>
              <w:rPr>
                <w:rFonts w:ascii="宋体" w:hAnsi="宋体" w:cs="宋体" w:eastAsia="宋体" w:hint="default"/>
                <w:sz w:val="18"/>
                <w:szCs w:val="18"/>
              </w:rPr>
            </w:pPr>
            <w:r>
              <w:rPr>
                <w:rFonts w:ascii="宋体" w:hAnsi="宋体" w:cs="宋体" w:eastAsia="宋体" w:hint="default"/>
                <w:sz w:val="18"/>
                <w:szCs w:val="18"/>
              </w:rPr>
              <w:t>关于同业竞争、关 联交易、资金占用 方面的承诺</w:t>
            </w:r>
          </w:p>
        </w:tc>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9"/>
              <w:jc w:val="both"/>
              <w:rPr>
                <w:rFonts w:ascii="宋体" w:hAnsi="宋体" w:cs="宋体" w:eastAsia="宋体" w:hint="default"/>
                <w:sz w:val="18"/>
                <w:szCs w:val="18"/>
              </w:rPr>
            </w:pPr>
            <w:r>
              <w:rPr>
                <w:rFonts w:ascii="宋体" w:hAnsi="宋体" w:cs="宋体" w:eastAsia="宋体" w:hint="default"/>
                <w:sz w:val="18"/>
                <w:szCs w:val="18"/>
              </w:rPr>
              <w:t>自身及其控制的企业不会直接或间接从事或参与任何与深圳惠程及其下属企业构成竞 争的任何业务或活动，不以任何方式从事或参与任何与深圳惠程及其下属企业业务相 同、相似或可能取代深圳惠程及其下属企业业务的活动。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日至长期</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48"/>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028" w:hRule="exact"/>
        </w:trPr>
        <w:tc>
          <w:tcPr>
            <w:tcW w:w="893" w:type="dxa"/>
            <w:vMerge/>
            <w:tcBorders>
              <w:left w:val="single" w:sz="4" w:space="0" w:color="000000"/>
              <w:right w:val="single" w:sz="4" w:space="0" w:color="000000"/>
            </w:tcBorders>
            <w:shd w:val="clear" w:color="auto" w:fill="D2D2D2"/>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中驰惠程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自交易完成之日起六十个月内，保证不主动放弃对上市公司的控股股东地位，详见</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日《重大资产购</w:t>
            </w:r>
            <w:r>
              <w:rPr>
                <w:rFonts w:ascii="宋体" w:hAnsi="宋体" w:cs="宋体" w:eastAsia="宋体" w:hint="default"/>
                <w:spacing w:val="-3"/>
                <w:sz w:val="18"/>
                <w:szCs w:val="18"/>
              </w:rPr>
              <w:t>买</w:t>
            </w:r>
            <w:r>
              <w:rPr>
                <w:rFonts w:ascii="宋体" w:hAnsi="宋体" w:cs="宋体" w:eastAsia="宋体" w:hint="default"/>
                <w:sz w:val="18"/>
                <w:szCs w:val="18"/>
              </w:rPr>
              <w:t>暨关联交易报告书（草案</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二</w:t>
            </w:r>
            <w:r>
              <w:rPr>
                <w:rFonts w:ascii="宋体" w:hAnsi="宋体" w:cs="宋体" w:eastAsia="宋体" w:hint="default"/>
                <w:sz w:val="18"/>
                <w:szCs w:val="18"/>
              </w:rPr>
              <w:t>次修订稿</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48"/>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61" w:hRule="exact"/>
        </w:trPr>
        <w:tc>
          <w:tcPr>
            <w:tcW w:w="893" w:type="dxa"/>
            <w:vMerge/>
            <w:tcBorders>
              <w:left w:val="single" w:sz="4" w:space="0" w:color="000000"/>
              <w:bottom w:val="nil" w:sz="6" w:space="0" w:color="auto"/>
              <w:right w:val="single" w:sz="4" w:space="0" w:color="000000"/>
            </w:tcBorders>
            <w:shd w:val="clear" w:color="auto" w:fill="D2D2D2"/>
          </w:tcPr>
          <w:p>
            <w:pPr/>
          </w:p>
        </w:tc>
        <w:tc>
          <w:tcPr>
            <w:tcW w:w="168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汪超涌；李亦非</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805" w:type="dxa"/>
            <w:vMerge w:val="restart"/>
            <w:tcBorders>
              <w:top w:val="single" w:sz="4" w:space="0" w:color="000000"/>
              <w:left w:val="single" w:sz="4" w:space="0" w:color="000000"/>
              <w:right w:val="single" w:sz="4" w:space="0" w:color="000000"/>
            </w:tcBorders>
          </w:tcPr>
          <w:p>
            <w:pPr>
              <w:pStyle w:val="TableParagraph"/>
              <w:spacing w:line="309" w:lineRule="auto" w:before="49"/>
              <w:ind w:left="24" w:right="15"/>
              <w:jc w:val="left"/>
              <w:rPr>
                <w:rFonts w:ascii="宋体" w:hAnsi="宋体" w:cs="宋体" w:eastAsia="宋体" w:hint="default"/>
                <w:sz w:val="18"/>
                <w:szCs w:val="18"/>
              </w:rPr>
            </w:pPr>
            <w:r>
              <w:rPr>
                <w:rFonts w:ascii="宋体" w:hAnsi="宋体" w:cs="宋体" w:eastAsia="宋体" w:hint="default"/>
                <w:sz w:val="18"/>
                <w:szCs w:val="18"/>
              </w:rPr>
              <w:t>自交易完成之日起六十个月内，本人及本人控制的主体保证不会主动放弃对上市公司 的控制权，保证上市公司控制权不发生变化，详见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日《重大资产购买 </w:t>
            </w:r>
            <w:r>
              <w:rPr>
                <w:rFonts w:ascii="宋体" w:hAnsi="宋体" w:cs="宋体" w:eastAsia="宋体" w:hint="default"/>
                <w:spacing w:val="-14"/>
                <w:sz w:val="18"/>
                <w:szCs w:val="18"/>
              </w:rPr>
              <w:t>暨关联交易报告书（草案）（二次修订稿）》。</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48"/>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864" w:hRule="exact"/>
        </w:trPr>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 w:right="137"/>
              <w:jc w:val="both"/>
              <w:rPr>
                <w:rFonts w:ascii="宋体" w:hAnsi="宋体" w:cs="宋体" w:eastAsia="宋体" w:hint="default"/>
                <w:sz w:val="18"/>
                <w:szCs w:val="18"/>
              </w:rPr>
            </w:pPr>
            <w:r>
              <w:rPr>
                <w:rFonts w:ascii="宋体" w:hAnsi="宋体" w:cs="宋体" w:eastAsia="宋体" w:hint="default"/>
                <w:sz w:val="18"/>
                <w:szCs w:val="18"/>
              </w:rPr>
              <w:t>资产重组 时所作承 诺</w:t>
            </w:r>
          </w:p>
        </w:tc>
        <w:tc>
          <w:tcPr>
            <w:tcW w:w="1687" w:type="dxa"/>
            <w:vMerge/>
            <w:tcBorders>
              <w:left w:val="single" w:sz="10" w:space="0" w:color="D2D2D2"/>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6805"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804" w:type="dxa"/>
            <w:vMerge/>
            <w:tcBorders>
              <w:left w:val="single" w:sz="4" w:space="0" w:color="000000"/>
              <w:bottom w:val="single" w:sz="4" w:space="0" w:color="000000"/>
              <w:right w:val="single" w:sz="4" w:space="0" w:color="000000"/>
            </w:tcBorders>
          </w:tcPr>
          <w:p>
            <w:pPr/>
          </w:p>
        </w:tc>
      </w:tr>
      <w:tr>
        <w:trPr>
          <w:trHeight w:val="151" w:hRule="exact"/>
        </w:trPr>
        <w:tc>
          <w:tcPr>
            <w:tcW w:w="893" w:type="dxa"/>
            <w:vMerge/>
            <w:tcBorders>
              <w:left w:val="single" w:sz="4" w:space="0" w:color="000000"/>
              <w:bottom w:val="nil" w:sz="6" w:space="0" w:color="auto"/>
              <w:right w:val="single" w:sz="4" w:space="0" w:color="000000"/>
            </w:tcBorders>
            <w:shd w:val="clear" w:color="auto" w:fill="D2D2D2"/>
          </w:tcPr>
          <w:p>
            <w:pPr/>
          </w:p>
        </w:tc>
        <w:tc>
          <w:tcPr>
            <w:tcW w:w="1687" w:type="dxa"/>
            <w:vMerge w:val="restart"/>
            <w:tcBorders>
              <w:top w:val="single" w:sz="4" w:space="0" w:color="000000"/>
              <w:left w:val="single" w:sz="10"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4" w:right="35"/>
              <w:jc w:val="left"/>
              <w:rPr>
                <w:rFonts w:ascii="宋体" w:hAnsi="宋体" w:cs="宋体" w:eastAsia="宋体" w:hint="default"/>
                <w:sz w:val="18"/>
                <w:szCs w:val="18"/>
              </w:rPr>
            </w:pPr>
            <w:r>
              <w:rPr>
                <w:rFonts w:ascii="宋体" w:hAnsi="宋体" w:cs="宋体" w:eastAsia="宋体" w:hint="default"/>
                <w:sz w:val="18"/>
                <w:szCs w:val="18"/>
              </w:rPr>
              <w:t>中驰惠程；汪超涌； 李亦非</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805" w:type="dxa"/>
            <w:vMerge w:val="restart"/>
            <w:tcBorders>
              <w:top w:val="single" w:sz="4" w:space="0" w:color="000000"/>
              <w:left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交易完成之后的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个月内，本公司（本人）并无通过影响上市公司股东大会、董事会</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而将上市公司现有业务相关的主要资产予以剥离的计划、意向或安排。详见</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日《重大资产购买暨关</w:t>
            </w:r>
            <w:r>
              <w:rPr>
                <w:rFonts w:ascii="宋体" w:hAnsi="宋体" w:cs="宋体" w:eastAsia="宋体" w:hint="default"/>
                <w:spacing w:val="-3"/>
                <w:sz w:val="18"/>
                <w:szCs w:val="18"/>
              </w:rPr>
              <w:t>联</w:t>
            </w:r>
            <w:r>
              <w:rPr>
                <w:rFonts w:ascii="宋体" w:hAnsi="宋体" w:cs="宋体" w:eastAsia="宋体" w:hint="default"/>
                <w:sz w:val="18"/>
                <w:szCs w:val="18"/>
              </w:rPr>
              <w:t>交易报告书（草案</w:t>
            </w:r>
            <w:r>
              <w:rPr>
                <w:rFonts w:ascii="宋体" w:hAnsi="宋体" w:cs="宋体" w:eastAsia="宋体" w:hint="default"/>
                <w:spacing w:val="-92"/>
                <w:sz w:val="18"/>
                <w:szCs w:val="18"/>
              </w:rPr>
              <w:t>）</w:t>
            </w:r>
            <w:r>
              <w:rPr>
                <w:rFonts w:ascii="宋体" w:hAnsi="宋体" w:cs="宋体" w:eastAsia="宋体" w:hint="default"/>
                <w:sz w:val="18"/>
                <w:szCs w:val="18"/>
              </w:rPr>
              <w:t>（二次修</w:t>
            </w:r>
            <w:r>
              <w:rPr>
                <w:rFonts w:ascii="宋体" w:hAnsi="宋体" w:cs="宋体" w:eastAsia="宋体" w:hint="default"/>
                <w:spacing w:val="2"/>
                <w:sz w:val="18"/>
                <w:szCs w:val="18"/>
              </w:rPr>
              <w:t>订</w:t>
            </w:r>
            <w:r>
              <w:rPr>
                <w:rFonts w:ascii="宋体" w:hAnsi="宋体" w:cs="宋体" w:eastAsia="宋体" w:hint="default"/>
                <w:sz w:val="18"/>
                <w:szCs w:val="18"/>
              </w:rPr>
              <w:t>稿</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48"/>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877" w:hRule="exact"/>
        </w:trPr>
        <w:tc>
          <w:tcPr>
            <w:tcW w:w="893" w:type="dxa"/>
            <w:vMerge w:val="restart"/>
            <w:tcBorders>
              <w:top w:val="nil" w:sz="6" w:space="0" w:color="auto"/>
              <w:left w:val="single" w:sz="4" w:space="0" w:color="000000"/>
              <w:right w:val="single" w:sz="4" w:space="0" w:color="000000"/>
            </w:tcBorders>
            <w:shd w:val="clear" w:color="auto" w:fill="D2D2D2"/>
          </w:tcPr>
          <w:p>
            <w:pPr/>
          </w:p>
        </w:tc>
        <w:tc>
          <w:tcPr>
            <w:tcW w:w="1687" w:type="dxa"/>
            <w:vMerge/>
            <w:tcBorders>
              <w:left w:val="single" w:sz="10" w:space="0" w:color="D2D2D2"/>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6805"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804" w:type="dxa"/>
            <w:vMerge/>
            <w:tcBorders>
              <w:left w:val="single" w:sz="4" w:space="0" w:color="000000"/>
              <w:bottom w:val="single" w:sz="4" w:space="0" w:color="000000"/>
              <w:right w:val="single" w:sz="4" w:space="0" w:color="000000"/>
            </w:tcBorders>
          </w:tcPr>
          <w:p>
            <w:pPr/>
          </w:p>
        </w:tc>
      </w:tr>
      <w:tr>
        <w:trPr>
          <w:trHeight w:val="1337" w:hRule="exact"/>
        </w:trPr>
        <w:tc>
          <w:tcPr>
            <w:tcW w:w="893" w:type="dxa"/>
            <w:vMerge/>
            <w:tcBorders>
              <w:left w:val="single" w:sz="4" w:space="0" w:color="000000"/>
              <w:bottom w:val="single" w:sz="4" w:space="0" w:color="000000"/>
              <w:right w:val="single" w:sz="4" w:space="0" w:color="000000"/>
            </w:tcBorders>
            <w:shd w:val="clear" w:color="auto" w:fill="D2D2D2"/>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信中利；中源信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
              <w:jc w:val="both"/>
              <w:rPr>
                <w:rFonts w:ascii="宋体" w:hAnsi="宋体" w:cs="宋体" w:eastAsia="宋体" w:hint="default"/>
                <w:sz w:val="18"/>
                <w:szCs w:val="18"/>
              </w:rPr>
            </w:pPr>
            <w:r>
              <w:rPr>
                <w:rFonts w:ascii="宋体" w:hAnsi="宋体" w:cs="宋体" w:eastAsia="宋体" w:hint="default"/>
                <w:sz w:val="18"/>
                <w:szCs w:val="18"/>
              </w:rPr>
              <w:t>自交易完成之日起六十个月内，本公司（本企业）保证在维护上市公司实际控制权稳 定的前提下不主动终止与上市公司控股股东的一致行动关系，并积极维护上市公司实 际控制权的稳定。详见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日《重大资产购买暨关联交易报告书（草案）</w:t>
            </w:r>
          </w:p>
          <w:p>
            <w:pPr>
              <w:pStyle w:val="TableParagraph"/>
              <w:spacing w:line="235" w:lineRule="exact"/>
              <w:ind w:left="24" w:right="0"/>
              <w:jc w:val="both"/>
              <w:rPr>
                <w:rFonts w:ascii="宋体" w:hAnsi="宋体" w:cs="宋体" w:eastAsia="宋体" w:hint="default"/>
                <w:sz w:val="18"/>
                <w:szCs w:val="18"/>
              </w:rPr>
            </w:pPr>
            <w:r>
              <w:rPr>
                <w:rFonts w:ascii="宋体" w:hAnsi="宋体" w:cs="宋体" w:eastAsia="宋体" w:hint="default"/>
                <w:sz w:val="18"/>
                <w:szCs w:val="18"/>
              </w:rPr>
              <w:t>（二次修订稿</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2022</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48"/>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headerReference w:type="default" r:id="rId21"/>
          <w:footerReference w:type="default" r:id="rId22"/>
          <w:pgSz w:w="16840" w:h="11910" w:orient="landscape"/>
          <w:pgMar w:header="867" w:footer="980" w:top="1060" w:bottom="1160" w:left="1300" w:right="1280"/>
          <w:pgNumType w:start="31"/>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893"/>
        <w:gridCol w:w="1687"/>
        <w:gridCol w:w="1561"/>
        <w:gridCol w:w="6805"/>
        <w:gridCol w:w="1133"/>
        <w:gridCol w:w="1135"/>
        <w:gridCol w:w="804"/>
      </w:tblGrid>
      <w:tr>
        <w:trPr>
          <w:trHeight w:val="1354" w:hRule="exact"/>
        </w:trPr>
        <w:tc>
          <w:tcPr>
            <w:tcW w:w="893" w:type="dxa"/>
            <w:vMerge w:val="restart"/>
            <w:tcBorders>
              <w:top w:val="single" w:sz="15" w:space="0" w:color="000000"/>
              <w:left w:val="single" w:sz="4" w:space="0" w:color="000000"/>
              <w:right w:val="single" w:sz="4" w:space="0" w:color="000000"/>
            </w:tcBorders>
            <w:shd w:val="clear" w:color="auto" w:fill="D2D2D2"/>
          </w:tcPr>
          <w:p>
            <w:pPr/>
          </w:p>
        </w:tc>
        <w:tc>
          <w:tcPr>
            <w:tcW w:w="168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1" w:right="35"/>
              <w:jc w:val="left"/>
              <w:rPr>
                <w:rFonts w:ascii="宋体" w:hAnsi="宋体" w:cs="宋体" w:eastAsia="宋体" w:hint="default"/>
                <w:sz w:val="18"/>
                <w:szCs w:val="18"/>
              </w:rPr>
            </w:pPr>
            <w:r>
              <w:rPr>
                <w:rFonts w:ascii="宋体" w:hAnsi="宋体" w:cs="宋体" w:eastAsia="宋体" w:hint="default"/>
                <w:sz w:val="18"/>
                <w:szCs w:val="18"/>
              </w:rPr>
              <w:t>中驰惠程；汪超涌； 李亦非</w:t>
            </w:r>
          </w:p>
        </w:tc>
        <w:tc>
          <w:tcPr>
            <w:tcW w:w="156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股份增持承诺</w:t>
            </w:r>
          </w:p>
        </w:tc>
        <w:tc>
          <w:tcPr>
            <w:tcW w:w="6805"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51"/>
              <w:ind w:left="24" w:right="109"/>
              <w:jc w:val="left"/>
              <w:rPr>
                <w:rFonts w:ascii="Times New Roman" w:hAnsi="Times New Roman" w:cs="Times New Roman" w:eastAsia="Times New Roman" w:hint="default"/>
                <w:sz w:val="18"/>
                <w:szCs w:val="18"/>
              </w:rPr>
            </w:pPr>
            <w:r>
              <w:rPr>
                <w:rFonts w:ascii="宋体" w:hAnsi="宋体" w:cs="宋体" w:eastAsia="宋体" w:hint="default"/>
                <w:sz w:val="18"/>
                <w:szCs w:val="18"/>
              </w:rPr>
              <w:t>为了维护上市公司控制权稳定，上市公司控股股东及其一致行动人计划自本次交易完 成之日起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个月内增持上市公司股份，拟增持金额原则上不少于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亿元。若增持计划实施期间，上市公司股票如因筹划重大事项等情形出现连续停牌</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个交易日以上的，增持期限将相应往后顺延。</w:t>
            </w:r>
          </w:p>
        </w:tc>
        <w:tc>
          <w:tcPr>
            <w:tcW w:w="113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48"/>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337" w:hRule="exact"/>
        </w:trPr>
        <w:tc>
          <w:tcPr>
            <w:tcW w:w="893" w:type="dxa"/>
            <w:vMerge/>
            <w:tcBorders>
              <w:left w:val="single" w:sz="4" w:space="0" w:color="000000"/>
              <w:right w:val="single" w:sz="4" w:space="0" w:color="000000"/>
            </w:tcBorders>
            <w:shd w:val="clear" w:color="auto" w:fill="D2D2D2"/>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信中利赞信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49"/>
              <w:jc w:val="left"/>
              <w:rPr>
                <w:rFonts w:ascii="宋体" w:hAnsi="宋体" w:cs="宋体" w:eastAsia="宋体" w:hint="default"/>
                <w:sz w:val="18"/>
                <w:szCs w:val="18"/>
              </w:rPr>
            </w:pPr>
            <w:r>
              <w:rPr>
                <w:rFonts w:ascii="宋体" w:hAnsi="宋体" w:cs="宋体" w:eastAsia="宋体" w:hint="default"/>
                <w:sz w:val="18"/>
                <w:szCs w:val="18"/>
              </w:rPr>
              <w:t>在哆可梦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77.57%</w:t>
            </w:r>
            <w:r>
              <w:rPr>
                <w:rFonts w:ascii="宋体" w:hAnsi="宋体" w:cs="宋体" w:eastAsia="宋体" w:hint="default"/>
                <w:sz w:val="18"/>
                <w:szCs w:val="18"/>
              </w:rPr>
              <w:t>股权过户交割完成（即办理完成工商变更登记手续）之前，本企业将 积极寻求第三方受让本企业持有的哆可梦全部股权并达成股权收购等协议安排，确保 本次交易完成后本企业不再持有哆可梦股权。本企业将根据相关法律法规的规定及本 企业合伙协议的相关约定，审慎选择、确定受让方，并及时履行相应决策程序。</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48"/>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1027" w:hRule="exact"/>
        </w:trPr>
        <w:tc>
          <w:tcPr>
            <w:tcW w:w="893" w:type="dxa"/>
            <w:vMerge/>
            <w:tcBorders>
              <w:left w:val="single" w:sz="4" w:space="0" w:color="000000"/>
              <w:right w:val="single" w:sz="4" w:space="0" w:color="000000"/>
            </w:tcBorders>
            <w:shd w:val="clear" w:color="auto" w:fill="D2D2D2"/>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寇汉</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6"/>
              <w:jc w:val="both"/>
              <w:rPr>
                <w:rFonts w:ascii="宋体" w:hAnsi="宋体" w:cs="宋体" w:eastAsia="宋体" w:hint="default"/>
                <w:sz w:val="18"/>
                <w:szCs w:val="18"/>
              </w:rPr>
            </w:pPr>
            <w:r>
              <w:rPr>
                <w:rFonts w:ascii="宋体" w:hAnsi="宋体" w:cs="宋体" w:eastAsia="宋体" w:hint="default"/>
                <w:sz w:val="18"/>
                <w:szCs w:val="18"/>
              </w:rPr>
              <w:t>关于同业竞争、关 联交易、资金占用 方面的承诺</w:t>
            </w:r>
          </w:p>
        </w:tc>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9"/>
              <w:jc w:val="both"/>
              <w:rPr>
                <w:rFonts w:ascii="宋体" w:hAnsi="宋体" w:cs="宋体" w:eastAsia="宋体" w:hint="default"/>
                <w:sz w:val="18"/>
                <w:szCs w:val="18"/>
              </w:rPr>
            </w:pPr>
            <w:r>
              <w:rPr>
                <w:rFonts w:ascii="宋体" w:hAnsi="宋体" w:cs="宋体" w:eastAsia="宋体" w:hint="default"/>
                <w:sz w:val="18"/>
                <w:szCs w:val="18"/>
              </w:rPr>
              <w:t>本次交易完成后，本人及本人控制的企业不会直接或间接经营任何与哆可梦、上市公 司及其下属公司经营的业务构成竞争或可能构成竞争的业务，亦不会投资任何与哆可 梦、上市公司及其下属公司经营的业务构成竞争或可能构成竞争的其他企业。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日至长期</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48"/>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025" w:hRule="exact"/>
        </w:trPr>
        <w:tc>
          <w:tcPr>
            <w:tcW w:w="893" w:type="dxa"/>
            <w:vMerge/>
            <w:tcBorders>
              <w:left w:val="single" w:sz="4" w:space="0" w:color="000000"/>
              <w:right w:val="single" w:sz="4" w:space="0" w:color="000000"/>
            </w:tcBorders>
            <w:shd w:val="clear" w:color="auto" w:fill="D2D2D2"/>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寇汉</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6"/>
              <w:jc w:val="both"/>
              <w:rPr>
                <w:rFonts w:ascii="宋体" w:hAnsi="宋体" w:cs="宋体" w:eastAsia="宋体" w:hint="default"/>
                <w:sz w:val="18"/>
                <w:szCs w:val="18"/>
              </w:rPr>
            </w:pPr>
            <w:r>
              <w:rPr>
                <w:rFonts w:ascii="宋体" w:hAnsi="宋体" w:cs="宋体" w:eastAsia="宋体" w:hint="default"/>
                <w:sz w:val="18"/>
                <w:szCs w:val="18"/>
              </w:rPr>
              <w:t>关于同业竞争、关 联交易、资金占用 方面的承诺</w:t>
            </w:r>
          </w:p>
        </w:tc>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9"/>
              <w:jc w:val="both"/>
              <w:rPr>
                <w:rFonts w:ascii="宋体" w:hAnsi="宋体" w:cs="宋体" w:eastAsia="宋体" w:hint="default"/>
                <w:sz w:val="18"/>
                <w:szCs w:val="18"/>
              </w:rPr>
            </w:pPr>
            <w:r>
              <w:rPr>
                <w:rFonts w:ascii="宋体" w:hAnsi="宋体" w:cs="宋体" w:eastAsia="宋体" w:hint="default"/>
                <w:sz w:val="18"/>
                <w:szCs w:val="18"/>
              </w:rPr>
              <w:t>本次交易完成后，本人及本人控制的企业将尽可能减少与上市公司及其下属公司的关 联交易，若发生必要且不可避免的关联交易，保证关联交易价格具有公允性，不损害 上市公司及上市公司其他股东的合法权益。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日至长期</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8"/>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028" w:hRule="exact"/>
        </w:trPr>
        <w:tc>
          <w:tcPr>
            <w:tcW w:w="893" w:type="dxa"/>
            <w:vMerge/>
            <w:tcBorders>
              <w:left w:val="single" w:sz="4" w:space="0" w:color="000000"/>
              <w:right w:val="single" w:sz="4" w:space="0" w:color="000000"/>
            </w:tcBorders>
            <w:shd w:val="clear" w:color="auto" w:fill="D2D2D2"/>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寇汉</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6"/>
              <w:jc w:val="both"/>
              <w:rPr>
                <w:rFonts w:ascii="宋体" w:hAnsi="宋体" w:cs="宋体" w:eastAsia="宋体" w:hint="default"/>
                <w:sz w:val="18"/>
                <w:szCs w:val="18"/>
              </w:rPr>
            </w:pPr>
            <w:r>
              <w:rPr>
                <w:rFonts w:ascii="宋体" w:hAnsi="宋体" w:cs="宋体" w:eastAsia="宋体" w:hint="default"/>
                <w:sz w:val="18"/>
                <w:szCs w:val="18"/>
              </w:rPr>
              <w:t>关于同业竞争、关 联交易、资金占用 方面的承诺</w:t>
            </w:r>
          </w:p>
        </w:tc>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09"/>
              <w:jc w:val="left"/>
              <w:rPr>
                <w:rFonts w:ascii="宋体" w:hAnsi="宋体" w:cs="宋体" w:eastAsia="宋体" w:hint="default"/>
                <w:sz w:val="18"/>
                <w:szCs w:val="18"/>
              </w:rPr>
            </w:pPr>
            <w:r>
              <w:rPr>
                <w:rFonts w:ascii="宋体" w:hAnsi="宋体" w:cs="宋体" w:eastAsia="宋体" w:hint="default"/>
                <w:sz w:val="18"/>
                <w:szCs w:val="18"/>
              </w:rPr>
              <w:t>本次交易完成后，本人不会占用哆可梦的资金或要求其为本人及本人控制的企业提供 担保，否则，本人应承担个别及连带责任。</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日至长期</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8"/>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55" w:hRule="exact"/>
        </w:trPr>
        <w:tc>
          <w:tcPr>
            <w:tcW w:w="893" w:type="dxa"/>
            <w:vMerge/>
            <w:tcBorders>
              <w:left w:val="single" w:sz="4" w:space="0" w:color="000000"/>
              <w:right w:val="single" w:sz="4" w:space="0" w:color="000000"/>
            </w:tcBorders>
            <w:shd w:val="clear" w:color="auto" w:fill="D2D2D2"/>
          </w:tcPr>
          <w:p>
            <w:pPr/>
          </w:p>
        </w:tc>
        <w:tc>
          <w:tcPr>
            <w:tcW w:w="1687" w:type="dxa"/>
            <w:tcBorders>
              <w:top w:val="single" w:sz="4" w:space="0" w:color="000000"/>
              <w:left w:val="single" w:sz="4" w:space="0" w:color="000000"/>
              <w:bottom w:val="nil" w:sz="6" w:space="0" w:color="auto"/>
              <w:right w:val="single" w:sz="4" w:space="0" w:color="000000"/>
            </w:tcBorders>
          </w:tcPr>
          <w:p>
            <w:pPr/>
          </w:p>
        </w:tc>
        <w:tc>
          <w:tcPr>
            <w:tcW w:w="1561" w:type="dxa"/>
            <w:tcBorders>
              <w:top w:val="single" w:sz="4" w:space="0" w:color="000000"/>
              <w:left w:val="single" w:sz="4" w:space="0" w:color="000000"/>
              <w:bottom w:val="nil" w:sz="6" w:space="0" w:color="auto"/>
              <w:right w:val="single" w:sz="4" w:space="0" w:color="000000"/>
            </w:tcBorders>
          </w:tcPr>
          <w:p>
            <w:pPr/>
          </w:p>
        </w:tc>
        <w:tc>
          <w:tcPr>
            <w:tcW w:w="68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若因哆可梦及其下属子公司存在因资产交割日前已形成的事实原因受到相关主管部门</w:t>
            </w:r>
          </w:p>
        </w:tc>
        <w:tc>
          <w:tcPr>
            <w:tcW w:w="1133"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893" w:type="dxa"/>
            <w:vMerge/>
            <w:tcBorders>
              <w:left w:val="single" w:sz="4" w:space="0" w:color="000000"/>
              <w:right w:val="single" w:sz="4" w:space="0" w:color="000000"/>
            </w:tcBorders>
            <w:shd w:val="clear" w:color="auto" w:fill="D2D2D2"/>
          </w:tcPr>
          <w:p>
            <w:pPr/>
          </w:p>
        </w:tc>
        <w:tc>
          <w:tcPr>
            <w:tcW w:w="16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寇汉</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80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处罚，而导致哆可梦及其下属子公司遭受罚款或其他经济损失的，由本人无条件代哆 可梦及其下属子公司承担，并放弃对哆可梦及其下属子公司的追索权。详见</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日至长期</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48"/>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53" w:hRule="exact"/>
        </w:trPr>
        <w:tc>
          <w:tcPr>
            <w:tcW w:w="893" w:type="dxa"/>
            <w:vMerge/>
            <w:tcBorders>
              <w:left w:val="single" w:sz="4" w:space="0" w:color="000000"/>
              <w:right w:val="single" w:sz="4" w:space="0" w:color="000000"/>
            </w:tcBorders>
            <w:shd w:val="clear" w:color="auto" w:fill="D2D2D2"/>
          </w:tcPr>
          <w:p>
            <w:pPr/>
          </w:p>
        </w:tc>
        <w:tc>
          <w:tcPr>
            <w:tcW w:w="1687" w:type="dxa"/>
            <w:tcBorders>
              <w:top w:val="nil" w:sz="6" w:space="0" w:color="auto"/>
              <w:left w:val="single" w:sz="4" w:space="0" w:color="000000"/>
              <w:bottom w:val="single" w:sz="4" w:space="0" w:color="000000"/>
              <w:right w:val="single" w:sz="4" w:space="0" w:color="000000"/>
            </w:tcBorders>
          </w:tcPr>
          <w:p>
            <w:pPr/>
          </w:p>
        </w:tc>
        <w:tc>
          <w:tcPr>
            <w:tcW w:w="1561" w:type="dxa"/>
            <w:tcBorders>
              <w:top w:val="nil" w:sz="6" w:space="0" w:color="auto"/>
              <w:left w:val="single" w:sz="4" w:space="0" w:color="000000"/>
              <w:bottom w:val="single" w:sz="4" w:space="0" w:color="000000"/>
              <w:right w:val="single" w:sz="4" w:space="0" w:color="000000"/>
            </w:tcBorders>
          </w:tcPr>
          <w:p>
            <w:pPr/>
          </w:p>
        </w:tc>
        <w:tc>
          <w:tcPr>
            <w:tcW w:w="68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日《重大资产购买暨关</w:t>
            </w:r>
            <w:r>
              <w:rPr>
                <w:rFonts w:ascii="宋体" w:hAnsi="宋体" w:cs="宋体" w:eastAsia="宋体" w:hint="default"/>
                <w:spacing w:val="-3"/>
                <w:sz w:val="18"/>
                <w:szCs w:val="18"/>
              </w:rPr>
              <w:t>联</w:t>
            </w:r>
            <w:r>
              <w:rPr>
                <w:rFonts w:ascii="宋体" w:hAnsi="宋体" w:cs="宋体" w:eastAsia="宋体" w:hint="default"/>
                <w:sz w:val="18"/>
                <w:szCs w:val="18"/>
              </w:rPr>
              <w:t>交易报告书（草案</w:t>
            </w:r>
            <w:r>
              <w:rPr>
                <w:rFonts w:ascii="宋体" w:hAnsi="宋体" w:cs="宋体" w:eastAsia="宋体" w:hint="default"/>
                <w:spacing w:val="-92"/>
                <w:sz w:val="18"/>
                <w:szCs w:val="18"/>
              </w:rPr>
              <w:t>）</w:t>
            </w:r>
            <w:r>
              <w:rPr>
                <w:rFonts w:ascii="宋体" w:hAnsi="宋体" w:cs="宋体" w:eastAsia="宋体" w:hint="default"/>
                <w:sz w:val="18"/>
                <w:szCs w:val="18"/>
              </w:rPr>
              <w:t>（二次修</w:t>
            </w:r>
            <w:r>
              <w:rPr>
                <w:rFonts w:ascii="宋体" w:hAnsi="宋体" w:cs="宋体" w:eastAsia="宋体" w:hint="default"/>
                <w:spacing w:val="2"/>
                <w:sz w:val="18"/>
                <w:szCs w:val="18"/>
              </w:rPr>
              <w:t>订</w:t>
            </w:r>
            <w:r>
              <w:rPr>
                <w:rFonts w:ascii="宋体" w:hAnsi="宋体" w:cs="宋体" w:eastAsia="宋体" w:hint="default"/>
                <w:sz w:val="18"/>
                <w:szCs w:val="18"/>
              </w:rPr>
              <w:t>稿</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33"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r>
      <w:tr>
        <w:trPr>
          <w:trHeight w:val="1340" w:hRule="exact"/>
        </w:trPr>
        <w:tc>
          <w:tcPr>
            <w:tcW w:w="893" w:type="dxa"/>
            <w:vMerge/>
            <w:tcBorders>
              <w:left w:val="single" w:sz="4" w:space="0" w:color="000000"/>
              <w:right w:val="single" w:sz="4" w:space="0" w:color="000000"/>
            </w:tcBorders>
            <w:shd w:val="clear" w:color="auto" w:fill="D2D2D2"/>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1" w:right="0"/>
              <w:jc w:val="left"/>
              <w:rPr>
                <w:rFonts w:ascii="宋体" w:hAnsi="宋体" w:cs="宋体" w:eastAsia="宋体" w:hint="default"/>
                <w:sz w:val="18"/>
                <w:szCs w:val="18"/>
              </w:rPr>
            </w:pPr>
            <w:r>
              <w:rPr>
                <w:rFonts w:ascii="宋体" w:hAnsi="宋体" w:cs="宋体" w:eastAsia="宋体" w:hint="default"/>
                <w:sz w:val="18"/>
                <w:szCs w:val="18"/>
              </w:rPr>
              <w:t>寇汉</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4" w:right="49"/>
              <w:jc w:val="left"/>
              <w:rPr>
                <w:rFonts w:ascii="宋体" w:hAnsi="宋体" w:cs="宋体" w:eastAsia="宋体" w:hint="default"/>
                <w:sz w:val="18"/>
                <w:szCs w:val="18"/>
              </w:rPr>
            </w:pPr>
            <w:r>
              <w:rPr>
                <w:rFonts w:ascii="宋体" w:hAnsi="宋体" w:cs="宋体" w:eastAsia="宋体" w:hint="default"/>
                <w:sz w:val="18"/>
                <w:szCs w:val="18"/>
              </w:rPr>
              <w:t>本人在哆可梦（包括其全资</w:t>
            </w:r>
            <w:r>
              <w:rPr>
                <w:rFonts w:ascii="Times New Roman" w:hAnsi="Times New Roman" w:cs="Times New Roman" w:eastAsia="Times New Roman" w:hint="default"/>
                <w:sz w:val="18"/>
                <w:szCs w:val="18"/>
              </w:rPr>
              <w:t>/</w:t>
            </w:r>
            <w:r>
              <w:rPr>
                <w:rFonts w:ascii="宋体" w:hAnsi="宋体" w:cs="宋体" w:eastAsia="宋体" w:hint="default"/>
                <w:sz w:val="18"/>
                <w:szCs w:val="18"/>
              </w:rPr>
              <w:t>控股子公司、参股公司、分公司）的任职期限将自哆可梦 </w:t>
            </w:r>
            <w:r>
              <w:rPr>
                <w:rFonts w:ascii="Times New Roman" w:hAnsi="Times New Roman" w:cs="Times New Roman" w:eastAsia="Times New Roman" w:hint="default"/>
                <w:spacing w:val="-1"/>
                <w:sz w:val="18"/>
                <w:szCs w:val="18"/>
              </w:rPr>
              <w:t>77.57%</w:t>
            </w:r>
            <w:r>
              <w:rPr>
                <w:rFonts w:ascii="宋体" w:hAnsi="宋体" w:cs="宋体" w:eastAsia="宋体" w:hint="default"/>
                <w:spacing w:val="-1"/>
                <w:sz w:val="18"/>
                <w:szCs w:val="18"/>
              </w:rPr>
              <w:t>股权过户至上市公司名下之日起不少于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365</w:t>
            </w:r>
            <w:r>
              <w:rPr>
                <w:rFonts w:ascii="Times New Roman" w:hAnsi="Times New Roman" w:cs="Times New Roman" w:eastAsia="Times New Roman" w:hint="default"/>
                <w:spacing w:val="6"/>
                <w:sz w:val="18"/>
                <w:szCs w:val="18"/>
              </w:rPr>
              <w:t> </w:t>
            </w:r>
            <w:r>
              <w:rPr>
                <w:rFonts w:ascii="宋体" w:hAnsi="宋体" w:cs="宋体" w:eastAsia="宋体" w:hint="default"/>
                <w:spacing w:val="-2"/>
                <w:sz w:val="18"/>
                <w:szCs w:val="18"/>
              </w:rPr>
              <w:t>天为</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pacing w:val="-10"/>
                <w:sz w:val="18"/>
                <w:szCs w:val="18"/>
              </w:rPr>
              <w:t>年），且不得无故解除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与哆可梦的劳动合同。本人在资产交割日前与哆可梦签订令上市公司满意的竞业禁止 协议，且在哆可梦任职期间以及离职后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年内，不从事与哆可梦相同或竞争的业务。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48"/>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027" w:hRule="exact"/>
        </w:trPr>
        <w:tc>
          <w:tcPr>
            <w:tcW w:w="893" w:type="dxa"/>
            <w:vMerge/>
            <w:tcBorders>
              <w:left w:val="single" w:sz="4" w:space="0" w:color="000000"/>
              <w:bottom w:val="single" w:sz="4" w:space="0" w:color="000000"/>
              <w:right w:val="single" w:sz="4" w:space="0" w:color="000000"/>
            </w:tcBorders>
            <w:shd w:val="clear" w:color="auto" w:fill="D2D2D2"/>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陈家斌；杨莲莲</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8"/>
              <w:ind w:left="24" w:right="60"/>
              <w:jc w:val="both"/>
              <w:rPr>
                <w:rFonts w:ascii="宋体" w:hAnsi="宋体" w:cs="宋体" w:eastAsia="宋体" w:hint="default"/>
                <w:sz w:val="18"/>
                <w:szCs w:val="18"/>
              </w:rPr>
            </w:pPr>
            <w:r>
              <w:rPr>
                <w:rFonts w:ascii="宋体" w:hAnsi="宋体" w:cs="宋体" w:eastAsia="宋体" w:hint="default"/>
                <w:sz w:val="18"/>
                <w:szCs w:val="18"/>
              </w:rPr>
              <w:t>本人在哆可梦（包括其全资</w:t>
            </w:r>
            <w:r>
              <w:rPr>
                <w:rFonts w:ascii="Times New Roman" w:hAnsi="Times New Roman" w:cs="Times New Roman" w:eastAsia="Times New Roman" w:hint="default"/>
                <w:sz w:val="18"/>
                <w:szCs w:val="18"/>
              </w:rPr>
              <w:t>/</w:t>
            </w:r>
            <w:r>
              <w:rPr>
                <w:rFonts w:ascii="宋体" w:hAnsi="宋体" w:cs="宋体" w:eastAsia="宋体" w:hint="default"/>
                <w:sz w:val="18"/>
                <w:szCs w:val="18"/>
              </w:rPr>
              <w:t>控股子公司、参股公司、分公司）的任职期限将自哆可梦 </w:t>
            </w:r>
            <w:r>
              <w:rPr>
                <w:rFonts w:ascii="Times New Roman" w:hAnsi="Times New Roman" w:cs="Times New Roman" w:eastAsia="Times New Roman" w:hint="default"/>
                <w:sz w:val="18"/>
                <w:szCs w:val="18"/>
              </w:rPr>
              <w:t>77.57%</w:t>
            </w:r>
            <w:r>
              <w:rPr>
                <w:rFonts w:ascii="宋体" w:hAnsi="宋体" w:cs="宋体" w:eastAsia="宋体" w:hint="default"/>
                <w:sz w:val="18"/>
                <w:szCs w:val="18"/>
              </w:rPr>
              <w:t>股权过户至上市公司名下之日起不少于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年，且不得无故解除与哆可梦的劳动 合同。本人在资产交割日前与哆可梦签订令上市公司满意的竞业禁止协议，且在哆可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8"/>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r>
        <w:rPr/>
        <w:pict>
          <v:group style="position:absolute;margin-left:618.099976pt;margin-top:98.060005pt;width:55.1pt;height:36.5pt;mso-position-horizontal-relative:page;mso-position-vertical-relative:page;z-index:-1104808" coordorigin="12362,1961" coordsize="1102,730">
            <v:group style="position:absolute;left:12374;top:1973;width:2;height:706" coordorigin="12374,1973" coordsize="2,706">
              <v:shape style="position:absolute;left:12374;top:1973;width:2;height:706" coordorigin="12374,1973" coordsize="0,706" path="m12374,1973l12374,2679e" filled="false" stroked="true" strokeweight="1.2pt" strokecolor="#ffffff">
                <v:path arrowok="t"/>
              </v:shape>
            </v:group>
            <v:group style="position:absolute;left:12386;top:1973;width:1078;height:353" coordorigin="12386,1973" coordsize="1078,353">
              <v:shape style="position:absolute;left:12386;top:1973;width:1078;height:353" coordorigin="12386,1973" coordsize="1078,353" path="m12386,2326l13464,2326,13464,1973,12386,1973,12386,2326xe" filled="true" fillcolor="#ffffff" stroked="false">
                <v:path arrowok="t"/>
                <v:fill type="solid"/>
              </v:shape>
            </v:group>
            <v:group style="position:absolute;left:12386;top:2326;width:1078;height:353" coordorigin="12386,2326" coordsize="1078,353">
              <v:shape style="position:absolute;left:12386;top:2326;width:1078;height:353" coordorigin="12386,2326" coordsize="1078,353" path="m12386,2679l13464,2679,13464,2326,12386,2326,12386,2679xe" filled="true" fillcolor="#ffffff" stroked="false">
                <v:path arrowok="t"/>
                <v:fill type="solid"/>
              </v:shape>
            </v:group>
            <w10:wrap type="none"/>
          </v:group>
        </w:pict>
      </w:r>
      <w:r>
        <w:rPr/>
        <w:pict>
          <v:group style="position:absolute;margin-left:199.820007pt;margin-top:358.029999pt;width:77.55pt;height:46.8pt;mso-position-horizontal-relative:page;mso-position-vertical-relative:page;z-index:-1104784" coordorigin="3996,7161" coordsize="1551,936">
            <v:shape style="position:absolute;left:3996;top:7161;width:1551;height:936" coordorigin="3996,7161" coordsize="1551,936" path="m3996,8097l5547,8097,5547,7161,3996,7161,3996,8097xe" filled="true" fillcolor="#ffffff" stroked="false">
              <v:path arrowok="t"/>
              <v:fill type="solid"/>
            </v:shape>
            <w10:wrap type="none"/>
          </v:group>
        </w:pict>
      </w:r>
      <w:r>
        <w:rPr/>
        <w:pict>
          <v:group style="position:absolute;margin-left:618.099976pt;margin-top:508.416016pt;width:55.1pt;height:18.75pt;mso-position-horizontal-relative:page;mso-position-vertical-relative:page;z-index:-1104760" coordorigin="12362,10168" coordsize="1102,375">
            <v:group style="position:absolute;left:12374;top:10180;width:2;height:351" coordorigin="12374,10180" coordsize="2,351">
              <v:shape style="position:absolute;left:12374;top:10180;width:2;height:351" coordorigin="12374,10180" coordsize="0,351" path="m12374,10180l12374,10531e" filled="false" stroked="true" strokeweight="1.2pt" strokecolor="#ffffff">
                <v:path arrowok="t"/>
              </v:shape>
            </v:group>
            <v:group style="position:absolute;left:12386;top:10180;width:1078;height:351" coordorigin="12386,10180" coordsize="1078,351">
              <v:shape style="position:absolute;left:12386;top:10180;width:1078;height:351" coordorigin="12386,10180" coordsize="1078,351" path="m12386,10531l13464,10531,13464,10180,12386,10180,12386,10531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893"/>
        <w:gridCol w:w="1687"/>
        <w:gridCol w:w="1561"/>
        <w:gridCol w:w="6805"/>
        <w:gridCol w:w="1133"/>
        <w:gridCol w:w="1135"/>
        <w:gridCol w:w="804"/>
      </w:tblGrid>
      <w:tr>
        <w:trPr>
          <w:trHeight w:val="377" w:hRule="exact"/>
        </w:trPr>
        <w:tc>
          <w:tcPr>
            <w:tcW w:w="893" w:type="dxa"/>
            <w:vMerge w:val="restart"/>
            <w:tcBorders>
              <w:top w:val="single" w:sz="15" w:space="0" w:color="000000"/>
              <w:left w:val="single" w:sz="4" w:space="0" w:color="000000"/>
              <w:right w:val="single" w:sz="4" w:space="0" w:color="000000"/>
            </w:tcBorders>
            <w:shd w:val="clear" w:color="auto" w:fill="D2D2D2"/>
          </w:tcPr>
          <w:p>
            <w:pPr/>
          </w:p>
        </w:tc>
        <w:tc>
          <w:tcPr>
            <w:tcW w:w="1687" w:type="dxa"/>
            <w:tcBorders>
              <w:top w:val="single" w:sz="15" w:space="0" w:color="000000"/>
              <w:left w:val="single" w:sz="4" w:space="0" w:color="000000"/>
              <w:bottom w:val="single" w:sz="4" w:space="0" w:color="000000"/>
              <w:right w:val="single" w:sz="4" w:space="0" w:color="000000"/>
            </w:tcBorders>
          </w:tcPr>
          <w:p>
            <w:pPr/>
          </w:p>
        </w:tc>
        <w:tc>
          <w:tcPr>
            <w:tcW w:w="1561" w:type="dxa"/>
            <w:tcBorders>
              <w:top w:val="single" w:sz="15" w:space="0" w:color="000000"/>
              <w:left w:val="single" w:sz="4" w:space="0" w:color="000000"/>
              <w:bottom w:val="single" w:sz="4" w:space="0" w:color="000000"/>
              <w:right w:val="single" w:sz="4" w:space="0" w:color="000000"/>
            </w:tcBorders>
          </w:tcPr>
          <w:p>
            <w:pPr/>
          </w:p>
        </w:tc>
        <w:tc>
          <w:tcPr>
            <w:tcW w:w="680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梦任职期间以及离职后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年内，不从事与哆可梦相同或竞争的业务。</w:t>
            </w:r>
          </w:p>
        </w:tc>
        <w:tc>
          <w:tcPr>
            <w:tcW w:w="1133" w:type="dxa"/>
            <w:tcBorders>
              <w:top w:val="single" w:sz="15" w:space="0" w:color="000000"/>
              <w:left w:val="single" w:sz="4" w:space="0" w:color="000000"/>
              <w:bottom w:val="single" w:sz="4" w:space="0" w:color="000000"/>
              <w:right w:val="single" w:sz="4" w:space="0" w:color="000000"/>
            </w:tcBorders>
          </w:tcPr>
          <w:p>
            <w:pPr/>
          </w:p>
        </w:tc>
        <w:tc>
          <w:tcPr>
            <w:tcW w:w="1135" w:type="dxa"/>
            <w:tcBorders>
              <w:top w:val="single" w:sz="15" w:space="0" w:color="000000"/>
              <w:left w:val="single" w:sz="4" w:space="0" w:color="000000"/>
              <w:bottom w:val="single" w:sz="4" w:space="0" w:color="000000"/>
              <w:right w:val="single" w:sz="4" w:space="0" w:color="000000"/>
            </w:tcBorders>
          </w:tcPr>
          <w:p>
            <w:pPr/>
          </w:p>
        </w:tc>
        <w:tc>
          <w:tcPr>
            <w:tcW w:w="804" w:type="dxa"/>
            <w:tcBorders>
              <w:top w:val="single" w:sz="15" w:space="0" w:color="000000"/>
              <w:left w:val="single" w:sz="4" w:space="0" w:color="000000"/>
              <w:bottom w:val="single" w:sz="4" w:space="0" w:color="000000"/>
              <w:right w:val="single" w:sz="4" w:space="0" w:color="000000"/>
            </w:tcBorders>
          </w:tcPr>
          <w:p>
            <w:pPr/>
          </w:p>
        </w:tc>
      </w:tr>
      <w:tr>
        <w:trPr>
          <w:trHeight w:val="1651" w:hRule="exact"/>
        </w:trPr>
        <w:tc>
          <w:tcPr>
            <w:tcW w:w="893" w:type="dxa"/>
            <w:vMerge/>
            <w:tcBorders>
              <w:left w:val="single" w:sz="4" w:space="0" w:color="000000"/>
              <w:right w:val="single" w:sz="4" w:space="0" w:color="000000"/>
            </w:tcBorders>
            <w:shd w:val="clear" w:color="auto" w:fill="D2D2D2"/>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1" w:right="35"/>
              <w:jc w:val="both"/>
              <w:rPr>
                <w:rFonts w:ascii="宋体" w:hAnsi="宋体" w:cs="宋体" w:eastAsia="宋体" w:hint="default"/>
                <w:sz w:val="18"/>
                <w:szCs w:val="18"/>
              </w:rPr>
            </w:pPr>
            <w:r>
              <w:rPr>
                <w:rFonts w:ascii="宋体" w:hAnsi="宋体" w:cs="宋体" w:eastAsia="宋体" w:hint="default"/>
                <w:sz w:val="18"/>
                <w:szCs w:val="18"/>
              </w:rPr>
              <w:t>寇汉；林嘉喜；宁夏 和中；国金凯撒；深 圳岚悦；完美软件科 技</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806"/>
              <w:jc w:val="right"/>
              <w:rPr>
                <w:rFonts w:ascii="宋体" w:hAnsi="宋体" w:cs="宋体" w:eastAsia="宋体" w:hint="default"/>
                <w:sz w:val="18"/>
                <w:szCs w:val="18"/>
              </w:rPr>
            </w:pPr>
            <w:r>
              <w:rPr>
                <w:rFonts w:ascii="宋体" w:hAnsi="宋体" w:cs="宋体" w:eastAsia="宋体" w:hint="default"/>
                <w:sz w:val="18"/>
                <w:szCs w:val="18"/>
              </w:rPr>
              <w:t>其他承诺</w:t>
            </w:r>
          </w:p>
        </w:tc>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09"/>
              <w:jc w:val="both"/>
              <w:rPr>
                <w:rFonts w:ascii="宋体" w:hAnsi="宋体" w:cs="宋体" w:eastAsia="宋体" w:hint="default"/>
                <w:sz w:val="18"/>
                <w:szCs w:val="18"/>
              </w:rPr>
            </w:pPr>
            <w:r>
              <w:rPr>
                <w:rFonts w:ascii="宋体" w:hAnsi="宋体" w:cs="宋体" w:eastAsia="宋体" w:hint="default"/>
                <w:sz w:val="18"/>
                <w:szCs w:val="18"/>
              </w:rPr>
              <w:t>本次交易不涉及本方（本人）在取得交易对价后购买上市公司股票的约定或安排，也 不涉及与上市公司其他股东达成股票购买的约定或安排；自本声明签署后直至本次交 易完成后</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3"/>
                <w:sz w:val="18"/>
                <w:szCs w:val="18"/>
              </w:rPr>
              <w:t> </w:t>
            </w:r>
            <w:r>
              <w:rPr>
                <w:rFonts w:ascii="宋体" w:hAnsi="宋体" w:cs="宋体" w:eastAsia="宋体" w:hint="default"/>
                <w:spacing w:val="-4"/>
                <w:sz w:val="18"/>
                <w:szCs w:val="18"/>
              </w:rPr>
              <w:t>个月内，本方（本人）并不因本次交易而直接或间接持有上市公司的股份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也没有以任何方式单独或与他人共同谋求上市公司控制权，或使上市公司股权结构发 生重大变化的计划、意向或安排。</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03"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149"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48"/>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337" w:hRule="exact"/>
        </w:trPr>
        <w:tc>
          <w:tcPr>
            <w:tcW w:w="893" w:type="dxa"/>
            <w:vMerge/>
            <w:tcBorders>
              <w:left w:val="single" w:sz="4" w:space="0" w:color="000000"/>
              <w:right w:val="single" w:sz="4" w:space="0" w:color="000000"/>
            </w:tcBorders>
            <w:shd w:val="clear" w:color="auto" w:fill="D2D2D2"/>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1" w:right="0"/>
              <w:jc w:val="left"/>
              <w:rPr>
                <w:rFonts w:ascii="宋体" w:hAnsi="宋体" w:cs="宋体" w:eastAsia="宋体" w:hint="default"/>
                <w:sz w:val="18"/>
                <w:szCs w:val="18"/>
              </w:rPr>
            </w:pPr>
            <w:r>
              <w:rPr>
                <w:rFonts w:ascii="宋体" w:hAnsi="宋体" w:cs="宋体" w:eastAsia="宋体" w:hint="default"/>
                <w:sz w:val="18"/>
                <w:szCs w:val="18"/>
              </w:rPr>
              <w:t>寇汉；林嘉喜</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86"/>
              <w:jc w:val="left"/>
              <w:rPr>
                <w:rFonts w:ascii="宋体" w:hAnsi="宋体" w:cs="宋体" w:eastAsia="宋体" w:hint="default"/>
                <w:sz w:val="18"/>
                <w:szCs w:val="18"/>
              </w:rPr>
            </w:pPr>
            <w:r>
              <w:rPr>
                <w:rFonts w:ascii="宋体" w:hAnsi="宋体" w:cs="宋体" w:eastAsia="宋体" w:hint="default"/>
                <w:sz w:val="18"/>
                <w:szCs w:val="18"/>
              </w:rPr>
              <w:t>业绩承诺及补偿安 排</w:t>
            </w:r>
          </w:p>
        </w:tc>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60"/>
              <w:jc w:val="both"/>
              <w:rPr>
                <w:rFonts w:ascii="宋体" w:hAnsi="宋体" w:cs="宋体" w:eastAsia="宋体" w:hint="default"/>
                <w:sz w:val="18"/>
                <w:szCs w:val="18"/>
              </w:rPr>
            </w:pPr>
            <w:r>
              <w:rPr>
                <w:rFonts w:ascii="宋体" w:hAnsi="宋体" w:cs="宋体" w:eastAsia="宋体" w:hint="default"/>
                <w:sz w:val="18"/>
                <w:szCs w:val="18"/>
              </w:rPr>
              <w:t>作为业绩补偿义务人承诺哆可梦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年各年度实现的净利润（以扣除非经 常性损益前后孰低者为计算依据）不少于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18,800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24,500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万元，如 哆可梦任一会计年度未实现承诺净利润则在相应会计年度《专项审核报告》公开披露 之日起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个工作日承担相应的盈利补偿义务。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48"/>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339" w:hRule="exact"/>
        </w:trPr>
        <w:tc>
          <w:tcPr>
            <w:tcW w:w="893" w:type="dxa"/>
            <w:vMerge/>
            <w:tcBorders>
              <w:left w:val="single" w:sz="4" w:space="0" w:color="000000"/>
              <w:right w:val="single" w:sz="4" w:space="0" w:color="000000"/>
            </w:tcBorders>
            <w:shd w:val="clear" w:color="auto" w:fill="D2D2D2"/>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806"/>
              <w:jc w:val="right"/>
              <w:rPr>
                <w:rFonts w:ascii="宋体" w:hAnsi="宋体" w:cs="宋体" w:eastAsia="宋体" w:hint="default"/>
                <w:sz w:val="18"/>
                <w:szCs w:val="18"/>
              </w:rPr>
            </w:pPr>
            <w:r>
              <w:rPr>
                <w:rFonts w:ascii="宋体" w:hAnsi="宋体" w:cs="宋体" w:eastAsia="宋体" w:hint="default"/>
                <w:sz w:val="18"/>
                <w:szCs w:val="18"/>
              </w:rPr>
              <w:t>其他承诺</w:t>
            </w:r>
          </w:p>
        </w:tc>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如哆可梦在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年度累计实现净利润总和大于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年度承 诺净利润总和的，上市公司将该等超过部分净利润的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作为哆可梦管理团队、核心 人员的业绩奖励，于哆可梦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年度《专项审核报告》公开披露之日起十个工作日内 一次性以现金方式支付</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48"/>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56" w:hRule="exact"/>
        </w:trPr>
        <w:tc>
          <w:tcPr>
            <w:tcW w:w="893" w:type="dxa"/>
            <w:vMerge/>
            <w:tcBorders>
              <w:left w:val="single" w:sz="4" w:space="0" w:color="000000"/>
              <w:right w:val="single" w:sz="4" w:space="0" w:color="000000"/>
            </w:tcBorders>
            <w:shd w:val="clear" w:color="auto" w:fill="D2D2D2"/>
          </w:tcPr>
          <w:p>
            <w:pPr/>
          </w:p>
        </w:tc>
        <w:tc>
          <w:tcPr>
            <w:tcW w:w="16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中驰惠程；中源信；</w:t>
            </w:r>
          </w:p>
        </w:tc>
        <w:tc>
          <w:tcPr>
            <w:tcW w:w="1561" w:type="dxa"/>
            <w:tcBorders>
              <w:top w:val="single" w:sz="4" w:space="0" w:color="000000"/>
              <w:left w:val="single" w:sz="4" w:space="0" w:color="000000"/>
              <w:bottom w:val="nil" w:sz="6" w:space="0" w:color="auto"/>
              <w:right w:val="single" w:sz="4" w:space="0" w:color="000000"/>
            </w:tcBorders>
          </w:tcPr>
          <w:p>
            <w:pPr/>
          </w:p>
        </w:tc>
        <w:tc>
          <w:tcPr>
            <w:tcW w:w="6805"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93" w:type="dxa"/>
            <w:vMerge/>
            <w:tcBorders>
              <w:left w:val="single" w:sz="4" w:space="0" w:color="000000"/>
              <w:right w:val="single" w:sz="4" w:space="0" w:color="000000"/>
            </w:tcBorders>
            <w:shd w:val="clear" w:color="auto" w:fill="D2D2D2"/>
          </w:tcPr>
          <w:p>
            <w:pPr/>
          </w:p>
        </w:tc>
        <w:tc>
          <w:tcPr>
            <w:tcW w:w="16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信中利；华宝信托；</w:t>
            </w:r>
          </w:p>
        </w:tc>
        <w:tc>
          <w:tcPr>
            <w:tcW w:w="1561" w:type="dxa"/>
            <w:tcBorders>
              <w:top w:val="nil" w:sz="6" w:space="0" w:color="auto"/>
              <w:left w:val="single" w:sz="4" w:space="0" w:color="000000"/>
              <w:bottom w:val="nil" w:sz="6" w:space="0" w:color="auto"/>
              <w:right w:val="single" w:sz="4" w:space="0" w:color="000000"/>
            </w:tcBorders>
          </w:tcPr>
          <w:p>
            <w:pPr/>
          </w:p>
        </w:tc>
        <w:tc>
          <w:tcPr>
            <w:tcW w:w="6805"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804" w:type="dxa"/>
            <w:tcBorders>
              <w:top w:val="nil" w:sz="6" w:space="0" w:color="auto"/>
              <w:left w:val="single" w:sz="4" w:space="0" w:color="000000"/>
              <w:bottom w:val="nil" w:sz="6" w:space="0" w:color="auto"/>
              <w:right w:val="single" w:sz="4" w:space="0" w:color="000000"/>
            </w:tcBorders>
          </w:tcPr>
          <w:p>
            <w:pPr/>
          </w:p>
        </w:tc>
      </w:tr>
      <w:tr>
        <w:trPr>
          <w:trHeight w:val="941" w:hRule="exact"/>
        </w:trPr>
        <w:tc>
          <w:tcPr>
            <w:tcW w:w="893" w:type="dxa"/>
            <w:vMerge/>
            <w:tcBorders>
              <w:left w:val="single" w:sz="4" w:space="0" w:color="000000"/>
              <w:right w:val="single" w:sz="4" w:space="0" w:color="000000"/>
            </w:tcBorders>
            <w:shd w:val="clear" w:color="auto" w:fill="D2D2D2"/>
          </w:tcPr>
          <w:p>
            <w:pPr/>
          </w:p>
        </w:tc>
        <w:tc>
          <w:tcPr>
            <w:tcW w:w="168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1"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汪超涌；李亦非；田 勇；张晶；徐海啸； </w:t>
            </w:r>
            <w:r>
              <w:rPr>
                <w:rFonts w:ascii="宋体" w:hAnsi="宋体" w:cs="宋体" w:eastAsia="宋体" w:hint="default"/>
                <w:spacing w:val="-7"/>
                <w:sz w:val="18"/>
                <w:szCs w:val="18"/>
              </w:rPr>
              <w:t>沈晓超；陈丹；</w:t>
            </w:r>
            <w:r>
              <w:rPr>
                <w:rFonts w:ascii="Times New Roman" w:hAnsi="Times New Roman" w:cs="Times New Roman" w:eastAsia="Times New Roman" w:hint="default"/>
                <w:spacing w:val="-7"/>
                <w:sz w:val="18"/>
                <w:szCs w:val="18"/>
              </w:rPr>
              <w:t>WAN</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806"/>
              <w:jc w:val="right"/>
              <w:rPr>
                <w:rFonts w:ascii="宋体" w:hAnsi="宋体" w:cs="宋体" w:eastAsia="宋体" w:hint="default"/>
                <w:sz w:val="18"/>
                <w:szCs w:val="18"/>
              </w:rPr>
            </w:pPr>
            <w:r>
              <w:rPr>
                <w:rFonts w:ascii="宋体" w:hAnsi="宋体" w:cs="宋体" w:eastAsia="宋体" w:hint="default"/>
                <w:sz w:val="18"/>
                <w:szCs w:val="18"/>
              </w:rPr>
              <w:t>其他承诺</w:t>
            </w:r>
          </w:p>
        </w:tc>
        <w:tc>
          <w:tcPr>
            <w:tcW w:w="680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自本次重组复牌之日起至本次重组实施完毕期间，无减持上市公司股份的计划。</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48"/>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312" w:hRule="exact"/>
        </w:trPr>
        <w:tc>
          <w:tcPr>
            <w:tcW w:w="893" w:type="dxa"/>
            <w:vMerge/>
            <w:tcBorders>
              <w:left w:val="single" w:sz="4" w:space="0" w:color="000000"/>
              <w:right w:val="single" w:sz="4" w:space="0" w:color="000000"/>
            </w:tcBorders>
            <w:shd w:val="clear" w:color="auto" w:fill="D2D2D2"/>
          </w:tcPr>
          <w:p>
            <w:pPr/>
          </w:p>
        </w:tc>
        <w:tc>
          <w:tcPr>
            <w:tcW w:w="16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XIAO</w:t>
            </w:r>
            <w:r>
              <w:rPr>
                <w:rFonts w:ascii="Times New Roman" w:hAnsi="Times New Roman" w:cs="Times New Roman" w:eastAsia="Times New Roman" w:hint="default"/>
                <w:spacing w:val="-4"/>
                <w:sz w:val="18"/>
                <w:szCs w:val="18"/>
              </w:rPr>
              <w:t> YANG</w:t>
            </w:r>
            <w:r>
              <w:rPr>
                <w:rFonts w:ascii="宋体" w:hAnsi="宋体" w:cs="宋体" w:eastAsia="宋体" w:hint="default"/>
                <w:spacing w:val="-4"/>
                <w:sz w:val="18"/>
                <w:szCs w:val="18"/>
              </w:rPr>
              <w:t>；方莉</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6805"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804"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893" w:type="dxa"/>
            <w:vMerge/>
            <w:tcBorders>
              <w:left w:val="single" w:sz="4" w:space="0" w:color="000000"/>
              <w:bottom w:val="single" w:sz="4" w:space="0" w:color="000000"/>
              <w:right w:val="single" w:sz="4" w:space="0" w:color="000000"/>
            </w:tcBorders>
            <w:shd w:val="clear" w:color="auto" w:fill="D2D2D2"/>
          </w:tcPr>
          <w:p>
            <w:pPr/>
          </w:p>
        </w:tc>
        <w:tc>
          <w:tcPr>
            <w:tcW w:w="16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迟永军</w:t>
            </w:r>
          </w:p>
        </w:tc>
        <w:tc>
          <w:tcPr>
            <w:tcW w:w="1561" w:type="dxa"/>
            <w:tcBorders>
              <w:top w:val="nil" w:sz="6" w:space="0" w:color="auto"/>
              <w:left w:val="single" w:sz="4" w:space="0" w:color="000000"/>
              <w:bottom w:val="single" w:sz="4" w:space="0" w:color="000000"/>
              <w:right w:val="single" w:sz="4" w:space="0" w:color="000000"/>
            </w:tcBorders>
          </w:tcPr>
          <w:p>
            <w:pPr/>
          </w:p>
        </w:tc>
        <w:tc>
          <w:tcPr>
            <w:tcW w:w="6805"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r>
      <w:tr>
        <w:trPr>
          <w:trHeight w:val="952" w:hRule="exact"/>
        </w:trPr>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61"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806"/>
              <w:jc w:val="right"/>
              <w:rPr>
                <w:rFonts w:ascii="宋体" w:hAnsi="宋体" w:cs="宋体" w:eastAsia="宋体" w:hint="default"/>
                <w:sz w:val="18"/>
                <w:szCs w:val="18"/>
              </w:rPr>
            </w:pPr>
            <w:r>
              <w:rPr>
                <w:rFonts w:ascii="宋体" w:hAnsi="宋体" w:cs="宋体" w:eastAsia="宋体" w:hint="default"/>
                <w:sz w:val="18"/>
                <w:szCs w:val="18"/>
              </w:rPr>
              <w:t>其他承诺</w:t>
            </w:r>
          </w:p>
        </w:tc>
        <w:tc>
          <w:tcPr>
            <w:tcW w:w="6805" w:type="dxa"/>
            <w:tcBorders>
              <w:top w:val="single" w:sz="4" w:space="0" w:color="000000"/>
              <w:left w:val="single" w:sz="4" w:space="0" w:color="000000"/>
              <w:bottom w:val="nil" w:sz="6" w:space="0" w:color="auto"/>
              <w:right w:val="single" w:sz="4" w:space="0" w:color="000000"/>
            </w:tcBorders>
          </w:tcPr>
          <w:p>
            <w:pPr>
              <w:pStyle w:val="TableParagraph"/>
              <w:spacing w:line="309" w:lineRule="auto" w:before="49"/>
              <w:ind w:left="24" w:right="22"/>
              <w:jc w:val="left"/>
              <w:rPr>
                <w:rFonts w:ascii="宋体" w:hAnsi="宋体" w:cs="宋体" w:eastAsia="宋体" w:hint="default"/>
                <w:sz w:val="18"/>
                <w:szCs w:val="18"/>
              </w:rPr>
            </w:pPr>
            <w:r>
              <w:rPr>
                <w:rFonts w:ascii="宋体" w:hAnsi="宋体" w:cs="宋体" w:eastAsia="宋体" w:hint="default"/>
                <w:spacing w:val="-2"/>
                <w:sz w:val="18"/>
                <w:szCs w:val="18"/>
              </w:rPr>
              <w:t>公司在《深圳市惠程电气股份有限公司</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pacing w:val="-9"/>
                <w:sz w:val="18"/>
                <w:szCs w:val="18"/>
              </w:rPr>
              <w:t>年限制性股票激励计划（草案）》摘要（修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订稿）中承诺公司不为激励对象依本激励计划获取有关权益提供贷款以及其他任何形 式的财务资助，包括为其贷款提供担保。</w:t>
            </w: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8"/>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75" w:hRule="exact"/>
        </w:trPr>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209" w:lineRule="exact"/>
              <w:ind w:left="23" w:right="0"/>
              <w:jc w:val="left"/>
              <w:rPr>
                <w:rFonts w:ascii="宋体" w:hAnsi="宋体" w:cs="宋体" w:eastAsia="宋体" w:hint="default"/>
                <w:sz w:val="18"/>
                <w:szCs w:val="18"/>
              </w:rPr>
            </w:pPr>
            <w:r>
              <w:rPr>
                <w:rFonts w:ascii="宋体" w:hAnsi="宋体" w:cs="宋体" w:eastAsia="宋体" w:hint="default"/>
                <w:sz w:val="18"/>
                <w:szCs w:val="18"/>
              </w:rPr>
              <w:t>股权激励</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1687" w:type="dxa"/>
            <w:tcBorders>
              <w:top w:val="nil" w:sz="6" w:space="0" w:color="auto"/>
              <w:left w:val="single" w:sz="4" w:space="0" w:color="000000"/>
              <w:bottom w:val="single" w:sz="4" w:space="0" w:color="000000"/>
              <w:right w:val="single" w:sz="4" w:space="0" w:color="000000"/>
            </w:tcBorders>
          </w:tcPr>
          <w:p>
            <w:pPr/>
          </w:p>
        </w:tc>
        <w:tc>
          <w:tcPr>
            <w:tcW w:w="1561" w:type="dxa"/>
            <w:tcBorders>
              <w:top w:val="nil" w:sz="6" w:space="0" w:color="auto"/>
              <w:left w:val="single" w:sz="4" w:space="0" w:color="000000"/>
              <w:bottom w:val="single" w:sz="4" w:space="0" w:color="000000"/>
              <w:right w:val="single" w:sz="4" w:space="0" w:color="000000"/>
            </w:tcBorders>
          </w:tcPr>
          <w:p>
            <w:pPr/>
          </w:p>
        </w:tc>
        <w:tc>
          <w:tcPr>
            <w:tcW w:w="6805"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r>
      <w:tr>
        <w:trPr>
          <w:trHeight w:val="1025" w:hRule="exact"/>
        </w:trPr>
        <w:tc>
          <w:tcPr>
            <w:tcW w:w="893" w:type="dxa"/>
            <w:vMerge/>
            <w:tcBorders>
              <w:left w:val="single" w:sz="4" w:space="0" w:color="000000"/>
              <w:bottom w:val="nil" w:sz="6" w:space="0" w:color="auto"/>
              <w:right w:val="single" w:sz="4" w:space="0" w:color="000000"/>
            </w:tcBorders>
            <w:shd w:val="clear" w:color="auto" w:fill="D2D2D2"/>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806"/>
              <w:jc w:val="right"/>
              <w:rPr>
                <w:rFonts w:ascii="宋体" w:hAnsi="宋体" w:cs="宋体" w:eastAsia="宋体" w:hint="default"/>
                <w:sz w:val="18"/>
                <w:szCs w:val="18"/>
              </w:rPr>
            </w:pPr>
            <w:r>
              <w:rPr>
                <w:rFonts w:ascii="宋体" w:hAnsi="宋体" w:cs="宋体" w:eastAsia="宋体" w:hint="default"/>
                <w:sz w:val="18"/>
                <w:szCs w:val="18"/>
              </w:rPr>
              <w:t>其他承诺</w:t>
            </w:r>
          </w:p>
        </w:tc>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3"/>
                <w:sz w:val="18"/>
                <w:szCs w:val="18"/>
              </w:rPr>
              <w:t>公司在《深圳市惠程电气股份有限公司限制性股票与股票期权激励计划（草案）》中承</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诺不为激励对象获取有关权益提供贷款以及其他任何形式的财务资助，包括为其贷款 提供担保。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8"/>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403" w:hRule="exact"/>
        </w:trPr>
        <w:tc>
          <w:tcPr>
            <w:tcW w:w="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06"/>
              <w:jc w:val="right"/>
              <w:rPr>
                <w:rFonts w:ascii="宋体" w:hAnsi="宋体" w:cs="宋体" w:eastAsia="宋体" w:hint="default"/>
                <w:sz w:val="18"/>
                <w:szCs w:val="18"/>
              </w:rPr>
            </w:pPr>
            <w:r>
              <w:rPr>
                <w:rFonts w:ascii="宋体" w:hAnsi="宋体" w:cs="宋体" w:eastAsia="宋体" w:hint="default"/>
                <w:sz w:val="18"/>
                <w:szCs w:val="18"/>
              </w:rPr>
              <w:t>其他承诺</w:t>
            </w:r>
          </w:p>
        </w:tc>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34"/>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在</w:t>
            </w:r>
            <w:r>
              <w:rPr>
                <w:rFonts w:ascii="宋体" w:hAnsi="宋体" w:cs="宋体" w:eastAsia="宋体" w:hint="default"/>
                <w:sz w:val="18"/>
                <w:szCs w:val="18"/>
              </w:rPr>
              <w:t>《深圳市惠程电气股份有限公司第二期限制性股票与股票期权激励计</w:t>
            </w:r>
            <w:r>
              <w:rPr>
                <w:rFonts w:ascii="宋体" w:hAnsi="宋体" w:cs="宋体" w:eastAsia="宋体" w:hint="default"/>
                <w:spacing w:val="-46"/>
                <w:sz w:val="18"/>
                <w:szCs w:val="18"/>
              </w:rPr>
              <w:t>划</w:t>
            </w:r>
            <w:r>
              <w:rPr>
                <w:rFonts w:ascii="宋体" w:hAnsi="宋体" w:cs="宋体" w:eastAsia="宋体" w:hint="default"/>
                <w:sz w:val="18"/>
                <w:szCs w:val="18"/>
              </w:rPr>
              <w:t>（草案</w:t>
            </w:r>
            <w:r>
              <w:rPr>
                <w:rFonts w:ascii="宋体" w:hAnsi="宋体" w:cs="宋体" w:eastAsia="宋体" w:hint="default"/>
                <w:spacing w:val="-92"/>
                <w:sz w:val="18"/>
                <w:szCs w:val="18"/>
              </w:rPr>
              <w:t>）</w:t>
            </w:r>
            <w:r>
              <w:rPr>
                <w:rFonts w:ascii="宋体" w:hAnsi="宋体" w:cs="宋体" w:eastAsia="宋体" w:hint="default"/>
                <w:spacing w:val="-33"/>
                <w:sz w:val="18"/>
                <w:szCs w:val="18"/>
              </w:rPr>
              <w:t>》</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r>
        <w:rPr/>
        <w:pict>
          <v:shape style="position:absolute;margin-left:279.049988pt;margin-top:414.309998pt;width:395.25pt;height:15.6pt;mso-position-horizontal-relative:page;mso-position-vertical-relative:page;z-index:-1104712" type="#_x0000_t202" filled="false" stroked="false">
            <v:textbox inset="0,0,0,0">
              <w:txbxContent>
                <w:p>
                  <w:pPr>
                    <w:pStyle w:val="BodyText"/>
                    <w:spacing w:line="240" w:lineRule="auto" w:before="49"/>
                    <w:ind w:left="0" w:right="0"/>
                    <w:jc w:val="left"/>
                  </w:pPr>
                  <w:r>
                    <w:rPr/>
                    <w:t>在作为深圳惠程控股股东及一致行动人、实际控制人期间，及上述期间届满（或终止）</w:t>
                  </w:r>
                </w:p>
              </w:txbxContent>
            </v:textbox>
            <w10:wrap type="none"/>
          </v:shape>
        </w:pict>
      </w:r>
    </w:p>
    <w:tbl>
      <w:tblPr>
        <w:tblW w:w="0" w:type="auto"/>
        <w:jc w:val="left"/>
        <w:tblInd w:w="106" w:type="dxa"/>
        <w:tblLayout w:type="fixed"/>
        <w:tblCellMar>
          <w:top w:w="0" w:type="dxa"/>
          <w:left w:w="0" w:type="dxa"/>
          <w:bottom w:w="0" w:type="dxa"/>
          <w:right w:w="0" w:type="dxa"/>
        </w:tblCellMar>
        <w:tblLook w:val="01E0"/>
      </w:tblPr>
      <w:tblGrid>
        <w:gridCol w:w="893"/>
        <w:gridCol w:w="1687"/>
        <w:gridCol w:w="1561"/>
        <w:gridCol w:w="6805"/>
        <w:gridCol w:w="1133"/>
        <w:gridCol w:w="1135"/>
        <w:gridCol w:w="804"/>
      </w:tblGrid>
      <w:tr>
        <w:trPr>
          <w:trHeight w:val="689" w:hRule="exact"/>
        </w:trPr>
        <w:tc>
          <w:tcPr>
            <w:tcW w:w="893"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687" w:type="dxa"/>
            <w:tcBorders>
              <w:top w:val="single" w:sz="15" w:space="0" w:color="000000"/>
              <w:left w:val="single" w:sz="4" w:space="0" w:color="000000"/>
              <w:bottom w:val="single" w:sz="4" w:space="0" w:color="000000"/>
              <w:right w:val="single" w:sz="4" w:space="0" w:color="000000"/>
            </w:tcBorders>
          </w:tcPr>
          <w:p>
            <w:pPr/>
          </w:p>
        </w:tc>
        <w:tc>
          <w:tcPr>
            <w:tcW w:w="1561" w:type="dxa"/>
            <w:tcBorders>
              <w:top w:val="single" w:sz="15" w:space="0" w:color="000000"/>
              <w:left w:val="single" w:sz="4" w:space="0" w:color="000000"/>
              <w:bottom w:val="single" w:sz="4" w:space="0" w:color="000000"/>
              <w:right w:val="single" w:sz="4" w:space="0" w:color="000000"/>
            </w:tcBorders>
          </w:tcPr>
          <w:p>
            <w:pPr/>
          </w:p>
        </w:tc>
        <w:tc>
          <w:tcPr>
            <w:tcW w:w="6805"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1"/>
              <w:ind w:left="24" w:right="109"/>
              <w:jc w:val="left"/>
              <w:rPr>
                <w:rFonts w:ascii="宋体" w:hAnsi="宋体" w:cs="宋体" w:eastAsia="宋体" w:hint="default"/>
                <w:sz w:val="18"/>
                <w:szCs w:val="18"/>
              </w:rPr>
            </w:pPr>
            <w:r>
              <w:rPr>
                <w:rFonts w:ascii="宋体" w:hAnsi="宋体" w:cs="宋体" w:eastAsia="宋体" w:hint="default"/>
                <w:sz w:val="18"/>
                <w:szCs w:val="18"/>
              </w:rPr>
              <w:t>中承诺不为激励对象获取有关权益提供贷款以及其他任何形式的财务资助，包括为其 贷款提供担保。</w:t>
            </w:r>
          </w:p>
        </w:tc>
        <w:tc>
          <w:tcPr>
            <w:tcW w:w="113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中</w:t>
            </w:r>
          </w:p>
        </w:tc>
      </w:tr>
      <w:tr>
        <w:trPr>
          <w:trHeight w:val="1027" w:hRule="exact"/>
        </w:trPr>
        <w:tc>
          <w:tcPr>
            <w:tcW w:w="8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316" w:lineRule="auto"/>
              <w:ind w:left="23" w:right="137"/>
              <w:jc w:val="both"/>
              <w:rPr>
                <w:rFonts w:ascii="宋体" w:hAnsi="宋体" w:cs="宋体" w:eastAsia="宋体" w:hint="default"/>
                <w:sz w:val="18"/>
                <w:szCs w:val="18"/>
              </w:rPr>
            </w:pPr>
            <w:r>
              <w:rPr>
                <w:rFonts w:ascii="宋体" w:hAnsi="宋体" w:cs="宋体" w:eastAsia="宋体" w:hint="default"/>
                <w:sz w:val="18"/>
                <w:szCs w:val="18"/>
              </w:rPr>
              <w:t>其他对公 司中小股 东所作承 诺</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中驰惠程；中源信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根据《收购管理办法》第 </w:t>
            </w:r>
            <w:r>
              <w:rPr>
                <w:rFonts w:ascii="Times New Roman" w:hAnsi="Times New Roman" w:cs="Times New Roman" w:eastAsia="Times New Roman" w:hint="default"/>
                <w:sz w:val="18"/>
                <w:szCs w:val="18"/>
              </w:rPr>
              <w:t>74</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条规定：在上市公司收购中，收购人持有的被收购公司的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股份，在收购完成后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个月内不得转让。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8"/>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1025" w:hRule="exact"/>
        </w:trPr>
        <w:tc>
          <w:tcPr>
            <w:tcW w:w="893" w:type="dxa"/>
            <w:vMerge/>
            <w:tcBorders>
              <w:left w:val="single" w:sz="4" w:space="0" w:color="000000"/>
              <w:right w:val="single" w:sz="4" w:space="0" w:color="000000"/>
            </w:tcBorders>
            <w:shd w:val="clear" w:color="auto" w:fill="D2D2D2"/>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1" w:right="35"/>
              <w:jc w:val="left"/>
              <w:rPr>
                <w:rFonts w:ascii="宋体" w:hAnsi="宋体" w:cs="宋体" w:eastAsia="宋体" w:hint="default"/>
                <w:sz w:val="18"/>
                <w:szCs w:val="18"/>
              </w:rPr>
            </w:pPr>
            <w:r>
              <w:rPr>
                <w:rFonts w:ascii="宋体" w:hAnsi="宋体" w:cs="宋体" w:eastAsia="宋体" w:hint="default"/>
                <w:sz w:val="18"/>
                <w:szCs w:val="18"/>
              </w:rPr>
              <w:t>中驰惠程；中源信； 汪超涌；李亦非</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86"/>
              <w:jc w:val="left"/>
              <w:rPr>
                <w:rFonts w:ascii="宋体" w:hAnsi="宋体" w:cs="宋体" w:eastAsia="宋体" w:hint="default"/>
                <w:sz w:val="18"/>
                <w:szCs w:val="18"/>
              </w:rPr>
            </w:pPr>
            <w:r>
              <w:rPr>
                <w:rFonts w:ascii="宋体" w:hAnsi="宋体" w:cs="宋体" w:eastAsia="宋体" w:hint="default"/>
                <w:sz w:val="18"/>
                <w:szCs w:val="18"/>
              </w:rPr>
              <w:t>不进行重大资产重 组承诺</w:t>
            </w:r>
          </w:p>
        </w:tc>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108"/>
              <w:jc w:val="left"/>
              <w:rPr>
                <w:rFonts w:ascii="宋体" w:hAnsi="宋体" w:cs="宋体" w:eastAsia="宋体" w:hint="default"/>
                <w:sz w:val="18"/>
                <w:szCs w:val="18"/>
              </w:rPr>
            </w:pPr>
            <w:r>
              <w:rPr>
                <w:rFonts w:ascii="宋体" w:hAnsi="宋体" w:cs="宋体" w:eastAsia="宋体" w:hint="default"/>
                <w:sz w:val="18"/>
                <w:szCs w:val="18"/>
              </w:rPr>
              <w:t>公司控股股东及其一致行动人、实际控制人承诺未来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个月内不会筹划重大资产重组 等重大事项。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8"/>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1339" w:hRule="exact"/>
        </w:trPr>
        <w:tc>
          <w:tcPr>
            <w:tcW w:w="893" w:type="dxa"/>
            <w:vMerge/>
            <w:tcBorders>
              <w:left w:val="single" w:sz="4" w:space="0" w:color="000000"/>
              <w:right w:val="single" w:sz="4" w:space="0" w:color="000000"/>
            </w:tcBorders>
            <w:shd w:val="clear" w:color="auto" w:fill="D2D2D2"/>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both"/>
              <w:rPr>
                <w:rFonts w:ascii="宋体" w:hAnsi="宋体" w:cs="宋体" w:eastAsia="宋体" w:hint="default"/>
                <w:sz w:val="18"/>
                <w:szCs w:val="18"/>
              </w:rPr>
            </w:pPr>
            <w:r>
              <w:rPr>
                <w:rFonts w:ascii="宋体" w:hAnsi="宋体" w:cs="宋体" w:eastAsia="宋体" w:hint="default"/>
                <w:sz w:val="18"/>
                <w:szCs w:val="18"/>
              </w:rPr>
              <w:t>公司在《关于发起设立信中利惠程产业并购基金暨关联交易的补充公告》中承诺在本 次投资事项发生后的十二个月内，公司不使用闲置募集资金暂时补充流动资金、不将 募集资金投向变更为永久性补充流动资金、不将超募资金永久性用于补充流动资金或 者归还银行贷款、不将本次投资的出资款用于补充流动资金。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48"/>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713" w:hRule="exact"/>
        </w:trPr>
        <w:tc>
          <w:tcPr>
            <w:tcW w:w="893" w:type="dxa"/>
            <w:vMerge/>
            <w:tcBorders>
              <w:left w:val="single" w:sz="4" w:space="0" w:color="000000"/>
              <w:right w:val="single" w:sz="4" w:space="0" w:color="000000"/>
            </w:tcBorders>
            <w:shd w:val="clear" w:color="auto" w:fill="D2D2D2"/>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9"/>
              <w:jc w:val="left"/>
              <w:rPr>
                <w:rFonts w:ascii="宋体" w:hAnsi="宋体" w:cs="宋体" w:eastAsia="宋体" w:hint="default"/>
                <w:sz w:val="18"/>
                <w:szCs w:val="18"/>
              </w:rPr>
            </w:pPr>
            <w:r>
              <w:rPr>
                <w:rFonts w:ascii="宋体" w:hAnsi="宋体" w:cs="宋体" w:eastAsia="宋体" w:hint="default"/>
                <w:sz w:val="18"/>
                <w:szCs w:val="18"/>
              </w:rPr>
              <w:t>公司在《信中利惠程产业并购基金之合作协议》中承诺不会收购产业并购基金从本公 司控股股东及实际控制人处收购的资产。</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日至长期</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8"/>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340" w:hRule="exact"/>
        </w:trPr>
        <w:tc>
          <w:tcPr>
            <w:tcW w:w="893" w:type="dxa"/>
            <w:vMerge/>
            <w:tcBorders>
              <w:left w:val="single" w:sz="4" w:space="0" w:color="000000"/>
              <w:right w:val="single" w:sz="4" w:space="0" w:color="000000"/>
            </w:tcBorders>
            <w:shd w:val="clear" w:color="auto" w:fill="D2D2D2"/>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1" w:right="35"/>
              <w:jc w:val="both"/>
              <w:rPr>
                <w:rFonts w:ascii="宋体" w:hAnsi="宋体" w:cs="宋体" w:eastAsia="宋体" w:hint="default"/>
                <w:sz w:val="18"/>
                <w:szCs w:val="18"/>
              </w:rPr>
            </w:pPr>
            <w:r>
              <w:rPr>
                <w:rFonts w:ascii="宋体" w:hAnsi="宋体" w:cs="宋体" w:eastAsia="宋体" w:hint="default"/>
                <w:sz w:val="18"/>
                <w:szCs w:val="18"/>
              </w:rPr>
              <w:t>中驰惠程；中源信； 信中利；田勇；华宝 信托</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股份增持承诺</w:t>
            </w:r>
          </w:p>
        </w:tc>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4"/>
              <w:jc w:val="left"/>
              <w:rPr>
                <w:rFonts w:ascii="宋体" w:hAnsi="宋体" w:cs="宋体" w:eastAsia="宋体" w:hint="default"/>
                <w:sz w:val="18"/>
                <w:szCs w:val="18"/>
              </w:rPr>
            </w:pPr>
            <w:r>
              <w:rPr>
                <w:rFonts w:ascii="宋体" w:hAnsi="宋体" w:cs="宋体" w:eastAsia="宋体" w:hint="default"/>
                <w:spacing w:val="-3"/>
                <w:sz w:val="18"/>
                <w:szCs w:val="18"/>
              </w:rPr>
              <w:t>在《关于第一大股东及其一致行动人增持公司股份的公告》（公告编号：</w:t>
            </w:r>
            <w:r>
              <w:rPr>
                <w:rFonts w:ascii="Times New Roman" w:hAnsi="Times New Roman" w:cs="Times New Roman" w:eastAsia="Times New Roman" w:hint="default"/>
                <w:spacing w:val="-3"/>
                <w:sz w:val="18"/>
                <w:szCs w:val="18"/>
              </w:rPr>
              <w:t>2016-117</w:t>
            </w:r>
            <w:r>
              <w:rPr>
                <w:rFonts w:ascii="宋体" w:hAnsi="宋体" w:cs="宋体" w:eastAsia="宋体" w:hint="default"/>
                <w:spacing w:val="-3"/>
                <w:sz w:val="18"/>
                <w:szCs w:val="18"/>
              </w:rPr>
              <w:t>）中</w:t>
            </w:r>
            <w:r>
              <w:rPr>
                <w:rFonts w:ascii="宋体" w:hAnsi="宋体" w:cs="宋体" w:eastAsia="宋体" w:hint="default"/>
                <w:spacing w:val="-59"/>
                <w:sz w:val="18"/>
                <w:szCs w:val="18"/>
              </w:rPr>
              <w:t> </w:t>
            </w:r>
            <w:r>
              <w:rPr>
                <w:rFonts w:ascii="宋体" w:hAnsi="宋体" w:cs="宋体" w:eastAsia="宋体" w:hint="default"/>
                <w:sz w:val="18"/>
                <w:szCs w:val="18"/>
              </w:rPr>
              <w:t>中驰惠程及其一致行动人计划未来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个月内增持金额不少于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亿元，不超过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亿元。</w:t>
            </w:r>
          </w:p>
          <w:p>
            <w:pPr>
              <w:pStyle w:val="TableParagraph"/>
              <w:spacing w:line="300" w:lineRule="auto" w:before="13"/>
              <w:ind w:left="24" w:right="197"/>
              <w:jc w:val="left"/>
              <w:rPr>
                <w:rFonts w:ascii="宋体" w:hAnsi="宋体" w:cs="宋体" w:eastAsia="宋体" w:hint="default"/>
                <w:sz w:val="18"/>
                <w:szCs w:val="18"/>
              </w:rPr>
            </w:pPr>
            <w:r>
              <w:rPr>
                <w:rFonts w:ascii="宋体" w:hAnsi="宋体" w:cs="宋体" w:eastAsia="宋体" w:hint="default"/>
                <w:sz w:val="18"/>
                <w:szCs w:val="18"/>
              </w:rPr>
              <w:t>中驰惠程及其一致行动人承诺在增持计划完成后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个月内不减持所持有的本公司股 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48"/>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1025" w:hRule="exact"/>
        </w:trPr>
        <w:tc>
          <w:tcPr>
            <w:tcW w:w="893" w:type="dxa"/>
            <w:vMerge/>
            <w:tcBorders>
              <w:left w:val="single" w:sz="4" w:space="0" w:color="000000"/>
              <w:right w:val="single" w:sz="4" w:space="0" w:color="000000"/>
            </w:tcBorders>
            <w:shd w:val="clear" w:color="auto" w:fill="D2D2D2"/>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35"/>
              <w:jc w:val="both"/>
              <w:rPr>
                <w:rFonts w:ascii="宋体" w:hAnsi="宋体" w:cs="宋体" w:eastAsia="宋体" w:hint="default"/>
                <w:sz w:val="18"/>
                <w:szCs w:val="18"/>
              </w:rPr>
            </w:pPr>
            <w:r>
              <w:rPr>
                <w:rFonts w:ascii="宋体" w:hAnsi="宋体" w:cs="宋体" w:eastAsia="宋体" w:hint="default"/>
                <w:sz w:val="18"/>
                <w:szCs w:val="18"/>
              </w:rPr>
              <w:t>中驰惠程；中源信； 信中利；田勇；华宝 信托</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4"/>
              <w:jc w:val="left"/>
              <w:rPr>
                <w:rFonts w:ascii="宋体" w:hAnsi="宋体" w:cs="宋体" w:eastAsia="宋体" w:hint="default"/>
                <w:sz w:val="18"/>
                <w:szCs w:val="18"/>
              </w:rPr>
            </w:pPr>
            <w:r>
              <w:rPr>
                <w:rFonts w:ascii="宋体" w:hAnsi="宋体" w:cs="宋体" w:eastAsia="宋体" w:hint="default"/>
                <w:spacing w:val="-3"/>
                <w:sz w:val="18"/>
                <w:szCs w:val="18"/>
              </w:rPr>
              <w:t>在《关于第一大股东及其一致行动人完成增持公司股份计划的公告》（公告编号：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Times New Roman" w:hAnsi="Times New Roman" w:cs="Times New Roman" w:eastAsia="Times New Roman" w:hint="default"/>
                <w:sz w:val="18"/>
                <w:szCs w:val="18"/>
              </w:rPr>
              <w:t>2017-056</w:t>
            </w:r>
            <w:r>
              <w:rPr>
                <w:rFonts w:ascii="宋体" w:hAnsi="宋体" w:cs="宋体" w:eastAsia="宋体" w:hint="default"/>
                <w:sz w:val="18"/>
                <w:szCs w:val="18"/>
              </w:rPr>
              <w:t>）中承诺本次增持完成后，中驰惠程及其一致行动人承诺未来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个月内不减 持所持有的本公司股份。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8"/>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340" w:hRule="exact"/>
        </w:trPr>
        <w:tc>
          <w:tcPr>
            <w:tcW w:w="893" w:type="dxa"/>
            <w:vMerge/>
            <w:tcBorders>
              <w:left w:val="single" w:sz="4" w:space="0" w:color="000000"/>
              <w:bottom w:val="single" w:sz="4" w:space="0" w:color="000000"/>
              <w:right w:val="single" w:sz="4" w:space="0" w:color="000000"/>
            </w:tcBorders>
            <w:shd w:val="clear" w:color="auto" w:fill="D2D2D2"/>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1" w:right="35"/>
              <w:jc w:val="both"/>
              <w:rPr>
                <w:rFonts w:ascii="宋体" w:hAnsi="宋体" w:cs="宋体" w:eastAsia="宋体" w:hint="default"/>
                <w:sz w:val="18"/>
                <w:szCs w:val="18"/>
              </w:rPr>
            </w:pPr>
            <w:r>
              <w:rPr>
                <w:rFonts w:ascii="宋体" w:hAnsi="宋体" w:cs="宋体" w:eastAsia="宋体" w:hint="default"/>
                <w:sz w:val="18"/>
                <w:szCs w:val="18"/>
              </w:rPr>
              <w:t>中驰惠程；中源信； 信中利；汪超涌；田 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86"/>
              <w:jc w:val="both"/>
              <w:rPr>
                <w:rFonts w:ascii="宋体" w:hAnsi="宋体" w:cs="宋体" w:eastAsia="宋体" w:hint="default"/>
                <w:sz w:val="18"/>
                <w:szCs w:val="18"/>
              </w:rPr>
            </w:pPr>
            <w:r>
              <w:rPr>
                <w:rFonts w:ascii="宋体" w:hAnsi="宋体" w:cs="宋体" w:eastAsia="宋体" w:hint="default"/>
                <w:sz w:val="18"/>
                <w:szCs w:val="18"/>
              </w:rPr>
              <w:t>关于同业竞争、关 联交易、资金占用 方面的承诺</w:t>
            </w:r>
          </w:p>
        </w:tc>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4"/>
              <w:ind w:left="24" w:right="20"/>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月内不会直接或间接从事或参与任何与深圳惠程及其下属企业构成竞争的任何业 务或活动，不以任何方式从事或参与任何与深圳惠程及其下属企业业务相同、相似或 可能取代深圳惠程及其下属企业业务的活动。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56.2pt;height:15.6pt;mso-position-horizontal-relative:char;mso-position-vertical-relative:line" coordorigin="0,0" coordsize="1124,312">
                  <v:group style="position:absolute;left:0;top:0;width:1124;height:312" coordorigin="0,0" coordsize="1124,312">
                    <v:shape style="position:absolute;left:0;top:0;width:1124;height:312" coordorigin="0,0" coordsize="1124,312" path="m0,312l1123,312,1123,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日至长期</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48"/>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713" w:hRule="exact"/>
        </w:trPr>
        <w:tc>
          <w:tcPr>
            <w:tcW w:w="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37"/>
              <w:jc w:val="left"/>
              <w:rPr>
                <w:rFonts w:ascii="宋体" w:hAnsi="宋体" w:cs="宋体" w:eastAsia="宋体" w:hint="default"/>
                <w:sz w:val="18"/>
                <w:szCs w:val="18"/>
              </w:rPr>
            </w:pPr>
            <w:r>
              <w:rPr>
                <w:rFonts w:ascii="宋体" w:hAnsi="宋体" w:cs="宋体" w:eastAsia="宋体" w:hint="default"/>
                <w:sz w:val="18"/>
                <w:szCs w:val="18"/>
              </w:rPr>
              <w:t>承诺是否 按时履行</w:t>
            </w:r>
          </w:p>
        </w:tc>
        <w:tc>
          <w:tcPr>
            <w:tcW w:w="1312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160" w:left="1300" w:right="1280"/>
        </w:sectPr>
      </w:pPr>
    </w:p>
    <w:p>
      <w:pPr>
        <w:spacing w:line="240" w:lineRule="auto" w:before="9"/>
        <w:rPr>
          <w:rFonts w:ascii="Times New Roman" w:hAnsi="Times New Roman" w:cs="Times New Roman" w:eastAsia="Times New Roman" w:hint="default"/>
          <w:sz w:val="23"/>
          <w:szCs w:val="23"/>
        </w:rPr>
      </w:pPr>
    </w:p>
    <w:p>
      <w:pPr>
        <w:pStyle w:val="Heading3"/>
        <w:spacing w:line="259" w:lineRule="auto" w:before="36"/>
        <w:ind w:right="94"/>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BodyText"/>
        <w:spacing w:line="240" w:lineRule="auto" w:before="44"/>
        <w:ind w:left="0" w:right="102"/>
        <w:jc w:val="right"/>
      </w:pPr>
      <w:r>
        <w:rPr/>
        <w:pict>
          <v:shape style="position:absolute;margin-left:54.959999pt;margin-top:-51.968273pt;width:485.65pt;height:103.1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36"/>
                    <w:gridCol w:w="1037"/>
                    <w:gridCol w:w="1133"/>
                    <w:gridCol w:w="852"/>
                    <w:gridCol w:w="850"/>
                    <w:gridCol w:w="994"/>
                    <w:gridCol w:w="1562"/>
                    <w:gridCol w:w="2434"/>
                  </w:tblGrid>
                  <w:tr>
                    <w:trPr>
                      <w:trHeight w:val="1025" w:hRule="exact"/>
                    </w:trPr>
                    <w:tc>
                      <w:tcPr>
                        <w:tcW w:w="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both"/>
                          <w:rPr>
                            <w:rFonts w:ascii="宋体" w:hAnsi="宋体" w:cs="宋体" w:eastAsia="宋体" w:hint="default"/>
                            <w:sz w:val="18"/>
                            <w:szCs w:val="18"/>
                          </w:rPr>
                        </w:pPr>
                        <w:r>
                          <w:rPr>
                            <w:rFonts w:ascii="宋体" w:hAnsi="宋体" w:cs="宋体" w:eastAsia="宋体" w:hint="default"/>
                            <w:sz w:val="18"/>
                            <w:szCs w:val="18"/>
                          </w:rPr>
                          <w:t>盈利预测 资产或项 目名称</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24" w:right="60" w:hanging="360"/>
                          <w:jc w:val="left"/>
                          <w:rPr>
                            <w:rFonts w:ascii="宋体" w:hAnsi="宋体" w:cs="宋体" w:eastAsia="宋体" w:hint="default"/>
                            <w:sz w:val="18"/>
                            <w:szCs w:val="18"/>
                          </w:rPr>
                        </w:pPr>
                        <w:r>
                          <w:rPr>
                            <w:rFonts w:ascii="宋体" w:hAnsi="宋体" w:cs="宋体" w:eastAsia="宋体" w:hint="default"/>
                            <w:sz w:val="18"/>
                            <w:szCs w:val="18"/>
                          </w:rPr>
                          <w:t>预测起始时 间</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2" w:right="110" w:hanging="360"/>
                          <w:jc w:val="left"/>
                          <w:rPr>
                            <w:rFonts w:ascii="宋体" w:hAnsi="宋体" w:cs="宋体" w:eastAsia="宋体" w:hint="default"/>
                            <w:sz w:val="18"/>
                            <w:szCs w:val="18"/>
                          </w:rPr>
                        </w:pPr>
                        <w:r>
                          <w:rPr>
                            <w:rFonts w:ascii="宋体" w:hAnsi="宋体" w:cs="宋体" w:eastAsia="宋体" w:hint="default"/>
                            <w:sz w:val="18"/>
                            <w:szCs w:val="18"/>
                          </w:rPr>
                          <w:t>预测终止时 间</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9"/>
                          <w:jc w:val="center"/>
                          <w:rPr>
                            <w:rFonts w:ascii="宋体" w:hAnsi="宋体" w:cs="宋体" w:eastAsia="宋体" w:hint="default"/>
                            <w:sz w:val="18"/>
                            <w:szCs w:val="18"/>
                          </w:rPr>
                        </w:pPr>
                        <w:r>
                          <w:rPr>
                            <w:rFonts w:ascii="宋体" w:hAnsi="宋体" w:cs="宋体" w:eastAsia="宋体" w:hint="default"/>
                            <w:sz w:val="18"/>
                            <w:szCs w:val="18"/>
                          </w:rPr>
                          <w:t>当期预测 业绩（万 元）</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 w:right="59"/>
                          <w:jc w:val="center"/>
                          <w:rPr>
                            <w:rFonts w:ascii="宋体" w:hAnsi="宋体" w:cs="宋体" w:eastAsia="宋体" w:hint="default"/>
                            <w:sz w:val="18"/>
                            <w:szCs w:val="18"/>
                          </w:rPr>
                        </w:pPr>
                        <w:r>
                          <w:rPr>
                            <w:rFonts w:ascii="宋体" w:hAnsi="宋体" w:cs="宋体" w:eastAsia="宋体" w:hint="default"/>
                            <w:sz w:val="18"/>
                            <w:szCs w:val="18"/>
                          </w:rPr>
                          <w:t>当期实际 业绩（万 元）</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 w:right="39"/>
                          <w:jc w:val="center"/>
                          <w:rPr>
                            <w:rFonts w:ascii="宋体" w:hAnsi="宋体" w:cs="宋体" w:eastAsia="宋体" w:hint="default"/>
                            <w:sz w:val="18"/>
                            <w:szCs w:val="18"/>
                          </w:rPr>
                        </w:pPr>
                        <w:r>
                          <w:rPr>
                            <w:rFonts w:ascii="宋体" w:hAnsi="宋体" w:cs="宋体" w:eastAsia="宋体" w:hint="default"/>
                            <w:sz w:val="18"/>
                            <w:szCs w:val="18"/>
                          </w:rPr>
                          <w:t>未达预测的 原因（如适 用）</w:t>
                        </w:r>
                      </w:p>
                    </w:tc>
                    <w:tc>
                      <w:tcPr>
                        <w:tcW w:w="1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原预测披露日期</w:t>
                        </w:r>
                      </w:p>
                    </w:tc>
                    <w:tc>
                      <w:tcPr>
                        <w:tcW w:w="2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81"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1027"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哆可梦</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14,500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14,844.74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巨潮资讯网（</w:t>
                        </w:r>
                        <w:hyperlink r:id="rId25">
                          <w:r>
                            <w:rPr>
                              <w:rFonts w:ascii="Times New Roman" w:hAnsi="Times New Roman" w:cs="Times New Roman" w:eastAsia="Times New Roman" w:hint="default"/>
                              <w:spacing w:val="-3"/>
                              <w:sz w:val="18"/>
                              <w:szCs w:val="18"/>
                            </w:rPr>
                            <w:t>www.cninfo.com</w:t>
                          </w:r>
                        </w:hyperlink>
                      </w:p>
                      <w:p>
                        <w:pPr>
                          <w:pStyle w:val="TableParagraph"/>
                          <w:spacing w:line="316" w:lineRule="auto" w:before="63"/>
                          <w:ind w:left="24" w:right="58"/>
                          <w:jc w:val="left"/>
                          <w:rPr>
                            <w:rFonts w:ascii="宋体" w:hAnsi="宋体" w:cs="宋体" w:eastAsia="宋体" w:hint="default"/>
                            <w:sz w:val="18"/>
                            <w:szCs w:val="18"/>
                          </w:rPr>
                        </w:pPr>
                        <w:r>
                          <w:rPr>
                            <w:rFonts w:ascii="宋体" w:hAnsi="宋体" w:cs="宋体" w:eastAsia="宋体" w:hint="default"/>
                            <w:sz w:val="18"/>
                            <w:szCs w:val="18"/>
                          </w:rPr>
                          <w:t>《重大资产购买暨关联交易报 </w:t>
                        </w:r>
                        <w:r>
                          <w:rPr>
                            <w:rFonts w:ascii="宋体" w:hAnsi="宋体" w:cs="宋体" w:eastAsia="宋体" w:hint="default"/>
                            <w:spacing w:val="-14"/>
                            <w:sz w:val="18"/>
                            <w:szCs w:val="18"/>
                          </w:rPr>
                          <w:t>告书（草案）（二次修订稿）》</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before="44"/>
        <w:ind w:right="94"/>
        <w:jc w:val="left"/>
      </w:pPr>
      <w:r>
        <w:rPr/>
        <w:t>公司股东、交易对手方在报告年度经营业绩做出的承诺情况</w:t>
      </w:r>
    </w:p>
    <w:p>
      <w:pPr>
        <w:pStyle w:val="BodyText"/>
        <w:spacing w:line="319" w:lineRule="auto" w:before="115"/>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交易对手方寇汉、林嘉喜作为业绩补偿义务人承诺哆可梦</w:t>
      </w:r>
      <w:r>
        <w:rPr>
          <w:rFonts w:ascii="Times New Roman" w:hAnsi="Times New Roman" w:cs="Times New Roman" w:eastAsia="Times New Roman" w:hint="default"/>
          <w:spacing w:val="-2"/>
        </w:rPr>
        <w:t>2017</w:t>
      </w:r>
      <w:r>
        <w:rPr>
          <w:spacing w:val="-2"/>
        </w:rPr>
        <w:t>年至</w:t>
      </w:r>
      <w:r>
        <w:rPr>
          <w:rFonts w:ascii="Times New Roman" w:hAnsi="Times New Roman" w:cs="Times New Roman" w:eastAsia="Times New Roman" w:hint="default"/>
          <w:spacing w:val="-2"/>
        </w:rPr>
        <w:t>2019</w:t>
      </w:r>
      <w:r>
        <w:rPr>
          <w:spacing w:val="-2"/>
        </w:rPr>
        <w:t>年各年度实现的净利润（以扣除非经常性损益前后孰</w:t>
      </w:r>
      <w:r>
        <w:rPr>
          <w:spacing w:val="-56"/>
        </w:rPr>
        <w:t> </w:t>
      </w:r>
      <w:r>
        <w:rPr>
          <w:spacing w:val="-56"/>
        </w:rPr>
      </w:r>
      <w:r>
        <w:rPr/>
        <w:t>低者为计算依据）不少于</w:t>
      </w:r>
      <w:r>
        <w:rPr>
          <w:rFonts w:ascii="Times New Roman" w:hAnsi="Times New Roman" w:cs="Times New Roman" w:eastAsia="Times New Roman" w:hint="default"/>
        </w:rPr>
        <w:t>14,500</w:t>
      </w:r>
      <w:r>
        <w:rPr/>
        <w:t>万元、</w:t>
      </w:r>
      <w:r>
        <w:rPr>
          <w:rFonts w:ascii="Times New Roman" w:hAnsi="Times New Roman" w:cs="Times New Roman" w:eastAsia="Times New Roman" w:hint="default"/>
        </w:rPr>
        <w:t>18,800</w:t>
      </w:r>
      <w:r>
        <w:rPr/>
        <w:t>万元、</w:t>
      </w:r>
      <w:r>
        <w:rPr>
          <w:rFonts w:ascii="Times New Roman" w:hAnsi="Times New Roman" w:cs="Times New Roman" w:eastAsia="Times New Roman" w:hint="default"/>
        </w:rPr>
        <w:t>24,500</w:t>
      </w:r>
      <w:r>
        <w:rPr/>
        <w:t>万元，并承担相应的盈利补偿义务。</w:t>
      </w:r>
    </w:p>
    <w:p>
      <w:pPr>
        <w:spacing w:line="240" w:lineRule="auto" w:before="2"/>
        <w:rPr>
          <w:rFonts w:ascii="宋体" w:hAnsi="宋体" w:cs="宋体" w:eastAsia="宋体" w:hint="default"/>
          <w:sz w:val="19"/>
          <w:szCs w:val="19"/>
        </w:rPr>
      </w:pPr>
    </w:p>
    <w:p>
      <w:pPr>
        <w:pStyle w:val="Heading2"/>
        <w:spacing w:line="240" w:lineRule="auto"/>
        <w:ind w:right="94"/>
        <w:jc w:val="left"/>
        <w:rPr>
          <w:b w:val="0"/>
          <w:bCs w:val="0"/>
        </w:rPr>
      </w:pPr>
      <w:r>
        <w:rPr/>
        <w:t>四、控股股东及其关联方对上市公司的非经营性占用资金情况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4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7"/>
        <w:rPr>
          <w:rFonts w:ascii="宋体" w:hAnsi="宋体" w:cs="宋体" w:eastAsia="宋体" w:hint="default"/>
          <w:sz w:val="19"/>
          <w:szCs w:val="19"/>
        </w:rPr>
      </w:pPr>
    </w:p>
    <w:p>
      <w:pPr>
        <w:pStyle w:val="Heading2"/>
        <w:spacing w:line="240" w:lineRule="auto"/>
        <w:ind w:right="94"/>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4"/>
        <w:jc w:val="left"/>
        <w:rPr>
          <w:b w:val="0"/>
          <w:bCs w:val="0"/>
        </w:rPr>
      </w:pP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27</w:t>
      </w:r>
      <w:r>
        <w:rPr/>
        <w:t>日公司第五届董事会第五十四次会议审议通过《关于公司会计政策变更的议案》，根据财政部《关于印发 </w:t>
      </w:r>
      <w:r>
        <w:rPr>
          <w:spacing w:val="-1"/>
        </w:rPr>
        <w:t>修订</w:t>
      </w:r>
      <w:r>
        <w:rPr>
          <w:rFonts w:ascii="Times New Roman" w:hAnsi="Times New Roman" w:cs="Times New Roman" w:eastAsia="Times New Roman" w:hint="default"/>
          <w:spacing w:val="-1"/>
        </w:rPr>
        <w:t>&lt;</w:t>
      </w:r>
      <w:r>
        <w:rPr>
          <w:spacing w:val="-1"/>
        </w:rPr>
        <w:t>企业会计准则第</w:t>
      </w:r>
      <w:r>
        <w:rPr>
          <w:rFonts w:ascii="Times New Roman" w:hAnsi="Times New Roman" w:cs="Times New Roman" w:eastAsia="Times New Roman" w:hint="default"/>
          <w:spacing w:val="-1"/>
        </w:rPr>
        <w:t>16</w:t>
      </w:r>
      <w:r>
        <w:rPr>
          <w:spacing w:val="-1"/>
        </w:rPr>
        <w:t>号</w:t>
      </w:r>
      <w:r>
        <w:rPr>
          <w:rFonts w:ascii="Times New Roman" w:hAnsi="Times New Roman" w:cs="Times New Roman" w:eastAsia="Times New Roman" w:hint="default"/>
          <w:spacing w:val="-1"/>
        </w:rPr>
        <w:t>——</w:t>
      </w:r>
      <w:r>
        <w:rPr>
          <w:spacing w:val="-1"/>
        </w:rPr>
        <w:t>政府补助</w:t>
      </w:r>
      <w:r>
        <w:rPr>
          <w:rFonts w:ascii="Times New Roman" w:hAnsi="Times New Roman" w:cs="Times New Roman" w:eastAsia="Times New Roman" w:hint="default"/>
          <w:spacing w:val="-1"/>
        </w:rPr>
        <w:t>&gt;</w:t>
      </w:r>
      <w:r>
        <w:rPr>
          <w:spacing w:val="-1"/>
        </w:rPr>
        <w:t>的通知》（财会</w:t>
      </w:r>
      <w:r>
        <w:rPr>
          <w:rFonts w:ascii="Times New Roman" w:hAnsi="Times New Roman" w:cs="Times New Roman" w:eastAsia="Times New Roman" w:hint="default"/>
          <w:spacing w:val="-1"/>
        </w:rPr>
        <w:t>[2017]15</w:t>
      </w:r>
      <w:r>
        <w:rPr>
          <w:spacing w:val="-1"/>
        </w:rPr>
        <w:t>号）的相关要求，与企业日常活动相关的政府补助，应当</w:t>
      </w:r>
    </w:p>
    <w:p>
      <w:pPr>
        <w:pStyle w:val="BodyText"/>
        <w:spacing w:line="307" w:lineRule="auto"/>
        <w:ind w:right="174"/>
        <w:jc w:val="left"/>
      </w:pPr>
      <w:r>
        <w:rPr>
          <w:spacing w:val="-2"/>
        </w:rPr>
        <w:t>按照经济业务实质，计入其他收益或冲减相关成本费用；与企业日常活动无关的政府补助，应当计入营业外收支。同时，在</w:t>
      </w:r>
      <w:r>
        <w:rPr>
          <w:spacing w:val="-66"/>
        </w:rPr>
        <w:t> </w:t>
      </w:r>
      <w:r>
        <w:rPr>
          <w:spacing w:val="-66"/>
        </w:rPr>
      </w:r>
      <w:r>
        <w:rPr/>
        <w:t>利润表中的</w:t>
      </w:r>
      <w:r>
        <w:rPr>
          <w:rFonts w:ascii="Times New Roman" w:hAnsi="Times New Roman" w:cs="Times New Roman" w:eastAsia="Times New Roman" w:hint="default"/>
        </w:rPr>
        <w:t>“</w:t>
      </w:r>
      <w:r>
        <w:rPr/>
        <w:t>营业利润</w:t>
      </w:r>
      <w:r>
        <w:rPr>
          <w:rFonts w:ascii="Times New Roman" w:hAnsi="Times New Roman" w:cs="Times New Roman" w:eastAsia="Times New Roman" w:hint="default"/>
        </w:rPr>
        <w:t>”</w:t>
      </w:r>
      <w:r>
        <w:rPr/>
        <w:t>项目之上单独列报</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项目，计入其他收益的政府补助在该项目中反映。公司自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rFonts w:ascii="Times New Roman" w:hAnsi="Times New Roman" w:cs="Times New Roman" w:eastAsia="Times New Roman" w:hint="default"/>
          <w:spacing w:val="-43"/>
        </w:rPr>
        <w:t> </w:t>
      </w:r>
      <w:r>
        <w:rPr/>
        <w:t>日开始执行上述会计政策，对</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日存在的政府补助采用未来适用法处理，对</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日之间新 增的政府补助根据上述会计准则进行调整，不涉及对以前年度列报的追溯调整，</w:t>
      </w:r>
      <w:r>
        <w:rPr>
          <w:spacing w:val="-17"/>
        </w:rPr>
        <w:t> </w:t>
      </w:r>
      <w:r>
        <w:rPr/>
        <w:t>对公司财务状况、经营成果和现金流量无</w:t>
      </w:r>
      <w:r>
        <w:rPr/>
        <w:t> 重大影响。 </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28</w:t>
      </w:r>
      <w:r>
        <w:rPr>
          <w:spacing w:val="-2"/>
        </w:rPr>
        <w:t>日公司第六届董事会第八次会议审议通过《关于公司会计政策变更的议案》，根据财政部《关于修订印发一</w:t>
      </w:r>
      <w:r>
        <w:rPr>
          <w:spacing w:val="-60"/>
        </w:rPr>
        <w:t> </w:t>
      </w:r>
      <w:r>
        <w:rPr>
          <w:spacing w:val="-60"/>
        </w:rPr>
      </w:r>
      <w:r>
        <w:rPr/>
        <w:t>般企业财务报表格式的通知》（财会</w:t>
      </w:r>
      <w:r>
        <w:rPr>
          <w:rFonts w:ascii="Times New Roman" w:hAnsi="Times New Roman" w:cs="Times New Roman" w:eastAsia="Times New Roman" w:hint="default"/>
        </w:rPr>
        <w:t>[2017]30</w:t>
      </w:r>
      <w:r>
        <w:rPr/>
        <w:t>号），公司调整了财务报表列报，在利润表中新增</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t>项目，将部 </w:t>
      </w:r>
      <w:r>
        <w:rPr>
          <w:spacing w:val="-1"/>
        </w:rPr>
        <w:t>分原列示为</w:t>
      </w:r>
      <w:r>
        <w:rPr>
          <w:rFonts w:ascii="Times New Roman" w:hAnsi="Times New Roman" w:cs="Times New Roman" w:eastAsia="Times New Roman" w:hint="default"/>
          <w:spacing w:val="-1"/>
        </w:rPr>
        <w:t>“</w:t>
      </w:r>
      <w:r>
        <w:rPr>
          <w:spacing w:val="-1"/>
        </w:rPr>
        <w:t>营业外收入</w:t>
      </w:r>
      <w:r>
        <w:rPr>
          <w:rFonts w:ascii="Times New Roman" w:hAnsi="Times New Roman" w:cs="Times New Roman" w:eastAsia="Times New Roman" w:hint="default"/>
          <w:spacing w:val="-1"/>
        </w:rPr>
        <w:t>”</w:t>
      </w:r>
      <w:r>
        <w:rPr>
          <w:spacing w:val="-1"/>
        </w:rPr>
        <w:t>及</w:t>
      </w:r>
      <w:r>
        <w:rPr>
          <w:rFonts w:ascii="Times New Roman" w:hAnsi="Times New Roman" w:cs="Times New Roman" w:eastAsia="Times New Roman" w:hint="default"/>
          <w:spacing w:val="-1"/>
        </w:rPr>
        <w:t>“</w:t>
      </w:r>
      <w:r>
        <w:rPr>
          <w:spacing w:val="-1"/>
        </w:rPr>
        <w:t>营业外支出</w:t>
      </w:r>
      <w:r>
        <w:rPr>
          <w:rFonts w:ascii="Times New Roman" w:hAnsi="Times New Roman" w:cs="Times New Roman" w:eastAsia="Times New Roman" w:hint="default"/>
          <w:spacing w:val="-1"/>
        </w:rPr>
        <w:t>”</w:t>
      </w:r>
      <w:r>
        <w:rPr>
          <w:spacing w:val="-1"/>
        </w:rPr>
        <w:t>的非流动资产处置损益重分类至</w:t>
      </w:r>
      <w:r>
        <w:rPr>
          <w:rFonts w:ascii="Times New Roman" w:hAnsi="Times New Roman" w:cs="Times New Roman" w:eastAsia="Times New Roman" w:hint="default"/>
          <w:spacing w:val="-1"/>
        </w:rPr>
        <w:t>“</w:t>
      </w:r>
      <w:r>
        <w:rPr>
          <w:spacing w:val="-1"/>
        </w:rPr>
        <w:t>资产处置收益</w:t>
      </w:r>
      <w:r>
        <w:rPr>
          <w:rFonts w:ascii="Times New Roman" w:hAnsi="Times New Roman" w:cs="Times New Roman" w:eastAsia="Times New Roman" w:hint="default"/>
          <w:spacing w:val="-1"/>
        </w:rPr>
        <w:t>”</w:t>
      </w:r>
      <w:r>
        <w:rPr>
          <w:spacing w:val="-1"/>
        </w:rPr>
        <w:t>项目，按照《企业会计准则第</w:t>
      </w:r>
      <w:r>
        <w:rPr>
          <w:rFonts w:ascii="Times New Roman" w:hAnsi="Times New Roman" w:cs="Times New Roman" w:eastAsia="Times New Roman" w:hint="default"/>
          <w:spacing w:val="-1"/>
        </w:rPr>
        <w:t>30</w:t>
      </w:r>
      <w:r>
        <w:rPr>
          <w:spacing w:val="-1"/>
        </w:rPr>
        <w:t>号</w:t>
      </w:r>
    </w:p>
    <w:p>
      <w:pPr>
        <w:pStyle w:val="BodyText"/>
        <w:tabs>
          <w:tab w:pos="9070" w:val="left" w:leader="none"/>
        </w:tabs>
        <w:spacing w:line="300" w:lineRule="auto" w:before="7"/>
        <w:ind w:right="192"/>
        <w:jc w:val="left"/>
      </w:pPr>
      <w:r>
        <w:rPr>
          <w:rFonts w:ascii="Times New Roman" w:hAnsi="Times New Roman" w:cs="Times New Roman" w:eastAsia="Times New Roman" w:hint="default"/>
        </w:rPr>
        <w:t>—</w:t>
      </w:r>
      <w:r>
        <w:rPr/>
        <w:t>财务报表列报》</w:t>
      </w:r>
      <w:r>
        <w:rPr>
          <w:spacing w:val="-18"/>
        </w:rPr>
        <w:t> </w:t>
      </w:r>
      <w:r>
        <w:rPr>
          <w:spacing w:val="-3"/>
        </w:rPr>
        <w:t>等的相关规定，对可比期间的比较数据按照规定进行调整。由于</w:t>
      </w:r>
      <w:r>
        <w:rPr>
          <w:rFonts w:ascii="Times New Roman" w:hAnsi="Times New Roman" w:cs="Times New Roman" w:eastAsia="Times New Roman" w:hint="default"/>
          <w:spacing w:val="-3"/>
        </w:rPr>
        <w:t>“</w:t>
      </w:r>
      <w:r>
        <w:rPr>
          <w:spacing w:val="-3"/>
        </w:rPr>
        <w:t>资产处置收益</w:t>
      </w:r>
      <w:r>
        <w:rPr>
          <w:rFonts w:ascii="Times New Roman" w:hAnsi="Times New Roman" w:cs="Times New Roman" w:eastAsia="Times New Roman" w:hint="default"/>
          <w:spacing w:val="-3"/>
        </w:rPr>
        <w:t>”</w:t>
      </w:r>
      <w:r>
        <w:rPr>
          <w:spacing w:val="-3"/>
        </w:rPr>
        <w:t>项目的追溯调整，对</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t>年的报表项目影响如下：</w:t>
        <w:tab/>
        <w:t>单位：元</w:t>
      </w:r>
    </w:p>
    <w:tbl>
      <w:tblPr>
        <w:tblW w:w="0" w:type="auto"/>
        <w:jc w:val="left"/>
        <w:tblInd w:w="136" w:type="dxa"/>
        <w:tblLayout w:type="fixed"/>
        <w:tblCellMar>
          <w:top w:w="0" w:type="dxa"/>
          <w:left w:w="0" w:type="dxa"/>
          <w:bottom w:w="0" w:type="dxa"/>
          <w:right w:w="0" w:type="dxa"/>
        </w:tblCellMar>
        <w:tblLook w:val="01E0"/>
      </w:tblPr>
      <w:tblGrid>
        <w:gridCol w:w="3222"/>
        <w:gridCol w:w="3219"/>
        <w:gridCol w:w="3219"/>
      </w:tblGrid>
      <w:tr>
        <w:trPr>
          <w:trHeight w:val="346" w:hRule="exact"/>
        </w:trPr>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利润表项目</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变更前</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变更后</w:t>
            </w:r>
          </w:p>
        </w:tc>
      </w:tr>
      <w:tr>
        <w:trPr>
          <w:trHeight w:val="348" w:hRule="exact"/>
        </w:trPr>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
              <w:jc w:val="center"/>
              <w:rPr>
                <w:rFonts w:ascii="宋体" w:hAnsi="宋体" w:cs="宋体" w:eastAsia="宋体" w:hint="default"/>
                <w:sz w:val="18"/>
                <w:szCs w:val="18"/>
              </w:rPr>
            </w:pPr>
            <w:r>
              <w:rPr>
                <w:rFonts w:ascii="宋体" w:hAnsi="宋体" w:cs="宋体" w:eastAsia="宋体" w:hint="default"/>
                <w:sz w:val="18"/>
                <w:szCs w:val="18"/>
              </w:rPr>
              <w:t>资产处置收益</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13,588,436.43</w:t>
            </w:r>
          </w:p>
        </w:tc>
      </w:tr>
      <w:tr>
        <w:trPr>
          <w:trHeight w:val="348" w:hRule="exact"/>
        </w:trPr>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14,486,718.27</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792,741.35</w:t>
            </w:r>
          </w:p>
        </w:tc>
      </w:tr>
      <w:tr>
        <w:trPr>
          <w:trHeight w:val="346" w:hRule="exact"/>
        </w:trPr>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营业外支出</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1,330,000.93</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1,224,460.44</w:t>
            </w:r>
          </w:p>
        </w:tc>
      </w:tr>
    </w:tbl>
    <w:p>
      <w:pPr>
        <w:spacing w:after="0" w:line="240" w:lineRule="auto"/>
        <w:jc w:val="right"/>
        <w:rPr>
          <w:rFonts w:ascii="Times New Roman" w:hAnsi="Times New Roman" w:cs="Times New Roman" w:eastAsia="Times New Roman" w:hint="default"/>
          <w:sz w:val="18"/>
          <w:szCs w:val="18"/>
        </w:rPr>
        <w:sectPr>
          <w:headerReference w:type="default" r:id="rId23"/>
          <w:footerReference w:type="default" r:id="rId24"/>
          <w:pgSz w:w="11910" w:h="16840"/>
          <w:pgMar w:header="877" w:footer="979" w:top="1100" w:bottom="1160" w:left="980" w:right="940"/>
          <w:pgNumType w:start="35"/>
        </w:sectPr>
      </w:pPr>
    </w:p>
    <w:p>
      <w:pPr>
        <w:spacing w:line="240" w:lineRule="auto" w:before="10"/>
        <w:rPr>
          <w:rFonts w:ascii="宋体" w:hAnsi="宋体" w:cs="宋体" w:eastAsia="宋体" w:hint="default"/>
          <w:sz w:val="19"/>
          <w:szCs w:val="19"/>
        </w:rPr>
      </w:pPr>
    </w:p>
    <w:p>
      <w:pPr>
        <w:pStyle w:val="Heading2"/>
        <w:spacing w:line="240" w:lineRule="auto" w:before="26"/>
        <w:ind w:right="153"/>
        <w:jc w:val="left"/>
        <w:rPr>
          <w:b w:val="0"/>
          <w:bCs w:val="0"/>
        </w:rPr>
      </w:pPr>
      <w:r>
        <w:rPr/>
        <w:t>七、报告期内发生重大会计差错更正需追溯重述的情况说明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公司报告期无重大会计差错更正需追溯重述的情况。</w:t>
      </w:r>
    </w:p>
    <w:p>
      <w:pPr>
        <w:spacing w:line="240" w:lineRule="auto" w:before="8"/>
        <w:rPr>
          <w:rFonts w:ascii="宋体" w:hAnsi="宋体" w:cs="宋体" w:eastAsia="宋体" w:hint="default"/>
          <w:sz w:val="19"/>
          <w:szCs w:val="19"/>
        </w:rPr>
      </w:pPr>
    </w:p>
    <w:p>
      <w:pPr>
        <w:pStyle w:val="Heading2"/>
        <w:spacing w:line="240" w:lineRule="auto"/>
        <w:ind w:right="153"/>
        <w:jc w:val="left"/>
        <w:rPr>
          <w:b w:val="0"/>
          <w:bCs w:val="0"/>
        </w:rPr>
      </w:pP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513" w:right="15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本公司合并财务报表范围包括本公司及喀什中汇联银、惠程智能、香港惠程、北京中汇联银、中行置盛、中融建银、中</w:t>
      </w:r>
    </w:p>
    <w:p>
      <w:pPr>
        <w:pStyle w:val="BodyText"/>
        <w:spacing w:line="240" w:lineRule="auto" w:before="2"/>
        <w:ind w:right="153"/>
        <w:jc w:val="left"/>
      </w:pPr>
      <w:r>
        <w:rPr/>
        <w:t>汇联鑫、豪琛投资、鹏胤投资、中汇同盈、哆可梦、吉乾科技、旭梅网络、华向文化、游湛网络、璿游网络、乐珩网络。</w:t>
      </w:r>
    </w:p>
    <w:p>
      <w:pPr>
        <w:pStyle w:val="BodyText"/>
        <w:spacing w:line="240" w:lineRule="auto" w:before="117"/>
        <w:ind w:left="513" w:right="153"/>
        <w:jc w:val="left"/>
      </w:pPr>
      <w:r>
        <w:rPr>
          <w:rFonts w:ascii="Times New Roman" w:hAnsi="Times New Roman" w:cs="Times New Roman" w:eastAsia="Times New Roman" w:hint="default"/>
        </w:rPr>
        <w:t>2017</w:t>
      </w:r>
      <w:r>
        <w:rPr/>
        <w:t>年合并范围相比上年，非同一控制下企业合并增加哆可梦及其子公司；减少永耀惠程。</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3"/>
        <w:jc w:val="left"/>
      </w:pPr>
      <w:r>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上会会计师事务所（特殊普通合伙）</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68</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张晓荣、唐慧珏</w:t>
            </w:r>
          </w:p>
        </w:tc>
      </w:tr>
      <w:tr>
        <w:trPr>
          <w:trHeight w:val="404"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49"/>
        <w:ind w:right="153"/>
        <w:jc w:val="left"/>
      </w:pPr>
      <w:r>
        <w:rPr/>
        <w:t>当期是否改聘会计师事务所</w:t>
      </w:r>
    </w:p>
    <w:p>
      <w:pPr>
        <w:pStyle w:val="BodyText"/>
        <w:spacing w:line="340" w:lineRule="auto" w:before="115"/>
        <w:ind w:right="5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1"/>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53"/>
        <w:jc w:val="left"/>
        <w:rPr>
          <w:b w:val="0"/>
          <w:bCs w:val="0"/>
        </w:rPr>
      </w:pP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十一、破产重整相关事项</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after="0" w:line="338" w:lineRule="auto"/>
        <w:jc w:val="left"/>
        <w:sectPr>
          <w:pgSz w:w="11910" w:h="16840"/>
          <w:pgMar w:header="877" w:footer="979" w:top="1100" w:bottom="1160" w:left="980" w:right="980"/>
        </w:sectPr>
      </w:pPr>
    </w:p>
    <w:p>
      <w:pPr>
        <w:spacing w:line="240" w:lineRule="auto" w:before="10"/>
        <w:rPr>
          <w:rFonts w:ascii="宋体" w:hAnsi="宋体" w:cs="宋体" w:eastAsia="宋体" w:hint="default"/>
          <w:sz w:val="19"/>
          <w:szCs w:val="19"/>
        </w:rPr>
      </w:pPr>
    </w:p>
    <w:p>
      <w:pPr>
        <w:pStyle w:val="Heading2"/>
        <w:spacing w:line="240" w:lineRule="auto" w:before="26"/>
        <w:ind w:right="94"/>
        <w:jc w:val="left"/>
        <w:rPr>
          <w:b w:val="0"/>
          <w:bCs w:val="0"/>
        </w:rPr>
      </w:pPr>
      <w:r>
        <w:rPr/>
        <w:t>十二、重大诉讼、仲裁事项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BodyText"/>
        <w:spacing w:line="240" w:lineRule="auto" w:before="44"/>
        <w:ind w:left="0" w:right="102"/>
        <w:jc w:val="right"/>
      </w:pPr>
      <w:r>
        <w:rPr/>
        <w:pict>
          <v:shape style="position:absolute;margin-left:54.959999pt;margin-top:-91.088295pt;width:485.65pt;height:294.9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56"/>
                    <w:gridCol w:w="701"/>
                    <w:gridCol w:w="469"/>
                    <w:gridCol w:w="686"/>
                    <w:gridCol w:w="2427"/>
                    <w:gridCol w:w="996"/>
                    <w:gridCol w:w="1083"/>
                    <w:gridCol w:w="1781"/>
                  </w:tblGrid>
                  <w:tr>
                    <w:trPr>
                      <w:trHeight w:val="1339" w:hRule="exact"/>
                    </w:trPr>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682" w:right="83"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both"/>
                          <w:rPr>
                            <w:rFonts w:ascii="宋体" w:hAnsi="宋体" w:cs="宋体" w:eastAsia="宋体" w:hint="default"/>
                            <w:sz w:val="18"/>
                            <w:szCs w:val="18"/>
                          </w:rPr>
                        </w:pPr>
                        <w:r>
                          <w:rPr>
                            <w:rFonts w:ascii="宋体" w:hAnsi="宋体" w:cs="宋体" w:eastAsia="宋体" w:hint="default"/>
                            <w:sz w:val="18"/>
                            <w:szCs w:val="18"/>
                          </w:rPr>
                          <w:t>涉案金 额（万 元）</w:t>
                        </w:r>
                      </w:p>
                    </w:tc>
                    <w:tc>
                      <w:tcPr>
                        <w:tcW w:w="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 w:right="46"/>
                          <w:jc w:val="both"/>
                          <w:rPr>
                            <w:rFonts w:ascii="宋体" w:hAnsi="宋体" w:cs="宋体" w:eastAsia="宋体" w:hint="default"/>
                            <w:sz w:val="18"/>
                            <w:szCs w:val="18"/>
                          </w:rPr>
                        </w:pPr>
                        <w:r>
                          <w:rPr>
                            <w:rFonts w:ascii="宋体" w:hAnsi="宋体" w:cs="宋体" w:eastAsia="宋体" w:hint="default"/>
                            <w:sz w:val="18"/>
                            <w:szCs w:val="18"/>
                          </w:rPr>
                          <w:t>是否 形成 预计 负债</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38" w:right="36"/>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 裁</w:t>
                        </w:r>
                        <w:r>
                          <w:rPr>
                            <w:rFonts w:ascii="Times New Roman" w:hAnsi="Times New Roman" w:cs="Times New Roman" w:eastAsia="Times New Roman" w:hint="default"/>
                            <w:sz w:val="18"/>
                            <w:szCs w:val="18"/>
                          </w:rPr>
                          <w:t>)</w:t>
                        </w:r>
                        <w:r>
                          <w:rPr>
                            <w:rFonts w:ascii="宋体" w:hAnsi="宋体" w:cs="宋体" w:eastAsia="宋体" w:hint="default"/>
                            <w:sz w:val="18"/>
                            <w:szCs w:val="18"/>
                          </w:rPr>
                          <w:t>进展</w:t>
                        </w:r>
                      </w:p>
                    </w:tc>
                    <w:tc>
                      <w:tcPr>
                        <w:tcW w:w="2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审理结果及影响</w:t>
                        </w:r>
                      </w:p>
                    </w:tc>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9" w:lineRule="auto"/>
                          <w:ind w:left="43" w:right="41" w:firstLine="2"/>
                          <w:jc w:val="center"/>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判决执行情 况</w:t>
                        </w:r>
                      </w:p>
                    </w:tc>
                    <w:tc>
                      <w:tcPr>
                        <w:tcW w:w="1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3"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81"/>
                          <w:jc w:val="both"/>
                          <w:rPr>
                            <w:rFonts w:ascii="宋体" w:hAnsi="宋体" w:cs="宋体" w:eastAsia="宋体" w:hint="default"/>
                            <w:sz w:val="18"/>
                            <w:szCs w:val="18"/>
                          </w:rPr>
                        </w:pPr>
                        <w:r>
                          <w:rPr>
                            <w:rFonts w:ascii="宋体" w:hAnsi="宋体" w:cs="宋体" w:eastAsia="宋体" w:hint="default"/>
                            <w:sz w:val="18"/>
                            <w:szCs w:val="18"/>
                          </w:rPr>
                          <w:t>上海玄霆娱乐信息 科技有限公司（简 称</w:t>
                        </w:r>
                        <w:r>
                          <w:rPr>
                            <w:rFonts w:ascii="Times New Roman" w:hAnsi="Times New Roman" w:cs="Times New Roman" w:eastAsia="Times New Roman" w:hint="default"/>
                            <w:sz w:val="18"/>
                            <w:szCs w:val="18"/>
                          </w:rPr>
                          <w:t>“</w:t>
                        </w:r>
                        <w:r>
                          <w:rPr>
                            <w:rFonts w:ascii="宋体" w:hAnsi="宋体" w:cs="宋体" w:eastAsia="宋体" w:hint="default"/>
                            <w:sz w:val="18"/>
                            <w:szCs w:val="18"/>
                          </w:rPr>
                          <w:t>上海玄霆</w:t>
                        </w:r>
                        <w:r>
                          <w:rPr>
                            <w:rFonts w:ascii="Times New Roman" w:hAnsi="Times New Roman" w:cs="Times New Roman" w:eastAsia="Times New Roman" w:hint="default"/>
                            <w:sz w:val="18"/>
                            <w:szCs w:val="18"/>
                          </w:rPr>
                          <w:t>”</w:t>
                        </w:r>
                        <w:r>
                          <w:rPr>
                            <w:rFonts w:ascii="宋体" w:hAnsi="宋体" w:cs="宋体" w:eastAsia="宋体" w:hint="default"/>
                            <w:sz w:val="18"/>
                            <w:szCs w:val="18"/>
                          </w:rPr>
                          <w:t>）诉 四三九九网络股份 有限公司、吉乾科 技著作权纠纷</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509</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19"/>
                          <w:jc w:val="left"/>
                          <w:rPr>
                            <w:rFonts w:ascii="宋体" w:hAnsi="宋体" w:cs="宋体" w:eastAsia="宋体" w:hint="default"/>
                            <w:sz w:val="18"/>
                            <w:szCs w:val="18"/>
                          </w:rPr>
                        </w:pPr>
                        <w:r>
                          <w:rPr>
                            <w:rFonts w:ascii="宋体" w:hAnsi="宋体" w:cs="宋体" w:eastAsia="宋体" w:hint="default"/>
                            <w:sz w:val="18"/>
                            <w:szCs w:val="18"/>
                          </w:rPr>
                          <w:t>一审判 </w:t>
                        </w:r>
                        <w:r>
                          <w:rPr>
                            <w:rFonts w:ascii="宋体" w:hAnsi="宋体" w:cs="宋体" w:eastAsia="宋体" w:hint="default"/>
                            <w:spacing w:val="-23"/>
                            <w:sz w:val="18"/>
                            <w:szCs w:val="18"/>
                          </w:rPr>
                          <w:t>决；已经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3"/>
                            <w:sz w:val="18"/>
                            <w:szCs w:val="18"/>
                          </w:rPr>
                          <w:t>上诉，尚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未收到 受理通 知书</w:t>
                        </w:r>
                      </w:p>
                    </w:tc>
                    <w:tc>
                      <w:tcPr>
                        <w:tcW w:w="2427" w:type="dxa"/>
                        <w:tcBorders>
                          <w:top w:val="single" w:sz="4" w:space="0" w:color="000000"/>
                          <w:left w:val="single" w:sz="4" w:space="0" w:color="000000"/>
                          <w:bottom w:val="single" w:sz="4" w:space="0" w:color="000000"/>
                          <w:right w:val="single" w:sz="13" w:space="0" w:color="FFFFFF"/>
                        </w:tcBorders>
                      </w:tcPr>
                      <w:p>
                        <w:pPr>
                          <w:pStyle w:val="TableParagraph"/>
                          <w:spacing w:line="314" w:lineRule="auto" w:before="49"/>
                          <w:ind w:left="24" w:right="-46"/>
                          <w:jc w:val="both"/>
                          <w:rPr>
                            <w:rFonts w:ascii="宋体" w:hAnsi="宋体" w:cs="宋体" w:eastAsia="宋体" w:hint="default"/>
                            <w:sz w:val="18"/>
                            <w:szCs w:val="18"/>
                          </w:rPr>
                        </w:pPr>
                        <w:r>
                          <w:rPr>
                            <w:rFonts w:ascii="宋体" w:hAnsi="宋体" w:cs="宋体" w:eastAsia="宋体" w:hint="default"/>
                            <w:sz w:val="18"/>
                            <w:szCs w:val="18"/>
                          </w:rPr>
                          <w:t>一审判决吉乾科技于判决生效 之日起二十日内赔偿上海玄霆 经济损失及合理开支共计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万元，驳回上海玄霆其他诉讼 </w:t>
                        </w:r>
                        <w:r>
                          <w:rPr>
                            <w:rFonts w:ascii="宋体" w:hAnsi="宋体" w:cs="宋体" w:eastAsia="宋体" w:hint="default"/>
                            <w:spacing w:val="-8"/>
                            <w:sz w:val="18"/>
                            <w:szCs w:val="18"/>
                          </w:rPr>
                          <w:t>请求；案件受理费 </w:t>
                        </w:r>
                        <w:r>
                          <w:rPr>
                            <w:rFonts w:ascii="Times New Roman" w:hAnsi="Times New Roman" w:cs="Times New Roman" w:eastAsia="Times New Roman" w:hint="default"/>
                            <w:sz w:val="18"/>
                            <w:szCs w:val="18"/>
                          </w:rPr>
                          <w:t>142,063</w:t>
                        </w:r>
                        <w:r>
                          <w:rPr>
                            <w:rFonts w:ascii="Times New Roman" w:hAnsi="Times New Roman" w:cs="Times New Roman" w:eastAsia="Times New Roman" w:hint="default"/>
                            <w:spacing w:val="11"/>
                            <w:sz w:val="18"/>
                            <w:szCs w:val="18"/>
                          </w:rPr>
                          <w:t> </w:t>
                        </w:r>
                        <w:r>
                          <w:rPr>
                            <w:rFonts w:ascii="宋体" w:hAnsi="宋体" w:cs="宋体" w:eastAsia="宋体" w:hint="default"/>
                            <w:spacing w:val="-18"/>
                            <w:sz w:val="18"/>
                            <w:szCs w:val="18"/>
                          </w:rPr>
                          <w:t>元，</w:t>
                        </w:r>
                        <w:r>
                          <w:rPr>
                            <w:rFonts w:ascii="宋体" w:hAnsi="宋体" w:cs="宋体" w:eastAsia="宋体" w:hint="default"/>
                            <w:sz w:val="18"/>
                            <w:szCs w:val="18"/>
                          </w:rPr>
                        </w:r>
                      </w:p>
                      <w:p>
                        <w:pPr>
                          <w:pStyle w:val="TableParagraph"/>
                          <w:spacing w:line="240" w:lineRule="auto" w:before="1"/>
                          <w:ind w:left="24" w:right="0"/>
                          <w:jc w:val="both"/>
                          <w:rPr>
                            <w:rFonts w:ascii="宋体" w:hAnsi="宋体" w:cs="宋体" w:eastAsia="宋体" w:hint="default"/>
                            <w:sz w:val="18"/>
                            <w:szCs w:val="18"/>
                          </w:rPr>
                        </w:pPr>
                        <w:r>
                          <w:rPr>
                            <w:rFonts w:ascii="宋体" w:hAnsi="宋体" w:cs="宋体" w:eastAsia="宋体" w:hint="default"/>
                            <w:sz w:val="18"/>
                            <w:szCs w:val="18"/>
                          </w:rPr>
                          <w:t>由上海玄霆负担</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52,063</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元，吉</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乾科技负担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99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12" w:right="60"/>
                          <w:jc w:val="both"/>
                          <w:rPr>
                            <w:rFonts w:ascii="宋体" w:hAnsi="宋体" w:cs="宋体" w:eastAsia="宋体" w:hint="default"/>
                            <w:sz w:val="18"/>
                            <w:szCs w:val="18"/>
                          </w:rPr>
                        </w:pPr>
                        <w:r>
                          <w:rPr>
                            <w:rFonts w:ascii="宋体" w:hAnsi="宋体" w:cs="宋体" w:eastAsia="宋体" w:hint="default"/>
                            <w:sz w:val="18"/>
                            <w:szCs w:val="18"/>
                          </w:rPr>
                          <w:t>吉乾科技已 向法院提起 上诉，尚未 收到受理通 知书</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5">
                          <w:r>
                            <w:rPr>
                              <w:rFonts w:ascii="Times New Roman" w:hAnsi="Times New Roman" w:cs="Times New Roman" w:eastAsia="Times New Roman" w:hint="default"/>
                              <w:sz w:val="18"/>
                              <w:szCs w:val="18"/>
                            </w:rPr>
                            <w:t>www.cninfo.com.cn</w:t>
                          </w:r>
                        </w:hyperlink>
                      </w:p>
                      <w:p>
                        <w:pPr>
                          <w:pStyle w:val="TableParagraph"/>
                          <w:spacing w:line="319" w:lineRule="auto" w:before="63"/>
                          <w:ind w:left="24" w:right="125"/>
                          <w:jc w:val="left"/>
                          <w:rPr>
                            <w:rFonts w:ascii="宋体" w:hAnsi="宋体" w:cs="宋体" w:eastAsia="宋体" w:hint="default"/>
                            <w:sz w:val="18"/>
                            <w:szCs w:val="18"/>
                          </w:rPr>
                        </w:pPr>
                        <w:r>
                          <w:rPr>
                            <w:rFonts w:ascii="宋体" w:hAnsi="宋体" w:cs="宋体" w:eastAsia="宋体" w:hint="default"/>
                            <w:sz w:val="18"/>
                            <w:szCs w:val="18"/>
                          </w:rPr>
                          <w:t>《关于控股孙公司诉 讼事项的进展情况》</w:t>
                        </w:r>
                      </w:p>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2018-006</w:t>
                        </w:r>
                        <w:r>
                          <w:rPr>
                            <w:rFonts w:ascii="宋体" w:hAnsi="宋体" w:cs="宋体" w:eastAsia="宋体" w:hint="default"/>
                            <w:sz w:val="18"/>
                            <w:szCs w:val="18"/>
                          </w:rPr>
                          <w:t>）</w:t>
                        </w:r>
                      </w:p>
                    </w:tc>
                  </w:tr>
                  <w:tr>
                    <w:trPr>
                      <w:trHeight w:val="355" w:hRule="exact"/>
                    </w:trPr>
                    <w:tc>
                      <w:tcPr>
                        <w:tcW w:w="15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上海玄霆诉四三九</w:t>
                        </w:r>
                      </w:p>
                    </w:tc>
                    <w:tc>
                      <w:tcPr>
                        <w:tcW w:w="701" w:type="dxa"/>
                        <w:tcBorders>
                          <w:top w:val="single" w:sz="4" w:space="0" w:color="000000"/>
                          <w:left w:val="single" w:sz="4" w:space="0" w:color="000000"/>
                          <w:bottom w:val="nil" w:sz="6" w:space="0" w:color="auto"/>
                          <w:right w:val="single" w:sz="4" w:space="0" w:color="000000"/>
                        </w:tcBorders>
                      </w:tcPr>
                      <w:p>
                        <w:pPr/>
                      </w:p>
                    </w:tc>
                    <w:tc>
                      <w:tcPr>
                        <w:tcW w:w="469"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2427" w:type="dxa"/>
                        <w:tcBorders>
                          <w:top w:val="single" w:sz="4" w:space="0" w:color="000000"/>
                          <w:left w:val="single" w:sz="4" w:space="0" w:color="000000"/>
                          <w:bottom w:val="nil" w:sz="6" w:space="0" w:color="auto"/>
                          <w:right w:val="single" w:sz="4" w:space="0" w:color="000000"/>
                        </w:tcBorders>
                      </w:tcPr>
                      <w:p>
                        <w:pPr/>
                      </w:p>
                    </w:tc>
                    <w:tc>
                      <w:tcPr>
                        <w:tcW w:w="996" w:type="dxa"/>
                        <w:tcBorders>
                          <w:top w:val="single" w:sz="4" w:space="0" w:color="000000"/>
                          <w:left w:val="single" w:sz="4" w:space="0" w:color="000000"/>
                          <w:bottom w:val="nil" w:sz="6" w:space="0" w:color="auto"/>
                          <w:right w:val="single" w:sz="4" w:space="0" w:color="000000"/>
                        </w:tcBorders>
                      </w:tcPr>
                      <w:p>
                        <w:pPr/>
                      </w:p>
                    </w:tc>
                    <w:tc>
                      <w:tcPr>
                        <w:tcW w:w="1083" w:type="dxa"/>
                        <w:tcBorders>
                          <w:top w:val="single" w:sz="4" w:space="0" w:color="000000"/>
                          <w:left w:val="single" w:sz="4" w:space="0" w:color="000000"/>
                          <w:bottom w:val="nil" w:sz="6" w:space="0" w:color="auto"/>
                          <w:right w:val="single" w:sz="4" w:space="0" w:color="000000"/>
                        </w:tcBorders>
                      </w:tcPr>
                      <w:p>
                        <w:pPr/>
                      </w:p>
                    </w:tc>
                    <w:tc>
                      <w:tcPr>
                        <w:tcW w:w="1781"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九、完美世界（北</w:t>
                        </w:r>
                      </w:p>
                    </w:tc>
                    <w:tc>
                      <w:tcPr>
                        <w:tcW w:w="701" w:type="dxa"/>
                        <w:tcBorders>
                          <w:top w:val="nil" w:sz="6" w:space="0" w:color="auto"/>
                          <w:left w:val="single" w:sz="4" w:space="0" w:color="000000"/>
                          <w:bottom w:val="nil" w:sz="6" w:space="0" w:color="auto"/>
                          <w:right w:val="single" w:sz="4" w:space="0" w:color="000000"/>
                        </w:tcBorders>
                      </w:tcPr>
                      <w:p>
                        <w:pPr/>
                      </w:p>
                    </w:tc>
                    <w:tc>
                      <w:tcPr>
                        <w:tcW w:w="469"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2427" w:type="dxa"/>
                        <w:tcBorders>
                          <w:top w:val="nil" w:sz="6" w:space="0" w:color="auto"/>
                          <w:left w:val="single" w:sz="4" w:space="0" w:color="000000"/>
                          <w:bottom w:val="nil" w:sz="6" w:space="0" w:color="auto"/>
                          <w:right w:val="single" w:sz="4" w:space="0" w:color="000000"/>
                        </w:tcBorders>
                      </w:tcPr>
                      <w:p>
                        <w:pPr/>
                      </w:p>
                    </w:tc>
                    <w:tc>
                      <w:tcPr>
                        <w:tcW w:w="996" w:type="dxa"/>
                        <w:tcBorders>
                          <w:top w:val="nil" w:sz="6" w:space="0" w:color="auto"/>
                          <w:left w:val="single" w:sz="4" w:space="0" w:color="000000"/>
                          <w:bottom w:val="nil" w:sz="6" w:space="0" w:color="auto"/>
                          <w:right w:val="single" w:sz="4" w:space="0" w:color="000000"/>
                        </w:tcBorders>
                      </w:tcPr>
                      <w:p>
                        <w:pPr/>
                      </w:p>
                    </w:tc>
                    <w:tc>
                      <w:tcPr>
                        <w:tcW w:w="1083" w:type="dxa"/>
                        <w:tcBorders>
                          <w:top w:val="nil" w:sz="6" w:space="0" w:color="auto"/>
                          <w:left w:val="single" w:sz="4" w:space="0" w:color="000000"/>
                          <w:bottom w:val="nil" w:sz="6" w:space="0" w:color="auto"/>
                          <w:right w:val="single" w:sz="4" w:space="0" w:color="000000"/>
                        </w:tcBorders>
                      </w:tcPr>
                      <w:p>
                        <w:pPr/>
                      </w:p>
                    </w:tc>
                    <w:tc>
                      <w:tcPr>
                        <w:tcW w:w="17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936" w:hRule="exact"/>
                    </w:trPr>
                    <w:tc>
                      <w:tcPr>
                        <w:tcW w:w="155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9"/>
                          <w:jc w:val="left"/>
                          <w:rPr>
                            <w:rFonts w:ascii="宋体" w:hAnsi="宋体" w:cs="宋体" w:eastAsia="宋体" w:hint="default"/>
                            <w:sz w:val="18"/>
                            <w:szCs w:val="18"/>
                          </w:rPr>
                        </w:pPr>
                        <w:r>
                          <w:rPr>
                            <w:rFonts w:ascii="宋体" w:hAnsi="宋体" w:cs="宋体" w:eastAsia="宋体" w:hint="default"/>
                            <w:sz w:val="18"/>
                            <w:szCs w:val="18"/>
                          </w:rPr>
                          <w:t>京）数字科技有限 </w:t>
                        </w:r>
                        <w:r>
                          <w:rPr>
                            <w:rFonts w:ascii="宋体" w:hAnsi="宋体" w:cs="宋体" w:eastAsia="宋体" w:hint="default"/>
                            <w:spacing w:val="-14"/>
                            <w:sz w:val="18"/>
                            <w:szCs w:val="18"/>
                          </w:rPr>
                          <w:t>公司、完美世界（重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庆）互动科技有限</w:t>
                        </w:r>
                      </w:p>
                    </w:tc>
                    <w:tc>
                      <w:tcPr>
                        <w:tcW w:w="70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2,005.1</w:t>
                        </w:r>
                      </w:p>
                    </w:tc>
                    <w:tc>
                      <w:tcPr>
                        <w:tcW w:w="46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3" w:right="110"/>
                          <w:jc w:val="left"/>
                          <w:rPr>
                            <w:rFonts w:ascii="宋体" w:hAnsi="宋体" w:cs="宋体" w:eastAsia="宋体" w:hint="default"/>
                            <w:sz w:val="18"/>
                            <w:szCs w:val="18"/>
                          </w:rPr>
                        </w:pPr>
                        <w:r>
                          <w:rPr>
                            <w:rFonts w:ascii="宋体" w:hAnsi="宋体" w:cs="宋体" w:eastAsia="宋体" w:hint="default"/>
                            <w:sz w:val="18"/>
                            <w:szCs w:val="18"/>
                          </w:rPr>
                          <w:t>正在审 理</w:t>
                        </w:r>
                      </w:p>
                    </w:tc>
                    <w:tc>
                      <w:tcPr>
                        <w:tcW w:w="242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正在审理</w:t>
                        </w:r>
                      </w:p>
                    </w:tc>
                    <w:tc>
                      <w:tcPr>
                        <w:tcW w:w="99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8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7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w:t>
                        </w:r>
                        <w:hyperlink r:id="rId25">
                          <w:r>
                            <w:rPr>
                              <w:rFonts w:ascii="Times New Roman" w:hAnsi="Times New Roman" w:cs="Times New Roman" w:eastAsia="Times New Roman" w:hint="default"/>
                              <w:sz w:val="18"/>
                              <w:szCs w:val="18"/>
                            </w:rPr>
                            <w:t>www.cninfo.com</w:t>
                          </w:r>
                        </w:hyperlink>
                        <w:r>
                          <w:rPr>
                            <w:rFonts w:ascii="宋体" w:hAnsi="宋体" w:cs="宋体" w:eastAsia="宋体" w:hint="default"/>
                            <w:sz w:val="18"/>
                            <w:szCs w:val="18"/>
                          </w:rPr>
                          <w:t>）</w:t>
                        </w:r>
                      </w:p>
                      <w:p>
                        <w:pPr>
                          <w:pStyle w:val="TableParagraph"/>
                          <w:spacing w:line="316" w:lineRule="auto" w:before="63"/>
                          <w:ind w:left="24" w:right="125"/>
                          <w:jc w:val="left"/>
                          <w:rPr>
                            <w:rFonts w:ascii="宋体" w:hAnsi="宋体" w:cs="宋体" w:eastAsia="宋体" w:hint="default"/>
                            <w:sz w:val="18"/>
                            <w:szCs w:val="18"/>
                          </w:rPr>
                        </w:pPr>
                        <w:r>
                          <w:rPr>
                            <w:rFonts w:ascii="宋体" w:hAnsi="宋体" w:cs="宋体" w:eastAsia="宋体" w:hint="default"/>
                            <w:sz w:val="18"/>
                            <w:szCs w:val="18"/>
                          </w:rPr>
                          <w:t>《重大资产购买暨关 联交易报告书（草案</w:t>
                        </w:r>
                      </w:p>
                    </w:tc>
                  </w:tr>
                  <w:tr>
                    <w:trPr>
                      <w:trHeight w:val="312" w:hRule="exact"/>
                    </w:trPr>
                    <w:tc>
                      <w:tcPr>
                        <w:tcW w:w="15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公司、哆可梦著作</w:t>
                        </w:r>
                      </w:p>
                    </w:tc>
                    <w:tc>
                      <w:tcPr>
                        <w:tcW w:w="701" w:type="dxa"/>
                        <w:tcBorders>
                          <w:top w:val="nil" w:sz="6" w:space="0" w:color="auto"/>
                          <w:left w:val="single" w:sz="4" w:space="0" w:color="000000"/>
                          <w:bottom w:val="nil" w:sz="6" w:space="0" w:color="auto"/>
                          <w:right w:val="single" w:sz="4" w:space="0" w:color="000000"/>
                        </w:tcBorders>
                      </w:tcPr>
                      <w:p>
                        <w:pPr/>
                      </w:p>
                    </w:tc>
                    <w:tc>
                      <w:tcPr>
                        <w:tcW w:w="469"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2427" w:type="dxa"/>
                        <w:tcBorders>
                          <w:top w:val="nil" w:sz="6" w:space="0" w:color="auto"/>
                          <w:left w:val="single" w:sz="4" w:space="0" w:color="000000"/>
                          <w:bottom w:val="nil" w:sz="6" w:space="0" w:color="auto"/>
                          <w:right w:val="single" w:sz="4" w:space="0" w:color="000000"/>
                        </w:tcBorders>
                      </w:tcPr>
                      <w:p>
                        <w:pPr/>
                      </w:p>
                    </w:tc>
                    <w:tc>
                      <w:tcPr>
                        <w:tcW w:w="996" w:type="dxa"/>
                        <w:tcBorders>
                          <w:top w:val="nil" w:sz="6" w:space="0" w:color="auto"/>
                          <w:left w:val="single" w:sz="4" w:space="0" w:color="000000"/>
                          <w:bottom w:val="nil" w:sz="6" w:space="0" w:color="auto"/>
                          <w:right w:val="single" w:sz="4" w:space="0" w:color="000000"/>
                        </w:tcBorders>
                      </w:tcPr>
                      <w:p>
                        <w:pPr/>
                      </w:p>
                    </w:tc>
                    <w:tc>
                      <w:tcPr>
                        <w:tcW w:w="1083" w:type="dxa"/>
                        <w:tcBorders>
                          <w:top w:val="nil" w:sz="6" w:space="0" w:color="auto"/>
                          <w:left w:val="single" w:sz="4" w:space="0" w:color="000000"/>
                          <w:bottom w:val="nil" w:sz="6" w:space="0" w:color="auto"/>
                          <w:right w:val="single" w:sz="4" w:space="0" w:color="000000"/>
                        </w:tcBorders>
                      </w:tcPr>
                      <w:p>
                        <w:pPr/>
                      </w:p>
                    </w:tc>
                    <w:tc>
                      <w:tcPr>
                        <w:tcW w:w="17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（二次修订稿</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360" w:hRule="exact"/>
                    </w:trPr>
                    <w:tc>
                      <w:tcPr>
                        <w:tcW w:w="15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权纠纷案</w:t>
                        </w:r>
                      </w:p>
                    </w:tc>
                    <w:tc>
                      <w:tcPr>
                        <w:tcW w:w="701" w:type="dxa"/>
                        <w:tcBorders>
                          <w:top w:val="nil" w:sz="6" w:space="0" w:color="auto"/>
                          <w:left w:val="single" w:sz="4" w:space="0" w:color="000000"/>
                          <w:bottom w:val="single" w:sz="4" w:space="0" w:color="000000"/>
                          <w:right w:val="single" w:sz="4" w:space="0" w:color="000000"/>
                        </w:tcBorders>
                      </w:tcPr>
                      <w:p>
                        <w:pPr/>
                      </w:p>
                    </w:tc>
                    <w:tc>
                      <w:tcPr>
                        <w:tcW w:w="469"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2427" w:type="dxa"/>
                        <w:tcBorders>
                          <w:top w:val="nil" w:sz="6" w:space="0" w:color="auto"/>
                          <w:left w:val="single" w:sz="4" w:space="0" w:color="000000"/>
                          <w:bottom w:val="single" w:sz="4" w:space="0" w:color="000000"/>
                          <w:right w:val="single" w:sz="4" w:space="0" w:color="000000"/>
                        </w:tcBorders>
                      </w:tcPr>
                      <w:p>
                        <w:pPr/>
                      </w:p>
                    </w:tc>
                    <w:tc>
                      <w:tcPr>
                        <w:tcW w:w="996" w:type="dxa"/>
                        <w:tcBorders>
                          <w:top w:val="nil" w:sz="6" w:space="0" w:color="auto"/>
                          <w:left w:val="single" w:sz="4" w:space="0" w:color="000000"/>
                          <w:bottom w:val="single" w:sz="4" w:space="0" w:color="000000"/>
                          <w:right w:val="single" w:sz="4" w:space="0" w:color="000000"/>
                        </w:tcBorders>
                      </w:tcPr>
                      <w:p>
                        <w:pPr/>
                      </w:p>
                    </w:tc>
                    <w:tc>
                      <w:tcPr>
                        <w:tcW w:w="1083" w:type="dxa"/>
                        <w:tcBorders>
                          <w:top w:val="nil" w:sz="6" w:space="0" w:color="auto"/>
                          <w:left w:val="single" w:sz="4" w:space="0" w:color="000000"/>
                          <w:bottom w:val="single" w:sz="4" w:space="0" w:color="000000"/>
                          <w:right w:val="single" w:sz="4" w:space="0" w:color="000000"/>
                        </w:tcBorders>
                      </w:tcPr>
                      <w:p>
                        <w:pPr/>
                      </w:p>
                    </w:tc>
                    <w:tc>
                      <w:tcPr>
                        <w:tcW w:w="1781" w:type="dxa"/>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spacing w:line="312" w:lineRule="exact"/>
        <w:ind w:left="5991"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7.05pt;height:15.6pt;mso-position-horizontal-relative:char;mso-position-vertical-relative:line" coordorigin="0,0" coordsize="941,312">
            <v:group style="position:absolute;left:0;top:0;width:941;height:312" coordorigin="0,0" coordsize="941,312">
              <v:shape style="position:absolute;left:0;top:0;width:941;height:312" coordorigin="0,0" coordsize="941,312" path="m0,312l941,312,941,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BodyText"/>
        <w:spacing w:line="240" w:lineRule="auto" w:before="44"/>
        <w:ind w:left="0" w:right="114"/>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before="44"/>
        <w:ind w:right="94"/>
        <w:jc w:val="left"/>
      </w:pPr>
      <w:r>
        <w:rPr/>
        <w:t>说明：</w:t>
      </w:r>
      <w:r>
        <w:rPr>
          <w:rFonts w:ascii="Times New Roman" w:hAnsi="Times New Roman" w:cs="Times New Roman" w:eastAsia="Times New Roman" w:hint="default"/>
        </w:rPr>
        <w:t>1</w:t>
      </w:r>
      <w:r>
        <w:rPr/>
        <w:t>、公司诉福建阳谷智能技术有限公司买卖合同纠纷案，经调解，对方同意支付公司</w:t>
      </w:r>
      <w:r>
        <w:rPr>
          <w:spacing w:val="-45"/>
        </w:rPr>
        <w:t> </w:t>
      </w:r>
      <w:r>
        <w:rPr>
          <w:rFonts w:ascii="Times New Roman" w:hAnsi="Times New Roman" w:cs="Times New Roman" w:eastAsia="Times New Roman" w:hint="default"/>
        </w:rPr>
        <w:t>526,580</w:t>
      </w:r>
      <w:r>
        <w:rPr>
          <w:rFonts w:ascii="Times New Roman" w:hAnsi="Times New Roman" w:cs="Times New Roman" w:eastAsia="Times New Roman" w:hint="default"/>
          <w:spacing w:val="3"/>
        </w:rPr>
        <w:t> </w:t>
      </w:r>
      <w:r>
        <w:rPr/>
        <w:t>元款项，现已结案。</w:t>
      </w:r>
    </w:p>
    <w:p>
      <w:pPr>
        <w:pStyle w:val="BodyText"/>
        <w:spacing w:line="240" w:lineRule="auto" w:before="101"/>
        <w:ind w:right="94"/>
        <w:jc w:val="left"/>
      </w:pPr>
      <w:r>
        <w:rPr>
          <w:rFonts w:ascii="Times New Roman" w:hAnsi="Times New Roman" w:cs="Times New Roman" w:eastAsia="Times New Roman" w:hint="default"/>
        </w:rPr>
        <w:t>2</w:t>
      </w:r>
      <w:r>
        <w:rPr/>
        <w:t>、山西晋通电建工程有限公司介休分公司诉公司买卖合同纠纷案，对方已经撤诉。</w:t>
      </w:r>
    </w:p>
    <w:p>
      <w:pPr>
        <w:pStyle w:val="BodyText"/>
        <w:spacing w:line="240" w:lineRule="auto" w:before="103"/>
        <w:ind w:right="94"/>
        <w:jc w:val="left"/>
      </w:pPr>
      <w:r>
        <w:rPr>
          <w:rFonts w:ascii="Times New Roman" w:hAnsi="Times New Roman" w:cs="Times New Roman" w:eastAsia="Times New Roman" w:hint="default"/>
        </w:rPr>
        <w:t>3</w:t>
      </w:r>
      <w:r>
        <w:rPr/>
        <w:t>、焦作光源电气股份有限公司诉公司买卖合同纠纷案，经调解，公司偿付对方</w:t>
      </w:r>
      <w:r>
        <w:rPr>
          <w:spacing w:val="-45"/>
        </w:rPr>
        <w:t> </w:t>
      </w:r>
      <w:r>
        <w:rPr>
          <w:rFonts w:ascii="Times New Roman" w:hAnsi="Times New Roman" w:cs="Times New Roman" w:eastAsia="Times New Roman" w:hint="default"/>
        </w:rPr>
        <w:t>22.68 </w:t>
      </w:r>
      <w:r>
        <w:rPr/>
        <w:t>万元，现已结案。</w:t>
      </w:r>
    </w:p>
    <w:p>
      <w:pPr>
        <w:spacing w:line="240" w:lineRule="auto" w:before="3"/>
        <w:rPr>
          <w:rFonts w:ascii="宋体" w:hAnsi="宋体" w:cs="宋体" w:eastAsia="宋体" w:hint="default"/>
          <w:sz w:val="24"/>
          <w:szCs w:val="24"/>
        </w:rPr>
      </w:pPr>
    </w:p>
    <w:p>
      <w:pPr>
        <w:pStyle w:val="Heading2"/>
        <w:spacing w:line="240" w:lineRule="auto"/>
        <w:ind w:right="94"/>
        <w:jc w:val="left"/>
        <w:rPr>
          <w:b w:val="0"/>
          <w:bCs w:val="0"/>
        </w:rPr>
      </w:pPr>
      <w:r>
        <w:rPr/>
        <w:t>十三、处罚及整改情况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9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7"/>
        <w:rPr>
          <w:rFonts w:ascii="宋体" w:hAnsi="宋体" w:cs="宋体" w:eastAsia="宋体" w:hint="default"/>
          <w:sz w:val="19"/>
          <w:szCs w:val="19"/>
        </w:rPr>
      </w:pPr>
    </w:p>
    <w:p>
      <w:pPr>
        <w:pStyle w:val="Heading2"/>
        <w:spacing w:line="240" w:lineRule="auto"/>
        <w:ind w:right="94"/>
        <w:jc w:val="left"/>
        <w:rPr>
          <w:b w:val="0"/>
          <w:bCs w:val="0"/>
        </w:rPr>
      </w:pP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11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公司、公司控股股东、公司实际控制人不存在未履行法院生效判决、所负数额较大的债务到期未清偿等情况。</w:t>
      </w:r>
    </w:p>
    <w:p>
      <w:pPr>
        <w:spacing w:line="240" w:lineRule="auto" w:before="8"/>
        <w:rPr>
          <w:rFonts w:ascii="宋体" w:hAnsi="宋体" w:cs="宋体" w:eastAsia="宋体" w:hint="default"/>
          <w:sz w:val="19"/>
          <w:szCs w:val="19"/>
        </w:rPr>
      </w:pPr>
    </w:p>
    <w:p>
      <w:pPr>
        <w:pStyle w:val="Heading2"/>
        <w:spacing w:line="240" w:lineRule="auto"/>
        <w:ind w:right="94"/>
        <w:jc w:val="left"/>
        <w:rPr>
          <w:b w:val="0"/>
          <w:bCs w:val="0"/>
        </w:rPr>
      </w:pPr>
      <w:r>
        <w:rPr/>
        <w:t>十五、公司股权激励计划、员工持股计划或其他员工激励措施的实施情况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Heading4"/>
        <w:spacing w:line="240" w:lineRule="auto" w:before="101"/>
        <w:ind w:right="94"/>
        <w:jc w:val="left"/>
        <w:rPr>
          <w:b w:val="0"/>
          <w:bCs w:val="0"/>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年第一期股权激励计划实施情况</w:t>
      </w:r>
      <w:r>
        <w:rPr>
          <w:b w:val="0"/>
          <w:bCs w:val="0"/>
        </w:rPr>
      </w:r>
    </w:p>
    <w:p>
      <w:pPr>
        <w:pStyle w:val="BodyText"/>
        <w:spacing w:line="300" w:lineRule="auto" w:before="63"/>
        <w:ind w:right="184"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5</w:t>
      </w:r>
      <w:r>
        <w:rPr/>
        <w:t>日公司第五届董事会第十七次会议和第五届监事会第七次会议、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日公司</w:t>
      </w:r>
      <w:r>
        <w:rPr>
          <w:rFonts w:ascii="Times New Roman" w:hAnsi="Times New Roman" w:cs="Times New Roman" w:eastAsia="Times New Roman" w:hint="default"/>
        </w:rPr>
        <w:t>2015</w:t>
      </w:r>
      <w:r>
        <w:rPr/>
        <w:t>年第五次临时股东 大会审议通过了</w:t>
      </w:r>
      <w:r>
        <w:rPr>
          <w:rFonts w:ascii="Times New Roman" w:hAnsi="Times New Roman" w:cs="Times New Roman" w:eastAsia="Times New Roman" w:hint="default"/>
        </w:rPr>
        <w:t>2015</w:t>
      </w:r>
      <w:r>
        <w:rPr/>
        <w:t>年第一期股权激励计划。</w:t>
      </w:r>
    </w:p>
    <w:p>
      <w:pPr>
        <w:pStyle w:val="BodyText"/>
        <w:spacing w:line="300" w:lineRule="auto" w:before="13"/>
        <w:ind w:right="178" w:firstLine="360"/>
        <w:jc w:val="left"/>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5</w:t>
      </w:r>
      <w:r>
        <w:rPr>
          <w:spacing w:val="-1"/>
        </w:rPr>
        <w:t>年</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2</w:t>
      </w:r>
      <w:r>
        <w:rPr/>
        <w:t>月</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8</w:t>
      </w:r>
      <w:r>
        <w:rPr/>
        <w:t>日公司第五届</w:t>
      </w:r>
      <w:r>
        <w:rPr>
          <w:spacing w:val="-3"/>
        </w:rPr>
        <w:t>董</w:t>
      </w:r>
      <w:r>
        <w:rPr/>
        <w:t>事会第二十二次会议</w:t>
      </w:r>
      <w:r>
        <w:rPr>
          <w:spacing w:val="-82"/>
        </w:rPr>
        <w:t>、</w:t>
      </w:r>
      <w:r>
        <w:rPr/>
        <w:t>第五届监事会第十一次会议审议通过了关于调</w:t>
      </w:r>
      <w:r>
        <w:rPr>
          <w:spacing w:val="1"/>
        </w:rPr>
        <w:t>整</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5</w:t>
      </w:r>
      <w:r>
        <w:rPr/>
        <w:t>年第一期股权 激励计划首次授予激励对象名单及授予数量的议案</w:t>
      </w:r>
      <w:r>
        <w:rPr>
          <w:spacing w:val="-82"/>
        </w:rPr>
        <w:t>、</w:t>
      </w:r>
      <w:r>
        <w:rPr/>
        <w:t>关于向</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15</w:t>
      </w:r>
      <w:r>
        <w:rPr/>
        <w:t>年第一期股权激励计划激</w:t>
      </w:r>
      <w:r>
        <w:rPr>
          <w:spacing w:val="-3"/>
        </w:rPr>
        <w:t>励</w:t>
      </w:r>
      <w:r>
        <w:rPr/>
        <w:t>对象首次授予限制性股票与股票</w:t>
      </w:r>
    </w:p>
    <w:p>
      <w:pPr>
        <w:spacing w:after="0" w:line="300"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300" w:lineRule="auto" w:before="44"/>
        <w:ind w:right="146"/>
        <w:jc w:val="both"/>
      </w:pPr>
      <w:r>
        <w:rPr>
          <w:spacing w:val="-2"/>
        </w:rPr>
        <w:t>期权的议案，因激励对象资金及个人原因，公司对首次授予激励对象、授予数量进行了调整，并确定授予日为</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28</w:t>
      </w:r>
      <w:r>
        <w:rPr>
          <w:rFonts w:ascii="Times New Roman" w:hAnsi="Times New Roman" w:cs="Times New Roman" w:eastAsia="Times New Roman" w:hint="default"/>
          <w:spacing w:val="-13"/>
        </w:rPr>
        <w:t> </w:t>
      </w:r>
      <w:r>
        <w:rPr>
          <w:spacing w:val="-3"/>
        </w:rPr>
        <w:t>日，独立董事就相关事项发表了同意的独立意见，相应的授予登记工作已于</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13</w:t>
      </w:r>
      <w:r>
        <w:rPr>
          <w:spacing w:val="-3"/>
        </w:rPr>
        <w:t>日完成，授予的限制性股票已于</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36"/>
        </w:rPr>
        <w:t>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日上市。</w:t>
      </w:r>
    </w:p>
    <w:p>
      <w:pPr>
        <w:pStyle w:val="BodyText"/>
        <w:spacing w:line="300" w:lineRule="auto" w:before="13"/>
        <w:ind w:right="148" w:firstLine="36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日公司第五届董事会第二十九次会议、第五届监事会第十七次会议审议通过了关于向激励对象授予</w:t>
      </w:r>
      <w:r>
        <w:rPr>
          <w:rFonts w:ascii="Times New Roman" w:hAnsi="Times New Roman" w:cs="Times New Roman" w:eastAsia="Times New Roman" w:hint="default"/>
        </w:rPr>
        <w:t>2015</w:t>
      </w:r>
      <w:r>
        <w:rPr/>
        <w:t>年 </w:t>
      </w:r>
      <w:r>
        <w:rPr>
          <w:spacing w:val="-2"/>
        </w:rPr>
        <w:t>第一期股权激励计划预留股份的议案，公司独立董事对相关事项发表了同意的独立意见，相应的授予登记工作已于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rFonts w:ascii="Times New Roman" w:hAnsi="Times New Roman" w:cs="Times New Roman" w:eastAsia="Times New Roman" w:hint="default"/>
          <w:spacing w:val="-10"/>
        </w:rPr>
        <w:t> </w:t>
      </w:r>
      <w:r>
        <w:rPr/>
        <w:t>月</w:t>
      </w:r>
      <w:r>
        <w:rPr>
          <w:rFonts w:ascii="Times New Roman" w:hAnsi="Times New Roman" w:cs="Times New Roman" w:eastAsia="Times New Roman" w:hint="default"/>
        </w:rPr>
        <w:t>26</w:t>
      </w:r>
      <w:r>
        <w:rPr/>
        <w:t>日完成，授予的限制性股票已于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日上市。</w:t>
      </w:r>
    </w:p>
    <w:p>
      <w:pPr>
        <w:pStyle w:val="BodyText"/>
        <w:spacing w:line="309" w:lineRule="auto" w:before="13"/>
        <w:ind w:right="148" w:firstLine="360"/>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28</w:t>
      </w:r>
      <w:r>
        <w:rPr>
          <w:spacing w:val="-2"/>
        </w:rPr>
        <w:t>日公司第五届董事会第四十次会议、第五届监事会第二十二次会议审议通过了关于</w:t>
      </w:r>
      <w:r>
        <w:rPr>
          <w:rFonts w:ascii="Times New Roman" w:hAnsi="Times New Roman" w:cs="Times New Roman" w:eastAsia="Times New Roman" w:hint="default"/>
          <w:spacing w:val="-2"/>
        </w:rPr>
        <w:t>2015</w:t>
      </w:r>
      <w:r>
        <w:rPr>
          <w:spacing w:val="-2"/>
        </w:rPr>
        <w:t>年第一期股权激励</w:t>
      </w:r>
      <w:r>
        <w:rPr/>
        <w:t> </w:t>
      </w:r>
      <w:r>
        <w:rPr>
          <w:spacing w:val="-2"/>
        </w:rPr>
        <w:t>计划首次授予的限制性股票第一个解锁期符合解锁条件的议案，独立董事对相关事项发表了同意的独立意见，符合解锁条件</w:t>
      </w:r>
      <w:r>
        <w:rPr>
          <w:spacing w:val="-64"/>
        </w:rPr>
        <w:t> </w:t>
      </w:r>
      <w:r>
        <w:rPr>
          <w:spacing w:val="-64"/>
        </w:rPr>
      </w:r>
      <w:r>
        <w:rPr/>
        <w:t>的限制性股票已于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日解锁上市流通。</w:t>
      </w:r>
    </w:p>
    <w:p>
      <w:pPr>
        <w:pStyle w:val="BodyText"/>
        <w:spacing w:line="307" w:lineRule="auto" w:before="5"/>
        <w:ind w:right="151"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日公司第五届董事会第四十一次会议、第五届监事会第二十三次会议审议通过了《关于回购注销</w:t>
      </w:r>
      <w:r>
        <w:rPr>
          <w:rFonts w:ascii="Times New Roman" w:hAnsi="Times New Roman" w:cs="Times New Roman" w:eastAsia="Times New Roman" w:hint="default"/>
        </w:rPr>
        <w:t>2015</w:t>
      </w:r>
      <w:r>
        <w:rPr/>
        <w:t>年两 </w:t>
      </w:r>
      <w:r>
        <w:rPr>
          <w:spacing w:val="-2"/>
        </w:rPr>
        <w:t>期股权激励计划部分限制性股票和股票期权的议案》，董事会同意根据</w:t>
      </w:r>
      <w:r>
        <w:rPr>
          <w:rFonts w:ascii="Times New Roman" w:hAnsi="Times New Roman" w:cs="Times New Roman" w:eastAsia="Times New Roman" w:hint="default"/>
          <w:spacing w:val="-2"/>
        </w:rPr>
        <w:t>2015</w:t>
      </w:r>
      <w:r>
        <w:rPr>
          <w:spacing w:val="-2"/>
        </w:rPr>
        <w:t>年第一期股权激励计划的相关规定，对已离职激</w:t>
      </w:r>
      <w:r>
        <w:rPr>
          <w:spacing w:val="-63"/>
        </w:rPr>
        <w:t> </w:t>
      </w:r>
      <w:r>
        <w:rPr>
          <w:spacing w:val="-63"/>
        </w:rPr>
      </w:r>
      <w:r>
        <w:rPr>
          <w:spacing w:val="-2"/>
        </w:rPr>
        <w:t>励对象纪晓文先生已获授未解锁的限制性股票进行回购注销处理，公司独立董事对此发表了同意的独立意见。本次回购注销</w:t>
      </w:r>
      <w:r>
        <w:rPr>
          <w:spacing w:val="-64"/>
        </w:rPr>
        <w:t> </w:t>
      </w:r>
      <w:r>
        <w:rPr>
          <w:spacing w:val="-64"/>
        </w:rPr>
      </w:r>
      <w:r>
        <w:rPr/>
        <w:t>事项已于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5</w:t>
      </w:r>
      <w:r>
        <w:rPr/>
        <w:t>日完成。</w:t>
      </w:r>
    </w:p>
    <w:p>
      <w:pPr>
        <w:pStyle w:val="BodyText"/>
        <w:spacing w:line="300" w:lineRule="auto" w:before="7"/>
        <w:ind w:right="151"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日公司第五届董事会第五十一次会议、第五届监事会第二十九次会议审议通过了《关于</w:t>
      </w:r>
      <w:r>
        <w:rPr>
          <w:rFonts w:ascii="Times New Roman" w:hAnsi="Times New Roman" w:cs="Times New Roman" w:eastAsia="Times New Roman" w:hint="default"/>
        </w:rPr>
        <w:t>2015</w:t>
      </w:r>
      <w:r>
        <w:rPr/>
        <w:t>年第一期股权 激励计划授予的预留限制性股票与股票期权第一个解锁</w:t>
      </w:r>
      <w:r>
        <w:rPr>
          <w:rFonts w:ascii="Times New Roman" w:hAnsi="Times New Roman" w:cs="Times New Roman" w:eastAsia="Times New Roman" w:hint="default"/>
        </w:rPr>
        <w:t>/</w:t>
      </w:r>
      <w:r>
        <w:rPr/>
        <w:t>行权期符合解锁</w:t>
      </w:r>
      <w:r>
        <w:rPr>
          <w:rFonts w:ascii="Times New Roman" w:hAnsi="Times New Roman" w:cs="Times New Roman" w:eastAsia="Times New Roman" w:hint="default"/>
        </w:rPr>
        <w:t>/</w:t>
      </w:r>
      <w:r>
        <w:rPr/>
        <w:t>行权条件的议案》，独立董事对相关事项发表了同 意的独立意见。截止本报告披露日，该批可解锁的限制性股票尚未解锁上市流通，该批可行权股票期权尚未开始行权。</w:t>
      </w:r>
    </w:p>
    <w:p>
      <w:pPr>
        <w:pStyle w:val="BodyText"/>
        <w:spacing w:line="300" w:lineRule="auto" w:before="72"/>
        <w:ind w:right="151" w:firstLine="288"/>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日公司第六届董事会第十一次会议、第六届监事会第五次会议审议通过了《关于回购注销</w:t>
      </w:r>
      <w:r>
        <w:rPr>
          <w:rFonts w:ascii="Times New Roman" w:hAnsi="Times New Roman" w:cs="Times New Roman" w:eastAsia="Times New Roman" w:hint="default"/>
        </w:rPr>
        <w:t>2015</w:t>
      </w:r>
      <w:r>
        <w:rPr/>
        <w:t>年两期股权 </w:t>
      </w:r>
      <w:r>
        <w:rPr>
          <w:spacing w:val="-2"/>
        </w:rPr>
        <w:t>激励计划部分限制性股票和股票期权的议案》，董事会同意根据</w:t>
      </w:r>
      <w:r>
        <w:rPr>
          <w:rFonts w:ascii="Times New Roman" w:hAnsi="Times New Roman" w:cs="Times New Roman" w:eastAsia="Times New Roman" w:hint="default"/>
          <w:spacing w:val="-2"/>
        </w:rPr>
        <w:t>2015</w:t>
      </w:r>
      <w:r>
        <w:rPr>
          <w:spacing w:val="-2"/>
        </w:rPr>
        <w:t>年第一期股权激励计划的相关规定，对</w:t>
      </w:r>
      <w:r>
        <w:rPr>
          <w:rFonts w:ascii="Times New Roman" w:hAnsi="Times New Roman" w:cs="Times New Roman" w:eastAsia="Times New Roman" w:hint="default"/>
          <w:spacing w:val="-2"/>
        </w:rPr>
        <w:t>2015</w:t>
      </w:r>
      <w:r>
        <w:rPr>
          <w:spacing w:val="-2"/>
        </w:rPr>
        <w:t>年第一期股</w:t>
      </w:r>
      <w:r>
        <w:rPr>
          <w:spacing w:val="-61"/>
        </w:rPr>
        <w:t> </w:t>
      </w:r>
      <w:r>
        <w:rPr>
          <w:spacing w:val="-61"/>
        </w:rPr>
      </w:r>
      <w:r>
        <w:rPr/>
        <w:t>权激励计划首次授予部分第三个解锁期和预留部分第二个解锁</w:t>
      </w:r>
      <w:r>
        <w:rPr>
          <w:rFonts w:ascii="Times New Roman" w:hAnsi="Times New Roman" w:cs="Times New Roman" w:eastAsia="Times New Roman" w:hint="default"/>
        </w:rPr>
        <w:t>/</w:t>
      </w:r>
      <w:r>
        <w:rPr/>
        <w:t>行权期由于业绩考核不达标导致不能解锁</w:t>
      </w:r>
      <w:r>
        <w:rPr>
          <w:rFonts w:ascii="Times New Roman" w:hAnsi="Times New Roman" w:cs="Times New Roman" w:eastAsia="Times New Roman" w:hint="default"/>
        </w:rPr>
        <w:t>/</w:t>
      </w:r>
      <w:r>
        <w:rPr/>
        <w:t>行权的</w:t>
      </w:r>
      <w:r>
        <w:rPr>
          <w:rFonts w:ascii="Times New Roman" w:hAnsi="Times New Roman" w:cs="Times New Roman" w:eastAsia="Times New Roman" w:hint="default"/>
        </w:rPr>
        <w:t>278</w:t>
      </w:r>
      <w:r>
        <w:rPr/>
        <w:t>万股限</w:t>
      </w:r>
      <w:r>
        <w:rPr>
          <w:spacing w:val="-10"/>
        </w:rPr>
        <w:t> </w:t>
      </w:r>
      <w:r>
        <w:rPr>
          <w:spacing w:val="-2"/>
        </w:rPr>
        <w:t>制性股票和</w:t>
      </w:r>
      <w:r>
        <w:rPr>
          <w:rFonts w:ascii="Times New Roman" w:hAnsi="Times New Roman" w:cs="Times New Roman" w:eastAsia="Times New Roman" w:hint="default"/>
          <w:spacing w:val="-2"/>
        </w:rPr>
        <w:t>30</w:t>
      </w:r>
      <w:r>
        <w:rPr>
          <w:spacing w:val="-2"/>
        </w:rPr>
        <w:t>万份股票期权进行回购注销处理，公司独立董事对此发表了同意的独立意见。截止本报告披露日，本次回购注</w:t>
      </w:r>
      <w:r>
        <w:rPr>
          <w:spacing w:val="-65"/>
        </w:rPr>
        <w:t> </w:t>
      </w:r>
      <w:r>
        <w:rPr>
          <w:spacing w:val="-65"/>
        </w:rPr>
      </w:r>
      <w:r>
        <w:rPr/>
        <w:t>销尚未完成。</w:t>
      </w:r>
    </w:p>
    <w:p>
      <w:pPr>
        <w:pStyle w:val="Heading4"/>
        <w:spacing w:line="240" w:lineRule="auto" w:before="70"/>
        <w:ind w:right="153"/>
        <w:jc w:val="left"/>
        <w:rPr>
          <w:b w:val="0"/>
          <w:bCs w:val="0"/>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年第二期股权激励计划实施情况</w:t>
      </w:r>
      <w:r>
        <w:rPr>
          <w:b w:val="0"/>
          <w:bCs w:val="0"/>
        </w:rPr>
      </w:r>
    </w:p>
    <w:p>
      <w:pPr>
        <w:pStyle w:val="BodyText"/>
        <w:spacing w:line="300" w:lineRule="auto" w:before="63"/>
        <w:ind w:right="148" w:firstLine="36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12</w:t>
      </w:r>
      <w:r>
        <w:rPr>
          <w:spacing w:val="-2"/>
        </w:rPr>
        <w:t>日公司第五届董事会第十八次会议和第五届监事会第八次会议、</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29</w:t>
      </w:r>
      <w:r>
        <w:rPr>
          <w:spacing w:val="-2"/>
        </w:rPr>
        <w:t>日公司</w:t>
      </w:r>
      <w:r>
        <w:rPr>
          <w:rFonts w:ascii="Times New Roman" w:hAnsi="Times New Roman" w:cs="Times New Roman" w:eastAsia="Times New Roman" w:hint="default"/>
          <w:spacing w:val="-2"/>
        </w:rPr>
        <w:t>2015</w:t>
      </w:r>
      <w:r>
        <w:rPr>
          <w:spacing w:val="-2"/>
        </w:rPr>
        <w:t>年第六次临时股</w:t>
      </w:r>
      <w:r>
        <w:rPr/>
        <w:t> 东大会审议通过了</w:t>
      </w:r>
      <w:r>
        <w:rPr>
          <w:rFonts w:ascii="Times New Roman" w:hAnsi="Times New Roman" w:cs="Times New Roman" w:eastAsia="Times New Roman" w:hint="default"/>
        </w:rPr>
        <w:t>2015</w:t>
      </w:r>
      <w:r>
        <w:rPr/>
        <w:t>年第二期股权激励计划。</w:t>
      </w:r>
    </w:p>
    <w:p>
      <w:pPr>
        <w:pStyle w:val="BodyText"/>
        <w:spacing w:line="300" w:lineRule="auto" w:before="13"/>
        <w:ind w:right="156"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日公司第五届董事会第二十次会议、第五届监事会第十次会议审议通过了关于向</w:t>
      </w:r>
      <w:r>
        <w:rPr>
          <w:rFonts w:ascii="Times New Roman" w:hAnsi="Times New Roman" w:cs="Times New Roman" w:eastAsia="Times New Roman" w:hint="default"/>
        </w:rPr>
        <w:t>2015</w:t>
      </w:r>
      <w:r>
        <w:rPr/>
        <w:t>年第二期股权激励计 划激励对象首次授予限制性股票与股票期权的议案，确定授予日为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日，独立董事就此发表了同意的独立意见， 相应的授予登记工作已于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日完成，授予的限制性股票已于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日上市。</w:t>
      </w:r>
    </w:p>
    <w:p>
      <w:pPr>
        <w:pStyle w:val="BodyText"/>
        <w:spacing w:line="300" w:lineRule="auto" w:before="13"/>
        <w:ind w:right="156" w:firstLine="36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日公司第五届董事会第二十九次会议、第五届监事会第十七次会议审议通过了关于向激励对象授予</w:t>
      </w:r>
      <w:r>
        <w:rPr>
          <w:rFonts w:ascii="Times New Roman" w:hAnsi="Times New Roman" w:cs="Times New Roman" w:eastAsia="Times New Roman" w:hint="default"/>
        </w:rPr>
        <w:t>2015</w:t>
      </w:r>
      <w:r>
        <w:rPr/>
        <w:t>年 第二期股权激励计划预留股份的议案，独立董事对相关事项发表了同意的独立意见，相应的授予登记工作已于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 </w:t>
      </w:r>
      <w:r>
        <w:rPr/>
        <w:t>日完成，授予的限制性股票已于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日上市。</w:t>
      </w:r>
    </w:p>
    <w:p>
      <w:pPr>
        <w:pStyle w:val="BodyText"/>
        <w:spacing w:line="307" w:lineRule="auto" w:before="13"/>
        <w:ind w:right="144" w:firstLine="36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日公司第五届董事会第三十六次会议、第五届监事会第二十一次会议审议通过了关于</w:t>
      </w:r>
      <w:r>
        <w:rPr>
          <w:rFonts w:ascii="Times New Roman" w:hAnsi="Times New Roman" w:cs="Times New Roman" w:eastAsia="Times New Roman" w:hint="default"/>
        </w:rPr>
        <w:t>2015</w:t>
      </w:r>
      <w:r>
        <w:rPr/>
        <w:t>年第二期股权激 励计划首次授予的限制性股票与股票期权第一个解锁</w:t>
      </w:r>
      <w:r>
        <w:rPr>
          <w:rFonts w:ascii="Times New Roman" w:hAnsi="Times New Roman" w:cs="Times New Roman" w:eastAsia="Times New Roman" w:hint="default"/>
        </w:rPr>
        <w:t>/</w:t>
      </w:r>
      <w:r>
        <w:rPr/>
        <w:t>行权期符合解锁</w:t>
      </w:r>
      <w:r>
        <w:rPr>
          <w:rFonts w:ascii="Times New Roman" w:hAnsi="Times New Roman" w:cs="Times New Roman" w:eastAsia="Times New Roman" w:hint="default"/>
        </w:rPr>
        <w:t>/</w:t>
      </w:r>
      <w:r>
        <w:rPr/>
        <w:t>行权条件的议案和关于</w:t>
      </w:r>
      <w:r>
        <w:rPr>
          <w:rFonts w:ascii="Times New Roman" w:hAnsi="Times New Roman" w:cs="Times New Roman" w:eastAsia="Times New Roman" w:hint="default"/>
        </w:rPr>
        <w:t>2015</w:t>
      </w:r>
      <w:r>
        <w:rPr/>
        <w:t>年第二期股权激励计划 </w:t>
      </w:r>
      <w:r>
        <w:rPr>
          <w:spacing w:val="-2"/>
        </w:rPr>
        <w:t>首次授予的股票期权第一个行权期采用自主行权模式的议案，独立董事对相关事项发表了同意的独立意见，符合解锁条件的</w:t>
      </w:r>
      <w:r>
        <w:rPr>
          <w:spacing w:val="-63"/>
        </w:rPr>
        <w:t> </w:t>
      </w:r>
      <w:r>
        <w:rPr>
          <w:spacing w:val="-63"/>
        </w:rPr>
      </w:r>
      <w:r>
        <w:rPr/>
        <w:t>限制性股票已于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日解锁上市流通，符合行权条件的股票期权已于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日行权完毕。</w:t>
      </w:r>
    </w:p>
    <w:p>
      <w:pPr>
        <w:pStyle w:val="BodyText"/>
        <w:spacing w:line="307" w:lineRule="auto" w:before="7"/>
        <w:ind w:right="151"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日公司第五届董事会第四十一次会议、第五届监事会第二十三次会议审议通过了关于回购注销</w:t>
      </w:r>
      <w:r>
        <w:rPr>
          <w:rFonts w:ascii="Times New Roman" w:hAnsi="Times New Roman" w:cs="Times New Roman" w:eastAsia="Times New Roman" w:hint="default"/>
        </w:rPr>
        <w:t>2015</w:t>
      </w:r>
      <w:r>
        <w:rPr/>
        <w:t>年两期 </w:t>
      </w:r>
      <w:r>
        <w:rPr>
          <w:spacing w:val="-2"/>
        </w:rPr>
        <w:t>股权激励计划部分限制性股票和股票期权的议案，董事会同意根据</w:t>
      </w:r>
      <w:r>
        <w:rPr>
          <w:rFonts w:ascii="Times New Roman" w:hAnsi="Times New Roman" w:cs="Times New Roman" w:eastAsia="Times New Roman" w:hint="default"/>
          <w:spacing w:val="-2"/>
        </w:rPr>
        <w:t>2015</w:t>
      </w:r>
      <w:r>
        <w:rPr>
          <w:spacing w:val="-2"/>
        </w:rPr>
        <w:t>年第二期股权激励计划的相关规定，对已离职激励对</w:t>
      </w:r>
      <w:r>
        <w:rPr>
          <w:spacing w:val="-61"/>
        </w:rPr>
        <w:t> </w:t>
      </w:r>
      <w:r>
        <w:rPr>
          <w:spacing w:val="-61"/>
        </w:rPr>
      </w:r>
      <w:r>
        <w:rPr>
          <w:spacing w:val="-2"/>
        </w:rPr>
        <w:t>象纪晓文先生已获授未解锁的限制性股票及已获授未行权的股票期权进行回购注销处理，公司独立董事对此发表了同意的独</w:t>
      </w:r>
      <w:r>
        <w:rPr>
          <w:spacing w:val="-64"/>
        </w:rPr>
        <w:t> </w:t>
      </w:r>
      <w:r>
        <w:rPr>
          <w:spacing w:val="-64"/>
        </w:rPr>
      </w:r>
      <w:r>
        <w:rPr/>
        <w:t>立意见。本次回购注销事项已于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5</w:t>
      </w:r>
      <w:r>
        <w:rPr/>
        <w:t>日完成。</w:t>
      </w:r>
    </w:p>
    <w:p>
      <w:pPr>
        <w:pStyle w:val="BodyText"/>
        <w:spacing w:line="300" w:lineRule="auto" w:before="7"/>
        <w:ind w:right="151"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日公司第五届董事会第五十一次会议、第五届监事会第二十九次会议审议通过了《关于</w:t>
      </w:r>
      <w:r>
        <w:rPr>
          <w:rFonts w:ascii="Times New Roman" w:hAnsi="Times New Roman" w:cs="Times New Roman" w:eastAsia="Times New Roman" w:hint="default"/>
        </w:rPr>
        <w:t>2015</w:t>
      </w:r>
      <w:r>
        <w:rPr/>
        <w:t>年第二期股权 激励计划授予的预留限制性股票与股票期权第一个解锁</w:t>
      </w:r>
      <w:r>
        <w:rPr>
          <w:rFonts w:ascii="Times New Roman" w:hAnsi="Times New Roman" w:cs="Times New Roman" w:eastAsia="Times New Roman" w:hint="default"/>
        </w:rPr>
        <w:t>/</w:t>
      </w:r>
      <w:r>
        <w:rPr/>
        <w:t>行权期符合解锁</w:t>
      </w:r>
      <w:r>
        <w:rPr>
          <w:rFonts w:ascii="Times New Roman" w:hAnsi="Times New Roman" w:cs="Times New Roman" w:eastAsia="Times New Roman" w:hint="default"/>
        </w:rPr>
        <w:t>/</w:t>
      </w:r>
      <w:r>
        <w:rPr/>
        <w:t>行权条件的议案》，独立董事对相关事项发表了同 意的独立意见。截止本报告披露日，该批可解锁的限制性股票尚未解锁上市流通，该批可行权股票期权尚未开始行权。</w:t>
      </w:r>
    </w:p>
    <w:p>
      <w:pPr>
        <w:pStyle w:val="BodyText"/>
        <w:spacing w:line="300" w:lineRule="auto" w:before="72"/>
        <w:ind w:right="148" w:firstLine="504"/>
        <w:jc w:val="both"/>
        <w:rPr>
          <w:rFonts w:ascii="Times New Roman" w:hAnsi="Times New Roman" w:cs="Times New Roman" w:eastAsia="Times New Roman" w:hint="default"/>
        </w:rPr>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日公司第六届董事会第十一次会议、第六届监事会第五次会议审议通过了《关于回购注销</w:t>
      </w:r>
      <w:r>
        <w:rPr>
          <w:rFonts w:ascii="Times New Roman" w:hAnsi="Times New Roman" w:cs="Times New Roman" w:eastAsia="Times New Roman" w:hint="default"/>
        </w:rPr>
        <w:t>2015</w:t>
      </w:r>
      <w:r>
        <w:rPr/>
        <w:t>年两期股 </w:t>
      </w:r>
      <w:r>
        <w:rPr>
          <w:spacing w:val="-2"/>
        </w:rPr>
        <w:t>权激励计划部分限制性股票和股票期权的议案》，董事会同意根据</w:t>
      </w:r>
      <w:r>
        <w:rPr>
          <w:rFonts w:ascii="Times New Roman" w:hAnsi="Times New Roman" w:cs="Times New Roman" w:eastAsia="Times New Roman" w:hint="default"/>
          <w:spacing w:val="-2"/>
        </w:rPr>
        <w:t>2015</w:t>
      </w:r>
      <w:r>
        <w:rPr>
          <w:spacing w:val="-2"/>
        </w:rPr>
        <w:t>年第二期股权激励计划的相关规定，对</w:t>
      </w:r>
      <w:r>
        <w:rPr>
          <w:rFonts w:ascii="Times New Roman" w:hAnsi="Times New Roman" w:cs="Times New Roman" w:eastAsia="Times New Roman" w:hint="default"/>
          <w:spacing w:val="-2"/>
        </w:rPr>
        <w:t>2015</w:t>
      </w:r>
      <w:r>
        <w:rPr>
          <w:spacing w:val="-2"/>
        </w:rPr>
        <w:t>年第二期</w:t>
      </w:r>
      <w:r>
        <w:rPr>
          <w:spacing w:val="-62"/>
        </w:rPr>
        <w:t> </w:t>
      </w:r>
      <w:r>
        <w:rPr>
          <w:spacing w:val="-62"/>
        </w:rPr>
      </w:r>
      <w:r>
        <w:rPr/>
        <w:t>股权激励计划首次授予部分第三个解锁</w:t>
      </w:r>
      <w:r>
        <w:rPr>
          <w:rFonts w:ascii="Times New Roman" w:hAnsi="Times New Roman" w:cs="Times New Roman" w:eastAsia="Times New Roman" w:hint="default"/>
        </w:rPr>
        <w:t>/</w:t>
      </w:r>
      <w:r>
        <w:rPr/>
        <w:t>行权期和预留部分第二个解锁</w:t>
      </w:r>
      <w:r>
        <w:rPr>
          <w:rFonts w:ascii="Times New Roman" w:hAnsi="Times New Roman" w:cs="Times New Roman" w:eastAsia="Times New Roman" w:hint="default"/>
        </w:rPr>
        <w:t>/</w:t>
      </w:r>
      <w:r>
        <w:rPr/>
        <w:t>行权期由于业绩考核不达标导致不能解锁</w:t>
      </w:r>
      <w:r>
        <w:rPr>
          <w:rFonts w:ascii="Times New Roman" w:hAnsi="Times New Roman" w:cs="Times New Roman" w:eastAsia="Times New Roman" w:hint="default"/>
        </w:rPr>
        <w:t>/</w:t>
      </w:r>
      <w:r>
        <w:rPr/>
        <w:t>行权的</w:t>
      </w:r>
      <w:r>
        <w:rPr>
          <w:rFonts w:ascii="Times New Roman" w:hAnsi="Times New Roman" w:cs="Times New Roman" w:eastAsia="Times New Roman" w:hint="default"/>
        </w:rPr>
        <w:t>480</w:t>
      </w:r>
    </w:p>
    <w:p>
      <w:pPr>
        <w:spacing w:after="0" w:line="300" w:lineRule="auto"/>
        <w:jc w:val="both"/>
        <w:rPr>
          <w:rFonts w:ascii="Times New Roman" w:hAnsi="Times New Roman" w:cs="Times New Roman" w:eastAsia="Times New Roman" w:hint="default"/>
        </w:rPr>
        <w:sectPr>
          <w:pgSz w:w="11910" w:h="16840"/>
          <w:pgMar w:header="877" w:footer="979" w:top="1100" w:bottom="1160" w:left="980" w:right="980"/>
        </w:sectPr>
      </w:pPr>
    </w:p>
    <w:p>
      <w:pPr>
        <w:spacing w:line="240" w:lineRule="auto" w:before="10"/>
        <w:rPr>
          <w:rFonts w:ascii="Times New Roman" w:hAnsi="Times New Roman" w:cs="Times New Roman" w:eastAsia="Times New Roman" w:hint="default"/>
          <w:sz w:val="24"/>
          <w:szCs w:val="24"/>
        </w:rPr>
      </w:pPr>
      <w:r>
        <w:rPr/>
        <w:pict>
          <v:group style="position:absolute;margin-left:418.51001pt;margin-top:707.26001pt;width:120.15pt;height:20.8pt;mso-position-horizontal-relative:page;mso-position-vertical-relative:page;z-index:-1104616" coordorigin="8370,14145" coordsize="2403,416">
            <v:group style="position:absolute;left:8382;top:14157;width:2;height:392" coordorigin="8382,14157" coordsize="2,392">
              <v:shape style="position:absolute;left:8382;top:14157;width:2;height:392" coordorigin="8382,14157" coordsize="0,392" path="m8382,14157l8382,14548e" filled="false" stroked="true" strokeweight="1.2pt" strokecolor="#ffffff">
                <v:path arrowok="t"/>
              </v:shape>
            </v:group>
            <v:group style="position:absolute;left:8394;top:14157;width:2379;height:392" coordorigin="8394,14157" coordsize="2379,392">
              <v:shape style="position:absolute;left:8394;top:14157;width:2379;height:392" coordorigin="8394,14157" coordsize="2379,392" path="m8394,14548l10773,14548,10773,14157,8394,14157,8394,14548xe" filled="true" fillcolor="#ffffff" stroked="false">
                <v:path arrowok="t"/>
                <v:fill type="solid"/>
              </v:shape>
            </v:group>
            <w10:wrap type="none"/>
          </v:group>
        </w:pict>
      </w:r>
    </w:p>
    <w:p>
      <w:pPr>
        <w:pStyle w:val="BodyText"/>
        <w:spacing w:line="300" w:lineRule="auto" w:before="44"/>
        <w:ind w:right="144"/>
        <w:jc w:val="left"/>
      </w:pPr>
      <w:r>
        <w:rPr/>
        <w:t>万股限制性股票和</w:t>
      </w:r>
      <w:r>
        <w:rPr>
          <w:rFonts w:ascii="Times New Roman" w:hAnsi="Times New Roman" w:cs="Times New Roman" w:eastAsia="Times New Roman" w:hint="default"/>
        </w:rPr>
        <w:t>216</w:t>
      </w:r>
      <w:r>
        <w:rPr/>
        <w:t>万份股票期权进行回购注销处理，公司独立董事对此发表了同意的独立意见。截止本报告披露日，本</w:t>
      </w:r>
      <w:r>
        <w:rPr>
          <w:spacing w:val="-85"/>
        </w:rPr>
        <w:t> </w:t>
      </w:r>
      <w:r>
        <w:rPr>
          <w:spacing w:val="-85"/>
        </w:rPr>
      </w:r>
      <w:r>
        <w:rPr/>
        <w:t>次回购注销尚未完成。</w:t>
      </w:r>
    </w:p>
    <w:p>
      <w:pPr>
        <w:pStyle w:val="Heading4"/>
        <w:spacing w:line="240" w:lineRule="auto" w:before="72"/>
        <w:ind w:right="153"/>
        <w:jc w:val="left"/>
        <w:rPr>
          <w:b w:val="0"/>
          <w:bCs w:val="0"/>
        </w:rPr>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2016</w:t>
      </w:r>
      <w:r>
        <w:rPr/>
        <w:t>年股权激励计划实施情况</w:t>
      </w:r>
      <w:r>
        <w:rPr>
          <w:b w:val="0"/>
          <w:bCs w:val="0"/>
        </w:rPr>
      </w:r>
    </w:p>
    <w:p>
      <w:pPr>
        <w:pStyle w:val="BodyText"/>
        <w:spacing w:line="300" w:lineRule="auto" w:before="63"/>
        <w:ind w:right="153" w:firstLine="36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日公司第五届董事会第二十九次会议和第五届监事会第十七次会议、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w:t>
      </w:r>
      <w:r>
        <w:rPr/>
        <w:t>日公司</w:t>
      </w:r>
      <w:r>
        <w:rPr>
          <w:rFonts w:ascii="Times New Roman" w:hAnsi="Times New Roman" w:cs="Times New Roman" w:eastAsia="Times New Roman" w:hint="default"/>
        </w:rPr>
        <w:t>2016</w:t>
      </w:r>
      <w:r>
        <w:rPr/>
        <w:t>年第三次临时 股东大会审议通过了</w:t>
      </w:r>
      <w:r>
        <w:rPr>
          <w:rFonts w:ascii="Times New Roman" w:hAnsi="Times New Roman" w:cs="Times New Roman" w:eastAsia="Times New Roman" w:hint="default"/>
        </w:rPr>
        <w:t>2016</w:t>
      </w:r>
      <w:r>
        <w:rPr/>
        <w:t>年股权激励计划。</w:t>
      </w:r>
    </w:p>
    <w:p>
      <w:pPr>
        <w:pStyle w:val="BodyText"/>
        <w:spacing w:line="300" w:lineRule="auto" w:before="13"/>
        <w:ind w:right="156" w:firstLine="36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日公司第五届董事会第三十次会议、第五届监事会第十九次会议审议通过了《关于向公司</w:t>
      </w:r>
      <w:r>
        <w:rPr>
          <w:rFonts w:ascii="Times New Roman" w:hAnsi="Times New Roman" w:cs="Times New Roman" w:eastAsia="Times New Roman" w:hint="default"/>
        </w:rPr>
        <w:t>2016</w:t>
      </w:r>
      <w:r>
        <w:rPr/>
        <w:t>年限制性股 票激励计划激励对象授予限制性股票的议案》，确定授予日为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日，独立董事就此发表了同意的独立意见，相应 的授予登记工作已于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日完成，授予的限制性股票已于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21</w:t>
      </w:r>
      <w:r>
        <w:rPr/>
        <w:t>日上市。</w:t>
      </w:r>
    </w:p>
    <w:p>
      <w:pPr>
        <w:pStyle w:val="BodyText"/>
        <w:spacing w:line="240" w:lineRule="auto" w:before="53"/>
        <w:ind w:left="441" w:right="153"/>
        <w:jc w:val="left"/>
      </w:pPr>
      <w:r>
        <w:rPr/>
        <w:t>以上内容详情请参见公司刊登于巨潮资讯网（</w:t>
      </w:r>
      <w:hyperlink r:id="rId15">
        <w:r>
          <w:rPr>
            <w:rFonts w:ascii="Times New Roman" w:hAnsi="Times New Roman" w:cs="Times New Roman" w:eastAsia="Times New Roman" w:hint="default"/>
          </w:rPr>
          <w:t>www.cninfo.com.cn</w:t>
        </w:r>
      </w:hyperlink>
      <w:r>
        <w:rPr/>
        <w:t>）上的相关公告。</w:t>
      </w:r>
    </w:p>
    <w:p>
      <w:pPr>
        <w:spacing w:line="240" w:lineRule="auto" w:before="0"/>
        <w:rPr>
          <w:rFonts w:ascii="宋体" w:hAnsi="宋体" w:cs="宋体" w:eastAsia="宋体" w:hint="default"/>
          <w:sz w:val="24"/>
          <w:szCs w:val="24"/>
        </w:rPr>
      </w:pPr>
    </w:p>
    <w:p>
      <w:pPr>
        <w:pStyle w:val="Heading2"/>
        <w:spacing w:line="240" w:lineRule="auto"/>
        <w:ind w:right="153"/>
        <w:jc w:val="left"/>
        <w:rPr>
          <w:b w:val="0"/>
          <w:bCs w:val="0"/>
        </w:rPr>
      </w:pPr>
      <w:r>
        <w:rPr/>
        <w:t>十六、重大关联交易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8"/>
        <w:gridCol w:w="554"/>
        <w:gridCol w:w="283"/>
        <w:gridCol w:w="708"/>
        <w:gridCol w:w="425"/>
        <w:gridCol w:w="1136"/>
        <w:gridCol w:w="566"/>
        <w:gridCol w:w="708"/>
        <w:gridCol w:w="711"/>
        <w:gridCol w:w="566"/>
        <w:gridCol w:w="566"/>
        <w:gridCol w:w="710"/>
        <w:gridCol w:w="850"/>
        <w:gridCol w:w="1586"/>
      </w:tblGrid>
      <w:tr>
        <w:trPr>
          <w:trHeight w:val="1963" w:hRule="exact"/>
        </w:trPr>
        <w:tc>
          <w:tcPr>
            <w:tcW w:w="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2" w:right="53"/>
              <w:jc w:val="both"/>
              <w:rPr>
                <w:rFonts w:ascii="宋体" w:hAnsi="宋体" w:cs="宋体" w:eastAsia="宋体" w:hint="default"/>
                <w:sz w:val="18"/>
                <w:szCs w:val="18"/>
              </w:rPr>
            </w:pPr>
            <w:r>
              <w:rPr>
                <w:rFonts w:ascii="宋体" w:hAnsi="宋体" w:cs="宋体" w:eastAsia="宋体" w:hint="default"/>
                <w:sz w:val="18"/>
                <w:szCs w:val="18"/>
              </w:rPr>
              <w:t>关 联 交 易 方</w:t>
            </w:r>
          </w:p>
        </w:tc>
        <w:tc>
          <w:tcPr>
            <w:tcW w:w="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91" w:right="91"/>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3"/>
              <w:jc w:val="both"/>
              <w:rPr>
                <w:rFonts w:ascii="宋体" w:hAnsi="宋体" w:cs="宋体" w:eastAsia="宋体" w:hint="default"/>
                <w:sz w:val="18"/>
                <w:szCs w:val="18"/>
              </w:rPr>
            </w:pPr>
            <w:r>
              <w:rPr>
                <w:rFonts w:ascii="宋体" w:hAnsi="宋体" w:cs="宋体" w:eastAsia="宋体" w:hint="default"/>
                <w:sz w:val="18"/>
                <w:szCs w:val="18"/>
              </w:rPr>
              <w:t>关 联 交 易 类 型</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79"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8" w:right="24"/>
              <w:jc w:val="both"/>
              <w:rPr>
                <w:rFonts w:ascii="宋体" w:hAnsi="宋体" w:cs="宋体" w:eastAsia="宋体" w:hint="default"/>
                <w:sz w:val="18"/>
                <w:szCs w:val="18"/>
              </w:rPr>
            </w:pPr>
            <w:r>
              <w:rPr>
                <w:rFonts w:ascii="宋体" w:hAnsi="宋体" w:cs="宋体" w:eastAsia="宋体" w:hint="default"/>
                <w:sz w:val="18"/>
                <w:szCs w:val="18"/>
              </w:rPr>
              <w:t>关联 交易 定价 原则</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473" w:right="111" w:hanging="361"/>
              <w:jc w:val="left"/>
              <w:rPr>
                <w:rFonts w:ascii="宋体" w:hAnsi="宋体" w:cs="宋体" w:eastAsia="宋体" w:hint="default"/>
                <w:sz w:val="18"/>
                <w:szCs w:val="18"/>
              </w:rPr>
            </w:pPr>
            <w:r>
              <w:rPr>
                <w:rFonts w:ascii="宋体" w:hAnsi="宋体" w:cs="宋体" w:eastAsia="宋体" w:hint="default"/>
                <w:sz w:val="18"/>
                <w:szCs w:val="18"/>
              </w:rPr>
              <w:t>关联交易价 格</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6"/>
              <w:jc w:val="both"/>
              <w:rPr>
                <w:rFonts w:ascii="宋体" w:hAnsi="宋体" w:cs="宋体" w:eastAsia="宋体" w:hint="default"/>
                <w:sz w:val="18"/>
                <w:szCs w:val="18"/>
              </w:rPr>
            </w:pPr>
            <w:r>
              <w:rPr>
                <w:rFonts w:ascii="宋体" w:hAnsi="宋体" w:cs="宋体" w:eastAsia="宋体" w:hint="default"/>
                <w:sz w:val="18"/>
                <w:szCs w:val="18"/>
              </w:rPr>
              <w:t>关联 交易 金额</w:t>
            </w:r>
          </w:p>
          <w:p>
            <w:pPr>
              <w:pStyle w:val="TableParagraph"/>
              <w:spacing w:line="316" w:lineRule="auto" w:before="19"/>
              <w:ind w:left="98" w:right="96"/>
              <w:jc w:val="both"/>
              <w:rPr>
                <w:rFonts w:ascii="宋体" w:hAnsi="宋体" w:cs="宋体" w:eastAsia="宋体" w:hint="default"/>
                <w:sz w:val="18"/>
                <w:szCs w:val="18"/>
              </w:rPr>
            </w:pPr>
            <w:r>
              <w:rPr>
                <w:rFonts w:ascii="宋体" w:hAnsi="宋体" w:cs="宋体" w:eastAsia="宋体" w:hint="default"/>
                <w:sz w:val="18"/>
                <w:szCs w:val="18"/>
              </w:rPr>
              <w:t>（万 元）</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9" w:right="77"/>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9" w:right="81"/>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8" w:right="96"/>
              <w:jc w:val="both"/>
              <w:rPr>
                <w:rFonts w:ascii="宋体" w:hAnsi="宋体" w:cs="宋体" w:eastAsia="宋体" w:hint="default"/>
                <w:sz w:val="18"/>
                <w:szCs w:val="18"/>
              </w:rPr>
            </w:pPr>
            <w:r>
              <w:rPr>
                <w:rFonts w:ascii="宋体" w:hAnsi="宋体" w:cs="宋体" w:eastAsia="宋体" w:hint="default"/>
                <w:sz w:val="18"/>
                <w:szCs w:val="18"/>
              </w:rPr>
              <w:t>是否 超过 获批 额度</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8" w:right="96"/>
              <w:jc w:val="both"/>
              <w:rPr>
                <w:rFonts w:ascii="宋体" w:hAnsi="宋体" w:cs="宋体" w:eastAsia="宋体" w:hint="default"/>
                <w:sz w:val="18"/>
                <w:szCs w:val="18"/>
              </w:rPr>
            </w:pPr>
            <w:r>
              <w:rPr>
                <w:rFonts w:ascii="宋体" w:hAnsi="宋体" w:cs="宋体" w:eastAsia="宋体" w:hint="default"/>
                <w:sz w:val="18"/>
                <w:szCs w:val="18"/>
              </w:rPr>
              <w:t>关联 交易 结算 方式</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9" w:right="79"/>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85" w:hRule="exact"/>
        </w:trPr>
        <w:tc>
          <w:tcPr>
            <w:tcW w:w="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4" w:right="82"/>
              <w:jc w:val="both"/>
              <w:rPr>
                <w:rFonts w:ascii="宋体" w:hAnsi="宋体" w:cs="宋体" w:eastAsia="宋体" w:hint="default"/>
                <w:sz w:val="18"/>
                <w:szCs w:val="18"/>
              </w:rPr>
            </w:pPr>
            <w:r>
              <w:rPr>
                <w:rFonts w:ascii="宋体" w:hAnsi="宋体" w:cs="宋体" w:eastAsia="宋体" w:hint="default"/>
                <w:sz w:val="18"/>
                <w:szCs w:val="18"/>
              </w:rPr>
              <w:t>信 中 利</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58"/>
              <w:jc w:val="both"/>
              <w:rPr>
                <w:rFonts w:ascii="宋体" w:hAnsi="宋体" w:cs="宋体" w:eastAsia="宋体" w:hint="default"/>
                <w:sz w:val="18"/>
                <w:szCs w:val="18"/>
              </w:rPr>
            </w:pPr>
            <w:r>
              <w:rPr>
                <w:rFonts w:ascii="宋体" w:hAnsi="宋体" w:cs="宋体" w:eastAsia="宋体" w:hint="default"/>
                <w:sz w:val="18"/>
                <w:szCs w:val="18"/>
              </w:rPr>
              <w:t>同一 控制 下关 联企 业</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4" w:lineRule="auto"/>
              <w:ind w:left="23" w:right="67"/>
              <w:jc w:val="left"/>
              <w:rPr>
                <w:rFonts w:ascii="宋体" w:hAnsi="宋体" w:cs="宋体" w:eastAsia="宋体" w:hint="default"/>
                <w:sz w:val="18"/>
                <w:szCs w:val="18"/>
              </w:rPr>
            </w:pPr>
            <w:r>
              <w:rPr>
                <w:rFonts w:ascii="宋体" w:hAnsi="宋体" w:cs="宋体" w:eastAsia="宋体" w:hint="default"/>
                <w:sz w:val="18"/>
                <w:szCs w:val="18"/>
              </w:rPr>
              <w:t>租 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32"/>
              <w:jc w:val="both"/>
              <w:rPr>
                <w:rFonts w:ascii="宋体" w:hAnsi="宋体" w:cs="宋体" w:eastAsia="宋体" w:hint="default"/>
                <w:sz w:val="18"/>
                <w:szCs w:val="18"/>
              </w:rPr>
            </w:pPr>
            <w:r>
              <w:rPr>
                <w:rFonts w:ascii="宋体" w:hAnsi="宋体" w:cs="宋体" w:eastAsia="宋体" w:hint="default"/>
                <w:sz w:val="18"/>
                <w:szCs w:val="18"/>
              </w:rPr>
              <w:t>子公司 北京中 汇联银 向信中 利租赁 办公场 所</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29"/>
              <w:jc w:val="both"/>
              <w:rPr>
                <w:rFonts w:ascii="宋体" w:hAnsi="宋体" w:cs="宋体" w:eastAsia="宋体" w:hint="default"/>
                <w:sz w:val="18"/>
                <w:szCs w:val="18"/>
              </w:rPr>
            </w:pPr>
            <w:r>
              <w:rPr>
                <w:rFonts w:ascii="宋体" w:hAnsi="宋体" w:cs="宋体" w:eastAsia="宋体" w:hint="default"/>
                <w:sz w:val="18"/>
                <w:szCs w:val="18"/>
              </w:rPr>
              <w:t>市场 公允 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房屋租金为 </w:t>
            </w:r>
            <w:r>
              <w:rPr>
                <w:rFonts w:ascii="Times New Roman" w:hAnsi="Times New Roman" w:cs="Times New Roman" w:eastAsia="Times New Roman" w:hint="default"/>
                <w:sz w:val="18"/>
                <w:szCs w:val="18"/>
              </w:rPr>
              <w:t>7.5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（天</w:t>
            </w:r>
            <w:r>
              <w:rPr>
                <w:rFonts w:ascii="Times New Roman" w:hAnsi="Times New Roman" w:cs="Times New Roman" w:eastAsia="Times New Roman" w:hint="default"/>
                <w:sz w:val="18"/>
                <w:szCs w:val="18"/>
              </w:rPr>
              <w:t>. </w:t>
            </w:r>
            <w:r>
              <w:rPr>
                <w:rFonts w:ascii="宋体" w:hAnsi="宋体" w:cs="宋体" w:eastAsia="宋体" w:hint="default"/>
                <w:spacing w:val="-16"/>
                <w:sz w:val="18"/>
                <w:szCs w:val="18"/>
              </w:rPr>
              <w:t>平方米），物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业管理费为</w:t>
            </w:r>
          </w:p>
          <w:p>
            <w:pPr>
              <w:pStyle w:val="TableParagraph"/>
              <w:spacing w:line="307" w:lineRule="auto" w:before="22"/>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（天</w:t>
            </w:r>
            <w:r>
              <w:rPr>
                <w:rFonts w:ascii="Times New Roman" w:hAnsi="Times New Roman" w:cs="Times New Roman" w:eastAsia="Times New Roman" w:hint="default"/>
                <w:sz w:val="18"/>
                <w:szCs w:val="18"/>
              </w:rPr>
              <w:t>.</w:t>
            </w:r>
            <w:r>
              <w:rPr>
                <w:rFonts w:ascii="宋体" w:hAnsi="宋体" w:cs="宋体" w:eastAsia="宋体" w:hint="default"/>
                <w:sz w:val="18"/>
                <w:szCs w:val="18"/>
              </w:rPr>
              <w:t>平 </w:t>
            </w:r>
            <w:r>
              <w:rPr>
                <w:rFonts w:ascii="宋体" w:hAnsi="宋体" w:cs="宋体" w:eastAsia="宋体" w:hint="default"/>
                <w:spacing w:val="-16"/>
                <w:sz w:val="18"/>
                <w:szCs w:val="18"/>
              </w:rPr>
              <w:t>方米），建筑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面积共</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647.06 </w:t>
            </w:r>
            <w:r>
              <w:rPr>
                <w:rFonts w:ascii="宋体" w:hAnsi="宋体" w:cs="宋体" w:eastAsia="宋体" w:hint="default"/>
                <w:sz w:val="18"/>
                <w:szCs w:val="18"/>
              </w:rPr>
              <w:t>平方米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194.15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53.77%</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4" w:lineRule="auto"/>
              <w:ind w:left="24" w:right="170"/>
              <w:jc w:val="left"/>
              <w:rPr>
                <w:rFonts w:ascii="宋体" w:hAnsi="宋体" w:cs="宋体" w:eastAsia="宋体" w:hint="default"/>
                <w:sz w:val="18"/>
                <w:szCs w:val="18"/>
              </w:rPr>
            </w:pPr>
            <w:r>
              <w:rPr>
                <w:rFonts w:ascii="宋体" w:hAnsi="宋体" w:cs="宋体" w:eastAsia="宋体" w:hint="default"/>
                <w:sz w:val="18"/>
                <w:szCs w:val="18"/>
              </w:rPr>
              <w:t>银行 转账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194.15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2" w:lineRule="auto" w:before="74"/>
              <w:ind w:left="24" w:right="21"/>
              <w:jc w:val="left"/>
              <w:rPr>
                <w:rFonts w:ascii="宋体" w:hAnsi="宋体" w:cs="宋体" w:eastAsia="宋体" w:hint="default"/>
                <w:sz w:val="18"/>
                <w:szCs w:val="18"/>
              </w:rPr>
            </w:pPr>
            <w:r>
              <w:rPr>
                <w:rFonts w:ascii="宋体" w:hAnsi="宋体" w:cs="宋体" w:eastAsia="宋体" w:hint="default"/>
                <w:sz w:val="18"/>
                <w:szCs w:val="18"/>
              </w:rPr>
              <w:t>（</w:t>
            </w:r>
            <w:hyperlink r:id="rId25">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9"/>
                <w:sz w:val="18"/>
                <w:szCs w:val="18"/>
              </w:rPr>
              <w:t>cn</w:t>
            </w:r>
            <w:r>
              <w:rPr>
                <w:rFonts w:ascii="宋体" w:hAnsi="宋体" w:cs="宋体" w:eastAsia="宋体" w:hint="default"/>
                <w:spacing w:val="-9"/>
                <w:sz w:val="18"/>
                <w:szCs w:val="18"/>
              </w:rPr>
              <w:t>）上的《关于子公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司中汇联银投资管 </w:t>
            </w:r>
            <w:r>
              <w:rPr>
                <w:rFonts w:ascii="宋体" w:hAnsi="宋体" w:cs="宋体" w:eastAsia="宋体" w:hint="default"/>
                <w:spacing w:val="-11"/>
                <w:sz w:val="18"/>
                <w:szCs w:val="18"/>
              </w:rPr>
              <w:t>理（北京）有限公司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向关联方租赁办公 </w:t>
            </w:r>
            <w:r>
              <w:rPr>
                <w:rFonts w:ascii="宋体" w:hAnsi="宋体" w:cs="宋体" w:eastAsia="宋体" w:hint="default"/>
                <w:spacing w:val="-11"/>
                <w:sz w:val="18"/>
                <w:szCs w:val="18"/>
              </w:rPr>
              <w:t>场所的公告》（公告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2016-080</w:t>
            </w:r>
            <w:r>
              <w:rPr>
                <w:rFonts w:ascii="宋体" w:hAnsi="宋体" w:cs="宋体" w:eastAsia="宋体" w:hint="default"/>
                <w:sz w:val="18"/>
                <w:szCs w:val="18"/>
              </w:rPr>
              <w:t>）</w:t>
            </w:r>
          </w:p>
        </w:tc>
      </w:tr>
      <w:tr>
        <w:trPr>
          <w:trHeight w:val="2588" w:hRule="exact"/>
        </w:trPr>
        <w:tc>
          <w:tcPr>
            <w:tcW w:w="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4" w:right="82"/>
              <w:jc w:val="both"/>
              <w:rPr>
                <w:rFonts w:ascii="宋体" w:hAnsi="宋体" w:cs="宋体" w:eastAsia="宋体" w:hint="default"/>
                <w:sz w:val="18"/>
                <w:szCs w:val="18"/>
              </w:rPr>
            </w:pPr>
            <w:r>
              <w:rPr>
                <w:rFonts w:ascii="宋体" w:hAnsi="宋体" w:cs="宋体" w:eastAsia="宋体" w:hint="default"/>
                <w:sz w:val="18"/>
                <w:szCs w:val="18"/>
              </w:rPr>
              <w:t>九 立 方</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58"/>
              <w:jc w:val="both"/>
              <w:rPr>
                <w:rFonts w:ascii="宋体" w:hAnsi="宋体" w:cs="宋体" w:eastAsia="宋体" w:hint="default"/>
                <w:sz w:val="18"/>
                <w:szCs w:val="18"/>
              </w:rPr>
            </w:pPr>
            <w:r>
              <w:rPr>
                <w:rFonts w:ascii="宋体" w:hAnsi="宋体" w:cs="宋体" w:eastAsia="宋体" w:hint="default"/>
                <w:sz w:val="18"/>
                <w:szCs w:val="18"/>
              </w:rPr>
              <w:t>控股 股东 关联 方</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67"/>
              <w:jc w:val="left"/>
              <w:rPr>
                <w:rFonts w:ascii="宋体" w:hAnsi="宋体" w:cs="宋体" w:eastAsia="宋体" w:hint="default"/>
                <w:sz w:val="18"/>
                <w:szCs w:val="18"/>
              </w:rPr>
            </w:pPr>
            <w:r>
              <w:rPr>
                <w:rFonts w:ascii="宋体" w:hAnsi="宋体" w:cs="宋体" w:eastAsia="宋体" w:hint="default"/>
                <w:sz w:val="18"/>
                <w:szCs w:val="18"/>
              </w:rPr>
              <w:t>租 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3" w:right="132"/>
              <w:jc w:val="both"/>
              <w:rPr>
                <w:rFonts w:ascii="宋体" w:hAnsi="宋体" w:cs="宋体" w:eastAsia="宋体" w:hint="default"/>
                <w:sz w:val="18"/>
                <w:szCs w:val="18"/>
              </w:rPr>
            </w:pPr>
            <w:r>
              <w:rPr>
                <w:rFonts w:ascii="宋体" w:hAnsi="宋体" w:cs="宋体" w:eastAsia="宋体" w:hint="default"/>
                <w:sz w:val="18"/>
                <w:szCs w:val="18"/>
              </w:rPr>
              <w:t>孙公司 中行置 盛向九 立方租 赁办公 场所</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3" w:right="29"/>
              <w:jc w:val="both"/>
              <w:rPr>
                <w:rFonts w:ascii="宋体" w:hAnsi="宋体" w:cs="宋体" w:eastAsia="宋体" w:hint="default"/>
                <w:sz w:val="18"/>
                <w:szCs w:val="18"/>
              </w:rPr>
            </w:pPr>
            <w:r>
              <w:rPr>
                <w:rFonts w:ascii="宋体" w:hAnsi="宋体" w:cs="宋体" w:eastAsia="宋体" w:hint="default"/>
                <w:sz w:val="18"/>
                <w:szCs w:val="18"/>
              </w:rPr>
              <w:t>市场 公允 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房屋租金为 </w:t>
            </w:r>
            <w:r>
              <w:rPr>
                <w:rFonts w:ascii="Times New Roman" w:hAnsi="Times New Roman" w:cs="Times New Roman" w:eastAsia="Times New Roman" w:hint="default"/>
                <w:sz w:val="18"/>
                <w:szCs w:val="18"/>
              </w:rPr>
              <w:t>6.5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（天</w:t>
            </w:r>
            <w:r>
              <w:rPr>
                <w:rFonts w:ascii="Times New Roman" w:hAnsi="Times New Roman" w:cs="Times New Roman" w:eastAsia="Times New Roman" w:hint="default"/>
                <w:sz w:val="18"/>
                <w:szCs w:val="18"/>
              </w:rPr>
              <w:t>.</w:t>
            </w:r>
            <w:r>
              <w:rPr>
                <w:rFonts w:ascii="宋体" w:hAnsi="宋体" w:cs="宋体" w:eastAsia="宋体" w:hint="default"/>
                <w:sz w:val="18"/>
                <w:szCs w:val="18"/>
              </w:rPr>
              <w:t>平 </w:t>
            </w:r>
            <w:r>
              <w:rPr>
                <w:rFonts w:ascii="宋体" w:hAnsi="宋体" w:cs="宋体" w:eastAsia="宋体" w:hint="default"/>
                <w:spacing w:val="-16"/>
                <w:sz w:val="18"/>
                <w:szCs w:val="18"/>
              </w:rPr>
              <w:t>方米），一年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房屋租金（剔</w:t>
            </w:r>
            <w:r>
              <w:rPr>
                <w:rFonts w:ascii="宋体" w:hAnsi="宋体" w:cs="宋体" w:eastAsia="宋体" w:hint="default"/>
                <w:sz w:val="18"/>
                <w:szCs w:val="18"/>
              </w:rPr>
              <w:t> 除两个月免 租的装修改 造期）共计</w:t>
            </w:r>
          </w:p>
          <w:p>
            <w:pPr>
              <w:pStyle w:val="TableParagraph"/>
              <w:spacing w:line="240" w:lineRule="auto" w:before="2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237.12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166.92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46.23%</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237.12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4" w:right="170"/>
              <w:jc w:val="left"/>
              <w:rPr>
                <w:rFonts w:ascii="宋体" w:hAnsi="宋体" w:cs="宋体" w:eastAsia="宋体" w:hint="default"/>
                <w:sz w:val="18"/>
                <w:szCs w:val="18"/>
              </w:rPr>
            </w:pPr>
            <w:r>
              <w:rPr>
                <w:rFonts w:ascii="宋体" w:hAnsi="宋体" w:cs="宋体" w:eastAsia="宋体" w:hint="default"/>
                <w:sz w:val="18"/>
                <w:szCs w:val="18"/>
              </w:rPr>
              <w:t>银行 转账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166.92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2" w:lineRule="auto" w:before="76"/>
              <w:ind w:left="24" w:right="22"/>
              <w:jc w:val="left"/>
              <w:rPr>
                <w:rFonts w:ascii="宋体" w:hAnsi="宋体" w:cs="宋体" w:eastAsia="宋体" w:hint="default"/>
                <w:sz w:val="18"/>
                <w:szCs w:val="18"/>
              </w:rPr>
            </w:pPr>
            <w:r>
              <w:rPr>
                <w:rFonts w:ascii="宋体" w:hAnsi="宋体" w:cs="宋体" w:eastAsia="宋体" w:hint="default"/>
                <w:sz w:val="18"/>
                <w:szCs w:val="18"/>
              </w:rPr>
              <w:t>（</w:t>
            </w:r>
            <w:hyperlink r:id="rId25">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9"/>
                <w:sz w:val="18"/>
                <w:szCs w:val="18"/>
              </w:rPr>
              <w:t>cn</w:t>
            </w:r>
            <w:r>
              <w:rPr>
                <w:rFonts w:ascii="宋体" w:hAnsi="宋体" w:cs="宋体" w:eastAsia="宋体" w:hint="default"/>
                <w:spacing w:val="-9"/>
                <w:sz w:val="18"/>
                <w:szCs w:val="18"/>
              </w:rPr>
              <w:t>）上的《关于孙公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1"/>
                <w:sz w:val="18"/>
                <w:szCs w:val="18"/>
              </w:rPr>
              <w:t>司中行置盛投资（北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1"/>
                <w:sz w:val="18"/>
                <w:szCs w:val="18"/>
              </w:rPr>
              <w:t>京）有限公司向关联</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方租赁办公场所的 </w:t>
            </w:r>
            <w:r>
              <w:rPr>
                <w:rFonts w:ascii="宋体" w:hAnsi="宋体" w:cs="宋体" w:eastAsia="宋体" w:hint="default"/>
                <w:spacing w:val="-11"/>
                <w:sz w:val="18"/>
                <w:szCs w:val="18"/>
              </w:rPr>
              <w:t>公告》（公告编号：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2017-036</w:t>
            </w:r>
            <w:r>
              <w:rPr>
                <w:rFonts w:ascii="宋体" w:hAnsi="宋体" w:cs="宋体" w:eastAsia="宋体" w:hint="default"/>
                <w:sz w:val="18"/>
                <w:szCs w:val="18"/>
              </w:rPr>
              <w:t>）</w:t>
            </w:r>
          </w:p>
        </w:tc>
      </w:tr>
      <w:tr>
        <w:trPr>
          <w:trHeight w:val="406" w:hRule="exact"/>
        </w:trPr>
        <w:tc>
          <w:tcPr>
            <w:tcW w:w="1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361.07</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11"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831.12</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8" w:hRule="exact"/>
        </w:trPr>
        <w:tc>
          <w:tcPr>
            <w:tcW w:w="723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243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723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34"/>
              <w:jc w:val="left"/>
              <w:rPr>
                <w:rFonts w:ascii="宋体" w:hAnsi="宋体" w:cs="宋体" w:eastAsia="宋体" w:hint="default"/>
                <w:sz w:val="18"/>
                <w:szCs w:val="18"/>
              </w:rPr>
            </w:pPr>
            <w:r>
              <w:rPr>
                <w:rFonts w:ascii="宋体" w:hAnsi="宋体" w:cs="宋体" w:eastAsia="宋体" w:hint="default"/>
                <w:spacing w:val="-4"/>
                <w:sz w:val="18"/>
                <w:szCs w:val="18"/>
              </w:rPr>
              <w:t>按类别对本期将发生的日常关联交易进行总金额预计的，在报告期内的实际履行情况（如有）</w:t>
            </w:r>
            <w:r>
              <w:rPr>
                <w:rFonts w:ascii="宋体" w:hAnsi="宋体" w:cs="宋体" w:eastAsia="宋体" w:hint="default"/>
                <w:sz w:val="18"/>
                <w:szCs w:val="18"/>
              </w:rPr>
            </w:r>
          </w:p>
        </w:tc>
        <w:tc>
          <w:tcPr>
            <w:tcW w:w="243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4" w:hRule="exact"/>
        </w:trPr>
        <w:tc>
          <w:tcPr>
            <w:tcW w:w="723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交易价格与市场参考价格差异较大的原因（如适用）</w:t>
            </w:r>
          </w:p>
        </w:tc>
        <w:tc>
          <w:tcPr>
            <w:tcW w:w="243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94"/>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54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7"/>
        <w:rPr>
          <w:rFonts w:ascii="宋体" w:hAnsi="宋体" w:cs="宋体" w:eastAsia="宋体" w:hint="default"/>
          <w:sz w:val="21"/>
          <w:szCs w:val="21"/>
        </w:rPr>
      </w:pPr>
    </w:p>
    <w:p>
      <w:pPr>
        <w:pStyle w:val="Heading3"/>
        <w:spacing w:line="240" w:lineRule="auto"/>
        <w:ind w:right="94"/>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2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7"/>
        <w:rPr>
          <w:rFonts w:ascii="宋体" w:hAnsi="宋体" w:cs="宋体" w:eastAsia="宋体" w:hint="default"/>
          <w:sz w:val="21"/>
          <w:szCs w:val="21"/>
        </w:rPr>
      </w:pPr>
    </w:p>
    <w:p>
      <w:pPr>
        <w:pStyle w:val="Heading3"/>
        <w:spacing w:line="240" w:lineRule="auto"/>
        <w:ind w:right="94"/>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3"/>
        <w:rPr>
          <w:rFonts w:ascii="宋体" w:hAnsi="宋体" w:cs="宋体" w:eastAsia="宋体" w:hint="default"/>
          <w:sz w:val="21"/>
          <w:szCs w:val="21"/>
        </w:rPr>
      </w:pPr>
    </w:p>
    <w:p>
      <w:pPr>
        <w:pStyle w:val="Heading3"/>
        <w:spacing w:line="240" w:lineRule="auto"/>
        <w:ind w:right="94"/>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8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日，公司开始筹划重大资产购买事项，交易标的为哆可梦</w:t>
      </w:r>
      <w:r>
        <w:rPr>
          <w:rFonts w:ascii="Times New Roman" w:hAnsi="Times New Roman" w:cs="Times New Roman" w:eastAsia="Times New Roman" w:hint="default"/>
        </w:rPr>
        <w:t>77.57%</w:t>
      </w:r>
      <w:r>
        <w:rPr/>
        <w:t>股权。信中利赞信为公司担任有限合伙人并持 有 </w:t>
      </w:r>
      <w:r>
        <w:rPr>
          <w:rFonts w:ascii="Times New Roman" w:hAnsi="Times New Roman" w:cs="Times New Roman" w:eastAsia="Times New Roman" w:hint="default"/>
          <w:spacing w:val="-3"/>
        </w:rPr>
        <w:t>32.22%</w:t>
      </w:r>
      <w:r>
        <w:rPr>
          <w:spacing w:val="-3"/>
        </w:rPr>
        <w:t>份额的合伙企业，为公司关联方。本次重大资产购买交易前，信中利赞信持有哆可梦</w:t>
      </w:r>
      <w:r>
        <w:rPr>
          <w:spacing w:val="-26"/>
        </w:rPr>
        <w:t> </w:t>
      </w:r>
      <w:r>
        <w:rPr>
          <w:rFonts w:ascii="Times New Roman" w:hAnsi="Times New Roman" w:cs="Times New Roman" w:eastAsia="Times New Roman" w:hint="default"/>
          <w:spacing w:val="-3"/>
        </w:rPr>
        <w:t>22.43%</w:t>
      </w:r>
      <w:r>
        <w:rPr>
          <w:spacing w:val="-3"/>
        </w:rPr>
        <w:t>股权；本次交易项下，</w:t>
      </w:r>
    </w:p>
    <w:p>
      <w:pPr>
        <w:pStyle w:val="BodyText"/>
        <w:spacing w:line="300" w:lineRule="auto"/>
        <w:ind w:right="189"/>
        <w:jc w:val="both"/>
      </w:pPr>
      <w:r>
        <w:rPr/>
        <w:t>公司向无关联第三方收购哆可梦</w:t>
      </w:r>
      <w:r>
        <w:rPr>
          <w:spacing w:val="-20"/>
        </w:rPr>
        <w:t> </w:t>
      </w:r>
      <w:r>
        <w:rPr>
          <w:rFonts w:ascii="Times New Roman" w:hAnsi="Times New Roman" w:cs="Times New Roman" w:eastAsia="Times New Roman" w:hint="default"/>
        </w:rPr>
        <w:t>77.57%</w:t>
      </w:r>
      <w:r>
        <w:rPr/>
        <w:t>股权。根据《深圳证券交易所股票上市规则》并基于谨慎性原则，公司认为本次交 </w:t>
      </w:r>
      <w:r>
        <w:rPr>
          <w:spacing w:val="-2"/>
        </w:rPr>
        <w:t>易构成与关联方信中利赞信共同投资的关联交易。截止</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20</w:t>
      </w:r>
      <w:r>
        <w:rPr>
          <w:spacing w:val="-2"/>
        </w:rPr>
        <w:t>日，公司本次重大资产购买暨关联交易已实施完毕。截</w:t>
      </w:r>
      <w:r>
        <w:rPr>
          <w:spacing w:val="-58"/>
        </w:rPr>
        <w:t> </w:t>
      </w:r>
      <w:r>
        <w:rPr>
          <w:spacing w:val="-58"/>
        </w:rPr>
      </w:r>
      <w:r>
        <w:rPr/>
        <w:t>止报告期末，信中利赞信已不持有哆可梦</w:t>
      </w:r>
      <w:r>
        <w:rPr>
          <w:rFonts w:ascii="Times New Roman" w:hAnsi="Times New Roman" w:cs="Times New Roman" w:eastAsia="Times New Roman" w:hint="default"/>
        </w:rPr>
        <w:t>22.43%</w:t>
      </w:r>
      <w:r>
        <w:rPr/>
        <w:t>股权。</w:t>
      </w:r>
    </w:p>
    <w:p>
      <w:pPr>
        <w:pStyle w:val="BodyText"/>
        <w:spacing w:line="240" w:lineRule="auto" w:before="53"/>
        <w:ind w:right="94"/>
        <w:jc w:val="left"/>
      </w:pPr>
      <w:r>
        <w:rPr/>
        <w:t>重大关联交易临时报告披露网站相关查询</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4935"/>
        <w:gridCol w:w="1702"/>
        <w:gridCol w:w="3061"/>
      </w:tblGrid>
      <w:tr>
        <w:trPr>
          <w:trHeight w:val="403" w:hRule="exact"/>
        </w:trPr>
        <w:tc>
          <w:tcPr>
            <w:tcW w:w="4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7"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3"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1" w:hRule="exact"/>
        </w:trPr>
        <w:tc>
          <w:tcPr>
            <w:tcW w:w="4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重大资产购买暨关联交易报告书（草案）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5">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3" w:hRule="exact"/>
        </w:trPr>
        <w:tc>
          <w:tcPr>
            <w:tcW w:w="4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重大资产购买暨关联交易报告书（草案</w:t>
            </w:r>
            <w:r>
              <w:rPr>
                <w:rFonts w:ascii="宋体" w:hAnsi="宋体" w:cs="宋体" w:eastAsia="宋体" w:hint="default"/>
                <w:spacing w:val="-92"/>
                <w:sz w:val="18"/>
                <w:szCs w:val="18"/>
              </w:rPr>
              <w:t>）</w:t>
            </w:r>
            <w:r>
              <w:rPr>
                <w:rFonts w:ascii="宋体" w:hAnsi="宋体" w:cs="宋体" w:eastAsia="宋体" w:hint="default"/>
                <w:sz w:val="18"/>
                <w:szCs w:val="18"/>
              </w:rPr>
              <w:t>（修订稿）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5">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1" w:hRule="exact"/>
        </w:trPr>
        <w:tc>
          <w:tcPr>
            <w:tcW w:w="4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重大资产购买暨关联交易报告书（草案</w:t>
            </w:r>
            <w:r>
              <w:rPr>
                <w:rFonts w:ascii="宋体" w:hAnsi="宋体" w:cs="宋体" w:eastAsia="宋体" w:hint="default"/>
                <w:spacing w:val="-92"/>
                <w:sz w:val="18"/>
                <w:szCs w:val="18"/>
              </w:rPr>
              <w:t>）</w:t>
            </w:r>
            <w:r>
              <w:rPr>
                <w:rFonts w:ascii="宋体" w:hAnsi="宋体" w:cs="宋体" w:eastAsia="宋体" w:hint="default"/>
                <w:sz w:val="18"/>
                <w:szCs w:val="18"/>
              </w:rPr>
              <w:t>（二次修订稿）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5">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3" w:hRule="exact"/>
        </w:trPr>
        <w:tc>
          <w:tcPr>
            <w:tcW w:w="4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年第三次临时股东大会决议公告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5">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1" w:hRule="exact"/>
        </w:trPr>
        <w:tc>
          <w:tcPr>
            <w:tcW w:w="4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关于重大资产重组实施完成的公告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5">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94"/>
        <w:jc w:val="left"/>
        <w:rPr>
          <w:b w:val="0"/>
          <w:bCs w:val="0"/>
        </w:rPr>
      </w:pPr>
      <w:r>
        <w:rPr/>
        <w:t>十七、重大合同及其履行情况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after="0" w:line="340" w:lineRule="auto"/>
        <w:jc w:val="left"/>
        <w:sectPr>
          <w:pgSz w:w="11910" w:h="16840"/>
          <w:pgMar w:header="877" w:footer="979" w:top="1100" w:bottom="1160" w:left="980" w:right="940"/>
        </w:sectPr>
      </w:pPr>
    </w:p>
    <w:p>
      <w:pPr>
        <w:spacing w:line="240" w:lineRule="auto" w:before="12"/>
        <w:rPr>
          <w:rFonts w:ascii="宋体" w:hAnsi="宋体" w:cs="宋体" w:eastAsia="宋体" w:hint="default"/>
          <w:sz w:val="20"/>
          <w:szCs w:val="20"/>
        </w:rPr>
      </w:pPr>
    </w:p>
    <w:p>
      <w:pPr>
        <w:pStyle w:val="Heading3"/>
        <w:spacing w:line="240" w:lineRule="auto" w:before="36"/>
        <w:ind w:right="94"/>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7"/>
        <w:rPr>
          <w:rFonts w:ascii="宋体" w:hAnsi="宋体" w:cs="宋体" w:eastAsia="宋体" w:hint="default"/>
          <w:sz w:val="21"/>
          <w:szCs w:val="21"/>
        </w:rPr>
      </w:pPr>
    </w:p>
    <w:p>
      <w:pPr>
        <w:pStyle w:val="Heading3"/>
        <w:spacing w:line="240" w:lineRule="auto"/>
        <w:ind w:right="94"/>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租赁情况说明</w:t>
      </w:r>
    </w:p>
    <w:p>
      <w:pPr>
        <w:pStyle w:val="BodyText"/>
        <w:spacing w:line="300" w:lineRule="auto" w:before="43"/>
        <w:ind w:right="188"/>
        <w:jc w:val="left"/>
      </w:pPr>
      <w:r>
        <w:rPr>
          <w:rFonts w:ascii="Times New Roman" w:hAnsi="Times New Roman" w:cs="Times New Roman" w:eastAsia="Times New Roman" w:hint="default"/>
        </w:rPr>
        <w:t>1</w:t>
      </w:r>
      <w:r>
        <w:rPr/>
        <w:t>、深圳惠程租赁办公楼，</w:t>
      </w:r>
      <w:r>
        <w:rPr>
          <w:spacing w:val="-49"/>
        </w:rPr>
        <w:t> </w:t>
      </w:r>
      <w:r>
        <w:rPr/>
        <w:t>租期</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24</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日期间的月租金为</w:t>
      </w:r>
      <w:r>
        <w:rPr>
          <w:rFonts w:ascii="Times New Roman" w:hAnsi="Times New Roman" w:cs="Times New Roman" w:eastAsia="Times New Roman" w:hint="default"/>
        </w:rPr>
        <w:t>189,422.00</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rFonts w:ascii="Times New Roman" w:hAnsi="Times New Roman" w:cs="Times New Roman" w:eastAsia="Times New Roman" w:hint="default"/>
        </w:rPr>
        <w:t>19</w:t>
      </w:r>
      <w:r>
        <w:rPr/>
        <w:t>日期间，第一年月租金为</w:t>
      </w:r>
      <w:r>
        <w:rPr>
          <w:rFonts w:ascii="Times New Roman" w:hAnsi="Times New Roman" w:cs="Times New Roman" w:eastAsia="Times New Roman" w:hint="default"/>
        </w:rPr>
        <w:t>195,105.00</w:t>
      </w:r>
      <w:r>
        <w:rPr/>
        <w:t>元，第二年月租金为</w:t>
      </w:r>
      <w:r>
        <w:rPr>
          <w:rFonts w:ascii="Times New Roman" w:hAnsi="Times New Roman" w:cs="Times New Roman" w:eastAsia="Times New Roman" w:hint="default"/>
        </w:rPr>
        <w:t>202,909.00</w:t>
      </w:r>
      <w:r>
        <w:rPr/>
        <w:t>元，第三年月租金为</w:t>
      </w:r>
      <w:r>
        <w:rPr>
          <w:rFonts w:ascii="Times New Roman" w:hAnsi="Times New Roman" w:cs="Times New Roman" w:eastAsia="Times New Roman" w:hint="default"/>
        </w:rPr>
        <w:t>213,054.00</w:t>
      </w:r>
      <w:r>
        <w:rPr/>
        <w:t>元（均含税）。 </w:t>
      </w:r>
      <w:r>
        <w:rPr>
          <w:rFonts w:ascii="Times New Roman" w:hAnsi="Times New Roman" w:cs="Times New Roman" w:eastAsia="Times New Roman" w:hint="default"/>
          <w:spacing w:val="-3"/>
        </w:rPr>
        <w:t>2</w:t>
      </w:r>
      <w:r>
        <w:rPr>
          <w:spacing w:val="-3"/>
        </w:rPr>
        <w:t>、子公司北京中汇联银租赁办公楼，</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8</w:t>
      </w:r>
      <w:r>
        <w:rPr>
          <w:spacing w:val="-3"/>
        </w:rPr>
        <w:t>日</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7</w:t>
      </w:r>
      <w:r>
        <w:rPr>
          <w:spacing w:val="-3"/>
        </w:rPr>
        <w:t>日租赁北京市朝阳区幸福二村</w:t>
      </w:r>
      <w:r>
        <w:rPr>
          <w:rFonts w:ascii="Times New Roman" w:hAnsi="Times New Roman" w:cs="Times New Roman" w:eastAsia="Times New Roman" w:hint="default"/>
          <w:spacing w:val="-3"/>
        </w:rPr>
        <w:t>40</w:t>
      </w:r>
      <w:r>
        <w:rPr>
          <w:spacing w:val="-3"/>
        </w:rPr>
        <w:t>号二层，月租金</w:t>
      </w:r>
      <w:r>
        <w:rPr>
          <w:rFonts w:ascii="Times New Roman" w:hAnsi="Times New Roman" w:cs="Times New Roman" w:eastAsia="Times New Roman" w:hint="default"/>
          <w:spacing w:val="-3"/>
        </w:rPr>
        <w:t>165,000.00</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t>元（含税）。</w:t>
      </w:r>
    </w:p>
    <w:p>
      <w:pPr>
        <w:pStyle w:val="BodyText"/>
        <w:spacing w:line="240" w:lineRule="auto" w:before="31"/>
        <w:ind w:right="94"/>
        <w:jc w:val="left"/>
      </w:pPr>
      <w:r>
        <w:rPr>
          <w:rFonts w:ascii="Times New Roman" w:hAnsi="Times New Roman" w:cs="Times New Roman" w:eastAsia="Times New Roman" w:hint="default"/>
        </w:rPr>
        <w:t>3</w:t>
      </w:r>
      <w:r>
        <w:rPr/>
        <w:t>、子公司喀什中汇联银租赁办公楼，租期为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17</w:t>
      </w:r>
      <w:r>
        <w:rPr/>
        <w:t>日，租金合计</w:t>
      </w:r>
      <w:r>
        <w:rPr>
          <w:rFonts w:ascii="Times New Roman" w:hAnsi="Times New Roman" w:cs="Times New Roman" w:eastAsia="Times New Roman" w:hint="default"/>
        </w:rPr>
        <w:t>15,947.00</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w:t>
      </w:r>
      <w:r>
        <w:rPr>
          <w:rFonts w:ascii="Times New Roman" w:hAnsi="Times New Roman" w:cs="Times New Roman" w:eastAsia="Times New Roman" w:hint="default"/>
        </w:rPr>
        <w:t>-2018</w:t>
      </w:r>
      <w:r>
        <w:rPr/>
        <w:t>年</w:t>
      </w:r>
    </w:p>
    <w:p>
      <w:pPr>
        <w:pStyle w:val="BodyText"/>
        <w:spacing w:line="240" w:lineRule="auto" w:before="63"/>
        <w:ind w:right="94"/>
        <w:jc w:val="left"/>
      </w:pP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日租金合计</w:t>
      </w:r>
      <w:r>
        <w:rPr>
          <w:rFonts w:ascii="Times New Roman" w:hAnsi="Times New Roman" w:cs="Times New Roman" w:eastAsia="Times New Roman" w:hint="default"/>
        </w:rPr>
        <w:t>2,000</w:t>
      </w:r>
      <w:r>
        <w:rPr/>
        <w:t>元（均含税）。</w:t>
      </w:r>
    </w:p>
    <w:p>
      <w:pPr>
        <w:pStyle w:val="BodyText"/>
        <w:spacing w:line="300" w:lineRule="auto" w:before="63"/>
        <w:ind w:right="94"/>
        <w:jc w:val="left"/>
      </w:pPr>
      <w:r>
        <w:rPr>
          <w:rFonts w:ascii="Times New Roman" w:hAnsi="Times New Roman" w:cs="Times New Roman" w:eastAsia="Times New Roman" w:hint="default"/>
          <w:spacing w:val="-2"/>
        </w:rPr>
        <w:t>4</w:t>
      </w:r>
      <w:r>
        <w:rPr>
          <w:spacing w:val="-2"/>
        </w:rPr>
        <w:t>、孙公司中行置盛租赁办公楼，租期为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31</w:t>
      </w:r>
      <w:r>
        <w:rPr>
          <w:spacing w:val="-2"/>
        </w:rPr>
        <w:t>日，其中</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31</w:t>
      </w:r>
      <w:r>
        <w:rPr>
          <w:spacing w:val="-2"/>
        </w:rPr>
        <w:t>日为装修改造期，</w:t>
      </w:r>
      <w:r>
        <w:rPr>
          <w:spacing w:val="-48"/>
        </w:rPr>
        <w:t> </w:t>
      </w:r>
      <w:r>
        <w:rPr>
          <w:spacing w:val="-48"/>
        </w:rPr>
      </w:r>
      <w:r>
        <w:rPr/>
        <w:t>在装修改造期内中行置盛无需承担租金。一年房屋租金（剔除两个月免租的装修改造期）共计</w:t>
      </w:r>
      <w:r>
        <w:rPr>
          <w:rFonts w:ascii="Times New Roman" w:hAnsi="Times New Roman" w:cs="Times New Roman" w:eastAsia="Times New Roman" w:hint="default"/>
        </w:rPr>
        <w:t>2,371,200.00</w:t>
      </w:r>
      <w:r>
        <w:rPr/>
        <w:t>元（含税）。 </w:t>
      </w:r>
      <w:r>
        <w:rPr>
          <w:rFonts w:ascii="Times New Roman" w:hAnsi="Times New Roman" w:cs="Times New Roman" w:eastAsia="Times New Roman" w:hint="default"/>
        </w:rPr>
        <w:t>5</w:t>
      </w:r>
      <w:r>
        <w:rPr/>
        <w:t>、报告期内公司及子公司对外出租房产收入共</w:t>
      </w:r>
      <w:r>
        <w:rPr>
          <w:rFonts w:ascii="Times New Roman" w:hAnsi="Times New Roman" w:cs="Times New Roman" w:eastAsia="Times New Roman" w:hint="default"/>
        </w:rPr>
        <w:t>1,649,837.18</w:t>
      </w:r>
      <w:r>
        <w:rPr/>
        <w:t>元（不含税）。</w:t>
      </w:r>
    </w:p>
    <w:p>
      <w:pPr>
        <w:pStyle w:val="BodyText"/>
        <w:spacing w:line="240" w:lineRule="auto" w:before="53"/>
        <w:ind w:right="94"/>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1"/>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94"/>
        <w:jc w:val="left"/>
      </w:pPr>
      <w:r>
        <w:rPr/>
        <w:t>公司报告期不存在为公司带来的损益达到公司报告期利润总额</w:t>
      </w:r>
      <w:r>
        <w:rPr>
          <w:spacing w:val="-43"/>
        </w:rPr>
        <w:t> </w:t>
      </w:r>
      <w:r>
        <w:rPr>
          <w:rFonts w:ascii="Times New Roman" w:hAnsi="Times New Roman" w:cs="Times New Roman" w:eastAsia="Times New Roman" w:hint="default"/>
        </w:rPr>
        <w:t>10%</w:t>
      </w:r>
      <w:r>
        <w:rPr/>
        <w:t>以上的租赁项目。</w:t>
      </w:r>
    </w:p>
    <w:p>
      <w:pPr>
        <w:spacing w:line="240" w:lineRule="auto" w:before="2"/>
        <w:rPr>
          <w:rFonts w:ascii="宋体" w:hAnsi="宋体" w:cs="宋体" w:eastAsia="宋体" w:hint="default"/>
          <w:sz w:val="26"/>
          <w:szCs w:val="26"/>
        </w:rPr>
      </w:pPr>
    </w:p>
    <w:p>
      <w:pPr>
        <w:pStyle w:val="Heading3"/>
        <w:spacing w:line="240" w:lineRule="auto"/>
        <w:ind w:right="94"/>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line="240" w:lineRule="auto" w:before="7"/>
        <w:rPr>
          <w:rFonts w:ascii="宋体" w:hAnsi="宋体" w:cs="宋体" w:eastAsia="宋体" w:hint="default"/>
          <w:sz w:val="21"/>
          <w:szCs w:val="21"/>
        </w:rPr>
      </w:pPr>
    </w:p>
    <w:p>
      <w:pPr>
        <w:pStyle w:val="Heading3"/>
        <w:spacing w:line="240" w:lineRule="auto"/>
        <w:ind w:right="94"/>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79" w:top="1100" w:bottom="1160" w:left="980" w:right="940"/>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940"/>
          <w:cols w:num="2" w:equalWidth="0">
            <w:col w:w="1953" w:space="6787"/>
            <w:col w:w="125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0"/>
        <w:gridCol w:w="1846"/>
      </w:tblGrid>
      <w:tr>
        <w:trPr>
          <w:trHeight w:val="403"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62,144</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16,695.05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62,144</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16,695.05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40"/>
        </w:sectPr>
      </w:pPr>
    </w:p>
    <w:p>
      <w:pPr>
        <w:pStyle w:val="BodyText"/>
        <w:spacing w:line="240" w:lineRule="auto" w:before="74"/>
        <w:ind w:left="140" w:right="-20"/>
        <w:jc w:val="left"/>
      </w:pPr>
      <w:r>
        <w:rPr/>
        <w:pict>
          <v:group style="position:absolute;margin-left:70.559998pt;margin-top:2.191709pt;width:700.95pt;height:.1pt;mso-position-horizontal-relative:page;mso-position-vertical-relative:paragraph;z-index:1768" coordorigin="1411,44" coordsize="14019,2">
            <v:shape style="position:absolute;left:1411;top:44;width:14019;height:2" coordorigin="1411,44" coordsize="14019,0" path="m1411,44l15430,44e" filled="false" stroked="true" strokeweight=".72pt" strokecolor="#000000">
              <v:path arrowok="t"/>
            </v:shape>
            <w10:wrap type="none"/>
          </v:group>
        </w:pict>
      </w:r>
      <w:r>
        <w:rPr/>
        <w:t>单项金额重大或安全性较低、流动性较差、不保本的高风险委托理财具体情况</w:t>
      </w:r>
    </w:p>
    <w:p>
      <w:pPr>
        <w:pStyle w:val="BodyText"/>
        <w:spacing w:line="240" w:lineRule="auto" w:before="117"/>
        <w:ind w:left="140"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3"/>
          <w:szCs w:val="23"/>
        </w:rPr>
      </w:pPr>
    </w:p>
    <w:p>
      <w:pPr>
        <w:pStyle w:val="BodyText"/>
        <w:spacing w:line="240" w:lineRule="auto"/>
        <w:ind w:left="140" w:right="0"/>
        <w:jc w:val="left"/>
      </w:pPr>
      <w:r>
        <w:rPr/>
        <w:t>单位：万元</w:t>
      </w:r>
    </w:p>
    <w:p>
      <w:pPr>
        <w:spacing w:after="0" w:line="240" w:lineRule="auto"/>
        <w:jc w:val="left"/>
        <w:sectPr>
          <w:headerReference w:type="default" r:id="rId26"/>
          <w:footerReference w:type="default" r:id="rId27"/>
          <w:pgSz w:w="16840" w:h="11910" w:orient="landscape"/>
          <w:pgMar w:header="867" w:footer="980" w:top="1060" w:bottom="1160" w:left="1300" w:right="1280"/>
          <w:pgNumType w:start="42"/>
          <w:cols w:num="2" w:equalWidth="0">
            <w:col w:w="6261" w:space="6800"/>
            <w:col w:w="1199"/>
          </w:cols>
        </w:sectPr>
      </w:pPr>
    </w:p>
    <w:p>
      <w:pPr>
        <w:spacing w:line="240" w:lineRule="auto" w:before="3"/>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156"/>
        <w:gridCol w:w="569"/>
        <w:gridCol w:w="850"/>
        <w:gridCol w:w="708"/>
        <w:gridCol w:w="566"/>
        <w:gridCol w:w="1135"/>
        <w:gridCol w:w="992"/>
        <w:gridCol w:w="425"/>
        <w:gridCol w:w="1277"/>
        <w:gridCol w:w="566"/>
        <w:gridCol w:w="710"/>
        <w:gridCol w:w="709"/>
        <w:gridCol w:w="850"/>
        <w:gridCol w:w="869"/>
        <w:gridCol w:w="689"/>
        <w:gridCol w:w="948"/>
      </w:tblGrid>
      <w:tr>
        <w:trPr>
          <w:trHeight w:val="355" w:hRule="exact"/>
        </w:trPr>
        <w:tc>
          <w:tcPr>
            <w:tcW w:w="215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9"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98" w:right="0"/>
              <w:jc w:val="left"/>
              <w:rPr>
                <w:rFonts w:ascii="宋体" w:hAnsi="宋体" w:cs="宋体" w:eastAsia="宋体" w:hint="default"/>
                <w:sz w:val="18"/>
                <w:szCs w:val="18"/>
              </w:rPr>
            </w:pPr>
            <w:r>
              <w:rPr>
                <w:rFonts w:ascii="宋体" w:hAnsi="宋体" w:cs="宋体" w:eastAsia="宋体" w:hint="default"/>
                <w:sz w:val="18"/>
                <w:szCs w:val="18"/>
              </w:rPr>
              <w:t>受托</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tcBorders>
              <w:top w:val="single" w:sz="4" w:space="0" w:color="000000"/>
              <w:left w:val="single" w:sz="4" w:space="0" w:color="000000"/>
              <w:bottom w:val="nil" w:sz="6" w:space="0" w:color="auto"/>
              <w:right w:val="single" w:sz="4" w:space="0" w:color="000000"/>
            </w:tcBorders>
            <w:shd w:val="clear" w:color="auto" w:fill="D2D2D2"/>
          </w:tcPr>
          <w:p>
            <w:pPr/>
          </w:p>
        </w:tc>
        <w:tc>
          <w:tcPr>
            <w:tcW w:w="689" w:type="dxa"/>
            <w:tcBorders>
              <w:top w:val="single" w:sz="4" w:space="0" w:color="000000"/>
              <w:left w:val="single" w:sz="4" w:space="0" w:color="000000"/>
              <w:bottom w:val="nil" w:sz="6" w:space="0" w:color="auto"/>
              <w:right w:val="single" w:sz="4" w:space="0" w:color="000000"/>
            </w:tcBorders>
            <w:shd w:val="clear" w:color="auto" w:fill="D2D2D2"/>
          </w:tcPr>
          <w:p>
            <w:pPr/>
          </w:p>
        </w:tc>
        <w:tc>
          <w:tcPr>
            <w:tcW w:w="94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247" w:hRule="exact"/>
        </w:trPr>
        <w:tc>
          <w:tcPr>
            <w:tcW w:w="21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4"/>
                <w:szCs w:val="24"/>
              </w:rPr>
            </w:pPr>
          </w:p>
          <w:p>
            <w:pPr>
              <w:pStyle w:val="TableParagraph"/>
              <w:spacing w:line="314" w:lineRule="auto"/>
              <w:ind w:left="893" w:right="19" w:hanging="870"/>
              <w:jc w:val="left"/>
              <w:rPr>
                <w:rFonts w:ascii="宋体" w:hAnsi="宋体" w:cs="宋体" w:eastAsia="宋体" w:hint="default"/>
                <w:sz w:val="18"/>
                <w:szCs w:val="18"/>
              </w:rPr>
            </w:pPr>
            <w:r>
              <w:rPr>
                <w:rFonts w:ascii="宋体" w:hAnsi="宋体" w:cs="宋体" w:eastAsia="宋体" w:hint="default"/>
                <w:spacing w:val="-5"/>
                <w:sz w:val="18"/>
                <w:szCs w:val="18"/>
              </w:rPr>
              <w:t>受托机构名称（或受托人姓</w:t>
            </w:r>
            <w:r>
              <w:rPr>
                <w:rFonts w:ascii="宋体" w:hAnsi="宋体" w:cs="宋体" w:eastAsia="宋体" w:hint="default"/>
                <w:sz w:val="18"/>
                <w:szCs w:val="18"/>
              </w:rPr>
              <w:t> 名）</w:t>
            </w:r>
          </w:p>
        </w:tc>
        <w:tc>
          <w:tcPr>
            <w:tcW w:w="5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98" w:right="0"/>
              <w:jc w:val="both"/>
              <w:rPr>
                <w:rFonts w:ascii="宋体" w:hAnsi="宋体" w:cs="宋体" w:eastAsia="宋体" w:hint="default"/>
                <w:sz w:val="18"/>
                <w:szCs w:val="18"/>
              </w:rPr>
            </w:pPr>
            <w:r>
              <w:rPr>
                <w:rFonts w:ascii="宋体" w:hAnsi="宋体" w:cs="宋体" w:eastAsia="宋体" w:hint="default"/>
                <w:sz w:val="18"/>
                <w:szCs w:val="18"/>
              </w:rPr>
              <w:t>机构</w:t>
            </w:r>
          </w:p>
          <w:p>
            <w:pPr>
              <w:pStyle w:val="TableParagraph"/>
              <w:spacing w:line="316" w:lineRule="auto" w:before="76"/>
              <w:ind w:left="24" w:right="23" w:firstLine="74"/>
              <w:jc w:val="both"/>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10"/>
                <w:sz w:val="18"/>
                <w:szCs w:val="18"/>
              </w:rPr>
              <w:t>人）类</w:t>
            </w:r>
          </w:p>
        </w:tc>
        <w:tc>
          <w:tcPr>
            <w:tcW w:w="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7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4"/>
                <w:szCs w:val="24"/>
              </w:rPr>
            </w:pPr>
          </w:p>
          <w:p>
            <w:pPr>
              <w:pStyle w:val="TableParagraph"/>
              <w:spacing w:line="314" w:lineRule="auto"/>
              <w:ind w:left="98" w:right="96"/>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11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9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4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4"/>
                <w:szCs w:val="24"/>
              </w:rPr>
            </w:pPr>
          </w:p>
          <w:p>
            <w:pPr>
              <w:pStyle w:val="TableParagraph"/>
              <w:spacing w:line="314" w:lineRule="auto"/>
              <w:ind w:left="28" w:right="24"/>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报酬确定方式</w:t>
            </w:r>
          </w:p>
        </w:tc>
        <w:tc>
          <w:tcPr>
            <w:tcW w:w="5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1"/>
              <w:ind w:left="98" w:right="96"/>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4"/>
                <w:szCs w:val="24"/>
              </w:rPr>
            </w:pPr>
          </w:p>
          <w:p>
            <w:pPr>
              <w:pStyle w:val="TableParagraph"/>
              <w:spacing w:line="314" w:lineRule="auto"/>
              <w:ind w:left="24" w:right="21" w:firstLine="55"/>
              <w:jc w:val="left"/>
              <w:rPr>
                <w:rFonts w:ascii="宋体" w:hAnsi="宋体" w:cs="宋体" w:eastAsia="宋体" w:hint="default"/>
                <w:sz w:val="18"/>
                <w:szCs w:val="18"/>
              </w:rPr>
            </w:pPr>
            <w:r>
              <w:rPr>
                <w:rFonts w:ascii="宋体" w:hAnsi="宋体" w:cs="宋体" w:eastAsia="宋体" w:hint="default"/>
                <w:sz w:val="18"/>
                <w:szCs w:val="18"/>
              </w:rPr>
              <w:t>预期收 </w:t>
            </w:r>
            <w:r>
              <w:rPr>
                <w:rFonts w:ascii="宋体" w:hAnsi="宋体" w:cs="宋体" w:eastAsia="宋体" w:hint="default"/>
                <w:spacing w:val="-17"/>
                <w:sz w:val="18"/>
                <w:szCs w:val="18"/>
              </w:rPr>
              <w:t>益（如有</w:t>
            </w:r>
          </w:p>
        </w:tc>
        <w:tc>
          <w:tcPr>
            <w:tcW w:w="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77" w:right="79"/>
              <w:jc w:val="both"/>
              <w:rPr>
                <w:rFonts w:ascii="宋体" w:hAnsi="宋体" w:cs="宋体" w:eastAsia="宋体" w:hint="default"/>
                <w:sz w:val="18"/>
                <w:szCs w:val="18"/>
              </w:rPr>
            </w:pPr>
            <w:r>
              <w:rPr>
                <w:rFonts w:ascii="宋体" w:hAnsi="宋体" w:cs="宋体" w:eastAsia="宋体" w:hint="default"/>
                <w:sz w:val="18"/>
                <w:szCs w:val="18"/>
              </w:rPr>
              <w:t>报告期 实际损 益金额</w:t>
            </w:r>
          </w:p>
        </w:tc>
        <w:tc>
          <w:tcPr>
            <w:tcW w:w="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59" w:right="59"/>
              <w:jc w:val="both"/>
              <w:rPr>
                <w:rFonts w:ascii="宋体" w:hAnsi="宋体" w:cs="宋体" w:eastAsia="宋体" w:hint="default"/>
                <w:sz w:val="18"/>
                <w:szCs w:val="18"/>
              </w:rPr>
            </w:pPr>
            <w:r>
              <w:rPr>
                <w:rFonts w:ascii="宋体" w:hAnsi="宋体" w:cs="宋体" w:eastAsia="宋体" w:hint="default"/>
                <w:sz w:val="18"/>
                <w:szCs w:val="18"/>
              </w:rPr>
              <w:t>报告期损 益实际收 回情况</w:t>
            </w:r>
          </w:p>
        </w:tc>
        <w:tc>
          <w:tcPr>
            <w:tcW w:w="8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314" w:lineRule="auto"/>
              <w:ind w:left="69" w:right="67"/>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20"/>
              <w:ind w:left="69"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67" w:right="71"/>
              <w:jc w:val="both"/>
              <w:rPr>
                <w:rFonts w:ascii="宋体" w:hAnsi="宋体" w:cs="宋体" w:eastAsia="宋体" w:hint="default"/>
                <w:sz w:val="18"/>
                <w:szCs w:val="18"/>
              </w:rPr>
            </w:pPr>
            <w:r>
              <w:rPr>
                <w:rFonts w:ascii="宋体" w:hAnsi="宋体" w:cs="宋体" w:eastAsia="宋体" w:hint="default"/>
                <w:sz w:val="18"/>
                <w:szCs w:val="18"/>
              </w:rPr>
              <w:t>是否经 过法定 程序</w:t>
            </w:r>
          </w:p>
        </w:tc>
        <w:tc>
          <w:tcPr>
            <w:tcW w:w="9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107" w:right="108"/>
              <w:jc w:val="both"/>
              <w:rPr>
                <w:rFonts w:ascii="宋体" w:hAnsi="宋体" w:cs="宋体" w:eastAsia="宋体" w:hint="default"/>
                <w:sz w:val="18"/>
                <w:szCs w:val="18"/>
              </w:rPr>
            </w:pPr>
            <w:r>
              <w:rPr>
                <w:rFonts w:ascii="宋体" w:hAnsi="宋体" w:cs="宋体" w:eastAsia="宋体" w:hint="default"/>
                <w:sz w:val="18"/>
                <w:szCs w:val="18"/>
              </w:rPr>
              <w:t>未来是否 还有委托 理财计划</w:t>
            </w:r>
          </w:p>
        </w:tc>
      </w:tr>
      <w:tr>
        <w:trPr>
          <w:trHeight w:val="360" w:hRule="exact"/>
        </w:trPr>
        <w:tc>
          <w:tcPr>
            <w:tcW w:w="215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型</w:t>
            </w: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tcBorders>
              <w:top w:val="nil" w:sz="6" w:space="0" w:color="auto"/>
              <w:left w:val="single" w:sz="4" w:space="0" w:color="000000"/>
              <w:bottom w:val="single" w:sz="4" w:space="0" w:color="000000"/>
              <w:right w:val="single" w:sz="4" w:space="0" w:color="000000"/>
            </w:tcBorders>
            <w:shd w:val="clear" w:color="auto" w:fill="D2D2D2"/>
          </w:tcPr>
          <w:p>
            <w:pPr/>
          </w:p>
        </w:tc>
        <w:tc>
          <w:tcPr>
            <w:tcW w:w="689" w:type="dxa"/>
            <w:tcBorders>
              <w:top w:val="nil" w:sz="6" w:space="0" w:color="auto"/>
              <w:left w:val="single" w:sz="4" w:space="0" w:color="000000"/>
              <w:bottom w:val="single" w:sz="4" w:space="0" w:color="000000"/>
              <w:right w:val="single" w:sz="4" w:space="0" w:color="000000"/>
            </w:tcBorders>
            <w:shd w:val="clear" w:color="auto" w:fill="D2D2D2"/>
          </w:tcPr>
          <w:p>
            <w:pPr/>
          </w:p>
        </w:tc>
        <w:tc>
          <w:tcPr>
            <w:tcW w:w="94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招商银行北京工体支行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0.73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0.73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0.73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招商银行北京工体支行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招商银行北京工体支行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18.13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18.13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18.13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兴业银行深圳分行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65.91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65.91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65.91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兴业银行深圳分行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兴业银行深圳分行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3.91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兴业银行深圳分行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39.51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39.51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兴业银行深圳分行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39.51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39.51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招商银行北京工体支行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21.50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type w:val="continuous"/>
          <w:pgSz w:w="16840" w:h="11910" w:orient="landscape"/>
          <w:pgMar w:top="1060" w:bottom="11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156"/>
        <w:gridCol w:w="569"/>
        <w:gridCol w:w="850"/>
        <w:gridCol w:w="708"/>
        <w:gridCol w:w="566"/>
        <w:gridCol w:w="1135"/>
        <w:gridCol w:w="992"/>
        <w:gridCol w:w="425"/>
        <w:gridCol w:w="1277"/>
        <w:gridCol w:w="566"/>
        <w:gridCol w:w="710"/>
        <w:gridCol w:w="709"/>
        <w:gridCol w:w="850"/>
        <w:gridCol w:w="869"/>
        <w:gridCol w:w="689"/>
        <w:gridCol w:w="948"/>
      </w:tblGrid>
      <w:tr>
        <w:trPr>
          <w:trHeight w:val="730" w:hRule="exact"/>
        </w:trPr>
        <w:tc>
          <w:tcPr>
            <w:tcW w:w="215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招商银行北京工体支行</w:t>
            </w:r>
          </w:p>
        </w:tc>
        <w:tc>
          <w:tcPr>
            <w:tcW w:w="56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51"/>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566"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51"/>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w:t>
            </w:r>
          </w:p>
        </w:tc>
        <w:tc>
          <w:tcPr>
            <w:tcW w:w="71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43.84</w:t>
            </w:r>
          </w:p>
        </w:tc>
        <w:tc>
          <w:tcPr>
            <w:tcW w:w="70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43.84</w:t>
            </w: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43.84</w:t>
            </w:r>
          </w:p>
        </w:tc>
        <w:tc>
          <w:tcPr>
            <w:tcW w:w="86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招商银行北京工体支行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22.33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22.33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22.33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兴业银行深圳分行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2.82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招商银行北京工体支行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4.11%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15.93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招商银行北京工体支行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1" w:right="98"/>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17"/>
              <w:jc w:val="both"/>
              <w:rPr>
                <w:rFonts w:ascii="宋体" w:hAnsi="宋体" w:cs="宋体" w:eastAsia="宋体" w:hint="default"/>
                <w:sz w:val="18"/>
                <w:szCs w:val="18"/>
              </w:rPr>
            </w:pPr>
            <w:r>
              <w:rPr>
                <w:rFonts w:ascii="宋体" w:hAnsi="宋体" w:cs="宋体" w:eastAsia="宋体" w:hint="default"/>
                <w:sz w:val="18"/>
                <w:szCs w:val="18"/>
              </w:rPr>
              <w:t>每月付息一次， 在下月的</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个工 作日内支付</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招商银行北京工体支行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1" w:right="98"/>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每月付息一次， 在下月的</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个工 作日内支付</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28.34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28.34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28.34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招商银行北京工体支行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4.11%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31.87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31.87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31.87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招商银行北京工体支行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招商银行北京工体支行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0.36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招商银行北京工体支行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39.89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39.89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39.89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招商银行北京工体支行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0.60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兴业银行深圳分行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2"/>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196.52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196.52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156"/>
        <w:gridCol w:w="569"/>
        <w:gridCol w:w="850"/>
        <w:gridCol w:w="708"/>
        <w:gridCol w:w="566"/>
        <w:gridCol w:w="1135"/>
        <w:gridCol w:w="992"/>
        <w:gridCol w:w="425"/>
        <w:gridCol w:w="1277"/>
        <w:gridCol w:w="566"/>
        <w:gridCol w:w="710"/>
        <w:gridCol w:w="709"/>
        <w:gridCol w:w="850"/>
        <w:gridCol w:w="869"/>
        <w:gridCol w:w="689"/>
        <w:gridCol w:w="948"/>
      </w:tblGrid>
      <w:tr>
        <w:trPr>
          <w:trHeight w:val="730" w:hRule="exact"/>
        </w:trPr>
        <w:tc>
          <w:tcPr>
            <w:tcW w:w="215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兴业银行深圳分行</w:t>
            </w:r>
          </w:p>
        </w:tc>
        <w:tc>
          <w:tcPr>
            <w:tcW w:w="56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51"/>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566"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51"/>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4.21%</w:t>
            </w:r>
          </w:p>
        </w:tc>
        <w:tc>
          <w:tcPr>
            <w:tcW w:w="71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75.09</w:t>
            </w:r>
          </w:p>
        </w:tc>
        <w:tc>
          <w:tcPr>
            <w:tcW w:w="70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75.09</w:t>
            </w: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75.09</w:t>
            </w:r>
          </w:p>
        </w:tc>
        <w:tc>
          <w:tcPr>
            <w:tcW w:w="86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招商银行北京工体支行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16.28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16.28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招商银行北京工体支行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3,540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11.53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招商银行北京工体支行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55.08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招商银行北京工体支行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2,360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招商银行北京工体支行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1,575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兴业银行深圳分行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98"/>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53.27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53.27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兴业银行深圳分行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8"/>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3.39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兴业银行深圳分行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98"/>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兴业银行深圳分行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8"/>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浦发银行武汉分行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14.27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14.27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浦发银行武汉分行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58.31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58.31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58.31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浦发银行武汉分行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23.32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23.32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156"/>
        <w:gridCol w:w="569"/>
        <w:gridCol w:w="850"/>
        <w:gridCol w:w="708"/>
        <w:gridCol w:w="566"/>
        <w:gridCol w:w="1135"/>
        <w:gridCol w:w="992"/>
        <w:gridCol w:w="425"/>
        <w:gridCol w:w="1277"/>
        <w:gridCol w:w="566"/>
        <w:gridCol w:w="710"/>
        <w:gridCol w:w="709"/>
        <w:gridCol w:w="850"/>
        <w:gridCol w:w="869"/>
        <w:gridCol w:w="689"/>
        <w:gridCol w:w="948"/>
      </w:tblGrid>
      <w:tr>
        <w:trPr>
          <w:trHeight w:val="730" w:hRule="exact"/>
        </w:trPr>
        <w:tc>
          <w:tcPr>
            <w:tcW w:w="215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浦发银行武汉分行</w:t>
            </w:r>
          </w:p>
        </w:tc>
        <w:tc>
          <w:tcPr>
            <w:tcW w:w="56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51"/>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566"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51"/>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4.70%</w:t>
            </w:r>
          </w:p>
        </w:tc>
        <w:tc>
          <w:tcPr>
            <w:tcW w:w="71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15.06</w:t>
            </w:r>
          </w:p>
        </w:tc>
        <w:tc>
          <w:tcPr>
            <w:tcW w:w="70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15.06</w:t>
            </w: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15.06</w:t>
            </w:r>
          </w:p>
        </w:tc>
        <w:tc>
          <w:tcPr>
            <w:tcW w:w="86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浦发银行武汉分行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6.39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浦发银行武汉分行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82.63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82.63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82.63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兴业银行深圳分行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1" w:right="98"/>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10.89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兴业银行深圳分行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98"/>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14.11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14.11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14.11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兴业银行深圳分行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8"/>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兴业银行深圳分行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98"/>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浦发银行武汉分行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兴业银行深圳分行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98"/>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兴业银行深圳分行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8"/>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兴业银行深圳分行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98"/>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0.59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0.59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0.59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兴业银行深圳分行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8"/>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兴业银行深圳分行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98"/>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156"/>
        <w:gridCol w:w="569"/>
        <w:gridCol w:w="850"/>
        <w:gridCol w:w="708"/>
        <w:gridCol w:w="566"/>
        <w:gridCol w:w="1135"/>
        <w:gridCol w:w="992"/>
        <w:gridCol w:w="425"/>
        <w:gridCol w:w="1277"/>
        <w:gridCol w:w="566"/>
        <w:gridCol w:w="710"/>
        <w:gridCol w:w="709"/>
        <w:gridCol w:w="850"/>
        <w:gridCol w:w="869"/>
        <w:gridCol w:w="689"/>
        <w:gridCol w:w="948"/>
      </w:tblGrid>
      <w:tr>
        <w:trPr>
          <w:trHeight w:val="730" w:hRule="exact"/>
        </w:trPr>
        <w:tc>
          <w:tcPr>
            <w:tcW w:w="215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兴业银行深圳分行</w:t>
            </w:r>
          </w:p>
        </w:tc>
        <w:tc>
          <w:tcPr>
            <w:tcW w:w="56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51"/>
              <w:ind w:left="21" w:right="98"/>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0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566"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51"/>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w:t>
            </w:r>
          </w:p>
        </w:tc>
        <w:tc>
          <w:tcPr>
            <w:tcW w:w="71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6.57</w:t>
            </w:r>
          </w:p>
        </w:tc>
        <w:tc>
          <w:tcPr>
            <w:tcW w:w="70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6.57</w:t>
            </w: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6.57</w:t>
            </w:r>
          </w:p>
        </w:tc>
        <w:tc>
          <w:tcPr>
            <w:tcW w:w="86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兴业银行深圳分行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8"/>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38.00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兴业银行深圳分行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98"/>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75.98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75.98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75.98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兴业银行深圳分行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4.64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浦发银行武汉分行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40.40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兴业银行深圳分行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8"/>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169.81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169.81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169.81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兴业银行深圳分行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98"/>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34.19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34.19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34.19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招行丰台科技园支行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8"/>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568.25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招行丰台科技园支行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98"/>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1,136.7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兴业银行深圳分行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8"/>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36.25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36.25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兴业银行深圳分行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98"/>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238.09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238.09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238.09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兴业银行深圳分行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8"/>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58.10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招行丰台科技园支行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295.05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156"/>
        <w:gridCol w:w="569"/>
        <w:gridCol w:w="850"/>
        <w:gridCol w:w="708"/>
        <w:gridCol w:w="566"/>
        <w:gridCol w:w="1135"/>
        <w:gridCol w:w="992"/>
        <w:gridCol w:w="425"/>
        <w:gridCol w:w="1277"/>
        <w:gridCol w:w="566"/>
        <w:gridCol w:w="710"/>
        <w:gridCol w:w="709"/>
        <w:gridCol w:w="850"/>
        <w:gridCol w:w="869"/>
        <w:gridCol w:w="689"/>
        <w:gridCol w:w="948"/>
      </w:tblGrid>
      <w:tr>
        <w:trPr>
          <w:trHeight w:val="730" w:hRule="exact"/>
        </w:trPr>
        <w:tc>
          <w:tcPr>
            <w:tcW w:w="215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平安银行坪山新区支行</w:t>
            </w:r>
          </w:p>
        </w:tc>
        <w:tc>
          <w:tcPr>
            <w:tcW w:w="56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51"/>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566"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51"/>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w:t>
            </w:r>
          </w:p>
        </w:tc>
        <w:tc>
          <w:tcPr>
            <w:tcW w:w="71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0.58</w:t>
            </w:r>
          </w:p>
        </w:tc>
        <w:tc>
          <w:tcPr>
            <w:tcW w:w="70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0.58</w:t>
            </w: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0.58</w:t>
            </w:r>
          </w:p>
        </w:tc>
        <w:tc>
          <w:tcPr>
            <w:tcW w:w="86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平安银行坪山新区支行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4.91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平安银行坪山新区支行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平安银行坪山新区支行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平安银行坪山新区支行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平安银行坪山新区支行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平安银行坪山新区支行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平安银行坪山新区支行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平安银行坪山新区支行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平安银行坪山新区支行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2.23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平安银行坪山新区支行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平安银行坪山新区支行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平安银行坪山新区支行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156"/>
        <w:gridCol w:w="569"/>
        <w:gridCol w:w="850"/>
        <w:gridCol w:w="708"/>
        <w:gridCol w:w="566"/>
        <w:gridCol w:w="1135"/>
        <w:gridCol w:w="992"/>
        <w:gridCol w:w="425"/>
        <w:gridCol w:w="1277"/>
        <w:gridCol w:w="566"/>
        <w:gridCol w:w="710"/>
        <w:gridCol w:w="709"/>
        <w:gridCol w:w="850"/>
        <w:gridCol w:w="869"/>
        <w:gridCol w:w="689"/>
        <w:gridCol w:w="948"/>
      </w:tblGrid>
      <w:tr>
        <w:trPr>
          <w:trHeight w:val="730" w:hRule="exact"/>
        </w:trPr>
        <w:tc>
          <w:tcPr>
            <w:tcW w:w="215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平安银行坪山新区支行</w:t>
            </w:r>
          </w:p>
        </w:tc>
        <w:tc>
          <w:tcPr>
            <w:tcW w:w="56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51"/>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566"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51"/>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3.25%</w:t>
            </w:r>
          </w:p>
        </w:tc>
        <w:tc>
          <w:tcPr>
            <w:tcW w:w="71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w:t>
            </w:r>
          </w:p>
        </w:tc>
        <w:tc>
          <w:tcPr>
            <w:tcW w:w="70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w:t>
            </w: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2.35</w:t>
            </w:r>
          </w:p>
        </w:tc>
        <w:tc>
          <w:tcPr>
            <w:tcW w:w="86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平安银行坪山新区支行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平安银行坪山新区支行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平安银行坪山新区支行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2.69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平安银行坪山新区支行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平安银行坪山新区支行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平安银行坪山新区支行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平安银行坪山新区支行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0.94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0.94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0.94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平安银行坪山新区支行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6.69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平安银行坪山新区支行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平安银行坪山新区支行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0.94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0.94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0.94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平安银行坪山新区支行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6.69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平安银行坪山新区支行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3.35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156"/>
        <w:gridCol w:w="569"/>
        <w:gridCol w:w="850"/>
        <w:gridCol w:w="708"/>
        <w:gridCol w:w="566"/>
        <w:gridCol w:w="1135"/>
        <w:gridCol w:w="992"/>
        <w:gridCol w:w="425"/>
        <w:gridCol w:w="1277"/>
        <w:gridCol w:w="566"/>
        <w:gridCol w:w="710"/>
        <w:gridCol w:w="709"/>
        <w:gridCol w:w="850"/>
        <w:gridCol w:w="869"/>
        <w:gridCol w:w="689"/>
        <w:gridCol w:w="948"/>
      </w:tblGrid>
      <w:tr>
        <w:trPr>
          <w:trHeight w:val="730" w:hRule="exact"/>
        </w:trPr>
        <w:tc>
          <w:tcPr>
            <w:tcW w:w="215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平安银行坪山新区支行</w:t>
            </w:r>
          </w:p>
        </w:tc>
        <w:tc>
          <w:tcPr>
            <w:tcW w:w="56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51"/>
              <w:ind w:left="21" w:right="98"/>
              <w:jc w:val="left"/>
              <w:rPr>
                <w:rFonts w:ascii="宋体" w:hAnsi="宋体" w:cs="宋体" w:eastAsia="宋体" w:hint="default"/>
                <w:sz w:val="18"/>
                <w:szCs w:val="18"/>
              </w:rPr>
            </w:pPr>
            <w:r>
              <w:rPr>
                <w:rFonts w:ascii="宋体" w:hAnsi="宋体" w:cs="宋体" w:eastAsia="宋体" w:hint="default"/>
                <w:sz w:val="18"/>
                <w:szCs w:val="18"/>
              </w:rPr>
              <w:t>保本固定 收益</w:t>
            </w:r>
          </w:p>
        </w:tc>
        <w:tc>
          <w:tcPr>
            <w:tcW w:w="70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566"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51"/>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3.70%</w:t>
            </w:r>
          </w:p>
        </w:tc>
        <w:tc>
          <w:tcPr>
            <w:tcW w:w="71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3.35</w:t>
            </w:r>
          </w:p>
        </w:tc>
        <w:tc>
          <w:tcPr>
            <w:tcW w:w="70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3.35</w:t>
            </w: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3.35</w:t>
            </w:r>
          </w:p>
        </w:tc>
        <w:tc>
          <w:tcPr>
            <w:tcW w:w="86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兴业银行深圳分行营业部</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8"/>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到期还本付息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4.24%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47.34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47.34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47.34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35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442,909</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1,924.16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1,916.19</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left="140" w:right="148"/>
        <w:jc w:val="left"/>
      </w:pPr>
      <w:r>
        <w:rPr/>
        <w:t>委托理财出现预期无法收回本金或存在其他可能导致减值的情形</w:t>
      </w:r>
    </w:p>
    <w:p>
      <w:pPr>
        <w:pStyle w:val="BodyText"/>
        <w:spacing w:line="240" w:lineRule="auto" w:before="115"/>
        <w:ind w:left="140"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left="140" w:right="148"/>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140" w:right="117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3"/>
        <w:rPr>
          <w:rFonts w:ascii="宋体" w:hAnsi="宋体" w:cs="宋体" w:eastAsia="宋体" w:hint="default"/>
          <w:sz w:val="21"/>
          <w:szCs w:val="21"/>
        </w:rPr>
      </w:pPr>
    </w:p>
    <w:p>
      <w:pPr>
        <w:pStyle w:val="Heading3"/>
        <w:spacing w:line="240" w:lineRule="auto"/>
        <w:ind w:left="140" w:right="148"/>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left="140" w:right="113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after="0" w:line="340" w:lineRule="auto"/>
        <w:jc w:val="left"/>
        <w:sectPr>
          <w:pgSz w:w="16840" w:h="11910" w:orient="landscape"/>
          <w:pgMar w:header="867" w:footer="980" w:top="1060" w:bottom="1160" w:left="1300" w:right="1280"/>
        </w:sectPr>
      </w:pPr>
    </w:p>
    <w:p>
      <w:pPr>
        <w:spacing w:line="240" w:lineRule="auto" w:before="10"/>
        <w:rPr>
          <w:rFonts w:ascii="宋体" w:hAnsi="宋体" w:cs="宋体" w:eastAsia="宋体" w:hint="default"/>
          <w:sz w:val="19"/>
          <w:szCs w:val="19"/>
        </w:rPr>
      </w:pPr>
    </w:p>
    <w:p>
      <w:pPr>
        <w:pStyle w:val="Heading2"/>
        <w:spacing w:line="240" w:lineRule="auto" w:before="26"/>
        <w:ind w:right="0"/>
        <w:jc w:val="both"/>
        <w:rPr>
          <w:b w:val="0"/>
          <w:bCs w:val="0"/>
        </w:rPr>
      </w:pPr>
      <w:r>
        <w:rPr/>
        <w:t>十八、社会责任情况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3" w:firstLine="360"/>
        <w:jc w:val="both"/>
      </w:pPr>
      <w:r>
        <w:rPr>
          <w:spacing w:val="-2"/>
        </w:rPr>
        <w:t>公司自成立以来，一直积极履行自身社会责任，公司看重的不仅是经济利益，更重要的是企业和社会的可持续发展。在</w:t>
      </w:r>
      <w:r>
        <w:rPr/>
        <w:t> </w:t>
      </w:r>
      <w:r>
        <w:rPr>
          <w:spacing w:val="-2"/>
        </w:rPr>
        <w:t>生产经营和业务发展的过程中，在为股东创造价值的同时，努力做到经济效益与社会效益、短期利益与长期利益、自身发展</w:t>
      </w:r>
      <w:r>
        <w:rPr>
          <w:spacing w:val="-66"/>
        </w:rPr>
        <w:t> </w:t>
      </w:r>
      <w:r>
        <w:rPr>
          <w:spacing w:val="-66"/>
        </w:rPr>
      </w:r>
      <w:r>
        <w:rPr/>
        <w:t>与社会发展协调统一，实现公司与员工、公司与社会、公司与环境的健康和谐发展。</w:t>
      </w:r>
    </w:p>
    <w:p>
      <w:pPr>
        <w:pStyle w:val="BodyText"/>
        <w:spacing w:line="316" w:lineRule="auto" w:before="19"/>
        <w:ind w:right="190" w:firstLine="360"/>
        <w:jc w:val="both"/>
      </w:pPr>
      <w:r>
        <w:rPr>
          <w:spacing w:val="-2"/>
        </w:rPr>
        <w:t>在股东和债权人权益保护方面，公司严格按照《公司法》、《证券法》、《公司章程》和其他有关法律法规的要求，结</w:t>
      </w:r>
      <w:r>
        <w:rPr/>
        <w:t> </w:t>
      </w:r>
      <w:r>
        <w:rPr>
          <w:spacing w:val="-2"/>
        </w:rPr>
        <w:t>合公司实际，建立了规范的法人治理结构，规范股东大会的召集、召开及表决程序，通过现场、网络等合法有效的方式，让</w:t>
      </w:r>
      <w:r>
        <w:rPr>
          <w:spacing w:val="-70"/>
        </w:rPr>
        <w:t> </w:t>
      </w:r>
      <w:r>
        <w:rPr>
          <w:spacing w:val="-70"/>
        </w:rPr>
      </w:r>
      <w:r>
        <w:rPr>
          <w:spacing w:val="-2"/>
        </w:rPr>
        <w:t>更多的股东特别是中小股东能够参加股东大会，确保股东对公司重大事项的知情权、参与权和表决权。公司认真履行信息披</w:t>
      </w:r>
      <w:r>
        <w:rPr>
          <w:spacing w:val="-63"/>
        </w:rPr>
        <w:t> </w:t>
      </w:r>
      <w:r>
        <w:rPr>
          <w:spacing w:val="-63"/>
        </w:rPr>
      </w:r>
      <w:r>
        <w:rPr/>
        <w:t>露义务，秉持公平、公正、公开的原则对待全体投资者和债权人，维护广大投资者和债权人的利益。</w:t>
      </w:r>
    </w:p>
    <w:p>
      <w:pPr>
        <w:pStyle w:val="BodyText"/>
        <w:spacing w:line="307" w:lineRule="auto" w:before="19"/>
        <w:ind w:right="94" w:firstLine="360"/>
        <w:jc w:val="left"/>
      </w:pPr>
      <w:r>
        <w:rPr/>
        <w:t>在职工权益保护方面，公司不断完善劳动用工与福利保障的相关管理制度，尊重和维护员工的个人权益，对人员录用、 </w:t>
      </w:r>
      <w:r>
        <w:rPr>
          <w:spacing w:val="-2"/>
        </w:rPr>
        <w:t>员工培训、工资薪酬、福利保障等进行了详细规定，建立了较为完善的绩效考核体系。公司通过多种渠道和途径改善员工工</w:t>
      </w:r>
      <w:r>
        <w:rPr>
          <w:spacing w:val="-64"/>
        </w:rPr>
        <w:t> </w:t>
      </w:r>
      <w:r>
        <w:rPr>
          <w:spacing w:val="-64"/>
        </w:rPr>
      </w:r>
      <w:r>
        <w:rPr>
          <w:spacing w:val="-2"/>
        </w:rPr>
        <w:t>作环境和生活环境，重视人才培训和培养，实现员工与公司的共同成长，切实维护员工的合法权益。报告期内，公司电气事</w:t>
      </w:r>
      <w:r>
        <w:rPr>
          <w:spacing w:val="-67"/>
        </w:rPr>
        <w:t> </w:t>
      </w:r>
      <w:r>
        <w:rPr>
          <w:spacing w:val="-67"/>
        </w:rPr>
      </w:r>
      <w:r>
        <w:rPr/>
        <w:t>业部成套车间一名员工罹患急性髓系白血病，公司在第一时间向全体员工发起了</w:t>
      </w:r>
      <w:r>
        <w:rPr>
          <w:rFonts w:ascii="Times New Roman" w:hAnsi="Times New Roman" w:cs="Times New Roman" w:eastAsia="Times New Roman" w:hint="default"/>
        </w:rPr>
        <w:t>“</w:t>
      </w:r>
      <w:r>
        <w:rPr/>
        <w:t>爱心募捐</w:t>
      </w:r>
      <w:r>
        <w:rPr>
          <w:rFonts w:ascii="Times New Roman" w:hAnsi="Times New Roman" w:cs="Times New Roman" w:eastAsia="Times New Roman" w:hint="default"/>
        </w:rPr>
        <w:t>”</w:t>
      </w:r>
      <w:r>
        <w:rPr/>
        <w:t>倡议书，提出了</w:t>
      </w:r>
      <w:r>
        <w:rPr>
          <w:rFonts w:ascii="Times New Roman" w:hAnsi="Times New Roman" w:cs="Times New Roman" w:eastAsia="Times New Roman" w:hint="default"/>
        </w:rPr>
        <w:t>“</w:t>
      </w:r>
      <w:r>
        <w:rPr/>
        <w:t>同心携手</w:t>
      </w:r>
      <w:r>
        <w:rPr>
          <w:rFonts w:ascii="Times New Roman" w:hAnsi="Times New Roman" w:cs="Times New Roman" w:eastAsia="Times New Roman" w:hint="default"/>
        </w:rPr>
        <w:t>•</w:t>
      </w:r>
      <w:r>
        <w:rPr/>
        <w:t>为爱</w:t>
      </w:r>
      <w:r>
        <w:rPr>
          <w:spacing w:val="2"/>
        </w:rPr>
        <w:t> </w:t>
      </w:r>
      <w:r>
        <w:rPr>
          <w:spacing w:val="-2"/>
        </w:rPr>
        <w:t>传递</w:t>
      </w:r>
      <w:r>
        <w:rPr>
          <w:rFonts w:ascii="Times New Roman" w:hAnsi="Times New Roman" w:cs="Times New Roman" w:eastAsia="Times New Roman" w:hint="default"/>
          <w:spacing w:val="-2"/>
        </w:rPr>
        <w:t>”</w:t>
      </w:r>
      <w:r>
        <w:rPr>
          <w:spacing w:val="-2"/>
        </w:rPr>
        <w:t>的献爱心活动，短短几天里共募集善款近</w:t>
      </w:r>
      <w:r>
        <w:rPr>
          <w:rFonts w:ascii="Times New Roman" w:hAnsi="Times New Roman" w:cs="Times New Roman" w:eastAsia="Times New Roman" w:hint="default"/>
          <w:spacing w:val="-2"/>
        </w:rPr>
        <w:t>7</w:t>
      </w:r>
      <w:r>
        <w:rPr>
          <w:spacing w:val="-2"/>
        </w:rPr>
        <w:t>万元人民币。此外，为加强企业文化建设，增强集体凝聚力，丰富员工文化</w:t>
      </w:r>
      <w:r>
        <w:rPr>
          <w:spacing w:val="-55"/>
        </w:rPr>
        <w:t> </w:t>
      </w:r>
      <w:r>
        <w:rPr>
          <w:spacing w:val="-55"/>
        </w:rPr>
      </w:r>
      <w:r>
        <w:rPr/>
        <w:t>生活，报告期内公司还组织员工参加</w:t>
      </w:r>
      <w:r>
        <w:rPr>
          <w:rFonts w:ascii="Times New Roman" w:hAnsi="Times New Roman" w:cs="Times New Roman" w:eastAsia="Times New Roman" w:hint="default"/>
        </w:rPr>
        <w:t>“2017</w:t>
      </w:r>
      <w:r>
        <w:rPr/>
        <w:t>欢乐跑</w:t>
      </w:r>
      <w:r>
        <w:rPr>
          <w:rFonts w:ascii="Times New Roman" w:hAnsi="Times New Roman" w:cs="Times New Roman" w:eastAsia="Times New Roman" w:hint="default"/>
        </w:rPr>
        <w:t>·</w:t>
      </w:r>
      <w:r>
        <w:rPr/>
        <w:t>中国</w:t>
      </w:r>
      <w:r>
        <w:rPr>
          <w:rFonts w:ascii="Times New Roman" w:hAnsi="Times New Roman" w:cs="Times New Roman" w:eastAsia="Times New Roman" w:hint="default"/>
        </w:rPr>
        <w:t>10</w:t>
      </w:r>
      <w:r>
        <w:rPr/>
        <w:t>公里锦标赛</w:t>
      </w:r>
      <w:r>
        <w:rPr>
          <w:rFonts w:ascii="Times New Roman" w:hAnsi="Times New Roman" w:cs="Times New Roman" w:eastAsia="Times New Roman" w:hint="default"/>
        </w:rPr>
        <w:t>” </w:t>
      </w:r>
      <w:r>
        <w:rPr/>
        <w:t>、</w:t>
      </w:r>
      <w:r>
        <w:rPr>
          <w:rFonts w:ascii="Times New Roman" w:hAnsi="Times New Roman" w:cs="Times New Roman" w:eastAsia="Times New Roman" w:hint="default"/>
        </w:rPr>
        <w:t>2017</w:t>
      </w:r>
      <w:r>
        <w:rPr/>
        <w:t>年惠程电气</w:t>
      </w:r>
      <w:r>
        <w:rPr>
          <w:rFonts w:ascii="Times New Roman" w:hAnsi="Times New Roman" w:cs="Times New Roman" w:eastAsia="Times New Roman" w:hint="default"/>
        </w:rPr>
        <w:t>“</w:t>
      </w:r>
      <w:r>
        <w:rPr/>
        <w:t>谁羽争锋 </w:t>
      </w:r>
      <w:r>
        <w:rPr>
          <w:rFonts w:ascii="Times New Roman" w:hAnsi="Times New Roman" w:cs="Times New Roman" w:eastAsia="Times New Roman" w:hint="default"/>
        </w:rPr>
        <w:t>•</w:t>
      </w:r>
      <w:r>
        <w:rPr>
          <w:rFonts w:ascii="Times New Roman" w:hAnsi="Times New Roman" w:cs="Times New Roman" w:eastAsia="Times New Roman" w:hint="default"/>
          <w:spacing w:val="-14"/>
        </w:rPr>
        <w:t> </w:t>
      </w:r>
      <w:r>
        <w:rPr/>
        <w:t>迎五一</w:t>
      </w:r>
      <w:r>
        <w:rPr>
          <w:rFonts w:ascii="Times New Roman" w:hAnsi="Times New Roman" w:cs="Times New Roman" w:eastAsia="Times New Roman" w:hint="default"/>
        </w:rPr>
        <w:t>”</w:t>
      </w:r>
      <w:r>
        <w:rPr/>
        <w:t>羽毛球比赛、 </w:t>
      </w:r>
      <w:r>
        <w:rPr>
          <w:rFonts w:ascii="Times New Roman" w:hAnsi="Times New Roman" w:cs="Times New Roman" w:eastAsia="Times New Roman" w:hint="default"/>
          <w:spacing w:val="-2"/>
        </w:rPr>
        <w:t>2017</w:t>
      </w:r>
      <w:r>
        <w:rPr>
          <w:spacing w:val="-2"/>
        </w:rPr>
        <w:t>惠程电气</w:t>
      </w:r>
      <w:r>
        <w:rPr>
          <w:rFonts w:ascii="Times New Roman" w:hAnsi="Times New Roman" w:cs="Times New Roman" w:eastAsia="Times New Roman" w:hint="default"/>
          <w:spacing w:val="-2"/>
        </w:rPr>
        <w:t>“</w:t>
      </w:r>
      <w:r>
        <w:rPr>
          <w:spacing w:val="-2"/>
        </w:rPr>
        <w:t>爱乒才会赢</w:t>
      </w:r>
      <w:r>
        <w:rPr>
          <w:rFonts w:ascii="Times New Roman" w:hAnsi="Times New Roman" w:cs="Times New Roman" w:eastAsia="Times New Roman" w:hint="default"/>
          <w:spacing w:val="-2"/>
        </w:rPr>
        <w:t>”</w:t>
      </w:r>
      <w:r>
        <w:rPr>
          <w:spacing w:val="-2"/>
        </w:rPr>
        <w:t>乒乓球比赛、银湖山郊野公园徒步穿越活动、</w:t>
      </w:r>
      <w:r>
        <w:rPr>
          <w:rFonts w:ascii="Times New Roman" w:hAnsi="Times New Roman" w:cs="Times New Roman" w:eastAsia="Times New Roman" w:hint="default"/>
          <w:spacing w:val="-2"/>
        </w:rPr>
        <w:t>2017</w:t>
      </w:r>
      <w:r>
        <w:rPr>
          <w:spacing w:val="-2"/>
        </w:rPr>
        <w:t>年惠程电气安全知识竞赛、</w:t>
      </w:r>
      <w:r>
        <w:rPr>
          <w:rFonts w:ascii="Times New Roman" w:hAnsi="Times New Roman" w:cs="Times New Roman" w:eastAsia="Times New Roman" w:hint="default"/>
          <w:spacing w:val="-2"/>
        </w:rPr>
        <w:t>2017</w:t>
      </w:r>
      <w:r>
        <w:rPr>
          <w:spacing w:val="-2"/>
        </w:rPr>
        <w:t>年惠程电气跳</w:t>
      </w:r>
      <w:r>
        <w:rPr>
          <w:spacing w:val="-39"/>
        </w:rPr>
        <w:t> </w:t>
      </w:r>
      <w:r>
        <w:rPr>
          <w:spacing w:val="-39"/>
        </w:rPr>
      </w:r>
      <w:r>
        <w:rPr/>
        <w:t>绳比赛、九月惠程家人生日会等活动。</w:t>
      </w:r>
    </w:p>
    <w:p>
      <w:pPr>
        <w:pStyle w:val="BodyText"/>
        <w:spacing w:line="312" w:lineRule="auto" w:before="26"/>
        <w:ind w:right="94" w:firstLine="360"/>
        <w:jc w:val="left"/>
      </w:pPr>
      <w:r>
        <w:rPr>
          <w:spacing w:val="-2"/>
        </w:rPr>
        <w:t>在供应商、客户和消费者权益保护方面，公司建立了一整套输配电设备采购和销售服务体系，确保产品质量，方便用户</w:t>
      </w:r>
      <w:r>
        <w:rPr/>
        <w:t> 使用，获得了较高的客户满意度和忠诚度。公司进一步加强了对服务工作的重视，健全和完善了服务管理体制和运行机制， </w:t>
      </w:r>
      <w:r>
        <w:rPr>
          <w:spacing w:val="-2"/>
        </w:rPr>
        <w:t>做到服务与经营工作同步推进，完善了客户意见反馈机制、投诉处理机制和快速响应机制，</w:t>
      </w:r>
      <w:r>
        <w:rPr>
          <w:rFonts w:ascii="Times New Roman" w:hAnsi="Times New Roman" w:cs="Times New Roman" w:eastAsia="Times New Roman" w:hint="default"/>
          <w:spacing w:val="-2"/>
        </w:rPr>
        <w:t>“</w:t>
      </w:r>
      <w:r>
        <w:rPr>
          <w:spacing w:val="-2"/>
        </w:rPr>
        <w:t>以客户为中心</w:t>
      </w:r>
      <w:r>
        <w:rPr>
          <w:rFonts w:ascii="Times New Roman" w:hAnsi="Times New Roman" w:cs="Times New Roman" w:eastAsia="Times New Roman" w:hint="default"/>
          <w:spacing w:val="-2"/>
        </w:rPr>
        <w:t>”</w:t>
      </w:r>
      <w:r>
        <w:rPr>
          <w:spacing w:val="-2"/>
        </w:rPr>
        <w:t>的服务管理新体</w:t>
      </w:r>
      <w:r>
        <w:rPr>
          <w:spacing w:val="-43"/>
        </w:rPr>
        <w:t> </w:t>
      </w:r>
      <w:r>
        <w:rPr>
          <w:spacing w:val="-43"/>
        </w:rPr>
      </w:r>
      <w:r>
        <w:rPr/>
        <w:t>系、新机制日趋完善。</w:t>
      </w:r>
    </w:p>
    <w:p>
      <w:pPr>
        <w:pStyle w:val="BodyText"/>
        <w:spacing w:line="316" w:lineRule="auto" w:before="22"/>
        <w:ind w:right="192" w:firstLine="360"/>
        <w:jc w:val="both"/>
      </w:pPr>
      <w:r>
        <w:rPr>
          <w:spacing w:val="-2"/>
        </w:rPr>
        <w:t>在环境保护与可持续发展方面，公司将环境保护和节能减排作为可持续发展战略的重要内容，注重环保宣传和全体人员</w:t>
      </w:r>
      <w:r>
        <w:rPr/>
        <w:t> </w:t>
      </w:r>
      <w:r>
        <w:rPr>
          <w:spacing w:val="-2"/>
        </w:rPr>
        <w:t>环保意识的提高，树立绿色发展和低碳发展的理念，坚持守法自律、清洁生产、节约资源、保护环境、可持续发展，加大对</w:t>
      </w:r>
      <w:r>
        <w:rPr>
          <w:spacing w:val="-72"/>
        </w:rPr>
        <w:t> </w:t>
      </w:r>
      <w:r>
        <w:rPr>
          <w:spacing w:val="-72"/>
        </w:rPr>
      </w:r>
      <w:r>
        <w:rPr/>
        <w:t>新材料、新技术、新能源的探索，以改进生产工艺，实现生产全过程绿色化、低碳化。</w:t>
      </w:r>
    </w:p>
    <w:p>
      <w:pPr>
        <w:pStyle w:val="BodyText"/>
        <w:spacing w:line="316" w:lineRule="auto" w:before="59"/>
        <w:ind w:right="190" w:firstLine="288"/>
        <w:jc w:val="both"/>
      </w:pPr>
      <w:r>
        <w:rPr>
          <w:spacing w:val="-1"/>
        </w:rPr>
        <w:t>在公共关系、社会公益事业方面，公司多年前就成立了惠程股份义工协会，自成立以来一直积极组织员工参与各项爱心</w:t>
      </w:r>
      <w:r>
        <w:rPr/>
        <w:t> 活动，希望把关爱的惠程文化传播给身边每一个人，感召更多的人参与到义工活动中来。</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）精准扶贫规划</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4774"/>
        <w:jc w:val="left"/>
      </w:pPr>
      <w:r>
        <w:rPr/>
        <w:t>上市公司及其子公司是否属于环境保护部门公布的重点排污单位 否</w:t>
      </w:r>
    </w:p>
    <w:p>
      <w:pPr>
        <w:pStyle w:val="BodyText"/>
        <w:spacing w:line="316" w:lineRule="auto" w:before="27"/>
        <w:ind w:right="192"/>
        <w:jc w:val="both"/>
      </w:pPr>
      <w:r>
        <w:rPr>
          <w:spacing w:val="-2"/>
        </w:rPr>
        <w:t>公司不属于环境保护部门公布的重点排污单位，在环境保护方面，公司将环境保护和节能减排作为可持续发展战略的重要内</w:t>
      </w:r>
      <w:r>
        <w:rPr>
          <w:spacing w:val="-64"/>
        </w:rPr>
        <w:t> </w:t>
      </w:r>
      <w:r>
        <w:rPr>
          <w:spacing w:val="-64"/>
        </w:rPr>
      </w:r>
      <w:r>
        <w:rPr>
          <w:spacing w:val="-2"/>
        </w:rPr>
        <w:t>容，注重环保宣传和全体人员环保意识的提高，树立绿色发展和低碳发展的理念，坚持守法自律、清洁生产、节约资源、保</w:t>
      </w:r>
      <w:r>
        <w:rPr>
          <w:spacing w:val="-70"/>
        </w:rPr>
        <w:t> </w:t>
      </w:r>
      <w:r>
        <w:rPr>
          <w:spacing w:val="-70"/>
        </w:rPr>
      </w:r>
      <w:r>
        <w:rPr/>
        <w:t>护环境、可持续发展，加大对新材料、新技术、新能源的探索，以改进生产工艺，实现生产全过程绿色化、低碳化。</w:t>
      </w:r>
    </w:p>
    <w:p>
      <w:pPr>
        <w:spacing w:after="0" w:line="316" w:lineRule="auto"/>
        <w:jc w:val="both"/>
        <w:sectPr>
          <w:headerReference w:type="default" r:id="rId28"/>
          <w:footerReference w:type="default" r:id="rId29"/>
          <w:pgSz w:w="11910" w:h="16840"/>
          <w:pgMar w:header="877" w:footer="979" w:top="1100" w:bottom="1160" w:left="980" w:right="940"/>
          <w:pgNumType w:start="50"/>
        </w:sectPr>
      </w:pPr>
    </w:p>
    <w:p>
      <w:pPr>
        <w:spacing w:line="240" w:lineRule="auto" w:before="10"/>
        <w:rPr>
          <w:rFonts w:ascii="宋体" w:hAnsi="宋体" w:cs="宋体" w:eastAsia="宋体" w:hint="default"/>
          <w:sz w:val="19"/>
          <w:szCs w:val="19"/>
        </w:rPr>
      </w:pPr>
    </w:p>
    <w:p>
      <w:pPr>
        <w:pStyle w:val="Heading2"/>
        <w:spacing w:line="240" w:lineRule="auto" w:before="26"/>
        <w:ind w:right="153"/>
        <w:jc w:val="left"/>
        <w:rPr>
          <w:b w:val="0"/>
          <w:bCs w:val="0"/>
        </w:rPr>
      </w:pPr>
      <w:r>
        <w:rPr/>
        <w:t>十九、其他重大事项的说明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850"/>
        <w:gridCol w:w="4976"/>
        <w:gridCol w:w="1313"/>
        <w:gridCol w:w="2521"/>
      </w:tblGrid>
      <w:tr>
        <w:trPr>
          <w:trHeight w:val="534" w:hRule="exact"/>
        </w:trPr>
        <w:tc>
          <w:tcPr>
            <w:tcW w:w="8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公告编号</w:t>
            </w:r>
          </w:p>
        </w:tc>
        <w:tc>
          <w:tcPr>
            <w:tcW w:w="49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sz w:val="18"/>
                <w:szCs w:val="18"/>
              </w:rPr>
              <w:t>公告名称</w:t>
            </w:r>
          </w:p>
        </w:tc>
        <w:tc>
          <w:tcPr>
            <w:tcW w:w="131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left="29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5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查询索引</w:t>
            </w:r>
          </w:p>
        </w:tc>
      </w:tr>
      <w:tr>
        <w:trPr>
          <w:trHeight w:val="547"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2017-001</w:t>
            </w:r>
          </w:p>
        </w:tc>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关于产业并购基金第三次对外投资进展情况的公告</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5">
              <w:r>
                <w:rPr>
                  <w:rFonts w:ascii="Times New Roman" w:hAnsi="Times New Roman" w:cs="Times New Roman" w:eastAsia="Times New Roman" w:hint="default"/>
                  <w:sz w:val="18"/>
                  <w:szCs w:val="18"/>
                </w:rPr>
                <w:t>www.cninfo.com.cn</w:t>
              </w:r>
            </w:hyperlink>
          </w:p>
        </w:tc>
      </w:tr>
      <w:tr>
        <w:trPr>
          <w:trHeight w:val="547"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2017-010</w:t>
            </w:r>
          </w:p>
        </w:tc>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关于控股股东部分股份进行质押式回购交易的公告</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5">
              <w:r>
                <w:rPr>
                  <w:rFonts w:ascii="Times New Roman" w:hAnsi="Times New Roman" w:cs="Times New Roman" w:eastAsia="Times New Roman" w:hint="default"/>
                  <w:sz w:val="18"/>
                  <w:szCs w:val="18"/>
                </w:rPr>
                <w:t>www.cninfo.com.cn</w:t>
              </w:r>
            </w:hyperlink>
          </w:p>
        </w:tc>
      </w:tr>
      <w:tr>
        <w:trPr>
          <w:trHeight w:val="547"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2017-013</w:t>
            </w:r>
          </w:p>
        </w:tc>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关于坏账核销的公告</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5">
              <w:r>
                <w:rPr>
                  <w:rFonts w:ascii="Times New Roman" w:hAnsi="Times New Roman" w:cs="Times New Roman" w:eastAsia="Times New Roman" w:hint="default"/>
                  <w:sz w:val="18"/>
                  <w:szCs w:val="18"/>
                </w:rPr>
                <w:t>www.cninfo.com.cn</w:t>
              </w:r>
            </w:hyperlink>
          </w:p>
        </w:tc>
      </w:tr>
      <w:tr>
        <w:trPr>
          <w:trHeight w:val="548"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2017-014</w:t>
            </w:r>
          </w:p>
        </w:tc>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关于产业并购基金第四次对外投资进展情况的公告</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5">
              <w:r>
                <w:rPr>
                  <w:rFonts w:ascii="Times New Roman" w:hAnsi="Times New Roman" w:cs="Times New Roman" w:eastAsia="Times New Roman" w:hint="default"/>
                  <w:sz w:val="18"/>
                  <w:szCs w:val="18"/>
                </w:rPr>
                <w:t>www.cninfo.com.cn</w:t>
              </w:r>
            </w:hyperlink>
          </w:p>
        </w:tc>
      </w:tr>
      <w:tr>
        <w:trPr>
          <w:trHeight w:val="547"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2017-051</w:t>
            </w:r>
          </w:p>
        </w:tc>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关于公司股东股份解除质押的公告</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5">
              <w:r>
                <w:rPr>
                  <w:rFonts w:ascii="Times New Roman" w:hAnsi="Times New Roman" w:cs="Times New Roman" w:eastAsia="Times New Roman" w:hint="default"/>
                  <w:sz w:val="18"/>
                  <w:szCs w:val="18"/>
                </w:rPr>
                <w:t>www.cninfo.com.cn</w:t>
              </w:r>
            </w:hyperlink>
          </w:p>
        </w:tc>
      </w:tr>
      <w:tr>
        <w:trPr>
          <w:trHeight w:val="547"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2017-054</w:t>
            </w:r>
          </w:p>
        </w:tc>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关于产业并购基金处置投资项目的公告</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9"/>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5">
              <w:r>
                <w:rPr>
                  <w:rFonts w:ascii="Times New Roman" w:hAnsi="Times New Roman" w:cs="Times New Roman" w:eastAsia="Times New Roman" w:hint="default"/>
                  <w:sz w:val="18"/>
                  <w:szCs w:val="18"/>
                </w:rPr>
                <w:t>www.cninfo.com.cn</w:t>
              </w:r>
            </w:hyperlink>
          </w:p>
        </w:tc>
      </w:tr>
      <w:tr>
        <w:trPr>
          <w:trHeight w:val="547"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2017-056</w:t>
            </w:r>
          </w:p>
        </w:tc>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关于第一大股东及其一致行动人完成增持公司股份计划的公告</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9"/>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5">
              <w:r>
                <w:rPr>
                  <w:rFonts w:ascii="Times New Roman" w:hAnsi="Times New Roman" w:cs="Times New Roman" w:eastAsia="Times New Roman" w:hint="default"/>
                  <w:sz w:val="18"/>
                  <w:szCs w:val="18"/>
                </w:rPr>
                <w:t>www.cninfo.com.cn</w:t>
              </w:r>
            </w:hyperlink>
          </w:p>
        </w:tc>
      </w:tr>
      <w:tr>
        <w:trPr>
          <w:trHeight w:val="737"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2017-060</w:t>
            </w:r>
          </w:p>
        </w:tc>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1"/>
              <w:jc w:val="left"/>
              <w:rPr>
                <w:rFonts w:ascii="宋体" w:hAnsi="宋体" w:cs="宋体" w:eastAsia="宋体" w:hint="default"/>
                <w:sz w:val="18"/>
                <w:szCs w:val="18"/>
              </w:rPr>
            </w:pPr>
            <w:r>
              <w:rPr>
                <w:rFonts w:ascii="宋体" w:hAnsi="宋体" w:cs="宋体" w:eastAsia="宋体" w:hint="default"/>
                <w:spacing w:val="-4"/>
                <w:sz w:val="18"/>
                <w:szCs w:val="18"/>
              </w:rPr>
              <w:t>关于控股股东及其一致行动人、实际控制人避免同业竞争承诺履</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行情况的公告</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9"/>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5">
              <w:r>
                <w:rPr>
                  <w:rFonts w:ascii="Times New Roman" w:hAnsi="Times New Roman" w:cs="Times New Roman" w:eastAsia="Times New Roman" w:hint="default"/>
                  <w:sz w:val="18"/>
                  <w:szCs w:val="18"/>
                </w:rPr>
                <w:t>www.cninfo.com.cn</w:t>
              </w:r>
            </w:hyperlink>
          </w:p>
        </w:tc>
      </w:tr>
      <w:tr>
        <w:trPr>
          <w:trHeight w:val="547"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2017-062</w:t>
            </w:r>
          </w:p>
        </w:tc>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关于产业并购基金处置投资项目的进展公告</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9"/>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5">
              <w:r>
                <w:rPr>
                  <w:rFonts w:ascii="Times New Roman" w:hAnsi="Times New Roman" w:cs="Times New Roman" w:eastAsia="Times New Roman" w:hint="default"/>
                  <w:sz w:val="18"/>
                  <w:szCs w:val="18"/>
                </w:rPr>
                <w:t>www.cninfo.com.cn</w:t>
              </w:r>
            </w:hyperlink>
          </w:p>
        </w:tc>
      </w:tr>
      <w:tr>
        <w:trPr>
          <w:trHeight w:val="548"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2017-064</w:t>
            </w:r>
          </w:p>
        </w:tc>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关于股东部分股份进行质押式回购交易的公告</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9"/>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5">
              <w:r>
                <w:rPr>
                  <w:rFonts w:ascii="Times New Roman" w:hAnsi="Times New Roman" w:cs="Times New Roman" w:eastAsia="Times New Roman" w:hint="default"/>
                  <w:sz w:val="18"/>
                  <w:szCs w:val="18"/>
                </w:rPr>
                <w:t>www.cninfo.com.cn</w:t>
              </w:r>
            </w:hyperlink>
          </w:p>
        </w:tc>
      </w:tr>
      <w:tr>
        <w:trPr>
          <w:trHeight w:val="547"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2017-066</w:t>
            </w:r>
          </w:p>
        </w:tc>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关于监事辞职的公告</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9"/>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5">
              <w:r>
                <w:rPr>
                  <w:rFonts w:ascii="Times New Roman" w:hAnsi="Times New Roman" w:cs="Times New Roman" w:eastAsia="Times New Roman" w:hint="default"/>
                  <w:sz w:val="18"/>
                  <w:szCs w:val="18"/>
                </w:rPr>
                <w:t>www.cninfo.com.cn</w:t>
              </w:r>
            </w:hyperlink>
          </w:p>
        </w:tc>
      </w:tr>
      <w:tr>
        <w:trPr>
          <w:trHeight w:val="547"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2017-067</w:t>
            </w:r>
          </w:p>
        </w:tc>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关于控股股东部分股份进行质押式回购交易的公告</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5">
              <w:r>
                <w:rPr>
                  <w:rFonts w:ascii="Times New Roman" w:hAnsi="Times New Roman" w:cs="Times New Roman" w:eastAsia="Times New Roman" w:hint="default"/>
                  <w:sz w:val="18"/>
                  <w:szCs w:val="18"/>
                </w:rPr>
                <w:t>www.cninfo.com.cn</w:t>
              </w:r>
            </w:hyperlink>
          </w:p>
        </w:tc>
      </w:tr>
      <w:tr>
        <w:trPr>
          <w:trHeight w:val="547"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2017-078</w:t>
            </w:r>
          </w:p>
        </w:tc>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关于公司董事会秘书变更的公告</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5">
              <w:r>
                <w:rPr>
                  <w:rFonts w:ascii="Times New Roman" w:hAnsi="Times New Roman" w:cs="Times New Roman" w:eastAsia="Times New Roman" w:hint="default"/>
                  <w:sz w:val="18"/>
                  <w:szCs w:val="18"/>
                </w:rPr>
                <w:t>www.cninfo.com.cn</w:t>
              </w:r>
            </w:hyperlink>
          </w:p>
        </w:tc>
      </w:tr>
      <w:tr>
        <w:trPr>
          <w:trHeight w:val="547"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2017-079</w:t>
            </w:r>
          </w:p>
        </w:tc>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关于拟变更公司监事的公告</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5">
              <w:r>
                <w:rPr>
                  <w:rFonts w:ascii="Times New Roman" w:hAnsi="Times New Roman" w:cs="Times New Roman" w:eastAsia="Times New Roman" w:hint="default"/>
                  <w:sz w:val="18"/>
                  <w:szCs w:val="18"/>
                </w:rPr>
                <w:t>www.cninfo.com.cn</w:t>
              </w:r>
            </w:hyperlink>
          </w:p>
        </w:tc>
      </w:tr>
      <w:tr>
        <w:trPr>
          <w:trHeight w:val="547"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2017-093</w:t>
            </w:r>
          </w:p>
        </w:tc>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关于项目中标的公告</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5">
              <w:r>
                <w:rPr>
                  <w:rFonts w:ascii="Times New Roman" w:hAnsi="Times New Roman" w:cs="Times New Roman" w:eastAsia="Times New Roman" w:hint="default"/>
                  <w:sz w:val="18"/>
                  <w:szCs w:val="18"/>
                </w:rPr>
                <w:t>www.cninfo.com.cn</w:t>
              </w:r>
            </w:hyperlink>
          </w:p>
        </w:tc>
      </w:tr>
      <w:tr>
        <w:trPr>
          <w:trHeight w:val="548"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2017-097</w:t>
            </w:r>
          </w:p>
        </w:tc>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关于重大资产重组项目独立财务顾问主办人</w:t>
            </w:r>
            <w:r>
              <w:rPr>
                <w:rFonts w:ascii="宋体" w:hAnsi="宋体" w:cs="宋体" w:eastAsia="宋体" w:hint="default"/>
                <w:spacing w:val="-87"/>
                <w:sz w:val="18"/>
                <w:szCs w:val="18"/>
              </w:rPr>
              <w:t>、</w:t>
            </w:r>
            <w:r>
              <w:rPr>
                <w:rFonts w:ascii="宋体" w:hAnsi="宋体" w:cs="宋体" w:eastAsia="宋体" w:hint="default"/>
                <w:sz w:val="18"/>
                <w:szCs w:val="18"/>
              </w:rPr>
              <w:t>协办人变更的公告</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59"/>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5">
              <w:r>
                <w:rPr>
                  <w:rFonts w:ascii="Times New Roman" w:hAnsi="Times New Roman" w:cs="Times New Roman" w:eastAsia="Times New Roman" w:hint="default"/>
                  <w:sz w:val="18"/>
                  <w:szCs w:val="18"/>
                </w:rPr>
                <w:t>www.cninfo.com.cn</w:t>
              </w:r>
            </w:hyperlink>
          </w:p>
        </w:tc>
      </w:tr>
      <w:tr>
        <w:trPr>
          <w:trHeight w:val="547"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2017-102</w:t>
            </w:r>
          </w:p>
        </w:tc>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关于产业并购基金处置投资项目的进展公告（二）</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5">
              <w:r>
                <w:rPr>
                  <w:rFonts w:ascii="Times New Roman" w:hAnsi="Times New Roman" w:cs="Times New Roman" w:eastAsia="Times New Roman" w:hint="default"/>
                  <w:sz w:val="18"/>
                  <w:szCs w:val="18"/>
                </w:rPr>
                <w:t>www.cninfo.com.cn</w:t>
              </w:r>
            </w:hyperlink>
          </w:p>
        </w:tc>
      </w:tr>
      <w:tr>
        <w:trPr>
          <w:trHeight w:val="547"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2017-132</w:t>
            </w:r>
          </w:p>
        </w:tc>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关于产业并购基金第二次处置投资项目的公告</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5">
              <w:r>
                <w:rPr>
                  <w:rFonts w:ascii="Times New Roman" w:hAnsi="Times New Roman" w:cs="Times New Roman" w:eastAsia="Times New Roman" w:hint="default"/>
                  <w:sz w:val="18"/>
                  <w:szCs w:val="18"/>
                </w:rPr>
                <w:t>www.cninfo.com.cn</w:t>
              </w:r>
            </w:hyperlink>
          </w:p>
        </w:tc>
      </w:tr>
      <w:tr>
        <w:trPr>
          <w:trHeight w:val="547"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2017-139</w:t>
            </w:r>
          </w:p>
        </w:tc>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关于通过国家高新技术企业复审的公告</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5">
              <w:r>
                <w:rPr>
                  <w:rFonts w:ascii="Times New Roman" w:hAnsi="Times New Roman" w:cs="Times New Roman" w:eastAsia="Times New Roman" w:hint="default"/>
                  <w:sz w:val="18"/>
                  <w:szCs w:val="18"/>
                </w:rPr>
                <w:t>www.cninfo.com.cn</w:t>
              </w:r>
            </w:hyperlink>
          </w:p>
        </w:tc>
      </w:tr>
      <w:tr>
        <w:trPr>
          <w:trHeight w:val="545"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2017-142</w:t>
            </w:r>
          </w:p>
        </w:tc>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关于产业并购基金第三次处置投资项目的公告</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5">
              <w:r>
                <w:rPr>
                  <w:rFonts w:ascii="Times New Roman" w:hAnsi="Times New Roman" w:cs="Times New Roman" w:eastAsia="Times New Roman" w:hint="default"/>
                  <w:sz w:val="18"/>
                  <w:szCs w:val="18"/>
                </w:rPr>
                <w:t>www.cninfo.com.cn</w:t>
              </w:r>
            </w:hyperlink>
          </w:p>
        </w:tc>
      </w:tr>
      <w:tr>
        <w:trPr>
          <w:trHeight w:val="550"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2017-149</w:t>
            </w:r>
          </w:p>
        </w:tc>
        <w:tc>
          <w:tcPr>
            <w:tcW w:w="4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关于签署并购贷款相关合同的公告</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5">
              <w:r>
                <w:rPr>
                  <w:rFonts w:ascii="Times New Roman" w:hAnsi="Times New Roman" w:cs="Times New Roman" w:eastAsia="Times New Roman" w:hint="default"/>
                  <w:sz w:val="18"/>
                  <w:szCs w:val="18"/>
                </w:rPr>
                <w:t>www.cninfo.com.cn</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0"/>
        <w:rPr>
          <w:rFonts w:ascii="宋体" w:hAnsi="宋体" w:cs="宋体" w:eastAsia="宋体" w:hint="default"/>
          <w:sz w:val="19"/>
          <w:szCs w:val="19"/>
        </w:rPr>
      </w:pPr>
    </w:p>
    <w:p>
      <w:pPr>
        <w:pStyle w:val="Heading2"/>
        <w:spacing w:line="240" w:lineRule="auto" w:before="26"/>
        <w:ind w:right="94"/>
        <w:jc w:val="left"/>
        <w:rPr>
          <w:b w:val="0"/>
          <w:bCs w:val="0"/>
        </w:rPr>
      </w:pPr>
      <w:r>
        <w:rPr/>
        <w:t>二十、公司子公司重大事项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right="191" w:firstLine="504"/>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月，经公司第五届董事会第四十五次会议审议批准，孙公司中行置盛向关联方九立方租赁办公场所，相关租 </w:t>
      </w:r>
      <w:r>
        <w:rPr>
          <w:spacing w:val="-1"/>
        </w:rPr>
        <w:t>赁事项公司已于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29</w:t>
      </w:r>
      <w:r>
        <w:rPr>
          <w:spacing w:val="-1"/>
        </w:rPr>
        <w:t>日在巨潮资讯网（</w:t>
      </w:r>
      <w:hyperlink r:id="rId15">
        <w:r>
          <w:rPr>
            <w:rFonts w:ascii="Times New Roman" w:hAnsi="Times New Roman" w:cs="Times New Roman" w:eastAsia="Times New Roman" w:hint="default"/>
            <w:spacing w:val="-1"/>
          </w:rPr>
          <w:t>www.cninfo.com.cn</w:t>
        </w:r>
      </w:hyperlink>
      <w:r>
        <w:rPr>
          <w:spacing w:val="-1"/>
        </w:rPr>
        <w:t>）发布《关于孙公司中行置盛投资（北京）有限公司向关</w:t>
      </w:r>
      <w:r>
        <w:rPr>
          <w:spacing w:val="-49"/>
        </w:rPr>
        <w:t> </w:t>
      </w:r>
      <w:r>
        <w:rPr>
          <w:spacing w:val="-49"/>
        </w:rPr>
      </w:r>
      <w:r>
        <w:rPr/>
        <w:t>联方租赁办公场所的公告》（公告编号：</w:t>
      </w:r>
      <w:r>
        <w:rPr>
          <w:rFonts w:ascii="Times New Roman" w:hAnsi="Times New Roman" w:cs="Times New Roman" w:eastAsia="Times New Roman" w:hint="default"/>
        </w:rPr>
        <w:t>2017-036</w:t>
      </w:r>
      <w:r>
        <w:rPr/>
        <w:t>）对外进行披露。截止本报告披露日，公司正与九立方协商续租事宜。</w:t>
      </w:r>
    </w:p>
    <w:p>
      <w:pPr>
        <w:pStyle w:val="BodyText"/>
        <w:spacing w:line="300" w:lineRule="auto" w:before="13"/>
        <w:ind w:right="94" w:firstLine="288"/>
        <w:jc w:val="left"/>
      </w:pP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8</w:t>
      </w:r>
      <w:r>
        <w:rPr>
          <w:spacing w:val="-3"/>
        </w:rPr>
        <w:t>月，经公司总裁办公会审议批准，子公司喀什中汇联银以不超过</w:t>
      </w:r>
      <w:r>
        <w:rPr>
          <w:rFonts w:ascii="Times New Roman" w:hAnsi="Times New Roman" w:cs="Times New Roman" w:eastAsia="Times New Roman" w:hint="default"/>
          <w:spacing w:val="-3"/>
        </w:rPr>
        <w:t>4,200</w:t>
      </w:r>
      <w:r>
        <w:rPr>
          <w:spacing w:val="-3"/>
        </w:rPr>
        <w:t>万元人民币价格受让取得爱酷游约</w:t>
      </w:r>
      <w:r>
        <w:rPr>
          <w:rFonts w:ascii="Times New Roman" w:hAnsi="Times New Roman" w:cs="Times New Roman" w:eastAsia="Times New Roman" w:hint="default"/>
          <w:spacing w:val="-3"/>
        </w:rPr>
        <w:t>4%</w:t>
      </w:r>
      <w:r>
        <w:rPr>
          <w:spacing w:val="-3"/>
        </w:rPr>
        <w:t>股权。</w:t>
      </w:r>
      <w:r>
        <w:rPr/>
        <w:t> 截止本报告披露日，相关股权已过户到喀什中汇联银名下。</w:t>
      </w:r>
    </w:p>
    <w:p>
      <w:pPr>
        <w:pStyle w:val="BodyText"/>
        <w:spacing w:line="300" w:lineRule="auto" w:before="31"/>
        <w:ind w:right="184"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月，经公司总裁办公会审议批准，子公司喀什中汇联银以</w:t>
      </w:r>
      <w:r>
        <w:rPr>
          <w:rFonts w:ascii="Times New Roman" w:hAnsi="Times New Roman" w:cs="Times New Roman" w:eastAsia="Times New Roman" w:hint="default"/>
        </w:rPr>
        <w:t>300</w:t>
      </w:r>
      <w:r>
        <w:rPr/>
        <w:t>万元人民币向深圳久久益资产管理有限公司（以 下简称</w:t>
      </w:r>
      <w:r>
        <w:rPr>
          <w:rFonts w:ascii="Times New Roman" w:hAnsi="Times New Roman" w:cs="Times New Roman" w:eastAsia="Times New Roman" w:hint="default"/>
        </w:rPr>
        <w:t>“</w:t>
      </w:r>
      <w:r>
        <w:rPr/>
        <w:t>久久益</w:t>
      </w:r>
      <w:r>
        <w:rPr>
          <w:rFonts w:ascii="Times New Roman" w:hAnsi="Times New Roman" w:cs="Times New Roman" w:eastAsia="Times New Roman" w:hint="default"/>
        </w:rPr>
        <w:t>”</w:t>
      </w:r>
      <w:r>
        <w:rPr/>
        <w:t>）进行增资，获得久久益</w:t>
      </w:r>
      <w:r>
        <w:rPr>
          <w:rFonts w:ascii="Times New Roman" w:hAnsi="Times New Roman" w:cs="Times New Roman" w:eastAsia="Times New Roman" w:hint="default"/>
        </w:rPr>
        <w:t>0.5908%</w:t>
      </w:r>
      <w:r>
        <w:rPr/>
        <w:t>股权。截止本报告披露日，该笔增资已完成工商变更登记手续。</w:t>
      </w:r>
    </w:p>
    <w:p>
      <w:pPr>
        <w:spacing w:after="0" w:line="300" w:lineRule="auto"/>
        <w:jc w:val="left"/>
        <w:sectPr>
          <w:pgSz w:w="11910" w:h="16840"/>
          <w:pgMar w:header="877" w:footer="979" w:top="110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2964" w:right="153"/>
        <w:jc w:val="left"/>
        <w:rPr>
          <w:b w:val="0"/>
          <w:bCs w:val="0"/>
        </w:rPr>
      </w:pPr>
      <w:bookmarkStart w:name="_bookmark4" w:id="5"/>
      <w:bookmarkEnd w:id="5"/>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53"/>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单位：股</w:t>
      </w:r>
    </w:p>
    <w:p>
      <w:pPr>
        <w:spacing w:line="240" w:lineRule="auto" w:before="4"/>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2157"/>
        <w:gridCol w:w="967"/>
        <w:gridCol w:w="758"/>
        <w:gridCol w:w="768"/>
        <w:gridCol w:w="744"/>
        <w:gridCol w:w="754"/>
        <w:gridCol w:w="926"/>
        <w:gridCol w:w="927"/>
        <w:gridCol w:w="955"/>
        <w:gridCol w:w="730"/>
      </w:tblGrid>
      <w:tr>
        <w:trPr>
          <w:trHeight w:val="402" w:hRule="exact"/>
        </w:trPr>
        <w:tc>
          <w:tcPr>
            <w:tcW w:w="21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7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1"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5"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3" w:hRule="exact"/>
        </w:trPr>
        <w:tc>
          <w:tcPr>
            <w:tcW w:w="2157" w:type="dxa"/>
            <w:vMerge w:val="restart"/>
            <w:tcBorders>
              <w:top w:val="nil" w:sz="6" w:space="0" w:color="auto"/>
              <w:left w:val="single" w:sz="4" w:space="0" w:color="000000"/>
              <w:right w:val="single" w:sz="4" w:space="0" w:color="000000"/>
            </w:tcBorders>
            <w:shd w:val="clear" w:color="auto" w:fill="D2D2D2"/>
          </w:tcPr>
          <w:p>
            <w:pPr/>
          </w:p>
        </w:tc>
        <w:tc>
          <w:tcPr>
            <w:tcW w:w="967"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 w:type="dxa"/>
            <w:tcBorders>
              <w:top w:val="single" w:sz="4" w:space="0" w:color="000000"/>
              <w:left w:val="single" w:sz="4" w:space="0" w:color="000000"/>
              <w:bottom w:val="nil" w:sz="6" w:space="0" w:color="auto"/>
              <w:right w:val="single" w:sz="4" w:space="0" w:color="000000"/>
            </w:tcBorders>
            <w:shd w:val="clear" w:color="auto" w:fill="D2D2D2"/>
          </w:tcPr>
          <w:p>
            <w:pPr/>
          </w:p>
        </w:tc>
        <w:tc>
          <w:tcPr>
            <w:tcW w:w="76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90" w:right="107"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744" w:type="dxa"/>
            <w:tcBorders>
              <w:top w:val="single" w:sz="4" w:space="0" w:color="000000"/>
              <w:left w:val="single" w:sz="4" w:space="0" w:color="000000"/>
              <w:bottom w:val="nil" w:sz="6" w:space="0" w:color="auto"/>
              <w:right w:val="single" w:sz="4" w:space="0" w:color="000000"/>
            </w:tcBorders>
            <w:shd w:val="clear" w:color="auto" w:fill="D2D2D2"/>
          </w:tcPr>
          <w:p>
            <w:pPr/>
          </w:p>
        </w:tc>
        <w:tc>
          <w:tcPr>
            <w:tcW w:w="75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91" w:right="98" w:hanging="89"/>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926" w:type="dxa"/>
            <w:tcBorders>
              <w:top w:val="single" w:sz="4" w:space="0" w:color="000000"/>
              <w:left w:val="single" w:sz="4" w:space="0" w:color="000000"/>
              <w:bottom w:val="nil" w:sz="6" w:space="0" w:color="auto"/>
              <w:right w:val="single" w:sz="4" w:space="0" w:color="000000"/>
            </w:tcBorders>
            <w:shd w:val="clear" w:color="auto" w:fill="D2D2D2"/>
          </w:tcPr>
          <w:p>
            <w:pPr/>
          </w:p>
        </w:tc>
        <w:tc>
          <w:tcPr>
            <w:tcW w:w="927" w:type="dxa"/>
            <w:tcBorders>
              <w:top w:val="single" w:sz="4" w:space="0" w:color="000000"/>
              <w:left w:val="single" w:sz="4" w:space="0" w:color="000000"/>
              <w:bottom w:val="nil" w:sz="6" w:space="0" w:color="auto"/>
              <w:right w:val="single" w:sz="4" w:space="0" w:color="000000"/>
            </w:tcBorders>
            <w:shd w:val="clear" w:color="auto" w:fill="D2D2D2"/>
          </w:tcPr>
          <w:p>
            <w:pPr/>
          </w:p>
        </w:tc>
        <w:tc>
          <w:tcPr>
            <w:tcW w:w="9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3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2157" w:type="dxa"/>
            <w:vMerge/>
            <w:tcBorders>
              <w:left w:val="single" w:sz="4" w:space="0" w:color="000000"/>
              <w:bottom w:val="nil" w:sz="6" w:space="0" w:color="auto"/>
              <w:right w:val="single" w:sz="4" w:space="0" w:color="000000"/>
            </w:tcBorders>
            <w:shd w:val="clear" w:color="auto" w:fill="D2D2D2"/>
          </w:tcPr>
          <w:p>
            <w:pPr/>
          </w:p>
        </w:tc>
        <w:tc>
          <w:tcPr>
            <w:tcW w:w="9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0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8" w:type="dxa"/>
            <w:vMerge/>
            <w:tcBorders>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54" w:type="dxa"/>
            <w:vMerge/>
            <w:tcBorders>
              <w:left w:val="single" w:sz="4" w:space="0" w:color="000000"/>
              <w:right w:val="single" w:sz="4" w:space="0" w:color="000000"/>
            </w:tcBorders>
            <w:shd w:val="clear" w:color="auto" w:fill="D2D2D2"/>
          </w:tcPr>
          <w:p>
            <w:pPr/>
          </w:p>
        </w:tc>
        <w:tc>
          <w:tcPr>
            <w:tcW w:w="9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7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7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9"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157" w:type="dxa"/>
            <w:vMerge w:val="restart"/>
            <w:tcBorders>
              <w:top w:val="nil" w:sz="6" w:space="0" w:color="auto"/>
              <w:left w:val="single" w:sz="4" w:space="0" w:color="000000"/>
              <w:right w:val="single" w:sz="4" w:space="0" w:color="000000"/>
            </w:tcBorders>
            <w:shd w:val="clear" w:color="auto" w:fill="D2D2D2"/>
          </w:tcPr>
          <w:p>
            <w:pPr/>
          </w:p>
        </w:tc>
        <w:tc>
          <w:tcPr>
            <w:tcW w:w="967" w:type="dxa"/>
            <w:vMerge/>
            <w:tcBorders>
              <w:left w:val="single" w:sz="4" w:space="0" w:color="000000"/>
              <w:bottom w:val="nil" w:sz="6" w:space="0" w:color="auto"/>
              <w:right w:val="single" w:sz="4" w:space="0" w:color="000000"/>
            </w:tcBorders>
            <w:shd w:val="clear" w:color="auto" w:fill="D2D2D2"/>
          </w:tcPr>
          <w:p>
            <w:pPr/>
          </w:p>
        </w:tc>
        <w:tc>
          <w:tcPr>
            <w:tcW w:w="758" w:type="dxa"/>
            <w:vMerge/>
            <w:tcBorders>
              <w:left w:val="single" w:sz="4" w:space="0" w:color="000000"/>
              <w:bottom w:val="nil" w:sz="6" w:space="0" w:color="auto"/>
              <w:right w:val="single" w:sz="4" w:space="0" w:color="000000"/>
            </w:tcBorders>
            <w:shd w:val="clear" w:color="auto" w:fill="D2D2D2"/>
          </w:tcPr>
          <w:p>
            <w:pPr/>
          </w:p>
        </w:tc>
        <w:tc>
          <w:tcPr>
            <w:tcW w:w="768" w:type="dxa"/>
            <w:vMerge/>
            <w:tcBorders>
              <w:left w:val="single" w:sz="4" w:space="0" w:color="000000"/>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754" w:type="dxa"/>
            <w:vMerge/>
            <w:tcBorders>
              <w:left w:val="single" w:sz="4" w:space="0" w:color="000000"/>
              <w:right w:val="single" w:sz="4" w:space="0" w:color="000000"/>
            </w:tcBorders>
            <w:shd w:val="clear" w:color="auto" w:fill="D2D2D2"/>
          </w:tcPr>
          <w:p>
            <w:pPr/>
          </w:p>
        </w:tc>
        <w:tc>
          <w:tcPr>
            <w:tcW w:w="926" w:type="dxa"/>
            <w:vMerge/>
            <w:tcBorders>
              <w:left w:val="single" w:sz="4" w:space="0" w:color="000000"/>
              <w:bottom w:val="nil" w:sz="6" w:space="0" w:color="auto"/>
              <w:right w:val="single" w:sz="4" w:space="0" w:color="000000"/>
            </w:tcBorders>
            <w:shd w:val="clear" w:color="auto" w:fill="D2D2D2"/>
          </w:tcPr>
          <w:p>
            <w:pPr/>
          </w:p>
        </w:tc>
        <w:tc>
          <w:tcPr>
            <w:tcW w:w="927" w:type="dxa"/>
            <w:vMerge/>
            <w:tcBorders>
              <w:left w:val="single" w:sz="4" w:space="0" w:color="000000"/>
              <w:bottom w:val="nil" w:sz="6" w:space="0" w:color="auto"/>
              <w:right w:val="single" w:sz="4" w:space="0" w:color="000000"/>
            </w:tcBorders>
            <w:shd w:val="clear" w:color="auto" w:fill="D2D2D2"/>
          </w:tcPr>
          <w:p>
            <w:pPr/>
          </w:p>
        </w:tc>
        <w:tc>
          <w:tcPr>
            <w:tcW w:w="955" w:type="dxa"/>
            <w:vMerge/>
            <w:tcBorders>
              <w:left w:val="single" w:sz="4" w:space="0" w:color="000000"/>
              <w:bottom w:val="nil" w:sz="6" w:space="0" w:color="auto"/>
              <w:right w:val="single" w:sz="4" w:space="0" w:color="000000"/>
            </w:tcBorders>
            <w:shd w:val="clear" w:color="auto" w:fill="D2D2D2"/>
          </w:tcPr>
          <w:p>
            <w:pPr/>
          </w:p>
        </w:tc>
        <w:tc>
          <w:tcPr>
            <w:tcW w:w="73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157" w:type="dxa"/>
            <w:vMerge/>
            <w:tcBorders>
              <w:left w:val="single" w:sz="4" w:space="0" w:color="000000"/>
              <w:bottom w:val="single" w:sz="4" w:space="0" w:color="000000"/>
              <w:right w:val="single" w:sz="4" w:space="0" w:color="000000"/>
            </w:tcBorders>
            <w:shd w:val="clear" w:color="auto" w:fill="D2D2D2"/>
          </w:tcPr>
          <w:p>
            <w:pPr/>
          </w:p>
        </w:tc>
        <w:tc>
          <w:tcPr>
            <w:tcW w:w="967" w:type="dxa"/>
            <w:tcBorders>
              <w:top w:val="nil" w:sz="6" w:space="0" w:color="auto"/>
              <w:left w:val="single" w:sz="4" w:space="0" w:color="000000"/>
              <w:bottom w:val="single" w:sz="4" w:space="0" w:color="000000"/>
              <w:right w:val="single" w:sz="4" w:space="0" w:color="000000"/>
            </w:tcBorders>
            <w:shd w:val="clear" w:color="auto" w:fill="D2D2D2"/>
          </w:tcPr>
          <w:p>
            <w:pPr/>
          </w:p>
        </w:tc>
        <w:tc>
          <w:tcPr>
            <w:tcW w:w="758" w:type="dxa"/>
            <w:tcBorders>
              <w:top w:val="nil" w:sz="6" w:space="0" w:color="auto"/>
              <w:left w:val="single" w:sz="4" w:space="0" w:color="000000"/>
              <w:bottom w:val="single" w:sz="4" w:space="0" w:color="000000"/>
              <w:right w:val="single" w:sz="4" w:space="0" w:color="000000"/>
            </w:tcBorders>
            <w:shd w:val="clear" w:color="auto" w:fill="D2D2D2"/>
          </w:tcPr>
          <w:p>
            <w:pPr/>
          </w:p>
        </w:tc>
        <w:tc>
          <w:tcPr>
            <w:tcW w:w="768" w:type="dxa"/>
            <w:vMerge/>
            <w:tcBorders>
              <w:left w:val="single" w:sz="4" w:space="0" w:color="000000"/>
              <w:bottom w:val="single" w:sz="4" w:space="0" w:color="000000"/>
              <w:right w:val="single" w:sz="4" w:space="0" w:color="000000"/>
            </w:tcBorders>
            <w:shd w:val="clear" w:color="auto" w:fill="D2D2D2"/>
          </w:tcPr>
          <w:p>
            <w:pPr/>
          </w:p>
        </w:tc>
        <w:tc>
          <w:tcPr>
            <w:tcW w:w="744" w:type="dxa"/>
            <w:tcBorders>
              <w:top w:val="nil" w:sz="6" w:space="0" w:color="auto"/>
              <w:left w:val="single" w:sz="4" w:space="0" w:color="000000"/>
              <w:bottom w:val="single" w:sz="4" w:space="0" w:color="000000"/>
              <w:right w:val="single" w:sz="4" w:space="0" w:color="000000"/>
            </w:tcBorders>
            <w:shd w:val="clear" w:color="auto" w:fill="D2D2D2"/>
          </w:tcPr>
          <w:p>
            <w:pPr/>
          </w:p>
        </w:tc>
        <w:tc>
          <w:tcPr>
            <w:tcW w:w="754" w:type="dxa"/>
            <w:vMerge/>
            <w:tcBorders>
              <w:left w:val="single" w:sz="4" w:space="0" w:color="000000"/>
              <w:bottom w:val="single" w:sz="4" w:space="0" w:color="000000"/>
              <w:right w:val="single" w:sz="4" w:space="0" w:color="000000"/>
            </w:tcBorders>
            <w:shd w:val="clear" w:color="auto" w:fill="D2D2D2"/>
          </w:tcPr>
          <w:p>
            <w:pPr/>
          </w:p>
        </w:tc>
        <w:tc>
          <w:tcPr>
            <w:tcW w:w="926" w:type="dxa"/>
            <w:tcBorders>
              <w:top w:val="nil" w:sz="6" w:space="0" w:color="auto"/>
              <w:left w:val="single" w:sz="4" w:space="0" w:color="000000"/>
              <w:bottom w:val="single" w:sz="4" w:space="0" w:color="000000"/>
              <w:right w:val="single" w:sz="4" w:space="0" w:color="000000"/>
            </w:tcBorders>
            <w:shd w:val="clear" w:color="auto" w:fill="D2D2D2"/>
          </w:tcPr>
          <w:p>
            <w:pPr/>
          </w:p>
        </w:tc>
        <w:tc>
          <w:tcPr>
            <w:tcW w:w="927" w:type="dxa"/>
            <w:tcBorders>
              <w:top w:val="nil" w:sz="6" w:space="0" w:color="auto"/>
              <w:left w:val="single" w:sz="4" w:space="0" w:color="000000"/>
              <w:bottom w:val="single" w:sz="4" w:space="0" w:color="000000"/>
              <w:right w:val="single" w:sz="4" w:space="0" w:color="000000"/>
            </w:tcBorders>
            <w:shd w:val="clear" w:color="auto" w:fill="D2D2D2"/>
          </w:tcPr>
          <w:p>
            <w:pPr/>
          </w:p>
        </w:tc>
        <w:tc>
          <w:tcPr>
            <w:tcW w:w="9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3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66,662,500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8.07%</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-12,052,500</w:t>
            </w:r>
            <w:r>
              <w:rPr>
                <w:rFonts w:ascii="Times New Roman"/>
                <w:sz w:val="18"/>
              </w:rPr>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-12,052,500</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54,610,000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6.66%</w:t>
            </w:r>
          </w:p>
        </w:tc>
      </w:tr>
      <w:tr>
        <w:trPr>
          <w:trHeight w:val="403" w:hRule="exact"/>
        </w:trPr>
        <w:tc>
          <w:tcPr>
            <w:tcW w:w="2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62,162,500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7.53%</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-12,052,500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-12,052,500</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50,110,000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6.11%</w:t>
            </w:r>
          </w:p>
        </w:tc>
      </w:tr>
      <w:tr>
        <w:trPr>
          <w:trHeight w:val="401" w:hRule="exact"/>
        </w:trPr>
        <w:tc>
          <w:tcPr>
            <w:tcW w:w="2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3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62,162,500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7.53%</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-12,052,500</w:t>
            </w:r>
            <w:r>
              <w:rPr>
                <w:rFonts w:ascii="Times New Roman"/>
                <w:sz w:val="18"/>
              </w:rPr>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-12,052,500</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50,110,000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6.11%</w:t>
            </w:r>
          </w:p>
        </w:tc>
      </w:tr>
      <w:tr>
        <w:trPr>
          <w:trHeight w:val="401" w:hRule="exact"/>
        </w:trPr>
        <w:tc>
          <w:tcPr>
            <w:tcW w:w="2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0.54%</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0.55%</w:t>
            </w:r>
          </w:p>
        </w:tc>
      </w:tr>
      <w:tr>
        <w:trPr>
          <w:trHeight w:val="403" w:hRule="exact"/>
        </w:trPr>
        <w:tc>
          <w:tcPr>
            <w:tcW w:w="2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3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0.54%</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0.55%</w:t>
            </w:r>
          </w:p>
        </w:tc>
      </w:tr>
      <w:tr>
        <w:trPr>
          <w:trHeight w:val="403" w:hRule="exact"/>
        </w:trPr>
        <w:tc>
          <w:tcPr>
            <w:tcW w:w="2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759,082,268</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91.93%</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1,110,000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5,787,500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6,897,500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765,979,768</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93.34%</w:t>
            </w:r>
          </w:p>
        </w:tc>
      </w:tr>
      <w:tr>
        <w:trPr>
          <w:trHeight w:val="401" w:hRule="exact"/>
        </w:trPr>
        <w:tc>
          <w:tcPr>
            <w:tcW w:w="2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759,082,268</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91.93%</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1,110,000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5,787,500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6,897,500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765,979,768</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93.34%</w:t>
            </w:r>
          </w:p>
        </w:tc>
      </w:tr>
      <w:tr>
        <w:trPr>
          <w:trHeight w:val="403" w:hRule="exact"/>
        </w:trPr>
        <w:tc>
          <w:tcPr>
            <w:tcW w:w="2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2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825,744,768</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1,110,000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-6,265,000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-5,155,000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820,589,768</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153"/>
        <w:jc w:val="left"/>
      </w:pPr>
      <w:r>
        <w:rPr/>
        <w:t>股份变动的原因</w:t>
      </w:r>
    </w:p>
    <w:p>
      <w:pPr>
        <w:pStyle w:val="BodyText"/>
        <w:spacing w:line="319" w:lineRule="auto" w:before="115"/>
        <w:ind w:right="14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4</w:t>
      </w:r>
      <w:r>
        <w:rPr>
          <w:spacing w:val="-2"/>
        </w:rPr>
        <w:t>日至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18</w:t>
      </w:r>
      <w:r>
        <w:rPr>
          <w:spacing w:val="-2"/>
        </w:rPr>
        <w:t>日，公司董事会完成了</w:t>
      </w:r>
      <w:r>
        <w:rPr>
          <w:rFonts w:ascii="Times New Roman" w:hAnsi="Times New Roman" w:cs="Times New Roman" w:eastAsia="Times New Roman" w:hint="default"/>
          <w:spacing w:val="-2"/>
        </w:rPr>
        <w:t>2015</w:t>
      </w:r>
      <w:r>
        <w:rPr>
          <w:spacing w:val="-2"/>
        </w:rPr>
        <w:t>年第二期股权激励计划首次授予的股票期权第一个行权期自主</w:t>
      </w:r>
      <w:r>
        <w:rPr>
          <w:spacing w:val="-53"/>
        </w:rPr>
        <w:t> </w:t>
      </w:r>
      <w:r>
        <w:rPr/>
        <w:t>行权登记工作，自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21</w:t>
      </w:r>
      <w:r>
        <w:rPr/>
        <w:t>日起</w:t>
      </w:r>
      <w:r>
        <w:rPr>
          <w:rFonts w:ascii="Times New Roman" w:hAnsi="Times New Roman" w:cs="Times New Roman" w:eastAsia="Times New Roman" w:hint="default"/>
        </w:rPr>
        <w:t>10</w:t>
      </w:r>
      <w:r>
        <w:rPr/>
        <w:t>名激励对象共计</w:t>
      </w:r>
      <w:r>
        <w:rPr>
          <w:rFonts w:ascii="Times New Roman" w:hAnsi="Times New Roman" w:cs="Times New Roman" w:eastAsia="Times New Roman" w:hint="default"/>
        </w:rPr>
        <w:t>195</w:t>
      </w:r>
      <w:r>
        <w:rPr/>
        <w:t>万份股票期权自主行权事宜可实施，截止</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日共有</w:t>
      </w:r>
      <w:r>
        <w:rPr>
          <w:rFonts w:ascii="Times New Roman" w:hAnsi="Times New Roman" w:cs="Times New Roman" w:eastAsia="Times New Roman" w:hint="default"/>
        </w:rPr>
        <w:t>84</w:t>
      </w:r>
    </w:p>
    <w:p>
      <w:pPr>
        <w:pStyle w:val="BodyText"/>
        <w:spacing w:line="300" w:lineRule="auto"/>
        <w:ind w:right="153"/>
        <w:jc w:val="left"/>
      </w:pPr>
      <w:r>
        <w:rPr>
          <w:spacing w:val="-2"/>
        </w:rPr>
        <w:t>万份股票期权已经行权，公司新增</w:t>
      </w:r>
      <w:r>
        <w:rPr>
          <w:rFonts w:ascii="Times New Roman" w:hAnsi="Times New Roman" w:cs="Times New Roman" w:eastAsia="Times New Roman" w:hint="default"/>
          <w:spacing w:val="-2"/>
        </w:rPr>
        <w:t>69</w:t>
      </w:r>
      <w:r>
        <w:rPr>
          <w:spacing w:val="-2"/>
        </w:rPr>
        <w:t>万股无限售条件股份、</w:t>
      </w:r>
      <w:r>
        <w:rPr>
          <w:rFonts w:ascii="Times New Roman" w:hAnsi="Times New Roman" w:cs="Times New Roman" w:eastAsia="Times New Roman" w:hint="default"/>
          <w:spacing w:val="-2"/>
        </w:rPr>
        <w:t>15</w:t>
      </w:r>
      <w:r>
        <w:rPr>
          <w:spacing w:val="-2"/>
        </w:rPr>
        <w:t>万股有限售条件股份，公司总股本为</w:t>
      </w:r>
      <w:r>
        <w:rPr>
          <w:rFonts w:ascii="Times New Roman" w:hAnsi="Times New Roman" w:cs="Times New Roman" w:eastAsia="Times New Roman" w:hint="default"/>
          <w:spacing w:val="-2"/>
        </w:rPr>
        <w:t>825,744,768</w:t>
      </w:r>
      <w:r>
        <w:rPr>
          <w:spacing w:val="-2"/>
        </w:rPr>
        <w:t>股；截止</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5"/>
        </w:rPr>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日，剩余</w:t>
      </w:r>
      <w:r>
        <w:rPr>
          <w:rFonts w:ascii="Times New Roman" w:hAnsi="Times New Roman" w:cs="Times New Roman" w:eastAsia="Times New Roman" w:hint="default"/>
        </w:rPr>
        <w:t>111</w:t>
      </w:r>
      <w:r>
        <w:rPr/>
        <w:t>万份股票期权行权完毕，公司总股本由</w:t>
      </w:r>
      <w:r>
        <w:rPr>
          <w:rFonts w:ascii="Times New Roman" w:hAnsi="Times New Roman" w:cs="Times New Roman" w:eastAsia="Times New Roman" w:hint="default"/>
        </w:rPr>
        <w:t>825,744,768</w:t>
      </w:r>
      <w:r>
        <w:rPr/>
        <w:t>股变更为</w:t>
      </w:r>
      <w:r>
        <w:rPr>
          <w:rFonts w:ascii="Times New Roman" w:hAnsi="Times New Roman" w:cs="Times New Roman" w:eastAsia="Times New Roman" w:hint="default"/>
        </w:rPr>
        <w:t>826,854,768</w:t>
      </w:r>
      <w:r>
        <w:rPr/>
        <w:t>股。</w:t>
      </w:r>
    </w:p>
    <w:p>
      <w:pPr>
        <w:pStyle w:val="BodyText"/>
        <w:spacing w:line="300" w:lineRule="auto" w:before="51"/>
        <w:ind w:right="148"/>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18</w:t>
      </w:r>
      <w:r>
        <w:rPr>
          <w:spacing w:val="-2"/>
        </w:rPr>
        <w:t>日公司第五届董事会第四十一次会议审议通过了《关于回购注销</w:t>
      </w:r>
      <w:r>
        <w:rPr>
          <w:rFonts w:ascii="Times New Roman" w:hAnsi="Times New Roman" w:cs="Times New Roman" w:eastAsia="Times New Roman" w:hint="default"/>
          <w:spacing w:val="-2"/>
        </w:rPr>
        <w:t>2015</w:t>
      </w:r>
      <w:r>
        <w:rPr>
          <w:spacing w:val="-2"/>
        </w:rPr>
        <w:t>年两期股权激励计划部分限制性股票与</w:t>
      </w:r>
      <w:r>
        <w:rPr>
          <w:spacing w:val="-57"/>
        </w:rPr>
        <w:t> </w:t>
      </w:r>
      <w:r>
        <w:rPr>
          <w:spacing w:val="-57"/>
        </w:rPr>
      </w:r>
      <w:r>
        <w:rPr>
          <w:spacing w:val="-2"/>
        </w:rPr>
        <w:t>股票期权的议案》，鉴于公司</w:t>
      </w:r>
      <w:r>
        <w:rPr>
          <w:rFonts w:ascii="Times New Roman" w:hAnsi="Times New Roman" w:cs="Times New Roman" w:eastAsia="Times New Roman" w:hint="default"/>
          <w:spacing w:val="-2"/>
        </w:rPr>
        <w:t>2015</w:t>
      </w:r>
      <w:r>
        <w:rPr>
          <w:spacing w:val="-2"/>
        </w:rPr>
        <w:t>年两期股权激励计划授予的激励对象纪晓文先生离职不再满足成为激励对象的条件，根据</w:t>
      </w:r>
      <w:r>
        <w:rPr>
          <w:spacing w:val="-60"/>
        </w:rPr>
        <w:t> </w:t>
      </w:r>
      <w:r>
        <w:rPr>
          <w:spacing w:val="-60"/>
        </w:rPr>
      </w:r>
      <w:r>
        <w:rPr/>
        <w:t>公司</w:t>
      </w:r>
      <w:r>
        <w:rPr>
          <w:rFonts w:ascii="Times New Roman" w:hAnsi="Times New Roman" w:cs="Times New Roman" w:eastAsia="Times New Roman" w:hint="default"/>
        </w:rPr>
        <w:t>2015</w:t>
      </w:r>
      <w:r>
        <w:rPr/>
        <w:t>年两期股权激励计划的相关规定和股东大会的授权，公司董事会同意回购注销纪晓文先生已获授未解锁的</w:t>
      </w:r>
      <w:r>
        <w:rPr>
          <w:rFonts w:ascii="Times New Roman" w:hAnsi="Times New Roman" w:cs="Times New Roman" w:eastAsia="Times New Roman" w:hint="default"/>
        </w:rPr>
        <w:t>626.5</w:t>
      </w:r>
      <w:r>
        <w:rPr/>
        <w:t>万</w:t>
      </w:r>
      <w:r>
        <w:rPr>
          <w:spacing w:val="-41"/>
        </w:rPr>
        <w:t> </w:t>
      </w:r>
      <w:r>
        <w:rPr/>
        <w:t>股限制性股票并注销纪晓文先生已获授未行权的</w:t>
      </w:r>
      <w:r>
        <w:rPr>
          <w:rFonts w:ascii="Times New Roman" w:hAnsi="Times New Roman" w:cs="Times New Roman" w:eastAsia="Times New Roman" w:hint="default"/>
        </w:rPr>
        <w:t>129.5</w:t>
      </w:r>
      <w:r>
        <w:rPr/>
        <w:t>万份股票期权，本次回购注销事宜已于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5</w:t>
      </w:r>
      <w:r>
        <w:rPr/>
        <w:t>日办理完成，回购</w:t>
      </w:r>
      <w:r>
        <w:rPr>
          <w:spacing w:val="-41"/>
        </w:rPr>
        <w:t> </w:t>
      </w:r>
      <w:r>
        <w:rPr>
          <w:spacing w:val="-41"/>
        </w:rPr>
      </w:r>
      <w:r>
        <w:rPr/>
        <w:t>注销完成后公司总股本由</w:t>
      </w:r>
      <w:r>
        <w:rPr>
          <w:rFonts w:ascii="Times New Roman" w:hAnsi="Times New Roman" w:cs="Times New Roman" w:eastAsia="Times New Roman" w:hint="default"/>
        </w:rPr>
        <w:t>826,854,768</w:t>
      </w:r>
      <w:r>
        <w:rPr/>
        <w:t>股变更为</w:t>
      </w:r>
      <w:r>
        <w:rPr>
          <w:rFonts w:ascii="Times New Roman" w:hAnsi="Times New Roman" w:cs="Times New Roman" w:eastAsia="Times New Roman" w:hint="default"/>
        </w:rPr>
        <w:t>820,589,768</w:t>
      </w:r>
      <w:r>
        <w:rPr/>
        <w:t>股。</w:t>
      </w:r>
    </w:p>
    <w:p>
      <w:pPr>
        <w:spacing w:after="0" w:line="300" w:lineRule="auto"/>
        <w:jc w:val="both"/>
        <w:sectPr>
          <w:pgSz w:w="11910" w:h="16840"/>
          <w:pgMar w:header="877" w:footer="979" w:top="1100" w:bottom="1160" w:left="980" w:right="980"/>
        </w:sectPr>
      </w:pPr>
    </w:p>
    <w:p>
      <w:pPr>
        <w:spacing w:line="240" w:lineRule="auto" w:before="11"/>
        <w:rPr>
          <w:rFonts w:ascii="宋体" w:hAnsi="宋体" w:cs="宋体" w:eastAsia="宋体" w:hint="default"/>
          <w:sz w:val="21"/>
          <w:szCs w:val="21"/>
        </w:rPr>
      </w:pPr>
    </w:p>
    <w:p>
      <w:pPr>
        <w:pStyle w:val="BodyText"/>
        <w:spacing w:line="240" w:lineRule="auto" w:before="44"/>
        <w:ind w:right="94"/>
        <w:jc w:val="left"/>
      </w:pPr>
      <w:r>
        <w:rPr/>
        <w:t>股份变动的批准情况</w:t>
      </w:r>
    </w:p>
    <w:p>
      <w:pPr>
        <w:pStyle w:val="BodyText"/>
        <w:spacing w:line="319" w:lineRule="auto" w:before="117"/>
        <w:ind w:right="1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年第二期股权激励计划首次授予的股票期权第一个行权期符合行权条件并采用自主行权模式事项经第五届董事会第</w:t>
      </w:r>
      <w:r>
        <w:rPr>
          <w:spacing w:val="-85"/>
        </w:rPr>
        <w:t> </w:t>
      </w:r>
      <w:r>
        <w:rPr>
          <w:spacing w:val="-85"/>
        </w:rPr>
      </w:r>
      <w:r>
        <w:rPr/>
        <w:t>三十六次会议和第五届监事会第二十一次会议审议批准，独立董事对此发表了同意的独立意见。</w:t>
      </w:r>
    </w:p>
    <w:p>
      <w:pPr>
        <w:pStyle w:val="BodyText"/>
        <w:spacing w:line="300" w:lineRule="auto" w:before="58"/>
        <w:ind w:right="184"/>
        <w:jc w:val="left"/>
      </w:pPr>
      <w:r>
        <w:rPr>
          <w:rFonts w:ascii="Times New Roman" w:hAnsi="Times New Roman" w:cs="Times New Roman" w:eastAsia="Times New Roman" w:hint="default"/>
        </w:rPr>
        <w:t>2</w:t>
      </w:r>
      <w:r>
        <w:rPr/>
        <w:t>、回购注销</w:t>
      </w:r>
      <w:r>
        <w:rPr>
          <w:rFonts w:ascii="Times New Roman" w:hAnsi="Times New Roman" w:cs="Times New Roman" w:eastAsia="Times New Roman" w:hint="default"/>
        </w:rPr>
        <w:t>2015</w:t>
      </w:r>
      <w:r>
        <w:rPr/>
        <w:t>年两期股权激励计划部分限制性股票与股票期权事项经第五届董事会第四十一次会议、第五届监事会第二</w:t>
      </w:r>
      <w:r>
        <w:rPr>
          <w:spacing w:val="-85"/>
        </w:rPr>
        <w:t> </w:t>
      </w:r>
      <w:r>
        <w:rPr>
          <w:spacing w:val="-85"/>
        </w:rPr>
      </w:r>
      <w:r>
        <w:rPr/>
        <w:t>十三次会议审议批准，独立董事对此发表了同意的独立意见。</w:t>
      </w:r>
    </w:p>
    <w:p>
      <w:pPr>
        <w:pStyle w:val="BodyText"/>
        <w:spacing w:line="240" w:lineRule="auto" w:before="72"/>
        <w:ind w:right="94"/>
        <w:jc w:val="left"/>
      </w:pPr>
      <w:r>
        <w:rPr/>
        <w:t>股份变动的过户情况</w:t>
      </w:r>
    </w:p>
    <w:p>
      <w:pPr>
        <w:pStyle w:val="BodyText"/>
        <w:spacing w:line="319" w:lineRule="auto" w:before="115"/>
        <w:ind w:right="9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Times New Roman" w:hAnsi="Times New Roman" w:cs="Times New Roman" w:eastAsia="Times New Roman" w:hint="default"/>
          <w:spacing w:val="-2"/>
        </w:rPr>
        <w:t>1</w:t>
      </w:r>
      <w:r>
        <w:rPr>
          <w:spacing w:val="-2"/>
        </w:rPr>
        <w:t>、上会会计师事务所（特殊普通合伙）于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17</w:t>
      </w:r>
      <w:r>
        <w:rPr>
          <w:spacing w:val="-2"/>
        </w:rPr>
        <w:t>日出具了上会师报字（</w:t>
      </w:r>
      <w:r>
        <w:rPr>
          <w:rFonts w:ascii="Times New Roman" w:hAnsi="Times New Roman" w:cs="Times New Roman" w:eastAsia="Times New Roman" w:hint="default"/>
          <w:spacing w:val="-2"/>
        </w:rPr>
        <w:t>2017</w:t>
      </w:r>
      <w:r>
        <w:rPr>
          <w:spacing w:val="-2"/>
        </w:rPr>
        <w:t>）第</w:t>
      </w:r>
      <w:r>
        <w:rPr>
          <w:rFonts w:ascii="Times New Roman" w:hAnsi="Times New Roman" w:cs="Times New Roman" w:eastAsia="Times New Roman" w:hint="default"/>
          <w:spacing w:val="-2"/>
        </w:rPr>
        <w:t>0522</w:t>
      </w:r>
      <w:r>
        <w:rPr>
          <w:spacing w:val="-2"/>
        </w:rPr>
        <w:t>号《验资报告》，审验了公司截</w:t>
      </w:r>
      <w:r>
        <w:rPr>
          <w:spacing w:val="-59"/>
        </w:rPr>
        <w:t> </w:t>
      </w:r>
      <w:r>
        <w:rPr>
          <w:spacing w:val="-59"/>
        </w:rPr>
      </w:r>
      <w:r>
        <w:rPr/>
        <w:t>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17</w:t>
      </w:r>
      <w:r>
        <w:rPr/>
        <w:t>日止注册资本实收情况，认为：经我们审验，截至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17</w:t>
      </w:r>
      <w:r>
        <w:rPr/>
        <w:t>日，贵公司已收到</w:t>
      </w:r>
      <w:r>
        <w:rPr>
          <w:rFonts w:ascii="Times New Roman" w:hAnsi="Times New Roman" w:cs="Times New Roman" w:eastAsia="Times New Roman" w:hint="default"/>
        </w:rPr>
        <w:t>2015</w:t>
      </w:r>
      <w:r>
        <w:rPr/>
        <w:t>年第二期股票期权</w:t>
      </w:r>
      <w:r>
        <w:rPr>
          <w:rFonts w:ascii="Times New Roman" w:hAnsi="Times New Roman" w:cs="Times New Roman" w:eastAsia="Times New Roman" w:hint="default"/>
        </w:rPr>
        <w:t>10</w:t>
      </w:r>
    </w:p>
    <w:p>
      <w:pPr>
        <w:pStyle w:val="BodyText"/>
        <w:spacing w:line="300" w:lineRule="auto"/>
        <w:ind w:right="94"/>
        <w:jc w:val="left"/>
      </w:pPr>
      <w:r>
        <w:rPr>
          <w:spacing w:val="-2"/>
        </w:rPr>
        <w:t>名激励对象缴纳的款项合计</w:t>
      </w:r>
      <w:r>
        <w:rPr>
          <w:rFonts w:ascii="Times New Roman" w:hAnsi="Times New Roman" w:cs="Times New Roman" w:eastAsia="Times New Roman" w:hint="default"/>
          <w:spacing w:val="-2"/>
        </w:rPr>
        <w:t>18,037,500.00</w:t>
      </w:r>
      <w:r>
        <w:rPr>
          <w:spacing w:val="-2"/>
        </w:rPr>
        <w:t>（大写：壹仟捌佰零叁万柒仟伍佰元整），其中，增加股本</w:t>
      </w:r>
      <w:r>
        <w:rPr>
          <w:rFonts w:ascii="Times New Roman" w:hAnsi="Times New Roman" w:cs="Times New Roman" w:eastAsia="Times New Roman" w:hint="default"/>
          <w:spacing w:val="-2"/>
        </w:rPr>
        <w:t>1,950,000.00</w:t>
      </w:r>
      <w:r>
        <w:rPr>
          <w:spacing w:val="-2"/>
        </w:rPr>
        <w:t>元，增加资</w:t>
      </w:r>
      <w:r>
        <w:rPr>
          <w:spacing w:val="-45"/>
        </w:rPr>
        <w:t> </w:t>
      </w:r>
      <w:r>
        <w:rPr>
          <w:spacing w:val="-45"/>
        </w:rPr>
      </w:r>
      <w:r>
        <w:rPr/>
        <w:t>本公积</w:t>
      </w:r>
      <w:r>
        <w:rPr>
          <w:rFonts w:ascii="Times New Roman" w:hAnsi="Times New Roman" w:cs="Times New Roman" w:eastAsia="Times New Roman" w:hint="default"/>
        </w:rPr>
        <w:t>16,087,500.00</w:t>
      </w:r>
      <w:r>
        <w:rPr/>
        <w:t>元。</w:t>
      </w:r>
    </w:p>
    <w:p>
      <w:pPr>
        <w:pStyle w:val="BodyText"/>
        <w:spacing w:line="300" w:lineRule="auto" w:before="13"/>
        <w:ind w:right="94"/>
        <w:jc w:val="left"/>
      </w:pPr>
      <w:r>
        <w:rPr>
          <w:rFonts w:ascii="Times New Roman" w:hAnsi="Times New Roman" w:cs="Times New Roman" w:eastAsia="Times New Roman" w:hint="default"/>
        </w:rPr>
        <w:t>2</w:t>
      </w:r>
      <w:r>
        <w:rPr/>
        <w:t>、上会会计师事务所（特殊普通合伙）于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日出具了上会师报字（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1331</w:t>
      </w:r>
      <w:r>
        <w:rPr/>
        <w:t>号《验资报告》，审验了公司截 </w:t>
      </w:r>
      <w:r>
        <w:rPr>
          <w:spacing w:val="-1"/>
        </w:rPr>
        <w:t>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8</w:t>
      </w:r>
      <w:r>
        <w:rPr>
          <w:spacing w:val="-1"/>
        </w:rPr>
        <w:t>日止注册资本及股本情况，认为：经我们审验，截至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8</w:t>
      </w:r>
      <w:r>
        <w:rPr>
          <w:spacing w:val="-1"/>
        </w:rPr>
        <w:t>日，贵公司已减少股本人民币</w:t>
      </w:r>
      <w:r>
        <w:rPr>
          <w:rFonts w:ascii="Times New Roman" w:hAnsi="Times New Roman" w:cs="Times New Roman" w:eastAsia="Times New Roman" w:hint="default"/>
          <w:spacing w:val="-1"/>
        </w:rPr>
        <w:t>6,265,000.00</w:t>
      </w:r>
      <w:r>
        <w:rPr>
          <w:spacing w:val="-1"/>
        </w:rPr>
        <w:t>元，</w:t>
      </w:r>
      <w:r>
        <w:rPr>
          <w:spacing w:val="-72"/>
        </w:rPr>
        <w:t> </w:t>
      </w:r>
      <w:r>
        <w:rPr/>
        <w:t>其中：减少纪晓文出资人民币</w:t>
      </w:r>
      <w:r>
        <w:rPr>
          <w:rFonts w:ascii="Times New Roman" w:hAnsi="Times New Roman" w:cs="Times New Roman" w:eastAsia="Times New Roman" w:hint="default"/>
        </w:rPr>
        <w:t>6,265,000.00</w:t>
      </w:r>
      <w:r>
        <w:rPr/>
        <w:t>元。经深交所和中登公司审核确认，公司于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5</w:t>
      </w:r>
      <w:r>
        <w:rPr/>
        <w:t>日完成纪晓文先生已获授 未解锁</w:t>
      </w:r>
      <w:r>
        <w:rPr>
          <w:rFonts w:ascii="Times New Roman" w:hAnsi="Times New Roman" w:cs="Times New Roman" w:eastAsia="Times New Roman" w:hint="default"/>
        </w:rPr>
        <w:t>/</w:t>
      </w:r>
      <w:r>
        <w:rPr/>
        <w:t>行权的限制性股票及股票期权的回购注销工作。</w:t>
      </w:r>
    </w:p>
    <w:p>
      <w:pPr>
        <w:pStyle w:val="BodyText"/>
        <w:spacing w:line="240" w:lineRule="auto" w:before="53"/>
        <w:ind w:right="94"/>
        <w:jc w:val="left"/>
      </w:pPr>
      <w:r>
        <w:rPr/>
        <w:t>股份变动对最近一年和最近一期基本每股收益和稀释每股收益、归属于公司普通股股东的每股净资产等财务指标的影响</w:t>
      </w:r>
    </w:p>
    <w:p>
      <w:pPr>
        <w:pStyle w:val="BodyText"/>
        <w:spacing w:line="240" w:lineRule="auto" w:before="115"/>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19" w:lineRule="auto" w:before="103"/>
        <w:ind w:right="94"/>
        <w:jc w:val="left"/>
      </w:pPr>
      <w:r>
        <w:rPr>
          <w:spacing w:val="-1"/>
        </w:rPr>
        <w:t>按期末股本</w:t>
      </w:r>
      <w:r>
        <w:rPr>
          <w:rFonts w:ascii="Times New Roman" w:hAnsi="Times New Roman" w:cs="Times New Roman" w:eastAsia="Times New Roman" w:hint="default"/>
          <w:spacing w:val="-1"/>
        </w:rPr>
        <w:t>820,589,768</w:t>
      </w:r>
      <w:r>
        <w:rPr>
          <w:spacing w:val="-1"/>
        </w:rPr>
        <w:t>股计算，</w:t>
      </w:r>
      <w:r>
        <w:rPr>
          <w:rFonts w:ascii="Times New Roman" w:hAnsi="Times New Roman" w:cs="Times New Roman" w:eastAsia="Times New Roman" w:hint="default"/>
          <w:spacing w:val="-1"/>
        </w:rPr>
        <w:t>2017</w:t>
      </w:r>
      <w:r>
        <w:rPr>
          <w:spacing w:val="-1"/>
        </w:rPr>
        <w:t>年第一季度每股收益为</w:t>
      </w:r>
      <w:r>
        <w:rPr>
          <w:rFonts w:ascii="Times New Roman" w:hAnsi="Times New Roman" w:cs="Times New Roman" w:eastAsia="Times New Roman" w:hint="default"/>
          <w:spacing w:val="-1"/>
        </w:rPr>
        <w:t>-0.0068</w:t>
      </w:r>
      <w:r>
        <w:rPr>
          <w:spacing w:val="-1"/>
        </w:rPr>
        <w:t>元，归属于上市公司股东的每股净资产为</w:t>
      </w:r>
      <w:r>
        <w:rPr>
          <w:rFonts w:ascii="Times New Roman" w:hAnsi="Times New Roman" w:cs="Times New Roman" w:eastAsia="Times New Roman" w:hint="default"/>
          <w:spacing w:val="-1"/>
        </w:rPr>
        <w:t>1.7005</w:t>
      </w:r>
      <w:r>
        <w:rPr>
          <w:spacing w:val="-1"/>
        </w:rPr>
        <w:t>元；</w:t>
      </w:r>
      <w:r>
        <w:rPr>
          <w:rFonts w:ascii="Times New Roman" w:hAnsi="Times New Roman" w:cs="Times New Roman" w:eastAsia="Times New Roman" w:hint="default"/>
          <w:spacing w:val="-1"/>
        </w:rPr>
        <w:t>2016</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t>年度每股收益为</w:t>
      </w:r>
      <w:r>
        <w:rPr>
          <w:rFonts w:ascii="Times New Roman" w:hAnsi="Times New Roman" w:cs="Times New Roman" w:eastAsia="Times New Roman" w:hint="default"/>
        </w:rPr>
        <w:t>0.0925</w:t>
      </w:r>
      <w:r>
        <w:rPr/>
        <w:t>元，归属于上市公司股东的每股净资产为</w:t>
      </w:r>
      <w:r>
        <w:rPr>
          <w:rFonts w:ascii="Times New Roman" w:hAnsi="Times New Roman" w:cs="Times New Roman" w:eastAsia="Times New Roman" w:hint="default"/>
        </w:rPr>
        <w:t>1.6505</w:t>
      </w:r>
      <w:r>
        <w:rPr/>
        <w:t>元。 公司认为必要或证券监管机构要求披露的其他内容</w:t>
      </w:r>
    </w:p>
    <w:p>
      <w:pPr>
        <w:pStyle w:val="BodyText"/>
        <w:spacing w:line="240" w:lineRule="auto" w:before="55"/>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4"/>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91"/>
        <w:jc w:val="right"/>
      </w:pPr>
      <w:r>
        <w:rPr/>
        <w:t>单位：股</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133"/>
        <w:gridCol w:w="926"/>
        <w:gridCol w:w="1009"/>
        <w:gridCol w:w="763"/>
        <w:gridCol w:w="926"/>
        <w:gridCol w:w="1421"/>
        <w:gridCol w:w="3519"/>
      </w:tblGrid>
      <w:tr>
        <w:trPr>
          <w:trHeight w:val="1027"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0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78" w:right="96" w:hanging="180"/>
              <w:jc w:val="left"/>
              <w:rPr>
                <w:rFonts w:ascii="宋体" w:hAnsi="宋体" w:cs="宋体" w:eastAsia="宋体" w:hint="default"/>
                <w:sz w:val="18"/>
                <w:szCs w:val="18"/>
              </w:rPr>
            </w:pPr>
            <w:r>
              <w:rPr>
                <w:rFonts w:ascii="宋体" w:hAnsi="宋体" w:cs="宋体" w:eastAsia="宋体" w:hint="default"/>
                <w:sz w:val="18"/>
                <w:szCs w:val="18"/>
              </w:rPr>
              <w:t>期初限售 股数</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0" w:right="46"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7" w:right="103"/>
              <w:jc w:val="both"/>
              <w:rPr>
                <w:rFonts w:ascii="宋体" w:hAnsi="宋体" w:cs="宋体" w:eastAsia="宋体" w:hint="default"/>
                <w:sz w:val="18"/>
                <w:szCs w:val="18"/>
              </w:rPr>
            </w:pPr>
            <w:r>
              <w:rPr>
                <w:rFonts w:ascii="宋体" w:hAnsi="宋体" w:cs="宋体" w:eastAsia="宋体" w:hint="default"/>
                <w:sz w:val="18"/>
                <w:szCs w:val="18"/>
              </w:rPr>
              <w:t>本期增 加限售 股数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78" w:right="96" w:hanging="180"/>
              <w:jc w:val="left"/>
              <w:rPr>
                <w:rFonts w:ascii="宋体" w:hAnsi="宋体" w:cs="宋体" w:eastAsia="宋体" w:hint="default"/>
                <w:sz w:val="18"/>
                <w:szCs w:val="18"/>
              </w:rPr>
            </w:pPr>
            <w:r>
              <w:rPr>
                <w:rFonts w:ascii="宋体" w:hAnsi="宋体" w:cs="宋体" w:eastAsia="宋体" w:hint="default"/>
                <w:sz w:val="18"/>
                <w:szCs w:val="18"/>
              </w:rPr>
              <w:t>期末限售 股数</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3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徐海啸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股权激励限售股</w:t>
            </w:r>
          </w:p>
        </w:tc>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52"/>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年股权激励计划实施情况及高管 锁定股相关规定解除限售</w:t>
            </w:r>
          </w:p>
        </w:tc>
      </w:tr>
      <w:tr>
        <w:trPr>
          <w:trHeight w:val="715"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张晶</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股权激励限售股</w:t>
            </w:r>
          </w:p>
        </w:tc>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52"/>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年股权激励计划实施情况及高管 锁定股相关规定解除限售</w:t>
            </w:r>
          </w:p>
        </w:tc>
      </w:tr>
      <w:tr>
        <w:trPr>
          <w:trHeight w:val="71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沈晓超</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5,200,000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股权激励限售股</w:t>
            </w:r>
          </w:p>
        </w:tc>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52"/>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年股权激励计划实施情况及高管 锁定股相关规定解除限售</w:t>
            </w:r>
          </w:p>
        </w:tc>
      </w:tr>
      <w:tr>
        <w:trPr>
          <w:trHeight w:val="715"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陈丹</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股权激励限售股</w:t>
            </w:r>
          </w:p>
        </w:tc>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52"/>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年股权激励计划实施情况及高管 锁定股相关规定解除限售</w:t>
            </w:r>
          </w:p>
        </w:tc>
      </w:tr>
      <w:tr>
        <w:trPr>
          <w:trHeight w:val="1025"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8"/>
                <w:sz w:val="18"/>
              </w:rPr>
              <w:t>WAN</w:t>
            </w:r>
            <w:r>
              <w:rPr>
                <w:rFonts w:ascii="Times New Roman"/>
                <w:sz w:val="18"/>
              </w:rPr>
              <w:t> XIAO</w:t>
            </w:r>
          </w:p>
          <w:p>
            <w:pPr>
              <w:pStyle w:val="TableParagraph"/>
              <w:spacing w:line="300" w:lineRule="auto" w:before="61"/>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YANG</w:t>
            </w:r>
            <w:r>
              <w:rPr>
                <w:rFonts w:ascii="宋体" w:hAnsi="宋体" w:cs="宋体" w:eastAsia="宋体" w:hint="default"/>
                <w:spacing w:val="-4"/>
                <w:sz w:val="18"/>
                <w:szCs w:val="18"/>
              </w:rPr>
              <w:t>（中文</w:t>
            </w:r>
            <w:r>
              <w:rPr>
                <w:rFonts w:ascii="宋体" w:hAnsi="宋体" w:cs="宋体" w:eastAsia="宋体" w:hint="default"/>
                <w:spacing w:val="-88"/>
                <w:sz w:val="18"/>
                <w:szCs w:val="18"/>
              </w:rPr>
              <w:t> </w:t>
            </w:r>
            <w:r>
              <w:rPr>
                <w:rFonts w:ascii="宋体" w:hAnsi="宋体" w:cs="宋体" w:eastAsia="宋体" w:hint="default"/>
                <w:sz w:val="18"/>
                <w:szCs w:val="18"/>
              </w:rPr>
              <w:t>名：万晓阳）</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6"/>
              <w:jc w:val="center"/>
              <w:rPr>
                <w:rFonts w:ascii="宋体" w:hAnsi="宋体" w:cs="宋体" w:eastAsia="宋体" w:hint="default"/>
                <w:sz w:val="18"/>
                <w:szCs w:val="18"/>
              </w:rPr>
            </w:pPr>
            <w:r>
              <w:rPr>
                <w:rFonts w:ascii="宋体" w:hAnsi="宋体" w:cs="宋体" w:eastAsia="宋体" w:hint="default"/>
                <w:sz w:val="18"/>
                <w:szCs w:val="18"/>
              </w:rPr>
              <w:t>股权激励限售股</w:t>
            </w:r>
          </w:p>
        </w:tc>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63"/>
              <w:jc w:val="both"/>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年第二期股权激励计划、</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股权激励计划实施情况及高管锁定股相关规 定解除限售</w:t>
            </w:r>
          </w:p>
        </w:tc>
      </w:tr>
    </w:tbl>
    <w:p>
      <w:pPr>
        <w:spacing w:after="0" w:line="307" w:lineRule="auto"/>
        <w:jc w:val="both"/>
        <w:rPr>
          <w:rFonts w:ascii="宋体" w:hAnsi="宋体" w:cs="宋体" w:eastAsia="宋体" w:hint="default"/>
          <w:sz w:val="18"/>
          <w:szCs w:val="18"/>
        </w:rPr>
        <w:sectPr>
          <w:pgSz w:w="11910" w:h="16840"/>
          <w:pgMar w:header="877" w:footer="979" w:top="1100" w:bottom="1160" w:left="980" w:right="940"/>
        </w:sectPr>
      </w:pPr>
    </w:p>
    <w:p>
      <w:pPr>
        <w:spacing w:line="240" w:lineRule="auto" w:before="11"/>
        <w:rPr>
          <w:rFonts w:ascii="Times New Roman" w:hAnsi="Times New Roman" w:cs="Times New Roman" w:eastAsia="Times New Roman"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1133"/>
        <w:gridCol w:w="926"/>
        <w:gridCol w:w="1009"/>
        <w:gridCol w:w="763"/>
        <w:gridCol w:w="926"/>
        <w:gridCol w:w="1421"/>
        <w:gridCol w:w="3519"/>
      </w:tblGrid>
      <w:tr>
        <w:trPr>
          <w:trHeight w:val="1025"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方莉</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962,500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12,500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股权激励限售股</w:t>
            </w:r>
          </w:p>
          <w:p>
            <w:pPr>
              <w:pStyle w:val="TableParagraph"/>
              <w:spacing w:line="240" w:lineRule="auto" w:before="76"/>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735,000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股；高管</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锁定股</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165,000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股</w:t>
            </w:r>
          </w:p>
        </w:tc>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75,000 </w:t>
            </w:r>
            <w:r>
              <w:rPr>
                <w:rFonts w:ascii="宋体" w:hAnsi="宋体" w:cs="宋体" w:eastAsia="宋体" w:hint="default"/>
                <w:sz w:val="18"/>
                <w:szCs w:val="18"/>
              </w:rPr>
              <w:t>股股权激励限售股</w:t>
            </w:r>
          </w:p>
          <w:p>
            <w:pPr>
              <w:pStyle w:val="TableParagraph"/>
              <w:spacing w:line="300" w:lineRule="auto" w:before="63"/>
              <w:ind w:left="24" w:right="21"/>
              <w:jc w:val="left"/>
              <w:rPr>
                <w:rFonts w:ascii="宋体" w:hAnsi="宋体" w:cs="宋体" w:eastAsia="宋体" w:hint="default"/>
                <w:sz w:val="18"/>
                <w:szCs w:val="18"/>
              </w:rPr>
            </w:pPr>
            <w:r>
              <w:rPr>
                <w:rFonts w:ascii="宋体" w:hAnsi="宋体" w:cs="宋体" w:eastAsia="宋体" w:hint="default"/>
                <w:spacing w:val="-7"/>
                <w:sz w:val="18"/>
                <w:szCs w:val="18"/>
              </w:rPr>
              <w:t>解除限售；根据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年两期股权激励计划实 施情况及高管锁定股相关规定解除限售</w:t>
            </w:r>
          </w:p>
        </w:tc>
      </w:tr>
      <w:tr>
        <w:trPr>
          <w:trHeight w:val="1027"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迟永军</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490,000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股权激励限售股</w:t>
            </w:r>
          </w:p>
          <w:p>
            <w:pPr>
              <w:pStyle w:val="TableParagraph"/>
              <w:spacing w:line="240" w:lineRule="auto" w:before="74"/>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490,000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股；高管</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锁定股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4" w:right="152"/>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年第二期股权激励计划实施情况 及高管锁定股相关规定解除限售</w:t>
            </w:r>
          </w:p>
        </w:tc>
      </w:tr>
      <w:tr>
        <w:trPr>
          <w:trHeight w:val="71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倪龙轶</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年第一期股权激励计划、</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股权激励计划实施情况解除限售</w:t>
            </w:r>
          </w:p>
        </w:tc>
      </w:tr>
      <w:tr>
        <w:trPr>
          <w:trHeight w:val="716"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曹晓黎</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52"/>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年股权激励计划实施情况解除限 售</w:t>
            </w:r>
          </w:p>
        </w:tc>
      </w:tr>
      <w:tr>
        <w:trPr>
          <w:trHeight w:val="71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陈文龙</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5,200,000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52"/>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年股权激励计划实施情况解除限 售</w:t>
            </w:r>
          </w:p>
        </w:tc>
      </w:tr>
      <w:tr>
        <w:trPr>
          <w:trHeight w:val="715"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林日磊</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52"/>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年股权激励计划实施情况解除限 售</w:t>
            </w:r>
          </w:p>
        </w:tc>
      </w:tr>
      <w:tr>
        <w:trPr>
          <w:trHeight w:val="71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李雨良</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52"/>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年股权激励计划实施情况解除限 售</w:t>
            </w:r>
          </w:p>
        </w:tc>
      </w:tr>
      <w:tr>
        <w:trPr>
          <w:trHeight w:val="1340"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杨富年</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8,950,000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2,685,000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6,265,000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6"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股高管锁定股解</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pacing w:val="-7"/>
                <w:sz w:val="18"/>
                <w:szCs w:val="18"/>
              </w:rPr>
              <w:t>除限售；</w:t>
            </w:r>
            <w:r>
              <w:rPr>
                <w:rFonts w:ascii="Times New Roman" w:hAnsi="Times New Roman" w:cs="Times New Roman" w:eastAsia="Times New Roman" w:hint="default"/>
                <w:spacing w:val="-7"/>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975,000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股股权激</w:t>
            </w:r>
          </w:p>
          <w:p>
            <w:pPr>
              <w:pStyle w:val="TableParagraph"/>
              <w:spacing w:line="300" w:lineRule="auto" w:before="63"/>
              <w:ind w:left="24" w:right="23"/>
              <w:jc w:val="left"/>
              <w:rPr>
                <w:rFonts w:ascii="宋体" w:hAnsi="宋体" w:cs="宋体" w:eastAsia="宋体" w:hint="default"/>
                <w:sz w:val="18"/>
                <w:szCs w:val="18"/>
              </w:rPr>
            </w:pPr>
            <w:r>
              <w:rPr>
                <w:rFonts w:ascii="宋体" w:hAnsi="宋体" w:cs="宋体" w:eastAsia="宋体" w:hint="default"/>
                <w:spacing w:val="-5"/>
                <w:sz w:val="18"/>
                <w:szCs w:val="18"/>
              </w:rPr>
              <w:t>励限售股解除限售；根据</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年两期股权激 励计划实施情况解除限售</w:t>
            </w:r>
          </w:p>
        </w:tc>
      </w:tr>
      <w:tr>
        <w:trPr>
          <w:trHeight w:val="1025"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田青</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1,360,000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240,000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股股权激励限售股</w:t>
            </w:r>
          </w:p>
          <w:p>
            <w:pPr>
              <w:pStyle w:val="TableParagraph"/>
              <w:spacing w:line="300" w:lineRule="auto" w:before="63"/>
              <w:ind w:left="24" w:right="21"/>
              <w:jc w:val="left"/>
              <w:rPr>
                <w:rFonts w:ascii="宋体" w:hAnsi="宋体" w:cs="宋体" w:eastAsia="宋体" w:hint="default"/>
                <w:sz w:val="18"/>
                <w:szCs w:val="18"/>
              </w:rPr>
            </w:pPr>
            <w:r>
              <w:rPr>
                <w:rFonts w:ascii="宋体" w:hAnsi="宋体" w:cs="宋体" w:eastAsia="宋体" w:hint="default"/>
                <w:spacing w:val="-7"/>
                <w:sz w:val="18"/>
                <w:szCs w:val="18"/>
              </w:rPr>
              <w:t>解除限售；根据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年两期股权激励计划实 施情况解除限售</w:t>
            </w:r>
          </w:p>
        </w:tc>
      </w:tr>
      <w:tr>
        <w:trPr>
          <w:trHeight w:val="1027"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王东</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960,000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股股权激励限售股</w:t>
            </w:r>
          </w:p>
          <w:p>
            <w:pPr>
              <w:pStyle w:val="TableParagraph"/>
              <w:spacing w:line="300" w:lineRule="auto" w:before="60"/>
              <w:ind w:left="24" w:right="21"/>
              <w:jc w:val="left"/>
              <w:rPr>
                <w:rFonts w:ascii="宋体" w:hAnsi="宋体" w:cs="宋体" w:eastAsia="宋体" w:hint="default"/>
                <w:sz w:val="18"/>
                <w:szCs w:val="18"/>
              </w:rPr>
            </w:pPr>
            <w:r>
              <w:rPr>
                <w:rFonts w:ascii="宋体" w:hAnsi="宋体" w:cs="宋体" w:eastAsia="宋体" w:hint="default"/>
                <w:spacing w:val="-7"/>
                <w:sz w:val="18"/>
                <w:szCs w:val="18"/>
              </w:rPr>
              <w:t>解除限售；根据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年两期股权激励计划实 施情况解除限售</w:t>
            </w:r>
          </w:p>
        </w:tc>
      </w:tr>
      <w:tr>
        <w:trPr>
          <w:trHeight w:val="1025"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朱丽梅</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810,000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735,000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75,000 </w:t>
            </w:r>
            <w:r>
              <w:rPr>
                <w:rFonts w:ascii="宋体" w:hAnsi="宋体" w:cs="宋体" w:eastAsia="宋体" w:hint="default"/>
                <w:sz w:val="18"/>
                <w:szCs w:val="18"/>
              </w:rPr>
              <w:t>股股权激励限售股</w:t>
            </w:r>
          </w:p>
          <w:p>
            <w:pPr>
              <w:pStyle w:val="TableParagraph"/>
              <w:spacing w:line="300" w:lineRule="auto" w:before="63"/>
              <w:ind w:left="24" w:right="21"/>
              <w:jc w:val="left"/>
              <w:rPr>
                <w:rFonts w:ascii="宋体" w:hAnsi="宋体" w:cs="宋体" w:eastAsia="宋体" w:hint="default"/>
                <w:sz w:val="18"/>
                <w:szCs w:val="18"/>
              </w:rPr>
            </w:pPr>
            <w:r>
              <w:rPr>
                <w:rFonts w:ascii="宋体" w:hAnsi="宋体" w:cs="宋体" w:eastAsia="宋体" w:hint="default"/>
                <w:spacing w:val="-7"/>
                <w:sz w:val="18"/>
                <w:szCs w:val="18"/>
              </w:rPr>
              <w:t>解除限售；根据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年两期股权激励计划实 施情况解除限售</w:t>
            </w:r>
          </w:p>
        </w:tc>
      </w:tr>
      <w:tr>
        <w:trPr>
          <w:trHeight w:val="715"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祁锦波</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52"/>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年第二期股权激励计划实施情况 解除限售</w:t>
            </w:r>
          </w:p>
        </w:tc>
      </w:tr>
      <w:tr>
        <w:trPr>
          <w:trHeight w:val="71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许东</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70,000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52"/>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年第二期股权激励计划实施情况 解除限售</w:t>
            </w:r>
          </w:p>
        </w:tc>
      </w:tr>
      <w:tr>
        <w:trPr>
          <w:trHeight w:val="715"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程昭霞</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70,000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52"/>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年第二期股权激励计划实施情况 解除限售</w:t>
            </w:r>
          </w:p>
        </w:tc>
      </w:tr>
      <w:tr>
        <w:trPr>
          <w:trHeight w:val="1337"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纪晓文</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8,950,000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8,950,000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6" w:right="0"/>
              <w:jc w:val="left"/>
              <w:rPr>
                <w:rFonts w:ascii="Times New Roman" w:hAnsi="Times New Roman" w:cs="Times New Roman" w:eastAsia="Times New Roman" w:hint="default"/>
                <w:sz w:val="18"/>
                <w:szCs w:val="18"/>
              </w:rPr>
            </w:pPr>
            <w:r>
              <w:rPr>
                <w:rFonts w:ascii="Times New Roman"/>
                <w:sz w:val="18"/>
              </w:rPr>
              <w:t>/</w:t>
            </w:r>
          </w:p>
        </w:tc>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股高管锁定股解</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7"/>
                <w:sz w:val="18"/>
                <w:szCs w:val="18"/>
              </w:rPr>
              <w:t>除限售；</w:t>
            </w:r>
            <w:r>
              <w:rPr>
                <w:rFonts w:ascii="Times New Roman" w:hAnsi="Times New Roman" w:cs="Times New Roman" w:eastAsia="Times New Roman" w:hint="default"/>
                <w:spacing w:val="-7"/>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975,000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股股权激</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励限售股解除限售；</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6,265,000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股股权激励限售股回购注销</w:t>
            </w:r>
          </w:p>
        </w:tc>
      </w:tr>
      <w:tr>
        <w:trPr>
          <w:trHeight w:val="403"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66,662,500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12,145,000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92,500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54,610,000</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w:t>
            </w:r>
          </w:p>
        </w:tc>
        <w:tc>
          <w:tcPr>
            <w:tcW w:w="3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right="94"/>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781"/>
        <w:gridCol w:w="1481"/>
        <w:gridCol w:w="1615"/>
        <w:gridCol w:w="778"/>
        <w:gridCol w:w="1486"/>
        <w:gridCol w:w="1462"/>
        <w:gridCol w:w="1094"/>
      </w:tblGrid>
      <w:tr>
        <w:trPr>
          <w:trHeight w:val="713" w:hRule="exact"/>
        </w:trPr>
        <w:tc>
          <w:tcPr>
            <w:tcW w:w="1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4" w:right="75" w:hanging="721"/>
              <w:jc w:val="left"/>
              <w:rPr>
                <w:rFonts w:ascii="宋体" w:hAnsi="宋体" w:cs="宋体" w:eastAsia="宋体" w:hint="default"/>
                <w:sz w:val="18"/>
                <w:szCs w:val="18"/>
              </w:rPr>
            </w:pPr>
            <w:r>
              <w:rPr>
                <w:rFonts w:ascii="宋体" w:hAnsi="宋体" w:cs="宋体" w:eastAsia="宋体" w:hint="default"/>
                <w:sz w:val="18"/>
                <w:szCs w:val="18"/>
              </w:rPr>
              <w:t>股票及其衍生证券名 称</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发行价格（或利率</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2" w:right="21"/>
              <w:jc w:val="right"/>
              <w:rPr>
                <w:rFonts w:ascii="宋体" w:hAnsi="宋体" w:cs="宋体" w:eastAsia="宋体" w:hint="default"/>
                <w:sz w:val="18"/>
                <w:szCs w:val="18"/>
              </w:rPr>
            </w:pPr>
            <w:r>
              <w:rPr>
                <w:rFonts w:ascii="宋体" w:hAnsi="宋体" w:cs="宋体" w:eastAsia="宋体" w:hint="default"/>
                <w:spacing w:val="-1"/>
                <w:sz w:val="18"/>
                <w:szCs w:val="18"/>
              </w:rPr>
              <w:t>）发行数量</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36" w:right="94" w:hanging="541"/>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1" w:right="91" w:hanging="360"/>
              <w:jc w:val="left"/>
              <w:rPr>
                <w:rFonts w:ascii="宋体" w:hAnsi="宋体" w:cs="宋体" w:eastAsia="宋体" w:hint="default"/>
                <w:sz w:val="18"/>
                <w:szCs w:val="18"/>
              </w:rPr>
            </w:pPr>
            <w:r>
              <w:rPr>
                <w:rFonts w:ascii="宋体" w:hAnsi="宋体" w:cs="宋体" w:eastAsia="宋体" w:hint="default"/>
                <w:sz w:val="18"/>
                <w:szCs w:val="18"/>
              </w:rPr>
              <w:t>交易终止日 期</w:t>
            </w:r>
          </w:p>
        </w:tc>
      </w:tr>
      <w:tr>
        <w:trPr>
          <w:trHeight w:val="403" w:hRule="exact"/>
        </w:trPr>
        <w:tc>
          <w:tcPr>
            <w:tcW w:w="969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1"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股票期权行权</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9.25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1,110,000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5" w:right="0"/>
              <w:jc w:val="left"/>
              <w:rPr>
                <w:rFonts w:ascii="Times New Roman" w:hAnsi="Times New Roman" w:cs="Times New Roman" w:eastAsia="Times New Roman" w:hint="default"/>
                <w:sz w:val="18"/>
                <w:szCs w:val="18"/>
              </w:rPr>
            </w:pPr>
            <w:r>
              <w:rPr>
                <w:rFonts w:ascii="Times New Roman"/>
                <w:sz w:val="18"/>
              </w:rPr>
              <w:t>1,110,000</w:t>
            </w:r>
          </w:p>
        </w:tc>
        <w:tc>
          <w:tcPr>
            <w:tcW w:w="10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969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1" w:hRule="exact"/>
        </w:trPr>
        <w:tc>
          <w:tcPr>
            <w:tcW w:w="969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240" w:lineRule="auto" w:before="49"/>
        <w:ind w:right="0"/>
        <w:jc w:val="both"/>
      </w:pPr>
      <w:r>
        <w:rPr/>
        <w:t>报告期内证券发行（不含优先股）情况的说明</w:t>
      </w:r>
    </w:p>
    <w:p>
      <w:pPr>
        <w:pStyle w:val="BodyText"/>
        <w:spacing w:line="300" w:lineRule="auto" w:before="117"/>
        <w:ind w:right="193"/>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18</w:t>
      </w:r>
      <w:r>
        <w:rPr/>
        <w:t>日，公司董事会完成了</w:t>
      </w:r>
      <w:r>
        <w:rPr>
          <w:rFonts w:ascii="Times New Roman" w:hAnsi="Times New Roman" w:cs="Times New Roman" w:eastAsia="Times New Roman" w:hint="default"/>
        </w:rPr>
        <w:t>2015</w:t>
      </w:r>
      <w:r>
        <w:rPr/>
        <w:t>年第二期股权激励计划首次授予的股票期权第一个行权期自主行 权登记工作，自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21</w:t>
      </w:r>
      <w:r>
        <w:rPr/>
        <w:t>日起</w:t>
      </w:r>
      <w:r>
        <w:rPr>
          <w:rFonts w:ascii="Times New Roman" w:hAnsi="Times New Roman" w:cs="Times New Roman" w:eastAsia="Times New Roman" w:hint="default"/>
        </w:rPr>
        <w:t>10</w:t>
      </w:r>
      <w:r>
        <w:rPr/>
        <w:t>名激励对象共计</w:t>
      </w:r>
      <w:r>
        <w:rPr>
          <w:rFonts w:ascii="Times New Roman" w:hAnsi="Times New Roman" w:cs="Times New Roman" w:eastAsia="Times New Roman" w:hint="default"/>
        </w:rPr>
        <w:t>195</w:t>
      </w:r>
      <w:r>
        <w:rPr/>
        <w:t>万份股票期权自主行权事宜可实施，截止</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日共有</w:t>
      </w:r>
      <w:r>
        <w:rPr>
          <w:rFonts w:ascii="Times New Roman" w:hAnsi="Times New Roman" w:cs="Times New Roman" w:eastAsia="Times New Roman" w:hint="default"/>
        </w:rPr>
        <w:t>84</w:t>
      </w:r>
      <w:r>
        <w:rPr/>
        <w:t>万 份股票期权已经行权，公司新增股本</w:t>
      </w:r>
      <w:r>
        <w:rPr>
          <w:rFonts w:ascii="Times New Roman" w:hAnsi="Times New Roman" w:cs="Times New Roman" w:eastAsia="Times New Roman" w:hint="default"/>
        </w:rPr>
        <w:t>84</w:t>
      </w:r>
      <w:r>
        <w:rPr/>
        <w:t>万股；截止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日剩余</w:t>
      </w:r>
      <w:r>
        <w:rPr>
          <w:rFonts w:ascii="Times New Roman" w:hAnsi="Times New Roman" w:cs="Times New Roman" w:eastAsia="Times New Roman" w:hint="default"/>
        </w:rPr>
        <w:t>111</w:t>
      </w:r>
      <w:r>
        <w:rPr/>
        <w:t>万份股票期权已经行权，公司新增股本</w:t>
      </w:r>
      <w:r>
        <w:rPr>
          <w:rFonts w:ascii="Times New Roman" w:hAnsi="Times New Roman" w:cs="Times New Roman" w:eastAsia="Times New Roman" w:hint="default"/>
        </w:rPr>
        <w:t>111</w:t>
      </w:r>
      <w:r>
        <w:rPr/>
        <w:t>万股。</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00"/>
        <w:jc w:val="both"/>
      </w:pPr>
      <w:r>
        <w:rPr>
          <w:rFonts w:ascii="Times New Roman" w:hAnsi="Times New Roman" w:cs="Times New Roman" w:eastAsia="Times New Roman" w:hint="default"/>
        </w:rPr>
        <w:t>1</w:t>
      </w:r>
      <w:r>
        <w:rPr/>
        <w:t>、经公司</w:t>
      </w:r>
      <w:r>
        <w:rPr>
          <w:rFonts w:ascii="Times New Roman" w:hAnsi="Times New Roman" w:cs="Times New Roman" w:eastAsia="Times New Roman" w:hint="default"/>
        </w:rPr>
        <w:t>2015 </w:t>
      </w:r>
      <w:r>
        <w:rPr/>
        <w:t>年第六次临时股东大会授权、</w:t>
      </w:r>
      <w:r>
        <w:rPr>
          <w:rFonts w:ascii="Times New Roman" w:hAnsi="Times New Roman" w:cs="Times New Roman" w:eastAsia="Times New Roman" w:hint="default"/>
        </w:rPr>
        <w:t>2016</w:t>
      </w:r>
      <w:r>
        <w:rPr>
          <w:rFonts w:ascii="Times New Roman" w:hAnsi="Times New Roman" w:cs="Times New Roman" w:eastAsia="Times New Roman" w:hint="default"/>
          <w:spacing w:val="24"/>
        </w:rPr>
        <w:t> </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日第五届董事会第三十六次会议审议，董事会同意按照</w:t>
      </w:r>
      <w:r>
        <w:rPr>
          <w:rFonts w:ascii="Times New Roman" w:hAnsi="Times New Roman" w:cs="Times New Roman" w:eastAsia="Times New Roman" w:hint="default"/>
        </w:rPr>
        <w:t>2015</w:t>
      </w:r>
      <w:r>
        <w:rPr/>
        <w:t>年第 二期股权激励计划的相关规定为激励对象办理行权事宜，</w:t>
      </w:r>
      <w:r>
        <w:rPr>
          <w:spacing w:val="-18"/>
        </w:rPr>
        <w:t> </w:t>
      </w:r>
      <w:r>
        <w:rPr/>
        <w:t>并且同意公司</w:t>
      </w:r>
      <w:r>
        <w:rPr>
          <w:rFonts w:ascii="Times New Roman" w:hAnsi="Times New Roman" w:cs="Times New Roman" w:eastAsia="Times New Roman" w:hint="default"/>
        </w:rPr>
        <w:t>2015</w:t>
      </w:r>
      <w:r>
        <w:rPr/>
        <w:t>年第二期股权激励计划首次授予的股票期权第 </w:t>
      </w:r>
      <w:r>
        <w:rPr>
          <w:spacing w:val="-2"/>
        </w:rPr>
        <w:t>一个行权期采用自主行权模式。公司于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18</w:t>
      </w:r>
      <w:r>
        <w:rPr>
          <w:spacing w:val="-2"/>
        </w:rPr>
        <w:t>日完成了</w:t>
      </w:r>
      <w:r>
        <w:rPr>
          <w:rFonts w:ascii="Times New Roman" w:hAnsi="Times New Roman" w:cs="Times New Roman" w:eastAsia="Times New Roman" w:hint="default"/>
          <w:spacing w:val="-2"/>
        </w:rPr>
        <w:t>2015</w:t>
      </w:r>
      <w:r>
        <w:rPr>
          <w:spacing w:val="-2"/>
        </w:rPr>
        <w:t>年第二期股权激励计划首次授予的股票期权第一个行权期</w:t>
      </w:r>
      <w:r>
        <w:rPr>
          <w:spacing w:val="-55"/>
        </w:rPr>
        <w:t> </w:t>
      </w:r>
      <w:r>
        <w:rPr>
          <w:spacing w:val="-55"/>
        </w:rPr>
      </w:r>
      <w:r>
        <w:rPr/>
        <w:t>自主行权登记工作，激励对象自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21</w:t>
      </w:r>
      <w:r>
        <w:rPr/>
        <w:t>日起可实施自主行权事宜。截止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日上述可行权股票期权全部行权 完毕，公司总股本变更为</w:t>
      </w:r>
      <w:r>
        <w:rPr>
          <w:rFonts w:ascii="Times New Roman" w:hAnsi="Times New Roman" w:cs="Times New Roman" w:eastAsia="Times New Roman" w:hint="default"/>
        </w:rPr>
        <w:t>826,854,768</w:t>
      </w:r>
      <w:r>
        <w:rPr/>
        <w:t>股，公司股东结构、资产和负债结构发生相应变动。</w:t>
      </w:r>
    </w:p>
    <w:p>
      <w:pPr>
        <w:pStyle w:val="BodyText"/>
        <w:spacing w:line="300" w:lineRule="auto" w:before="53"/>
        <w:ind w:right="94"/>
        <w:jc w:val="left"/>
      </w:pPr>
      <w:r>
        <w:rPr>
          <w:rFonts w:ascii="Times New Roman" w:hAnsi="Times New Roman" w:cs="Times New Roman" w:eastAsia="Times New Roman" w:hint="default"/>
          <w:spacing w:val="-3"/>
        </w:rPr>
        <w:t>2</w:t>
      </w:r>
      <w:r>
        <w:rPr>
          <w:spacing w:val="-3"/>
        </w:rPr>
        <w:t>、经公司</w:t>
      </w:r>
      <w:r>
        <w:rPr>
          <w:rFonts w:ascii="Times New Roman" w:hAnsi="Times New Roman" w:cs="Times New Roman" w:eastAsia="Times New Roman" w:hint="default"/>
          <w:spacing w:val="-3"/>
        </w:rPr>
        <w:t>2015</w:t>
      </w:r>
      <w:r>
        <w:rPr>
          <w:spacing w:val="-3"/>
        </w:rPr>
        <w:t>年第五次临时股东大会、</w:t>
      </w:r>
      <w:r>
        <w:rPr>
          <w:rFonts w:ascii="Times New Roman" w:hAnsi="Times New Roman" w:cs="Times New Roman" w:eastAsia="Times New Roman" w:hint="default"/>
          <w:spacing w:val="-3"/>
        </w:rPr>
        <w:t>2015</w:t>
      </w:r>
      <w:r>
        <w:rPr>
          <w:spacing w:val="-3"/>
        </w:rPr>
        <w:t>年第六次临时股东大会授权和</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18</w:t>
      </w:r>
      <w:r>
        <w:rPr>
          <w:spacing w:val="-3"/>
        </w:rPr>
        <w:t>日第五届董事会第四十一次会议审议，</w:t>
      </w:r>
      <w:r>
        <w:rPr>
          <w:spacing w:val="-79"/>
        </w:rPr>
        <w:t> </w:t>
      </w:r>
      <w:r>
        <w:rPr>
          <w:spacing w:val="-79"/>
        </w:rPr>
      </w:r>
      <w:r>
        <w:rPr/>
        <w:t>董事会同意回购注销纪晓文先生已获授未解锁的</w:t>
      </w:r>
      <w:r>
        <w:rPr>
          <w:rFonts w:ascii="Times New Roman" w:hAnsi="Times New Roman" w:cs="Times New Roman" w:eastAsia="Times New Roman" w:hint="default"/>
        </w:rPr>
        <w:t>626.5</w:t>
      </w:r>
      <w:r>
        <w:rPr/>
        <w:t>万股限制性股票并注销纪晓文先生已获授未行权的</w:t>
      </w:r>
      <w:r>
        <w:rPr>
          <w:rFonts w:ascii="Times New Roman" w:hAnsi="Times New Roman" w:cs="Times New Roman" w:eastAsia="Times New Roman" w:hint="default"/>
        </w:rPr>
        <w:t>129.5</w:t>
      </w:r>
      <w:r>
        <w:rPr/>
        <w:t>万份股票期 </w:t>
      </w:r>
      <w:r>
        <w:rPr>
          <w:spacing w:val="-2"/>
        </w:rPr>
        <w:t>权，本次回购注销事宜已于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5</w:t>
      </w:r>
      <w:r>
        <w:rPr>
          <w:spacing w:val="-2"/>
        </w:rPr>
        <w:t>日办理完成，回购注销完成后公司总股本由</w:t>
      </w:r>
      <w:r>
        <w:rPr>
          <w:rFonts w:ascii="Times New Roman" w:hAnsi="Times New Roman" w:cs="Times New Roman" w:eastAsia="Times New Roman" w:hint="default"/>
          <w:spacing w:val="-2"/>
        </w:rPr>
        <w:t>826,854,768</w:t>
      </w:r>
      <w:r>
        <w:rPr>
          <w:spacing w:val="-2"/>
        </w:rPr>
        <w:t>股变更为</w:t>
      </w:r>
      <w:r>
        <w:rPr>
          <w:rFonts w:ascii="Times New Roman" w:hAnsi="Times New Roman" w:cs="Times New Roman" w:eastAsia="Times New Roman" w:hint="default"/>
          <w:spacing w:val="-2"/>
        </w:rPr>
        <w:t>820,589,768</w:t>
      </w:r>
      <w:r>
        <w:rPr>
          <w:spacing w:val="-2"/>
        </w:rPr>
        <w:t>股，公司</w:t>
      </w:r>
      <w:r>
        <w:rPr>
          <w:spacing w:val="-44"/>
        </w:rPr>
        <w:t> </w:t>
      </w:r>
      <w:r>
        <w:rPr>
          <w:spacing w:val="-44"/>
        </w:rPr>
      </w:r>
      <w:r>
        <w:rPr/>
        <w:t>股东结构、资产和负债结构发生相应变动。</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91"/>
        <w:jc w:val="right"/>
      </w:pPr>
      <w:r>
        <w:rPr/>
        <w:t>单位：股</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190"/>
        <w:gridCol w:w="1168"/>
        <w:gridCol w:w="1157"/>
        <w:gridCol w:w="1312"/>
        <w:gridCol w:w="1304"/>
        <w:gridCol w:w="1208"/>
        <w:gridCol w:w="1753"/>
        <w:gridCol w:w="606"/>
      </w:tblGrid>
      <w:tr>
        <w:trPr>
          <w:trHeight w:val="355" w:hRule="exact"/>
        </w:trPr>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8" w:type="dxa"/>
            <w:tcBorders>
              <w:top w:val="single" w:sz="4" w:space="0" w:color="000000"/>
              <w:left w:val="single" w:sz="4" w:space="0" w:color="000000"/>
              <w:bottom w:val="nil" w:sz="6" w:space="0" w:color="auto"/>
              <w:right w:val="single" w:sz="4" w:space="0" w:color="000000"/>
            </w:tcBorders>
          </w:tcPr>
          <w:p>
            <w:pPr/>
          </w:p>
        </w:tc>
        <w:tc>
          <w:tcPr>
            <w:tcW w:w="115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年度报告披露</w:t>
            </w:r>
          </w:p>
        </w:tc>
        <w:tc>
          <w:tcPr>
            <w:tcW w:w="1312" w:type="dxa"/>
            <w:tcBorders>
              <w:top w:val="single" w:sz="4" w:space="0" w:color="000000"/>
              <w:left w:val="single" w:sz="9" w:space="0" w:color="D2D2D2"/>
              <w:bottom w:val="nil" w:sz="6" w:space="0" w:color="auto"/>
              <w:right w:val="single" w:sz="10" w:space="0" w:color="D2D2D2"/>
            </w:tcBorders>
          </w:tcPr>
          <w:p>
            <w:pPr/>
          </w:p>
        </w:tc>
        <w:tc>
          <w:tcPr>
            <w:tcW w:w="130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报告期末表决权</w:t>
            </w:r>
          </w:p>
        </w:tc>
        <w:tc>
          <w:tcPr>
            <w:tcW w:w="1208" w:type="dxa"/>
            <w:tcBorders>
              <w:top w:val="single" w:sz="4" w:space="0" w:color="000000"/>
              <w:left w:val="single" w:sz="4" w:space="0" w:color="000000"/>
              <w:bottom w:val="nil" w:sz="6" w:space="0" w:color="auto"/>
              <w:right w:val="single" w:sz="4" w:space="0" w:color="000000"/>
            </w:tcBorders>
          </w:tcPr>
          <w:p>
            <w:pPr/>
          </w:p>
        </w:tc>
        <w:tc>
          <w:tcPr>
            <w:tcW w:w="175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年度报告披露日前上</w:t>
            </w:r>
          </w:p>
        </w:tc>
        <w:tc>
          <w:tcPr>
            <w:tcW w:w="606" w:type="dxa"/>
            <w:tcBorders>
              <w:top w:val="single" w:sz="4" w:space="0" w:color="000000"/>
              <w:left w:val="single" w:sz="10" w:space="0" w:color="D2D2D2"/>
              <w:bottom w:val="nil" w:sz="6" w:space="0" w:color="auto"/>
              <w:right w:val="single" w:sz="4" w:space="0" w:color="000000"/>
            </w:tcBorders>
          </w:tcPr>
          <w:p>
            <w:pPr/>
          </w:p>
        </w:tc>
      </w:tr>
      <w:tr>
        <w:trPr>
          <w:trHeight w:val="624" w:hRule="exact"/>
        </w:trPr>
        <w:tc>
          <w:tcPr>
            <w:tcW w:w="1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10"/>
              <w:ind w:left="22" w:right="75"/>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6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0" w:right="0"/>
              <w:jc w:val="left"/>
              <w:rPr>
                <w:rFonts w:ascii="Times New Roman" w:hAnsi="Times New Roman" w:cs="Times New Roman" w:eastAsia="Times New Roman" w:hint="default"/>
                <w:sz w:val="18"/>
                <w:szCs w:val="18"/>
              </w:rPr>
            </w:pPr>
            <w:r>
              <w:rPr>
                <w:rFonts w:ascii="Times New Roman"/>
                <w:sz w:val="18"/>
              </w:rPr>
              <w:t>52,981</w:t>
            </w:r>
          </w:p>
        </w:tc>
        <w:tc>
          <w:tcPr>
            <w:tcW w:w="11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10"/>
              <w:ind w:left="22" w:right="42"/>
              <w:jc w:val="left"/>
              <w:rPr>
                <w:rFonts w:ascii="宋体" w:hAnsi="宋体" w:cs="宋体" w:eastAsia="宋体" w:hint="default"/>
                <w:sz w:val="18"/>
                <w:szCs w:val="18"/>
              </w:rPr>
            </w:pPr>
            <w:r>
              <w:rPr>
                <w:rFonts w:ascii="宋体" w:hAnsi="宋体" w:cs="宋体" w:eastAsia="宋体" w:hint="default"/>
                <w:sz w:val="18"/>
                <w:szCs w:val="18"/>
              </w:rPr>
              <w:t>日前上一月末 普通股股东总</w:t>
            </w:r>
          </w:p>
        </w:tc>
        <w:tc>
          <w:tcPr>
            <w:tcW w:w="1312" w:type="dxa"/>
            <w:tcBorders>
              <w:top w:val="nil" w:sz="6" w:space="0" w:color="auto"/>
              <w:left w:val="single" w:sz="9" w:space="0" w:color="D2D2D2"/>
              <w:bottom w:val="nil" w:sz="6" w:space="0" w:color="auto"/>
              <w:right w:val="single" w:sz="10" w:space="0" w:color="D2D2D2"/>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65" w:right="0"/>
              <w:jc w:val="left"/>
              <w:rPr>
                <w:rFonts w:ascii="Times New Roman" w:hAnsi="Times New Roman" w:cs="Times New Roman" w:eastAsia="Times New Roman" w:hint="default"/>
                <w:sz w:val="18"/>
                <w:szCs w:val="18"/>
              </w:rPr>
            </w:pPr>
            <w:r>
              <w:rPr>
                <w:rFonts w:ascii="Times New Roman"/>
                <w:sz w:val="18"/>
              </w:rPr>
              <w:t>52,960</w:t>
            </w:r>
          </w:p>
        </w:tc>
        <w:tc>
          <w:tcPr>
            <w:tcW w:w="13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10"/>
              <w:ind w:left="11" w:right="21"/>
              <w:jc w:val="left"/>
              <w:rPr>
                <w:rFonts w:ascii="宋体" w:hAnsi="宋体" w:cs="宋体" w:eastAsia="宋体" w:hint="default"/>
                <w:sz w:val="18"/>
                <w:szCs w:val="18"/>
              </w:rPr>
            </w:pPr>
            <w:r>
              <w:rPr>
                <w:rFonts w:ascii="宋体" w:hAnsi="宋体" w:cs="宋体" w:eastAsia="宋体" w:hint="default"/>
                <w:sz w:val="18"/>
                <w:szCs w:val="18"/>
              </w:rPr>
              <w:t>恢复的优先股股 东总数（如有）</w:t>
            </w:r>
          </w:p>
        </w:tc>
        <w:tc>
          <w:tcPr>
            <w:tcW w:w="120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7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10"/>
              <w:ind w:left="25" w:right="95"/>
              <w:jc w:val="left"/>
              <w:rPr>
                <w:rFonts w:ascii="宋体" w:hAnsi="宋体" w:cs="宋体" w:eastAsia="宋体" w:hint="default"/>
                <w:sz w:val="18"/>
                <w:szCs w:val="18"/>
              </w:rPr>
            </w:pPr>
            <w:r>
              <w:rPr>
                <w:rFonts w:ascii="宋体" w:hAnsi="宋体" w:cs="宋体" w:eastAsia="宋体" w:hint="default"/>
                <w:sz w:val="18"/>
                <w:szCs w:val="18"/>
              </w:rPr>
              <w:t>一月末表决权恢复的 优先股股东总数（如</w:t>
            </w:r>
          </w:p>
        </w:tc>
        <w:tc>
          <w:tcPr>
            <w:tcW w:w="606" w:type="dxa"/>
            <w:tcBorders>
              <w:top w:val="nil" w:sz="6" w:space="0" w:color="auto"/>
              <w:left w:val="single" w:sz="10" w:space="0" w:color="D2D2D2"/>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60" w:hRule="exact"/>
        </w:trPr>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8" w:type="dxa"/>
            <w:tcBorders>
              <w:top w:val="nil" w:sz="6" w:space="0" w:color="auto"/>
              <w:left w:val="single" w:sz="4" w:space="0" w:color="000000"/>
              <w:bottom w:val="single" w:sz="4" w:space="0" w:color="000000"/>
              <w:right w:val="single" w:sz="4" w:space="0" w:color="000000"/>
            </w:tcBorders>
          </w:tcPr>
          <w:p>
            <w:pPr/>
          </w:p>
        </w:tc>
        <w:tc>
          <w:tcPr>
            <w:tcW w:w="115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w:t>
            </w:r>
          </w:p>
        </w:tc>
        <w:tc>
          <w:tcPr>
            <w:tcW w:w="1312" w:type="dxa"/>
            <w:tcBorders>
              <w:top w:val="nil" w:sz="6" w:space="0" w:color="auto"/>
              <w:left w:val="single" w:sz="9" w:space="0" w:color="D2D2D2"/>
              <w:bottom w:val="single" w:sz="4" w:space="0" w:color="000000"/>
              <w:right w:val="single" w:sz="10" w:space="0" w:color="D2D2D2"/>
            </w:tcBorders>
          </w:tcPr>
          <w:p>
            <w:pPr/>
          </w:p>
        </w:tc>
        <w:tc>
          <w:tcPr>
            <w:tcW w:w="130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8" w:type="dxa"/>
            <w:tcBorders>
              <w:top w:val="nil" w:sz="6" w:space="0" w:color="auto"/>
              <w:left w:val="single" w:sz="4" w:space="0" w:color="000000"/>
              <w:bottom w:val="single" w:sz="4" w:space="0" w:color="000000"/>
              <w:right w:val="single" w:sz="4" w:space="0" w:color="000000"/>
            </w:tcBorders>
          </w:tcPr>
          <w:p>
            <w:pPr/>
          </w:p>
        </w:tc>
        <w:tc>
          <w:tcPr>
            <w:tcW w:w="175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8</w:t>
            </w:r>
            <w:r>
              <w:rPr>
                <w:rFonts w:ascii="宋体" w:hAnsi="宋体" w:cs="宋体" w:eastAsia="宋体" w:hint="default"/>
                <w:sz w:val="18"/>
                <w:szCs w:val="18"/>
              </w:rPr>
              <w:t>）</w:t>
            </w:r>
          </w:p>
        </w:tc>
        <w:tc>
          <w:tcPr>
            <w:tcW w:w="606" w:type="dxa"/>
            <w:tcBorders>
              <w:top w:val="nil" w:sz="6" w:space="0" w:color="auto"/>
              <w:left w:val="single" w:sz="10" w:space="0" w:color="D2D2D2"/>
              <w:bottom w:val="single" w:sz="4" w:space="0" w:color="000000"/>
              <w:right w:val="single" w:sz="4" w:space="0" w:color="000000"/>
            </w:tcBorders>
          </w:tcPr>
          <w:p>
            <w:pPr/>
          </w:p>
        </w:tc>
      </w:tr>
    </w:tbl>
    <w:p>
      <w:pPr>
        <w:spacing w:after="0"/>
        <w:sectPr>
          <w:pgSz w:w="11910" w:h="16840"/>
          <w:pgMar w:header="877" w:footer="979" w:top="1100" w:bottom="1160" w:left="980" w:right="940"/>
        </w:sectPr>
      </w:pPr>
    </w:p>
    <w:p>
      <w:pPr>
        <w:spacing w:line="240" w:lineRule="auto" w:before="11"/>
        <w:rPr>
          <w:rFonts w:ascii="Times New Roman" w:hAnsi="Times New Roman" w:cs="Times New Roman" w:eastAsia="Times New Roman"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2016"/>
        <w:gridCol w:w="992"/>
        <w:gridCol w:w="593"/>
        <w:gridCol w:w="866"/>
        <w:gridCol w:w="106"/>
        <w:gridCol w:w="996"/>
        <w:gridCol w:w="1135"/>
        <w:gridCol w:w="372"/>
        <w:gridCol w:w="903"/>
        <w:gridCol w:w="420"/>
        <w:gridCol w:w="430"/>
        <w:gridCol w:w="869"/>
      </w:tblGrid>
      <w:tr>
        <w:trPr>
          <w:trHeight w:val="402" w:hRule="exact"/>
        </w:trPr>
        <w:tc>
          <w:tcPr>
            <w:tcW w:w="969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25"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20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4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5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110" w:right="110"/>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8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69" w:right="65"/>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11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95" w:right="94"/>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23" w:right="19"/>
              <w:jc w:val="left"/>
              <w:rPr>
                <w:rFonts w:ascii="宋体" w:hAnsi="宋体" w:cs="宋体" w:eastAsia="宋体" w:hint="default"/>
                <w:sz w:val="18"/>
                <w:szCs w:val="18"/>
              </w:rPr>
            </w:pPr>
            <w:r>
              <w:rPr>
                <w:rFonts w:ascii="宋体" w:hAnsi="宋体" w:cs="宋体" w:eastAsia="宋体" w:hint="default"/>
                <w:sz w:val="18"/>
                <w:szCs w:val="18"/>
              </w:rPr>
              <w:t>持有有限售条 件的股份数量</w:t>
            </w:r>
          </w:p>
        </w:tc>
        <w:tc>
          <w:tcPr>
            <w:tcW w:w="127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91" w:right="92"/>
              <w:jc w:val="left"/>
              <w:rPr>
                <w:rFonts w:ascii="宋体" w:hAnsi="宋体" w:cs="宋体" w:eastAsia="宋体" w:hint="default"/>
                <w:sz w:val="18"/>
                <w:szCs w:val="18"/>
              </w:rPr>
            </w:pPr>
            <w:r>
              <w:rPr>
                <w:rFonts w:ascii="宋体" w:hAnsi="宋体" w:cs="宋体" w:eastAsia="宋体" w:hint="default"/>
                <w:sz w:val="18"/>
                <w:szCs w:val="18"/>
              </w:rPr>
              <w:t>持有无限售条 件的股份数量</w:t>
            </w:r>
          </w:p>
        </w:tc>
        <w:tc>
          <w:tcPr>
            <w:tcW w:w="17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401" w:hRule="exact"/>
        </w:trPr>
        <w:tc>
          <w:tcPr>
            <w:tcW w:w="2016"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593" w:type="dxa"/>
            <w:vMerge/>
            <w:tcBorders>
              <w:left w:val="single" w:sz="4" w:space="0" w:color="000000"/>
              <w:bottom w:val="single" w:sz="4" w:space="0" w:color="000000"/>
              <w:right w:val="single" w:sz="4" w:space="0" w:color="000000"/>
            </w:tcBorders>
            <w:shd w:val="clear" w:color="auto" w:fill="D2D2D2"/>
          </w:tcPr>
          <w:p>
            <w:pPr/>
          </w:p>
        </w:tc>
        <w:tc>
          <w:tcPr>
            <w:tcW w:w="866" w:type="dxa"/>
            <w:vMerge/>
            <w:tcBorders>
              <w:left w:val="single" w:sz="4" w:space="0" w:color="000000"/>
              <w:bottom w:val="single" w:sz="4" w:space="0" w:color="000000"/>
              <w:right w:val="single" w:sz="4" w:space="0" w:color="000000"/>
            </w:tcBorders>
            <w:shd w:val="clear" w:color="auto" w:fill="D2D2D2"/>
          </w:tcPr>
          <w:p>
            <w:pPr/>
          </w:p>
        </w:tc>
        <w:tc>
          <w:tcPr>
            <w:tcW w:w="1102" w:type="dxa"/>
            <w:gridSpan w:val="2"/>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1275" w:type="dxa"/>
            <w:gridSpan w:val="2"/>
            <w:vMerge/>
            <w:tcBorders>
              <w:left w:val="single" w:sz="4" w:space="0" w:color="000000"/>
              <w:bottom w:val="single" w:sz="4" w:space="0" w:color="000000"/>
              <w:right w:val="single" w:sz="4" w:space="0" w:color="000000"/>
            </w:tcBorders>
            <w:shd w:val="clear" w:color="auto" w:fill="D2D2D2"/>
          </w:tcPr>
          <w:p>
            <w:pPr/>
          </w:p>
        </w:tc>
        <w:tc>
          <w:tcPr>
            <w:tcW w:w="8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5"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中驰惠程企业管理有限 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56"/>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10.02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82,230,955</w:t>
            </w:r>
          </w:p>
        </w:tc>
        <w:tc>
          <w:tcPr>
            <w:tcW w:w="11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82,230,955</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82,063,200</w:t>
            </w:r>
          </w:p>
        </w:tc>
      </w:tr>
      <w:tr>
        <w:trPr>
          <w:trHeight w:val="713"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中央汇金资产管理有限 责任公司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3.52%</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28,882,200</w:t>
            </w:r>
          </w:p>
        </w:tc>
        <w:tc>
          <w:tcPr>
            <w:tcW w:w="11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9" w:right="0"/>
              <w:jc w:val="left"/>
              <w:rPr>
                <w:rFonts w:ascii="Times New Roman" w:hAnsi="Times New Roman" w:cs="Times New Roman" w:eastAsia="Times New Roman" w:hint="default"/>
                <w:sz w:val="18"/>
                <w:szCs w:val="18"/>
              </w:rPr>
            </w:pPr>
            <w:r>
              <w:rPr>
                <w:rFonts w:ascii="Times New Roman"/>
                <w:sz w:val="18"/>
              </w:rPr>
              <w:t>28,882,200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共青城中源信投资管理 合伙企业（有限合伙）</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56"/>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17,223,762</w:t>
            </w:r>
          </w:p>
        </w:tc>
        <w:tc>
          <w:tcPr>
            <w:tcW w:w="11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17,223,762</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15,000,000</w:t>
            </w:r>
          </w:p>
        </w:tc>
      </w:tr>
      <w:tr>
        <w:trPr>
          <w:trHeight w:val="713"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华宝信托有限责任公司</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－大地</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号单一资金信托</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6"/>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13,128,805</w:t>
            </w:r>
          </w:p>
        </w:tc>
        <w:tc>
          <w:tcPr>
            <w:tcW w:w="11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13,128,805</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1339"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164"/>
              <w:jc w:val="both"/>
              <w:rPr>
                <w:rFonts w:ascii="宋体" w:hAnsi="宋体" w:cs="宋体" w:eastAsia="宋体" w:hint="default"/>
                <w:sz w:val="18"/>
                <w:szCs w:val="18"/>
              </w:rPr>
            </w:pPr>
            <w:r>
              <w:rPr>
                <w:rFonts w:ascii="宋体" w:hAnsi="宋体" w:cs="宋体" w:eastAsia="宋体" w:hint="default"/>
                <w:sz w:val="18"/>
                <w:szCs w:val="18"/>
              </w:rPr>
              <w:t>陕西省国际信托股份有 限公司－陕国投</w:t>
            </w:r>
            <w:r>
              <w:rPr>
                <w:rFonts w:ascii="Times New Roman" w:hAnsi="Times New Roman" w:cs="Times New Roman" w:eastAsia="Times New Roman" w:hint="default"/>
                <w:sz w:val="18"/>
                <w:szCs w:val="18"/>
              </w:rPr>
              <w:t>·</w:t>
            </w:r>
            <w:r>
              <w:rPr>
                <w:rFonts w:ascii="宋体" w:hAnsi="宋体" w:cs="宋体" w:eastAsia="宋体" w:hint="default"/>
                <w:sz w:val="18"/>
                <w:szCs w:val="18"/>
              </w:rPr>
              <w:t>天象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号定向投资集合资金信 托计划</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56"/>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z w:val="18"/>
              </w:rPr>
              <w:t>1.57%</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12,848,348</w:t>
            </w:r>
          </w:p>
        </w:tc>
        <w:tc>
          <w:tcPr>
            <w:tcW w:w="11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z w:val="18"/>
              </w:rPr>
              <w:t>5,324,221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429" w:right="0"/>
              <w:jc w:val="left"/>
              <w:rPr>
                <w:rFonts w:ascii="Times New Roman" w:hAnsi="Times New Roman" w:cs="Times New Roman" w:eastAsia="Times New Roman" w:hint="default"/>
                <w:sz w:val="18"/>
                <w:szCs w:val="18"/>
              </w:rPr>
            </w:pPr>
            <w:r>
              <w:rPr>
                <w:rFonts w:ascii="Times New Roman"/>
                <w:sz w:val="18"/>
              </w:rPr>
              <w:t>12,848,348</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0"/>
              <w:jc w:val="center"/>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华宝信托有限责任公司</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－大地</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号单一资金信托</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6"/>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12,757,842</w:t>
            </w:r>
          </w:p>
        </w:tc>
        <w:tc>
          <w:tcPr>
            <w:tcW w:w="11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12,757,842</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1028"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云南国际信托有限公司</w:t>
            </w:r>
          </w:p>
          <w:p>
            <w:pPr>
              <w:pStyle w:val="TableParagraph"/>
              <w:spacing w:line="300" w:lineRule="auto" w:before="74"/>
              <w:ind w:left="24" w:right="86"/>
              <w:jc w:val="left"/>
              <w:rPr>
                <w:rFonts w:ascii="宋体" w:hAnsi="宋体" w:cs="宋体" w:eastAsia="宋体" w:hint="default"/>
                <w:sz w:val="18"/>
                <w:szCs w:val="18"/>
              </w:rPr>
            </w:pPr>
            <w:r>
              <w:rPr>
                <w:rFonts w:ascii="宋体" w:hAnsi="宋体" w:cs="宋体" w:eastAsia="宋体" w:hint="default"/>
                <w:sz w:val="18"/>
                <w:szCs w:val="18"/>
              </w:rPr>
              <w:t>－睿赢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号单一资金信 托</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56"/>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12,120,056</w:t>
            </w:r>
          </w:p>
        </w:tc>
        <w:tc>
          <w:tcPr>
            <w:tcW w:w="11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12,120,056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29" w:right="0"/>
              <w:jc w:val="left"/>
              <w:rPr>
                <w:rFonts w:ascii="Times New Roman" w:hAnsi="Times New Roman" w:cs="Times New Roman" w:eastAsia="Times New Roman" w:hint="default"/>
                <w:sz w:val="18"/>
                <w:szCs w:val="18"/>
              </w:rPr>
            </w:pPr>
            <w:r>
              <w:rPr>
                <w:rFonts w:ascii="Times New Roman"/>
                <w:sz w:val="18"/>
              </w:rPr>
              <w:t>12,120,056</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1025"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云南国际信托有限公司</w:t>
            </w:r>
          </w:p>
          <w:p>
            <w:pPr>
              <w:pStyle w:val="TableParagraph"/>
              <w:spacing w:line="300" w:lineRule="auto" w:before="76"/>
              <w:ind w:left="24" w:right="86"/>
              <w:jc w:val="left"/>
              <w:rPr>
                <w:rFonts w:ascii="宋体" w:hAnsi="宋体" w:cs="宋体" w:eastAsia="宋体" w:hint="default"/>
                <w:sz w:val="18"/>
                <w:szCs w:val="18"/>
              </w:rPr>
            </w:pPr>
            <w:r>
              <w:rPr>
                <w:rFonts w:ascii="宋体" w:hAnsi="宋体" w:cs="宋体" w:eastAsia="宋体" w:hint="default"/>
                <w:sz w:val="18"/>
                <w:szCs w:val="18"/>
              </w:rPr>
              <w:t>－聚利</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号单一资金信 托</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56"/>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10,977,270</w:t>
            </w:r>
          </w:p>
        </w:tc>
        <w:tc>
          <w:tcPr>
            <w:tcW w:w="11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10,977,270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29" w:right="0"/>
              <w:jc w:val="left"/>
              <w:rPr>
                <w:rFonts w:ascii="Times New Roman" w:hAnsi="Times New Roman" w:cs="Times New Roman" w:eastAsia="Times New Roman" w:hint="default"/>
                <w:sz w:val="18"/>
                <w:szCs w:val="18"/>
              </w:rPr>
            </w:pPr>
            <w:r>
              <w:rPr>
                <w:rFonts w:ascii="Times New Roman"/>
                <w:sz w:val="18"/>
              </w:rPr>
              <w:t>10,977,270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安华农业保险股份有限 公司－养殖保险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56"/>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9,124,775</w:t>
            </w:r>
          </w:p>
        </w:tc>
        <w:tc>
          <w:tcPr>
            <w:tcW w:w="11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20" w:right="0"/>
              <w:jc w:val="left"/>
              <w:rPr>
                <w:rFonts w:ascii="Times New Roman" w:hAnsi="Times New Roman" w:cs="Times New Roman" w:eastAsia="Times New Roman" w:hint="default"/>
                <w:sz w:val="18"/>
                <w:szCs w:val="18"/>
              </w:rPr>
            </w:pPr>
            <w:r>
              <w:rPr>
                <w:rFonts w:ascii="Times New Roman"/>
                <w:sz w:val="18"/>
              </w:rPr>
              <w:t>9,124,775</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1025"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长信基金－浦发银行－ 中金投资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号资产管理计 划</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56"/>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0.85%</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7,000,008</w:t>
            </w:r>
          </w:p>
        </w:tc>
        <w:tc>
          <w:tcPr>
            <w:tcW w:w="11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-1,850,005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20" w:right="0"/>
              <w:jc w:val="left"/>
              <w:rPr>
                <w:rFonts w:ascii="Times New Roman" w:hAnsi="Times New Roman" w:cs="Times New Roman" w:eastAsia="Times New Roman" w:hint="default"/>
                <w:sz w:val="18"/>
                <w:szCs w:val="18"/>
              </w:rPr>
            </w:pPr>
            <w:r>
              <w:rPr>
                <w:rFonts w:ascii="Times New Roman"/>
                <w:sz w:val="18"/>
              </w:rPr>
              <w:t>7,000,008</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164" w:hRule="exact"/>
        </w:trPr>
        <w:tc>
          <w:tcPr>
            <w:tcW w:w="20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682" w:type="dxa"/>
            <w:gridSpan w:val="11"/>
            <w:vMerge w:val="restart"/>
            <w:tcBorders>
              <w:top w:val="single" w:sz="4" w:space="0" w:color="000000"/>
              <w:left w:val="single" w:sz="9" w:space="0" w:color="D2D2D2"/>
              <w:right w:val="single" w:sz="4" w:space="0" w:color="000000"/>
            </w:tcBorders>
          </w:tcPr>
          <w:p>
            <w:pPr>
              <w:pStyle w:val="TableParagraph"/>
              <w:spacing w:line="240" w:lineRule="auto" w:before="52"/>
              <w:ind w:left="17" w:right="0"/>
              <w:jc w:val="left"/>
              <w:rPr>
                <w:rFonts w:ascii="宋体" w:hAnsi="宋体" w:cs="宋体" w:eastAsia="宋体" w:hint="default"/>
                <w:sz w:val="18"/>
                <w:szCs w:val="18"/>
              </w:rPr>
            </w:pPr>
            <w:r>
              <w:rPr>
                <w:rFonts w:ascii="宋体" w:hAnsi="宋体" w:cs="宋体" w:eastAsia="宋体" w:hint="default"/>
                <w:sz w:val="18"/>
                <w:szCs w:val="18"/>
              </w:rPr>
              <w:t>共青城中源信投资管理合伙企</w:t>
            </w:r>
            <w:r>
              <w:rPr>
                <w:rFonts w:ascii="宋体" w:hAnsi="宋体" w:cs="宋体" w:eastAsia="宋体" w:hint="default"/>
                <w:spacing w:val="-29"/>
                <w:sz w:val="18"/>
                <w:szCs w:val="18"/>
              </w:rPr>
              <w:t>业</w:t>
            </w:r>
            <w:r>
              <w:rPr>
                <w:rFonts w:ascii="宋体" w:hAnsi="宋体" w:cs="宋体" w:eastAsia="宋体" w:hint="default"/>
                <w:sz w:val="18"/>
                <w:szCs w:val="18"/>
              </w:rPr>
              <w:t>（有限合伙</w:t>
            </w:r>
            <w:r>
              <w:rPr>
                <w:rFonts w:ascii="宋体" w:hAnsi="宋体" w:cs="宋体" w:eastAsia="宋体" w:hint="default"/>
                <w:spacing w:val="-92"/>
                <w:sz w:val="18"/>
                <w:szCs w:val="18"/>
              </w:rPr>
              <w:t>）</w:t>
            </w:r>
            <w:r>
              <w:rPr>
                <w:rFonts w:ascii="宋体" w:hAnsi="宋体" w:cs="宋体" w:eastAsia="宋体" w:hint="default"/>
                <w:spacing w:val="-29"/>
                <w:sz w:val="18"/>
                <w:szCs w:val="18"/>
              </w:rPr>
              <w:t>、</w:t>
            </w:r>
            <w:r>
              <w:rPr>
                <w:rFonts w:ascii="宋体" w:hAnsi="宋体" w:cs="宋体" w:eastAsia="宋体" w:hint="default"/>
                <w:sz w:val="18"/>
                <w:szCs w:val="18"/>
              </w:rPr>
              <w:t>华宝信托有限责任公</w:t>
            </w:r>
            <w:r>
              <w:rPr>
                <w:rFonts w:ascii="宋体" w:hAnsi="宋体" w:cs="宋体" w:eastAsia="宋体" w:hint="default"/>
                <w:spacing w:val="1"/>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大地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号单一资金</w:t>
            </w:r>
            <w:r>
              <w:rPr>
                <w:rFonts w:ascii="宋体" w:hAnsi="宋体" w:cs="宋体" w:eastAsia="宋体" w:hint="default"/>
                <w:spacing w:val="-3"/>
                <w:sz w:val="18"/>
                <w:szCs w:val="18"/>
              </w:rPr>
              <w:t>信</w:t>
            </w:r>
            <w:r>
              <w:rPr>
                <w:rFonts w:ascii="宋体" w:hAnsi="宋体" w:cs="宋体" w:eastAsia="宋体" w:hint="default"/>
                <w:sz w:val="18"/>
                <w:szCs w:val="18"/>
              </w:rPr>
              <w:t>托</w:t>
            </w:r>
            <w:r>
              <w:rPr>
                <w:rFonts w:ascii="宋体" w:hAnsi="宋体" w:cs="宋体" w:eastAsia="宋体" w:hint="default"/>
                <w:spacing w:val="-29"/>
                <w:sz w:val="18"/>
                <w:szCs w:val="18"/>
              </w:rPr>
              <w:t>、</w:t>
            </w:r>
            <w:r>
              <w:rPr>
                <w:rFonts w:ascii="宋体" w:hAnsi="宋体" w:cs="宋体" w:eastAsia="宋体" w:hint="default"/>
                <w:sz w:val="18"/>
                <w:szCs w:val="18"/>
              </w:rPr>
              <w:t>华</w:t>
            </w:r>
          </w:p>
          <w:p>
            <w:pPr>
              <w:pStyle w:val="TableParagraph"/>
              <w:spacing w:line="300" w:lineRule="auto" w:before="60"/>
              <w:ind w:left="17" w:right="25"/>
              <w:jc w:val="left"/>
              <w:rPr>
                <w:rFonts w:ascii="宋体" w:hAnsi="宋体" w:cs="宋体" w:eastAsia="宋体" w:hint="default"/>
                <w:sz w:val="18"/>
                <w:szCs w:val="18"/>
              </w:rPr>
            </w:pPr>
            <w:r>
              <w:rPr>
                <w:rFonts w:ascii="宋体" w:hAnsi="宋体" w:cs="宋体" w:eastAsia="宋体" w:hint="default"/>
                <w:sz w:val="18"/>
                <w:szCs w:val="18"/>
              </w:rPr>
              <w:t>宝信托有限责任公司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大地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号单一资金信托系第一大股东中驰惠程企业管理有限公司的一致行动 人，合计持股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125,341,364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股，占公司期末总股本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15.27%</w:t>
            </w:r>
            <w:r>
              <w:rPr>
                <w:rFonts w:ascii="宋体" w:hAnsi="宋体" w:cs="宋体" w:eastAsia="宋体" w:hint="default"/>
                <w:sz w:val="18"/>
                <w:szCs w:val="18"/>
              </w:rPr>
              <w:t>；其他股东之间关系不详。</w:t>
            </w:r>
          </w:p>
        </w:tc>
      </w:tr>
      <w:tr>
        <w:trPr>
          <w:trHeight w:val="703" w:hRule="exact"/>
        </w:trPr>
        <w:tc>
          <w:tcPr>
            <w:tcW w:w="20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上述股东关联关系或一 致行动的说明</w:t>
            </w:r>
          </w:p>
        </w:tc>
        <w:tc>
          <w:tcPr>
            <w:tcW w:w="7682" w:type="dxa"/>
            <w:gridSpan w:val="11"/>
            <w:vMerge/>
            <w:tcBorders>
              <w:left w:val="single" w:sz="9" w:space="0" w:color="D2D2D2"/>
              <w:right w:val="single" w:sz="4" w:space="0" w:color="000000"/>
            </w:tcBorders>
          </w:tcPr>
          <w:p>
            <w:pPr/>
          </w:p>
        </w:tc>
      </w:tr>
      <w:tr>
        <w:trPr>
          <w:trHeight w:val="161" w:hRule="exact"/>
        </w:trPr>
        <w:tc>
          <w:tcPr>
            <w:tcW w:w="20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682" w:type="dxa"/>
            <w:gridSpan w:val="11"/>
            <w:vMerge/>
            <w:tcBorders>
              <w:left w:val="single" w:sz="9" w:space="0" w:color="D2D2D2"/>
              <w:bottom w:val="single" w:sz="4" w:space="0" w:color="000000"/>
              <w:right w:val="single" w:sz="4" w:space="0" w:color="000000"/>
            </w:tcBorders>
          </w:tcPr>
          <w:p>
            <w:pPr/>
          </w:p>
        </w:tc>
      </w:tr>
      <w:tr>
        <w:trPr>
          <w:trHeight w:val="396" w:hRule="exact"/>
        </w:trPr>
        <w:tc>
          <w:tcPr>
            <w:tcW w:w="969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11" w:hRule="exact"/>
        </w:trPr>
        <w:tc>
          <w:tcPr>
            <w:tcW w:w="4573"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50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068" w:right="75" w:hanging="992"/>
              <w:jc w:val="left"/>
              <w:rPr>
                <w:rFonts w:ascii="宋体" w:hAnsi="宋体" w:cs="宋体" w:eastAsia="宋体" w:hint="default"/>
                <w:sz w:val="18"/>
                <w:szCs w:val="18"/>
              </w:rPr>
            </w:pPr>
            <w:r>
              <w:rPr>
                <w:rFonts w:ascii="宋体" w:hAnsi="宋体" w:cs="宋体" w:eastAsia="宋体" w:hint="default"/>
                <w:sz w:val="18"/>
                <w:szCs w:val="18"/>
              </w:rPr>
              <w:t>报告期末持有无限售条件股份 数量</w:t>
            </w:r>
          </w:p>
        </w:tc>
        <w:tc>
          <w:tcPr>
            <w:tcW w:w="2621"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4573"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504" w:type="dxa"/>
            <w:gridSpan w:val="3"/>
            <w:vMerge/>
            <w:tcBorders>
              <w:left w:val="single" w:sz="4" w:space="0" w:color="000000"/>
              <w:right w:val="single" w:sz="4" w:space="0" w:color="000000"/>
            </w:tcBorders>
            <w:shd w:val="clear" w:color="auto" w:fill="D2D2D2"/>
          </w:tcPr>
          <w:p>
            <w:pPr/>
          </w:p>
        </w:tc>
        <w:tc>
          <w:tcPr>
            <w:tcW w:w="2621"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4573" w:type="dxa"/>
            <w:gridSpan w:val="5"/>
            <w:vMerge/>
            <w:tcBorders>
              <w:left w:val="single" w:sz="4" w:space="0" w:color="000000"/>
              <w:bottom w:val="nil" w:sz="6" w:space="0" w:color="auto"/>
              <w:right w:val="single" w:sz="4" w:space="0" w:color="000000"/>
            </w:tcBorders>
            <w:shd w:val="clear" w:color="auto" w:fill="D2D2D2"/>
          </w:tcPr>
          <w:p>
            <w:pPr/>
          </w:p>
        </w:tc>
        <w:tc>
          <w:tcPr>
            <w:tcW w:w="2504" w:type="dxa"/>
            <w:gridSpan w:val="3"/>
            <w:vMerge/>
            <w:tcBorders>
              <w:left w:val="single" w:sz="4" w:space="0" w:color="000000"/>
              <w:right w:val="single" w:sz="4" w:space="0" w:color="000000"/>
            </w:tcBorders>
            <w:shd w:val="clear" w:color="auto" w:fill="D2D2D2"/>
          </w:tcPr>
          <w:p>
            <w:pPr/>
          </w:p>
        </w:tc>
        <w:tc>
          <w:tcPr>
            <w:tcW w:w="132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95"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2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4573"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2504" w:type="dxa"/>
            <w:gridSpan w:val="3"/>
            <w:vMerge/>
            <w:tcBorders>
              <w:left w:val="single" w:sz="4" w:space="0" w:color="000000"/>
              <w:bottom w:val="single" w:sz="4" w:space="0" w:color="000000"/>
              <w:right w:val="single" w:sz="4" w:space="0" w:color="000000"/>
            </w:tcBorders>
            <w:shd w:val="clear" w:color="auto" w:fill="D2D2D2"/>
          </w:tcPr>
          <w:p>
            <w:pPr/>
          </w:p>
        </w:tc>
        <w:tc>
          <w:tcPr>
            <w:tcW w:w="1323" w:type="dxa"/>
            <w:gridSpan w:val="2"/>
            <w:vMerge/>
            <w:tcBorders>
              <w:left w:val="single" w:sz="4" w:space="0" w:color="000000"/>
              <w:bottom w:val="single" w:sz="4" w:space="0" w:color="000000"/>
              <w:right w:val="single" w:sz="4" w:space="0" w:color="000000"/>
            </w:tcBorders>
            <w:shd w:val="clear" w:color="auto" w:fill="D2D2D2"/>
          </w:tcPr>
          <w:p>
            <w:pPr/>
          </w:p>
        </w:tc>
        <w:tc>
          <w:tcPr>
            <w:tcW w:w="1298" w:type="dxa"/>
            <w:gridSpan w:val="2"/>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45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2504" w:type="dxa"/>
            <w:gridSpan w:val="3"/>
            <w:tcBorders>
              <w:top w:val="single" w:sz="21" w:space="0" w:color="D2D2D2"/>
              <w:left w:val="single" w:sz="4" w:space="0" w:color="000000"/>
              <w:bottom w:val="single" w:sz="4" w:space="0" w:color="000000"/>
              <w:right w:val="single" w:sz="4" w:space="0" w:color="000000"/>
            </w:tcBorders>
          </w:tcPr>
          <w:p>
            <w:pPr>
              <w:pStyle w:val="TableParagraph"/>
              <w:spacing w:line="240" w:lineRule="auto" w:before="72"/>
              <w:ind w:left="1661" w:right="0"/>
              <w:jc w:val="left"/>
              <w:rPr>
                <w:rFonts w:ascii="Times New Roman" w:hAnsi="Times New Roman" w:cs="Times New Roman" w:eastAsia="Times New Roman" w:hint="default"/>
                <w:sz w:val="18"/>
                <w:szCs w:val="18"/>
              </w:rPr>
            </w:pPr>
            <w:r>
              <w:rPr>
                <w:rFonts w:ascii="Times New Roman"/>
                <w:sz w:val="18"/>
              </w:rPr>
              <w:t>28,882,200</w:t>
            </w:r>
          </w:p>
        </w:tc>
        <w:tc>
          <w:tcPr>
            <w:tcW w:w="13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5" w:right="0"/>
              <w:jc w:val="left"/>
              <w:rPr>
                <w:rFonts w:ascii="Times New Roman" w:hAnsi="Times New Roman" w:cs="Times New Roman" w:eastAsia="Times New Roman" w:hint="default"/>
                <w:sz w:val="18"/>
                <w:szCs w:val="18"/>
              </w:rPr>
            </w:pPr>
            <w:r>
              <w:rPr>
                <w:rFonts w:ascii="Times New Roman"/>
                <w:sz w:val="18"/>
              </w:rPr>
              <w:t>28,882,200</w:t>
            </w:r>
          </w:p>
        </w:tc>
      </w:tr>
      <w:tr>
        <w:trPr>
          <w:trHeight w:val="713" w:hRule="exact"/>
        </w:trPr>
        <w:tc>
          <w:tcPr>
            <w:tcW w:w="4573" w:type="dxa"/>
            <w:gridSpan w:val="5"/>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陕西省国际信托股份有限公司－陕国投</w:t>
            </w:r>
            <w:r>
              <w:rPr>
                <w:rFonts w:ascii="Times New Roman" w:hAnsi="Times New Roman" w:cs="Times New Roman" w:eastAsia="Times New Roman" w:hint="default"/>
                <w:sz w:val="18"/>
                <w:szCs w:val="18"/>
              </w:rPr>
              <w:t>·</w:t>
            </w:r>
            <w:r>
              <w:rPr>
                <w:rFonts w:ascii="宋体" w:hAnsi="宋体" w:cs="宋体" w:eastAsia="宋体" w:hint="default"/>
                <w:sz w:val="18"/>
                <w:szCs w:val="18"/>
              </w:rPr>
              <w:t>天象</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号定向投资 集合资金信托计划</w:t>
            </w:r>
          </w:p>
        </w:tc>
        <w:tc>
          <w:tcPr>
            <w:tcW w:w="25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61" w:right="0"/>
              <w:jc w:val="left"/>
              <w:rPr>
                <w:rFonts w:ascii="Times New Roman" w:hAnsi="Times New Roman" w:cs="Times New Roman" w:eastAsia="Times New Roman" w:hint="default"/>
                <w:sz w:val="18"/>
                <w:szCs w:val="18"/>
              </w:rPr>
            </w:pPr>
            <w:r>
              <w:rPr>
                <w:rFonts w:ascii="Times New Roman"/>
                <w:sz w:val="18"/>
              </w:rPr>
              <w:t>12,848,348</w:t>
            </w:r>
          </w:p>
        </w:tc>
        <w:tc>
          <w:tcPr>
            <w:tcW w:w="13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5" w:right="0"/>
              <w:jc w:val="left"/>
              <w:rPr>
                <w:rFonts w:ascii="Times New Roman" w:hAnsi="Times New Roman" w:cs="Times New Roman" w:eastAsia="Times New Roman" w:hint="default"/>
                <w:sz w:val="18"/>
                <w:szCs w:val="18"/>
              </w:rPr>
            </w:pPr>
            <w:r>
              <w:rPr>
                <w:rFonts w:ascii="Times New Roman"/>
                <w:sz w:val="18"/>
              </w:rPr>
              <w:t>12,848,348</w:t>
            </w:r>
          </w:p>
        </w:tc>
      </w:tr>
      <w:tr>
        <w:trPr>
          <w:trHeight w:val="404" w:hRule="exact"/>
        </w:trPr>
        <w:tc>
          <w:tcPr>
            <w:tcW w:w="45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云南国际信托有限公司－睿赢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号单一资金信托</w:t>
            </w:r>
          </w:p>
        </w:tc>
        <w:tc>
          <w:tcPr>
            <w:tcW w:w="25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661" w:right="0"/>
              <w:jc w:val="left"/>
              <w:rPr>
                <w:rFonts w:ascii="Times New Roman" w:hAnsi="Times New Roman" w:cs="Times New Roman" w:eastAsia="Times New Roman" w:hint="default"/>
                <w:sz w:val="18"/>
                <w:szCs w:val="18"/>
              </w:rPr>
            </w:pPr>
            <w:r>
              <w:rPr>
                <w:rFonts w:ascii="Times New Roman"/>
                <w:sz w:val="18"/>
              </w:rPr>
              <w:t>12,120,056</w:t>
            </w:r>
          </w:p>
        </w:tc>
        <w:tc>
          <w:tcPr>
            <w:tcW w:w="13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5" w:right="0"/>
              <w:jc w:val="left"/>
              <w:rPr>
                <w:rFonts w:ascii="Times New Roman" w:hAnsi="Times New Roman" w:cs="Times New Roman" w:eastAsia="Times New Roman" w:hint="default"/>
                <w:sz w:val="18"/>
                <w:szCs w:val="18"/>
              </w:rPr>
            </w:pPr>
            <w:r>
              <w:rPr>
                <w:rFonts w:ascii="Times New Roman"/>
                <w:sz w:val="18"/>
              </w:rPr>
              <w:t>12,120,056</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4573"/>
        <w:gridCol w:w="2504"/>
        <w:gridCol w:w="1323"/>
        <w:gridCol w:w="1298"/>
      </w:tblGrid>
      <w:tr>
        <w:trPr>
          <w:trHeight w:val="401" w:hRule="exact"/>
        </w:trPr>
        <w:tc>
          <w:tcPr>
            <w:tcW w:w="4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云南国际信托有限公司－聚利</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号单一资金信托</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10,977,270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10,977,270</w:t>
            </w:r>
          </w:p>
        </w:tc>
      </w:tr>
      <w:tr>
        <w:trPr>
          <w:trHeight w:val="403" w:hRule="exact"/>
        </w:trPr>
        <w:tc>
          <w:tcPr>
            <w:tcW w:w="4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安华农业保险股份有限公司－养殖保险</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9,124,775</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9,124,775</w:t>
            </w:r>
          </w:p>
        </w:tc>
      </w:tr>
      <w:tr>
        <w:trPr>
          <w:trHeight w:val="401" w:hRule="exact"/>
        </w:trPr>
        <w:tc>
          <w:tcPr>
            <w:tcW w:w="4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长信基金－浦发银行－中金投资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号资产管理计划</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7,000,008</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7,000,008</w:t>
            </w:r>
          </w:p>
        </w:tc>
      </w:tr>
      <w:tr>
        <w:trPr>
          <w:trHeight w:val="403" w:hRule="exact"/>
        </w:trPr>
        <w:tc>
          <w:tcPr>
            <w:tcW w:w="4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张景华</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6,500,000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6,500,000</w:t>
            </w:r>
          </w:p>
        </w:tc>
      </w:tr>
      <w:tr>
        <w:trPr>
          <w:trHeight w:val="401" w:hRule="exact"/>
        </w:trPr>
        <w:tc>
          <w:tcPr>
            <w:tcW w:w="4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张利群</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6,454,209</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6,454,209</w:t>
            </w:r>
          </w:p>
        </w:tc>
      </w:tr>
      <w:tr>
        <w:trPr>
          <w:trHeight w:val="403" w:hRule="exact"/>
        </w:trPr>
        <w:tc>
          <w:tcPr>
            <w:tcW w:w="4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马平平</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4,100,000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4,100,000</w:t>
            </w:r>
          </w:p>
        </w:tc>
      </w:tr>
      <w:tr>
        <w:trPr>
          <w:trHeight w:val="401" w:hRule="exact"/>
        </w:trPr>
        <w:tc>
          <w:tcPr>
            <w:tcW w:w="4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高凤洁</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3,858,100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3,858,100</w:t>
            </w:r>
          </w:p>
        </w:tc>
      </w:tr>
      <w:tr>
        <w:trPr>
          <w:trHeight w:val="716" w:hRule="exact"/>
        </w:trPr>
        <w:tc>
          <w:tcPr>
            <w:tcW w:w="4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股股东和前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名股东之间关联关系或一致行动的说明</w:t>
            </w:r>
          </w:p>
        </w:tc>
        <w:tc>
          <w:tcPr>
            <w:tcW w:w="512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名无限售条件股东之间关系不详，前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名股东之间关联关系或一致行动关系不详。</w:t>
            </w:r>
          </w:p>
        </w:tc>
      </w:tr>
    </w:tbl>
    <w:p>
      <w:pPr>
        <w:pStyle w:val="BodyText"/>
        <w:spacing w:line="240" w:lineRule="auto" w:before="49"/>
        <w:ind w:right="94"/>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94"/>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3"/>
        <w:spacing w:line="240" w:lineRule="auto"/>
        <w:ind w:right="94"/>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654"/>
        <w:jc w:val="left"/>
      </w:pPr>
      <w:r>
        <w:rPr/>
        <w:t>控股股东性质：自然人控股 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pStyle w:val="BodyText"/>
        <w:spacing w:line="240" w:lineRule="auto" w:before="44"/>
        <w:ind w:left="0" w:right="100"/>
        <w:jc w:val="right"/>
      </w:pPr>
      <w:r>
        <w:rPr/>
        <w:pict>
          <v:shape style="position:absolute;margin-left:54.959999pt;margin-top:-51.988304pt;width:485.65pt;height:123.3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20"/>
                    <w:gridCol w:w="1023"/>
                    <w:gridCol w:w="946"/>
                    <w:gridCol w:w="1661"/>
                    <w:gridCol w:w="3548"/>
                  </w:tblGrid>
                  <w:tr>
                    <w:trPr>
                      <w:trHeight w:val="716" w:hRule="exact"/>
                    </w:trPr>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5"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5" w:right="29"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3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中驰惠程企业管理有限公司</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汪超涌</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pacing w:val="-2"/>
                            <w:sz w:val="18"/>
                          </w:rPr>
                          <w:t>911101073303568270</w:t>
                        </w:r>
                      </w:p>
                    </w:tc>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89"/>
                          <w:jc w:val="left"/>
                          <w:rPr>
                            <w:rFonts w:ascii="宋体" w:hAnsi="宋体" w:cs="宋体" w:eastAsia="宋体" w:hint="default"/>
                            <w:sz w:val="18"/>
                            <w:szCs w:val="18"/>
                          </w:rPr>
                        </w:pPr>
                        <w:r>
                          <w:rPr>
                            <w:rFonts w:ascii="宋体" w:hAnsi="宋体" w:cs="宋体" w:eastAsia="宋体" w:hint="default"/>
                            <w:sz w:val="18"/>
                            <w:szCs w:val="18"/>
                          </w:rPr>
                          <w:t>企业管理；企业营销策划；企业管理咨询； 技术开发、技术转让、技术咨询、技术服务</w:t>
                        </w:r>
                      </w:p>
                    </w:tc>
                  </w:tr>
                  <w:tr>
                    <w:trPr>
                      <w:trHeight w:val="1027" w:hRule="exact"/>
                    </w:trPr>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4"/>
                          <w:jc w:val="both"/>
                          <w:rPr>
                            <w:rFonts w:ascii="宋体" w:hAnsi="宋体" w:cs="宋体" w:eastAsia="宋体" w:hint="default"/>
                            <w:sz w:val="18"/>
                            <w:szCs w:val="18"/>
                          </w:rPr>
                        </w:pPr>
                        <w:r>
                          <w:rPr>
                            <w:rFonts w:ascii="宋体" w:hAnsi="宋体" w:cs="宋体" w:eastAsia="宋体" w:hint="default"/>
                            <w:sz w:val="18"/>
                            <w:szCs w:val="18"/>
                          </w:rPr>
                          <w:t>控股股东报告期内控股和参股 的其他境内外上市公司的股权 情况</w:t>
                        </w:r>
                      </w:p>
                    </w:tc>
                    <w:tc>
                      <w:tcPr>
                        <w:tcW w:w="71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BodyText"/>
        <w:spacing w:line="240" w:lineRule="auto" w:before="44"/>
        <w:ind w:right="94"/>
        <w:jc w:val="left"/>
      </w:pPr>
      <w:r>
        <w:rPr/>
        <w:t>控股股东报告期内变更</w:t>
      </w:r>
    </w:p>
    <w:p>
      <w:pPr>
        <w:pStyle w:val="BodyText"/>
        <w:spacing w:line="340" w:lineRule="auto" w:before="115"/>
        <w:ind w:right="7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4"/>
        <w:rPr>
          <w:rFonts w:ascii="宋体" w:hAnsi="宋体" w:cs="宋体" w:eastAsia="宋体" w:hint="default"/>
          <w:sz w:val="21"/>
          <w:szCs w:val="21"/>
        </w:rPr>
      </w:pPr>
    </w:p>
    <w:p>
      <w:pPr>
        <w:pStyle w:val="Heading3"/>
        <w:spacing w:line="240" w:lineRule="auto"/>
        <w:ind w:right="94"/>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474"/>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3419"/>
        <w:gridCol w:w="2302"/>
        <w:gridCol w:w="3850"/>
      </w:tblGrid>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9"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汪超涌</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李亦非</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汪超涌先生目前担任北京信中利投资股份有限公司董事长职务。</w:t>
            </w:r>
          </w:p>
        </w:tc>
      </w:tr>
      <w:tr>
        <w:trPr>
          <w:trHeight w:val="71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6"/>
              <w:jc w:val="left"/>
              <w:rPr>
                <w:rFonts w:ascii="宋体" w:hAnsi="宋体" w:cs="宋体" w:eastAsia="宋体" w:hint="default"/>
                <w:sz w:val="18"/>
                <w:szCs w:val="18"/>
              </w:rPr>
            </w:pPr>
            <w:r>
              <w:rPr>
                <w:rFonts w:ascii="宋体" w:hAnsi="宋体" w:cs="宋体" w:eastAsia="宋体" w:hint="default"/>
                <w:sz w:val="18"/>
                <w:szCs w:val="18"/>
              </w:rPr>
              <w:t>汪超涌先生和李亦非女士系全国中小企业股份转让系统挂牌公司北京信中利 投资股份有限公司一致行动人和实际控制人。</w:t>
            </w:r>
          </w:p>
        </w:tc>
      </w:tr>
    </w:tbl>
    <w:p>
      <w:pPr>
        <w:spacing w:after="0" w:line="316" w:lineRule="auto"/>
        <w:jc w:val="left"/>
        <w:rPr>
          <w:rFonts w:ascii="宋体" w:hAnsi="宋体" w:cs="宋体" w:eastAsia="宋体" w:hint="default"/>
          <w:sz w:val="18"/>
          <w:szCs w:val="18"/>
        </w:rPr>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240" w:lineRule="auto" w:before="44"/>
        <w:ind w:right="5934"/>
        <w:jc w:val="left"/>
      </w:pPr>
      <w:r>
        <w:rPr/>
        <w:t>实际控制人报告期内变更</w:t>
      </w:r>
    </w:p>
    <w:p>
      <w:pPr>
        <w:pStyle w:val="BodyText"/>
        <w:spacing w:line="348" w:lineRule="auto" w:before="117"/>
        <w:ind w:right="59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1"/>
        <w:rPr>
          <w:rFonts w:ascii="宋体" w:hAnsi="宋体" w:cs="宋体" w:eastAsia="宋体" w:hint="default"/>
          <w:sz w:val="18"/>
          <w:szCs w:val="18"/>
        </w:rPr>
      </w:pPr>
    </w:p>
    <w:p>
      <w:pPr>
        <w:spacing w:line="8325" w:lineRule="exact"/>
        <w:ind w:left="153" w:right="0" w:firstLine="0"/>
        <w:rPr>
          <w:rFonts w:ascii="宋体" w:hAnsi="宋体" w:cs="宋体" w:eastAsia="宋体" w:hint="default"/>
          <w:sz w:val="20"/>
          <w:szCs w:val="20"/>
        </w:rPr>
      </w:pPr>
      <w:r>
        <w:rPr>
          <w:rFonts w:ascii="宋体" w:hAnsi="宋体" w:cs="宋体" w:eastAsia="宋体" w:hint="default"/>
          <w:position w:val="-166"/>
          <w:sz w:val="20"/>
          <w:szCs w:val="20"/>
        </w:rPr>
        <w:drawing>
          <wp:inline distT="0" distB="0" distL="0" distR="0">
            <wp:extent cx="6229985" cy="5286375"/>
            <wp:effectExtent l="0" t="0" r="0" b="0"/>
            <wp:docPr id="3" name="image4.png" descr=""/>
            <wp:cNvGraphicFramePr>
              <a:graphicFrameLocks noChangeAspect="1"/>
            </wp:cNvGraphicFramePr>
            <a:graphic>
              <a:graphicData uri="http://schemas.openxmlformats.org/drawingml/2006/picture">
                <pic:pic>
                  <pic:nvPicPr>
                    <pic:cNvPr id="4" name="image4.png"/>
                    <pic:cNvPicPr/>
                  </pic:nvPicPr>
                  <pic:blipFill>
                    <a:blip r:embed="rId30" cstate="print"/>
                    <a:stretch>
                      <a:fillRect/>
                    </a:stretch>
                  </pic:blipFill>
                  <pic:spPr>
                    <a:xfrm>
                      <a:off x="0" y="0"/>
                      <a:ext cx="6229985" cy="5286375"/>
                    </a:xfrm>
                    <a:prstGeom prst="rect">
                      <a:avLst/>
                    </a:prstGeom>
                  </pic:spPr>
                </pic:pic>
              </a:graphicData>
            </a:graphic>
          </wp:inline>
        </w:drawing>
      </w:r>
      <w:r>
        <w:rPr>
          <w:rFonts w:ascii="宋体" w:hAnsi="宋体" w:cs="宋体" w:eastAsia="宋体" w:hint="default"/>
          <w:position w:val="-166"/>
          <w:sz w:val="20"/>
          <w:szCs w:val="20"/>
        </w:rPr>
      </w:r>
    </w:p>
    <w:p>
      <w:pPr>
        <w:spacing w:line="240" w:lineRule="auto" w:before="1"/>
        <w:rPr>
          <w:rFonts w:ascii="宋体" w:hAnsi="宋体" w:cs="宋体" w:eastAsia="宋体" w:hint="default"/>
          <w:sz w:val="20"/>
          <w:szCs w:val="20"/>
        </w:rPr>
      </w:pPr>
    </w:p>
    <w:p>
      <w:pPr>
        <w:pStyle w:val="BodyText"/>
        <w:spacing w:line="240" w:lineRule="auto"/>
        <w:ind w:right="0"/>
        <w:jc w:val="left"/>
      </w:pPr>
      <w:r>
        <w:rPr/>
        <w:t>实际控制人通过信托或其他资产管理方式控制公司</w:t>
      </w:r>
    </w:p>
    <w:p>
      <w:pPr>
        <w:spacing w:line="240" w:lineRule="auto" w:before="12"/>
        <w:rPr>
          <w:rFonts w:ascii="宋体" w:hAnsi="宋体" w:cs="宋体" w:eastAsia="宋体" w:hint="default"/>
          <w:sz w:val="20"/>
          <w:szCs w:val="20"/>
        </w:rPr>
      </w:pPr>
    </w:p>
    <w:p>
      <w:pPr>
        <w:pStyle w:val="BodyText"/>
        <w:spacing w:line="240" w:lineRule="auto"/>
        <w:ind w:right="59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0" w:right="180"/>
        <w:jc w:val="right"/>
      </w:pPr>
      <w:r>
        <w:rPr/>
        <w:pict>
          <v:shape style="position:absolute;margin-left:55.02pt;margin-top:-69.768265pt;width:485.6pt;height:136.8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12"/>
                    <w:gridCol w:w="5785"/>
                  </w:tblGrid>
                  <w:tr>
                    <w:trPr>
                      <w:trHeight w:val="1025"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信托合同或者其他资产管理安排的主要内容</w:t>
                        </w:r>
                      </w:p>
                    </w:tc>
                    <w:tc>
                      <w:tcPr>
                        <w:tcW w:w="578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9"/>
                          <w:jc w:val="both"/>
                          <w:rPr>
                            <w:rFonts w:ascii="宋体" w:hAnsi="宋体" w:cs="宋体" w:eastAsia="宋体" w:hint="default"/>
                            <w:sz w:val="18"/>
                            <w:szCs w:val="18"/>
                          </w:rPr>
                        </w:pPr>
                        <w:r>
                          <w:rPr>
                            <w:rFonts w:ascii="宋体" w:hAnsi="宋体" w:cs="宋体" w:eastAsia="宋体" w:hint="default"/>
                            <w:spacing w:val="-2"/>
                            <w:sz w:val="18"/>
                            <w:szCs w:val="18"/>
                          </w:rPr>
                          <w:t>中驰惠程、田勇先生与华宝信托签署了信托业务合同，在符合合同约定的</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情况下，中驰惠程、田勇先生有权申请华宝信托使用大地</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号及大地</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 单一资金信托募集的部分资金买卖标的股票深圳惠程。</w:t>
                        </w:r>
                      </w:p>
                    </w:tc>
                  </w:tr>
                  <w:tr>
                    <w:trPr>
                      <w:trHeight w:val="715"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信托或其他资产管理的具体方式</w:t>
                        </w:r>
                      </w:p>
                    </w:tc>
                    <w:tc>
                      <w:tcPr>
                        <w:tcW w:w="5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华宝信托系大地</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号及大地</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号单一资金信托之受托人即信托管理人，中</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驰惠程</w:t>
                        </w:r>
                        <w:r>
                          <w:rPr>
                            <w:rFonts w:ascii="宋体" w:hAnsi="宋体" w:cs="宋体" w:eastAsia="宋体" w:hint="default"/>
                            <w:spacing w:val="-92"/>
                            <w:sz w:val="18"/>
                            <w:szCs w:val="18"/>
                          </w:rPr>
                          <w:t>、</w:t>
                        </w:r>
                        <w:r>
                          <w:rPr>
                            <w:rFonts w:ascii="宋体" w:hAnsi="宋体" w:cs="宋体" w:eastAsia="宋体" w:hint="default"/>
                            <w:sz w:val="18"/>
                            <w:szCs w:val="18"/>
                          </w:rPr>
                          <w:t>田勇先生系大地</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宋体" w:hAnsi="宋体" w:cs="宋体" w:eastAsia="宋体" w:hint="default"/>
                            <w:spacing w:val="2"/>
                            <w:sz w:val="18"/>
                            <w:szCs w:val="18"/>
                          </w:rPr>
                          <w:t>及</w:t>
                        </w:r>
                        <w:r>
                          <w:rPr>
                            <w:rFonts w:ascii="宋体" w:hAnsi="宋体" w:cs="宋体" w:eastAsia="宋体" w:hint="default"/>
                            <w:sz w:val="18"/>
                            <w:szCs w:val="18"/>
                          </w:rPr>
                          <w:t>大地</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号单一资金信托之委托人和受益人</w:t>
                        </w:r>
                      </w:p>
                    </w:tc>
                  </w:tr>
                  <w:tr>
                    <w:trPr>
                      <w:trHeight w:val="987"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信托管理权限（包括公司股份表决权的行使等）</w:t>
                        </w:r>
                      </w:p>
                    </w:tc>
                    <w:tc>
                      <w:tcPr>
                        <w:tcW w:w="578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78"/>
                          <w:jc w:val="left"/>
                          <w:rPr>
                            <w:rFonts w:ascii="宋体" w:hAnsi="宋体" w:cs="宋体" w:eastAsia="宋体" w:hint="default"/>
                            <w:sz w:val="18"/>
                            <w:szCs w:val="18"/>
                          </w:rPr>
                        </w:pPr>
                        <w:r>
                          <w:rPr>
                            <w:rFonts w:ascii="宋体" w:hAnsi="宋体" w:cs="宋体" w:eastAsia="宋体" w:hint="default"/>
                            <w:sz w:val="18"/>
                            <w:szCs w:val="18"/>
                          </w:rPr>
                          <w:t>信托管理人华宝信托享有标的股票包括投票权在内的股东权利，中驰惠 程、中源信与华宝信托、田勇先生于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日签署了《一致行 </w:t>
                        </w:r>
                        <w:r>
                          <w:rPr>
                            <w:rFonts w:ascii="宋体" w:hAnsi="宋体" w:cs="宋体" w:eastAsia="宋体" w:hint="default"/>
                            <w:spacing w:val="-3"/>
                            <w:sz w:val="18"/>
                            <w:szCs w:val="18"/>
                          </w:rPr>
                          <w:t>动人协议》。根据《一致行动人协议》约定，在行使股东权利时，一致行</w:t>
                        </w:r>
                      </w:p>
                    </w:tc>
                  </w:tr>
                </w:tbl>
                <w:p>
                  <w:pPr/>
                </w:p>
              </w:txbxContent>
            </v:textbox>
            <w10:wrap type="none"/>
          </v:shape>
        </w:pict>
      </w:r>
      <w:r>
        <w:rPr/>
        <w:t>。</w:t>
      </w:r>
    </w:p>
    <w:p>
      <w:pPr>
        <w:spacing w:after="0" w:line="240" w:lineRule="auto"/>
        <w:jc w:val="right"/>
        <w:sectPr>
          <w:pgSz w:w="11910" w:h="16840"/>
          <w:pgMar w:header="877" w:footer="979" w:top="1100" w:bottom="1160" w:left="980" w:right="8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240" w:lineRule="auto" w:before="44"/>
        <w:ind w:left="0" w:right="99"/>
        <w:jc w:val="right"/>
      </w:pPr>
      <w:r>
        <w:rPr/>
        <w:pict>
          <v:shape style="position:absolute;margin-left:55.02pt;margin-top:-194.938263pt;width:485.6pt;height:451.3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12"/>
                    <w:gridCol w:w="5785"/>
                  </w:tblGrid>
                  <w:tr>
                    <w:trPr>
                      <w:trHeight w:val="1611"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
                          <w:jc w:val="both"/>
                          <w:rPr>
                            <w:rFonts w:ascii="宋体" w:hAnsi="宋体" w:cs="宋体" w:eastAsia="宋体" w:hint="default"/>
                            <w:sz w:val="18"/>
                            <w:szCs w:val="18"/>
                          </w:rPr>
                        </w:pPr>
                        <w:r>
                          <w:rPr>
                            <w:rFonts w:ascii="宋体" w:hAnsi="宋体" w:cs="宋体" w:eastAsia="宋体" w:hint="default"/>
                            <w:sz w:val="18"/>
                            <w:szCs w:val="18"/>
                          </w:rPr>
                          <w:t>动人需先内部达成一致意见，有不同意见时以持股最多的股东意见为准， 中驰惠程为持股最多的股东，因此中驰惠程的意见即代表了大地</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号信托</w:t>
                        </w:r>
                      </w:p>
                      <w:p>
                        <w:pPr>
                          <w:pStyle w:val="TableParagraph"/>
                          <w:spacing w:line="309" w:lineRule="auto"/>
                          <w:ind w:left="23" w:right="19"/>
                          <w:jc w:val="both"/>
                          <w:rPr>
                            <w:rFonts w:ascii="宋体" w:hAnsi="宋体" w:cs="宋体" w:eastAsia="宋体" w:hint="default"/>
                            <w:sz w:val="18"/>
                            <w:szCs w:val="18"/>
                          </w:rPr>
                        </w:pPr>
                        <w:r>
                          <w:rPr>
                            <w:rFonts w:ascii="宋体" w:hAnsi="宋体" w:cs="宋体" w:eastAsia="宋体" w:hint="default"/>
                            <w:sz w:val="18"/>
                            <w:szCs w:val="18"/>
                          </w:rPr>
                          <w:t>计划和大地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号信托计划的意见。大地</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号信托计划和大地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号信托计划 </w:t>
                        </w:r>
                        <w:r>
                          <w:rPr>
                            <w:rFonts w:ascii="宋体" w:hAnsi="宋体" w:cs="宋体" w:eastAsia="宋体" w:hint="default"/>
                            <w:spacing w:val="-2"/>
                            <w:sz w:val="18"/>
                            <w:szCs w:val="18"/>
                          </w:rPr>
                          <w:t>可以单独行使出席深圳惠程股东大会、提案、表决权利，但表决意见须与</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中驰惠程一致。</w:t>
                        </w:r>
                      </w:p>
                    </w:tc>
                  </w:tr>
                  <w:tr>
                    <w:trPr>
                      <w:trHeight w:val="713"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涉及的股份数量及占公司已发行股份的比例</w:t>
                        </w:r>
                      </w:p>
                    </w:tc>
                    <w:tc>
                      <w:tcPr>
                        <w:tcW w:w="57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期末大地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号和大地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号信托计划持有公司股份合计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25,886,647</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股，约占</w:t>
                        </w:r>
                        <w:r>
                          <w:rPr>
                            <w:rFonts w:ascii="宋体" w:hAnsi="宋体" w:cs="宋体" w:eastAsia="宋体" w:hint="default"/>
                            <w:sz w:val="18"/>
                            <w:szCs w:val="18"/>
                          </w:rPr>
                          <w:t> 公司期末已发行股份的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3.15%</w:t>
                        </w:r>
                        <w:r>
                          <w:rPr>
                            <w:rFonts w:ascii="宋体" w:hAnsi="宋体" w:cs="宋体" w:eastAsia="宋体" w:hint="default"/>
                            <w:sz w:val="18"/>
                            <w:szCs w:val="18"/>
                          </w:rPr>
                          <w:t>。</w:t>
                        </w:r>
                      </w:p>
                    </w:tc>
                  </w:tr>
                  <w:tr>
                    <w:trPr>
                      <w:trHeight w:val="2276"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信托资产处理安排</w:t>
                        </w:r>
                      </w:p>
                    </w:tc>
                    <w:tc>
                      <w:tcPr>
                        <w:tcW w:w="578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大地</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号信托计划和大地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号信托计划的特定资产单位准净值初始为</w:t>
                        </w:r>
                        <w:r>
                          <w:rPr>
                            <w:rFonts w:ascii="宋体" w:hAnsi="宋体" w:cs="宋体" w:eastAsia="宋体" w:hint="default"/>
                            <w:spacing w:val="-41"/>
                            <w:sz w:val="18"/>
                            <w:szCs w:val="18"/>
                          </w:rPr>
                          <w:t> </w:t>
                        </w:r>
                        <w:r>
                          <w:rPr>
                            <w:rFonts w:ascii="Times New Roman" w:hAnsi="Times New Roman" w:cs="Times New Roman" w:eastAsia="Times New Roman" w:hint="default"/>
                            <w:spacing w:val="-27"/>
                            <w:sz w:val="18"/>
                            <w:szCs w:val="18"/>
                          </w:rPr>
                          <w:t>1</w:t>
                        </w:r>
                        <w:r>
                          <w:rPr>
                            <w:rFonts w:ascii="宋体" w:hAnsi="宋体" w:cs="宋体" w:eastAsia="宋体" w:hint="default"/>
                            <w:spacing w:val="-27"/>
                            <w:sz w:val="18"/>
                            <w:szCs w:val="18"/>
                          </w:rPr>
                          <w:t>，</w:t>
                        </w:r>
                        <w:r>
                          <w:rPr>
                            <w:rFonts w:ascii="Times New Roman" w:hAnsi="Times New Roman" w:cs="Times New Roman" w:eastAsia="Times New Roman" w:hint="default"/>
                            <w:spacing w:val="-27"/>
                            <w:sz w:val="18"/>
                            <w:szCs w:val="18"/>
                          </w:rPr>
                          <w:t>6</w:t>
                        </w:r>
                        <w:r>
                          <w:rPr>
                            <w:rFonts w:ascii="Times New Roman" w:hAnsi="Times New Roman" w:cs="Times New Roman" w:eastAsia="Times New Roman" w:hint="default"/>
                            <w:sz w:val="18"/>
                            <w:szCs w:val="18"/>
                          </w:rPr>
                          <w:t> </w:t>
                        </w:r>
                        <w:r>
                          <w:rPr>
                            <w:rFonts w:ascii="宋体" w:hAnsi="宋体" w:cs="宋体" w:eastAsia="宋体" w:hint="default"/>
                            <w:sz w:val="18"/>
                            <w:szCs w:val="18"/>
                          </w:rPr>
                          <w:t>个月需支付一次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类权益的收益，以此计算触及预警线的单位准净值为 </w:t>
                        </w:r>
                        <w:r>
                          <w:rPr>
                            <w:rFonts w:ascii="Times New Roman" w:hAnsi="Times New Roman" w:cs="Times New Roman" w:eastAsia="Times New Roman" w:hint="default"/>
                            <w:sz w:val="18"/>
                            <w:szCs w:val="18"/>
                          </w:rPr>
                          <w:t>0.6789</w:t>
                        </w:r>
                        <w:r>
                          <w:rPr>
                            <w:rFonts w:ascii="宋体" w:hAnsi="宋体" w:cs="宋体" w:eastAsia="宋体" w:hint="default"/>
                            <w:sz w:val="18"/>
                            <w:szCs w:val="18"/>
                          </w:rPr>
                          <w:t>，第一处置线的特定资产单位准净值为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0.6466</w:t>
                        </w:r>
                        <w:r>
                          <w:rPr>
                            <w:rFonts w:ascii="宋体" w:hAnsi="宋体" w:cs="宋体" w:eastAsia="宋体" w:hint="default"/>
                            <w:sz w:val="18"/>
                            <w:szCs w:val="18"/>
                          </w:rPr>
                          <w:t>，若低于该数值，</w:t>
                        </w:r>
                        <w:r>
                          <w:rPr>
                            <w:rFonts w:ascii="Times New Roman" w:hAnsi="Times New Roman" w:cs="Times New Roman" w:eastAsia="Times New Roman" w:hint="default"/>
                            <w:sz w:val="18"/>
                            <w:szCs w:val="18"/>
                          </w:rPr>
                          <w:t>B </w:t>
                        </w:r>
                        <w:r>
                          <w:rPr>
                            <w:rFonts w:ascii="宋体" w:hAnsi="宋体" w:cs="宋体" w:eastAsia="宋体" w:hint="default"/>
                            <w:sz w:val="18"/>
                            <w:szCs w:val="18"/>
                          </w:rPr>
                          <w:t>类权益人即中驰惠程、田勇先生需增加保证金使单位净值达到预警线 </w:t>
                        </w:r>
                        <w:r>
                          <w:rPr>
                            <w:rFonts w:ascii="Times New Roman" w:hAnsi="Times New Roman" w:cs="Times New Roman" w:eastAsia="Times New Roman" w:hint="default"/>
                            <w:sz w:val="18"/>
                            <w:szCs w:val="18"/>
                          </w:rPr>
                          <w:t>0.6789</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以上，若未及时追加将启动平仓。假设信托计划满仓持有深圳惠程 </w:t>
                        </w:r>
                        <w:r>
                          <w:rPr>
                            <w:rFonts w:ascii="宋体" w:hAnsi="宋体" w:cs="宋体" w:eastAsia="宋体" w:hint="default"/>
                            <w:spacing w:val="-6"/>
                            <w:sz w:val="18"/>
                            <w:szCs w:val="18"/>
                          </w:rPr>
                          <w:t>股票，意味着信托计划持股市值下跌</w:t>
                        </w:r>
                        <w:r>
                          <w:rPr>
                            <w:rFonts w:ascii="宋体" w:hAnsi="宋体" w:cs="宋体" w:eastAsia="宋体" w:hint="default"/>
                            <w:spacing w:val="-39"/>
                            <w:sz w:val="18"/>
                            <w:szCs w:val="18"/>
                          </w:rPr>
                          <w:t> </w:t>
                        </w:r>
                        <w:r>
                          <w:rPr>
                            <w:rFonts w:ascii="Times New Roman" w:hAnsi="Times New Roman" w:cs="Times New Roman" w:eastAsia="Times New Roman" w:hint="default"/>
                            <w:spacing w:val="-10"/>
                            <w:sz w:val="18"/>
                            <w:szCs w:val="18"/>
                          </w:rPr>
                          <w:t>35.34%</w:t>
                        </w:r>
                        <w:r>
                          <w:rPr>
                            <w:rFonts w:ascii="宋体" w:hAnsi="宋体" w:cs="宋体" w:eastAsia="宋体" w:hint="default"/>
                            <w:spacing w:val="-10"/>
                            <w:sz w:val="18"/>
                            <w:szCs w:val="18"/>
                          </w:rPr>
                          <w:t>时，</w:t>
                        </w:r>
                        <w:r>
                          <w:rPr>
                            <w:rFonts w:ascii="Times New Roman" w:hAnsi="Times New Roman" w:cs="Times New Roman" w:eastAsia="Times New Roman" w:hint="default"/>
                            <w:spacing w:val="-10"/>
                            <w:sz w:val="18"/>
                            <w:szCs w:val="18"/>
                          </w:rPr>
                          <w:t>B</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类权益人需追加保证金</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否则将启动平仓。</w:t>
                        </w:r>
                      </w:p>
                    </w:tc>
                  </w:tr>
                  <w:tr>
                    <w:trPr>
                      <w:trHeight w:val="401"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合同签订的时间</w:t>
                        </w:r>
                      </w:p>
                    </w:tc>
                    <w:tc>
                      <w:tcPr>
                        <w:tcW w:w="5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7"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合同的期限及变更</w:t>
                        </w:r>
                      </w:p>
                    </w:tc>
                    <w:tc>
                      <w:tcPr>
                        <w:tcW w:w="578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个月，但合同约定了包括双方同意之延期和或因特定资产变现或标的股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票停牌等原因引起的非双方同意情形之延期，双方同意延期的，可以多次</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延期，每次延期期限的最小单位为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r>
                    <w:trPr>
                      <w:trHeight w:val="2585"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终止的条件</w:t>
                        </w:r>
                      </w:p>
                    </w:tc>
                    <w:tc>
                      <w:tcPr>
                        <w:tcW w:w="578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、因不可抗力造成合同不能履行的，双方可以提前终止或解除合同，由 此所造成的损失，由双方本着公平原则协商分担。</w:t>
                        </w:r>
                        <w:r>
                          <w:rPr>
                            <w:rFonts w:ascii="Times New Roman" w:hAnsi="Times New Roman" w:cs="Times New Roman" w:eastAsia="Times New Roman" w:hint="default"/>
                            <w:sz w:val="18"/>
                            <w:szCs w:val="18"/>
                          </w:rPr>
                          <w:t>2</w:t>
                        </w:r>
                        <w:r>
                          <w:rPr>
                            <w:rFonts w:ascii="宋体" w:hAnsi="宋体" w:cs="宋体" w:eastAsia="宋体" w:hint="default"/>
                            <w:sz w:val="18"/>
                            <w:szCs w:val="18"/>
                          </w:rPr>
                          <w:t>、因法规政策变化、 </w:t>
                        </w:r>
                        <w:r>
                          <w:rPr>
                            <w:rFonts w:ascii="宋体" w:hAnsi="宋体" w:cs="宋体" w:eastAsia="宋体" w:hint="default"/>
                            <w:spacing w:val="-2"/>
                            <w:sz w:val="18"/>
                            <w:szCs w:val="18"/>
                          </w:rPr>
                          <w:t>监管要求、信托合同提前终止等原因而造成合同不能履行的，该合同自动</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提前终止或者解除，具体终止日期以华宝信托书面通知为准。</w:t>
                        </w:r>
                        <w:r>
                          <w:rPr>
                            <w:rFonts w:ascii="Times New Roman" w:hAnsi="Times New Roman" w:cs="Times New Roman" w:eastAsia="Times New Roman" w:hint="default"/>
                            <w:sz w:val="18"/>
                            <w:szCs w:val="18"/>
                          </w:rPr>
                          <w:t>3</w:t>
                        </w:r>
                        <w:r>
                          <w:rPr>
                            <w:rFonts w:ascii="宋体" w:hAnsi="宋体" w:cs="宋体" w:eastAsia="宋体" w:hint="default"/>
                            <w:sz w:val="18"/>
                            <w:szCs w:val="18"/>
                          </w:rPr>
                          <w:t>、该合同 </w:t>
                        </w:r>
                        <w:r>
                          <w:rPr>
                            <w:rFonts w:ascii="宋体" w:hAnsi="宋体" w:cs="宋体" w:eastAsia="宋体" w:hint="default"/>
                            <w:spacing w:val="-2"/>
                            <w:sz w:val="18"/>
                            <w:szCs w:val="18"/>
                          </w:rPr>
                          <w:t>签署后，因信托的委托人未及时足额向信托财产专户交付信托资金的，经</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甲方单方面通知，该合同解除，各方互不承担违约责任。</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B </w:t>
                        </w:r>
                        <w:r>
                          <w:rPr>
                            <w:rFonts w:ascii="宋体" w:hAnsi="宋体" w:cs="宋体" w:eastAsia="宋体" w:hint="default"/>
                            <w:sz w:val="18"/>
                            <w:szCs w:val="18"/>
                          </w:rPr>
                          <w:t>类权益人 </w:t>
                        </w:r>
                        <w:r>
                          <w:rPr>
                            <w:rFonts w:ascii="宋体" w:hAnsi="宋体" w:cs="宋体" w:eastAsia="宋体" w:hint="default"/>
                            <w:spacing w:val="-2"/>
                            <w:sz w:val="18"/>
                            <w:szCs w:val="18"/>
                          </w:rPr>
                          <w:t>要求提前终止该合同的，需提前一个月将书面申请送达华宝信托，经华宝</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信托同意后双方可提前终止该合同。</w:t>
                        </w:r>
                      </w:p>
                    </w:tc>
                  </w:tr>
                  <w:tr>
                    <w:trPr>
                      <w:trHeight w:val="403" w:hRule="exact"/>
                    </w:trPr>
                    <w:tc>
                      <w:tcPr>
                        <w:tcW w:w="3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其他特别条款</w:t>
                        </w:r>
                      </w:p>
                    </w:tc>
                    <w:tc>
                      <w:tcPr>
                        <w:tcW w:w="5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3"/>
        <w:spacing w:line="240" w:lineRule="auto" w:before="36"/>
        <w:ind w:right="94"/>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4"/>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79" w:top="110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285" w:right="153"/>
        <w:jc w:val="left"/>
        <w:rPr>
          <w:b w:val="0"/>
          <w:bCs w:val="0"/>
        </w:rPr>
      </w:pPr>
      <w:bookmarkStart w:name="_bookmark5" w:id="6"/>
      <w:bookmarkEnd w:id="6"/>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7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877"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1679" w:right="153"/>
        <w:jc w:val="left"/>
        <w:rPr>
          <w:b w:val="0"/>
          <w:bCs w:val="0"/>
        </w:rPr>
      </w:pPr>
      <w:bookmarkStart w:name="_bookmark6" w:id="7"/>
      <w:bookmarkEnd w:id="7"/>
      <w:r>
        <w:rPr>
          <w:b w:val="0"/>
          <w:bCs w:val="0"/>
        </w:rPr>
      </w:r>
      <w:r>
        <w:rPr/>
        <w:t>第八节</w:t>
      </w:r>
      <w:r>
        <w:rPr>
          <w:spacing w:val="-9"/>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53"/>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1164"/>
        <w:gridCol w:w="1030"/>
        <w:gridCol w:w="531"/>
        <w:gridCol w:w="281"/>
        <w:gridCol w:w="427"/>
        <w:gridCol w:w="850"/>
        <w:gridCol w:w="835"/>
        <w:gridCol w:w="867"/>
        <w:gridCol w:w="991"/>
        <w:gridCol w:w="994"/>
        <w:gridCol w:w="850"/>
        <w:gridCol w:w="878"/>
      </w:tblGrid>
      <w:tr>
        <w:trPr>
          <w:trHeight w:val="715" w:hRule="exact"/>
        </w:trPr>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80"/>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1"/>
              <w:jc w:val="left"/>
              <w:rPr>
                <w:rFonts w:ascii="宋体" w:hAnsi="宋体" w:cs="宋体" w:eastAsia="宋体" w:hint="default"/>
                <w:sz w:val="18"/>
                <w:szCs w:val="18"/>
              </w:rPr>
            </w:pPr>
            <w:r>
              <w:rPr>
                <w:rFonts w:ascii="宋体" w:hAnsi="宋体" w:cs="宋体" w:eastAsia="宋体" w:hint="default"/>
                <w:sz w:val="18"/>
                <w:szCs w:val="18"/>
              </w:rPr>
              <w:t>性 别</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4"/>
              <w:jc w:val="right"/>
              <w:rPr>
                <w:rFonts w:ascii="宋体" w:hAnsi="宋体" w:cs="宋体" w:eastAsia="宋体" w:hint="default"/>
                <w:sz w:val="18"/>
                <w:szCs w:val="18"/>
              </w:rPr>
            </w:pPr>
            <w:r>
              <w:rPr>
                <w:rFonts w:ascii="宋体" w:hAnsi="宋体" w:cs="宋体" w:eastAsia="宋体" w:hint="default"/>
                <w:sz w:val="18"/>
                <w:szCs w:val="18"/>
              </w:rPr>
              <w:t>年龄</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9" w:right="5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0"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5"/>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34" w:firstLine="16"/>
              <w:jc w:val="left"/>
              <w:rPr>
                <w:rFonts w:ascii="宋体" w:hAnsi="宋体" w:cs="宋体" w:eastAsia="宋体" w:hint="default"/>
                <w:sz w:val="18"/>
                <w:szCs w:val="18"/>
              </w:rPr>
            </w:pPr>
            <w:r>
              <w:rPr>
                <w:rFonts w:ascii="宋体" w:hAnsi="宋体" w:cs="宋体" w:eastAsia="宋体" w:hint="default"/>
                <w:sz w:val="18"/>
                <w:szCs w:val="18"/>
              </w:rPr>
              <w:t>本期增持股 </w:t>
            </w:r>
            <w:r>
              <w:rPr>
                <w:rFonts w:ascii="宋体" w:hAnsi="宋体" w:cs="宋体" w:eastAsia="宋体" w:hint="default"/>
                <w:spacing w:val="-15"/>
                <w:sz w:val="18"/>
                <w:szCs w:val="18"/>
              </w:rPr>
              <w:t>份数量（股）</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34" w:firstLine="16"/>
              <w:jc w:val="left"/>
              <w:rPr>
                <w:rFonts w:ascii="宋体" w:hAnsi="宋体" w:cs="宋体" w:eastAsia="宋体" w:hint="default"/>
                <w:sz w:val="18"/>
                <w:szCs w:val="18"/>
              </w:rPr>
            </w:pPr>
            <w:r>
              <w:rPr>
                <w:rFonts w:ascii="宋体" w:hAnsi="宋体" w:cs="宋体" w:eastAsia="宋体" w:hint="default"/>
                <w:sz w:val="18"/>
                <w:szCs w:val="18"/>
              </w:rPr>
              <w:t>本期减持股 </w:t>
            </w:r>
            <w:r>
              <w:rPr>
                <w:rFonts w:ascii="宋体" w:hAnsi="宋体" w:cs="宋体" w:eastAsia="宋体" w:hint="default"/>
                <w:spacing w:val="-15"/>
                <w:sz w:val="18"/>
                <w:szCs w:val="18"/>
              </w:rPr>
              <w:t>份数量（股）</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59" w:firstLine="36"/>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4"/>
                <w:sz w:val="18"/>
                <w:szCs w:val="18"/>
              </w:rPr>
              <w:t>变动（股</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期末持股</w:t>
            </w:r>
          </w:p>
          <w:p>
            <w:pPr>
              <w:pStyle w:val="TableParagraph"/>
              <w:spacing w:line="240" w:lineRule="auto" w:before="76"/>
              <w:ind w:left="-121" w:right="72"/>
              <w:jc w:val="center"/>
              <w:rPr>
                <w:rFonts w:ascii="宋体" w:hAnsi="宋体" w:cs="宋体" w:eastAsia="宋体" w:hint="default"/>
                <w:sz w:val="18"/>
                <w:szCs w:val="18"/>
              </w:rPr>
            </w:pPr>
            <w:r>
              <w:rPr>
                <w:rFonts w:ascii="宋体" w:hAnsi="宋体" w:cs="宋体" w:eastAsia="宋体" w:hint="default"/>
                <w:spacing w:val="2"/>
                <w:sz w:val="18"/>
                <w:szCs w:val="18"/>
              </w:rPr>
              <w:t>）数（股）</w:t>
            </w:r>
          </w:p>
        </w:tc>
      </w:tr>
      <w:tr>
        <w:trPr>
          <w:trHeight w:val="71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汪超涌</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张晶</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5"/>
              <w:jc w:val="left"/>
              <w:rPr>
                <w:rFonts w:ascii="宋体" w:hAnsi="宋体" w:cs="宋体" w:eastAsia="宋体" w:hint="default"/>
                <w:sz w:val="18"/>
                <w:szCs w:val="18"/>
              </w:rPr>
            </w:pPr>
            <w:r>
              <w:rPr>
                <w:rFonts w:ascii="宋体" w:hAnsi="宋体" w:cs="宋体" w:eastAsia="宋体" w:hint="default"/>
                <w:sz w:val="18"/>
                <w:szCs w:val="18"/>
              </w:rPr>
              <w:t>董事、副总 裁</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w:t>
            </w:r>
          </w:p>
        </w:tc>
      </w:tr>
      <w:tr>
        <w:trPr>
          <w:trHeight w:val="1025"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徐海啸</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5"/>
              <w:jc w:val="both"/>
              <w:rPr>
                <w:rFonts w:ascii="宋体" w:hAnsi="宋体" w:cs="宋体" w:eastAsia="宋体" w:hint="default"/>
                <w:sz w:val="18"/>
                <w:szCs w:val="18"/>
              </w:rPr>
            </w:pPr>
            <w:r>
              <w:rPr>
                <w:rFonts w:ascii="宋体" w:hAnsi="宋体" w:cs="宋体" w:eastAsia="宋体" w:hint="default"/>
                <w:sz w:val="18"/>
                <w:szCs w:val="18"/>
              </w:rPr>
              <w:t>董事长、总 裁、财务总 监</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715"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沈晓超</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5,200,000</w:t>
            </w:r>
          </w:p>
        </w:tc>
      </w:tr>
      <w:tr>
        <w:trPr>
          <w:trHeight w:val="71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陈丹</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w:t>
            </w:r>
          </w:p>
        </w:tc>
      </w:tr>
      <w:tr>
        <w:trPr>
          <w:trHeight w:val="1028"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8"/>
                <w:sz w:val="18"/>
              </w:rPr>
              <w:t>WAN</w:t>
            </w:r>
            <w:r>
              <w:rPr>
                <w:rFonts w:ascii="Times New Roman"/>
                <w:sz w:val="18"/>
              </w:rPr>
              <w:t> XIAO</w:t>
            </w:r>
          </w:p>
          <w:p>
            <w:pPr>
              <w:pStyle w:val="TableParagraph"/>
              <w:spacing w:line="300" w:lineRule="auto" w:before="63"/>
              <w:ind w:left="24" w:right="48"/>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YANG</w:t>
            </w:r>
            <w:r>
              <w:rPr>
                <w:rFonts w:ascii="宋体" w:hAnsi="宋体" w:cs="宋体" w:eastAsia="宋体" w:hint="default"/>
                <w:spacing w:val="-4"/>
                <w:sz w:val="18"/>
                <w:szCs w:val="18"/>
              </w:rPr>
              <w:t>（中文</w:t>
            </w:r>
            <w:r>
              <w:rPr>
                <w:rFonts w:ascii="宋体" w:hAnsi="宋体" w:cs="宋体" w:eastAsia="宋体" w:hint="default"/>
                <w:spacing w:val="-88"/>
                <w:sz w:val="18"/>
                <w:szCs w:val="18"/>
              </w:rPr>
              <w:t> </w:t>
            </w:r>
            <w:r>
              <w:rPr>
                <w:rFonts w:ascii="宋体" w:hAnsi="宋体" w:cs="宋体" w:eastAsia="宋体" w:hint="default"/>
                <w:sz w:val="18"/>
                <w:szCs w:val="18"/>
              </w:rPr>
              <w:t>名：万晓阳）</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w:t>
            </w:r>
          </w:p>
        </w:tc>
      </w:tr>
      <w:tr>
        <w:trPr>
          <w:trHeight w:val="71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叶陈刚</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钟晓林</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Key Ke</w:t>
            </w:r>
            <w:r>
              <w:rPr>
                <w:rFonts w:ascii="Times New Roman"/>
                <w:spacing w:val="-5"/>
                <w:sz w:val="18"/>
              </w:rPr>
              <w:t> </w:t>
            </w:r>
            <w:r>
              <w:rPr>
                <w:rFonts w:ascii="Times New Roman"/>
                <w:sz w:val="18"/>
              </w:rPr>
              <w:t>Liu</w:t>
            </w:r>
          </w:p>
          <w:p>
            <w:pPr>
              <w:pStyle w:val="TableParagraph"/>
              <w:spacing w:line="316" w:lineRule="auto" w:before="60"/>
              <w:ind w:left="24" w:right="48"/>
              <w:jc w:val="left"/>
              <w:rPr>
                <w:rFonts w:ascii="宋体" w:hAnsi="宋体" w:cs="宋体" w:eastAsia="宋体" w:hint="default"/>
                <w:sz w:val="18"/>
                <w:szCs w:val="18"/>
              </w:rPr>
            </w:pPr>
            <w:r>
              <w:rPr>
                <w:rFonts w:ascii="宋体" w:hAnsi="宋体" w:cs="宋体" w:eastAsia="宋体" w:hint="default"/>
                <w:sz w:val="18"/>
                <w:szCs w:val="18"/>
              </w:rPr>
              <w:t>（中文名：刘 科）</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梅绍华</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夏云飞</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温秋萍</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5"/>
              <w:jc w:val="left"/>
              <w:rPr>
                <w:rFonts w:ascii="宋体" w:hAnsi="宋体" w:cs="宋体" w:eastAsia="宋体" w:hint="default"/>
                <w:sz w:val="18"/>
                <w:szCs w:val="18"/>
              </w:rPr>
            </w:pPr>
            <w:r>
              <w:rPr>
                <w:rFonts w:ascii="宋体" w:hAnsi="宋体" w:cs="宋体" w:eastAsia="宋体" w:hint="default"/>
                <w:sz w:val="18"/>
                <w:szCs w:val="18"/>
              </w:rPr>
              <w:t>监事、证券 事务代表</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方莉</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w:t>
            </w:r>
          </w:p>
        </w:tc>
      </w:tr>
      <w:tr>
        <w:trPr>
          <w:trHeight w:val="716"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刘扬</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95"/>
              <w:jc w:val="left"/>
              <w:rPr>
                <w:rFonts w:ascii="宋体" w:hAnsi="宋体" w:cs="宋体" w:eastAsia="宋体" w:hint="default"/>
                <w:sz w:val="18"/>
                <w:szCs w:val="18"/>
              </w:rPr>
            </w:pPr>
            <w:r>
              <w:rPr>
                <w:rFonts w:ascii="宋体" w:hAnsi="宋体" w:cs="宋体" w:eastAsia="宋体" w:hint="default"/>
                <w:sz w:val="18"/>
                <w:szCs w:val="18"/>
              </w:rPr>
              <w:t>董事会秘 书、副总裁</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b/>
          <w:bCs/>
          <w:sz w:val="24"/>
          <w:szCs w:val="24"/>
        </w:rPr>
      </w:pPr>
    </w:p>
    <w:tbl>
      <w:tblPr>
        <w:tblW w:w="0" w:type="auto"/>
        <w:jc w:val="left"/>
        <w:tblInd w:w="119" w:type="dxa"/>
        <w:tblLayout w:type="fixed"/>
        <w:tblCellMar>
          <w:top w:w="0" w:type="dxa"/>
          <w:left w:w="0" w:type="dxa"/>
          <w:bottom w:w="0" w:type="dxa"/>
          <w:right w:w="0" w:type="dxa"/>
        </w:tblCellMar>
        <w:tblLook w:val="01E0"/>
      </w:tblPr>
      <w:tblGrid>
        <w:gridCol w:w="1164"/>
        <w:gridCol w:w="1030"/>
        <w:gridCol w:w="531"/>
        <w:gridCol w:w="281"/>
        <w:gridCol w:w="427"/>
        <w:gridCol w:w="850"/>
        <w:gridCol w:w="835"/>
        <w:gridCol w:w="867"/>
        <w:gridCol w:w="991"/>
        <w:gridCol w:w="994"/>
        <w:gridCol w:w="850"/>
        <w:gridCol w:w="878"/>
      </w:tblGrid>
      <w:tr>
        <w:trPr>
          <w:trHeight w:val="71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迟永军</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760,000</w:t>
            </w:r>
          </w:p>
        </w:tc>
      </w:tr>
      <w:tr>
        <w:trPr>
          <w:trHeight w:val="715"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于奔</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26,660,000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26,660,000</w:t>
            </w:r>
          </w:p>
        </w:tc>
      </w:tr>
    </w:tbl>
    <w:p>
      <w:pPr>
        <w:spacing w:line="240" w:lineRule="auto" w:before="1"/>
        <w:rPr>
          <w:rFonts w:ascii="宋体" w:hAnsi="宋体" w:cs="宋体" w:eastAsia="宋体" w:hint="default"/>
          <w:b/>
          <w:bCs/>
          <w:sz w:val="18"/>
          <w:szCs w:val="18"/>
        </w:rPr>
      </w:pPr>
    </w:p>
    <w:p>
      <w:pPr>
        <w:pStyle w:val="Heading2"/>
        <w:spacing w:line="240" w:lineRule="auto" w:before="26"/>
        <w:ind w:right="94"/>
        <w:jc w:val="left"/>
        <w:rPr>
          <w:b w:val="0"/>
          <w:bCs w:val="0"/>
        </w:rPr>
      </w:pPr>
      <w:r>
        <w:rPr/>
        <w:t>二、公司董事、监事、高级管理人员变动情况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538"/>
        <w:gridCol w:w="1231"/>
        <w:gridCol w:w="535"/>
        <w:gridCol w:w="1985"/>
        <w:gridCol w:w="5408"/>
      </w:tblGrid>
      <w:tr>
        <w:trPr>
          <w:trHeight w:val="401" w:hRule="exact"/>
        </w:trPr>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5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于奔</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5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个人原因在公司不再担任任何职务</w:t>
            </w:r>
          </w:p>
        </w:tc>
      </w:tr>
      <w:tr>
        <w:trPr>
          <w:trHeight w:val="403"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方莉</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5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个人原因不再担任董事会秘书职务，仅任副总裁职务</w:t>
            </w:r>
          </w:p>
        </w:tc>
      </w:tr>
    </w:tbl>
    <w:p>
      <w:pPr>
        <w:spacing w:line="240" w:lineRule="auto" w:before="1"/>
        <w:rPr>
          <w:rFonts w:ascii="宋体" w:hAnsi="宋体" w:cs="宋体" w:eastAsia="宋体" w:hint="default"/>
          <w:sz w:val="18"/>
          <w:szCs w:val="18"/>
        </w:rPr>
      </w:pPr>
    </w:p>
    <w:p>
      <w:pPr>
        <w:pStyle w:val="Heading2"/>
        <w:spacing w:line="240" w:lineRule="auto" w:before="26"/>
        <w:ind w:right="94"/>
        <w:jc w:val="left"/>
        <w:rPr>
          <w:b w:val="0"/>
          <w:bCs w:val="0"/>
        </w:rPr>
      </w:pPr>
      <w:r>
        <w:rPr/>
        <w:t>三、任职情况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公司现任董事、监事、高级管理人员专业背景、主要工作经历以及目前在公司的主要职责</w:t>
      </w:r>
    </w:p>
    <w:p>
      <w:pPr>
        <w:pStyle w:val="BodyText"/>
        <w:spacing w:line="300" w:lineRule="auto" w:before="117"/>
        <w:ind w:right="191" w:firstLine="360"/>
        <w:jc w:val="both"/>
      </w:pPr>
      <w:r>
        <w:rPr>
          <w:rFonts w:ascii="Times New Roman" w:hAnsi="Times New Roman" w:cs="Times New Roman" w:eastAsia="Times New Roman" w:hint="default"/>
          <w:b/>
          <w:bCs/>
        </w:rPr>
        <w:t>1</w:t>
      </w:r>
      <w:r>
        <w:rPr>
          <w:rFonts w:ascii="宋体" w:hAnsi="宋体" w:cs="宋体" w:eastAsia="宋体" w:hint="default"/>
          <w:b/>
          <w:bCs/>
        </w:rPr>
        <w:t>、汪超涌先生：</w:t>
      </w:r>
      <w:r>
        <w:rPr>
          <w:rFonts w:ascii="Times New Roman" w:hAnsi="Times New Roman" w:cs="Times New Roman" w:eastAsia="Times New Roman" w:hint="default"/>
        </w:rPr>
        <w:t>1965</w:t>
      </w:r>
      <w:r>
        <w:rPr/>
        <w:t>年出生，中国籍，华中理工大学（现华中科技大学）工学学士、清华大学经管学院研究生、美国 罗格斯（</w:t>
      </w:r>
      <w:r>
        <w:rPr>
          <w:rFonts w:ascii="Times New Roman" w:hAnsi="Times New Roman" w:cs="Times New Roman" w:eastAsia="Times New Roman" w:hint="default"/>
        </w:rPr>
        <w:t>Rutgers</w:t>
      </w:r>
      <w:r>
        <w:rPr/>
        <w:t>）大学</w:t>
      </w:r>
      <w:r>
        <w:rPr>
          <w:rFonts w:ascii="Times New Roman" w:hAnsi="Times New Roman" w:cs="Times New Roman" w:eastAsia="Times New Roman" w:hint="default"/>
        </w:rPr>
        <w:t>MBA</w:t>
      </w:r>
      <w:r>
        <w:rPr/>
        <w:t>。曾任美国摩根大通银行高级经理、美国标准普尔证券评级公司资产证券化部副主任、摩根士 </w:t>
      </w:r>
      <w:r>
        <w:rPr>
          <w:spacing w:val="-2"/>
        </w:rPr>
        <w:t>丹利亚洲区副总裁和北京代表处首席代表、国家开发银行投资银行业务顾问，</w:t>
      </w:r>
      <w:r>
        <w:rPr>
          <w:rFonts w:ascii="Times New Roman" w:hAnsi="Times New Roman" w:cs="Times New Roman" w:eastAsia="Times New Roman" w:hint="default"/>
          <w:spacing w:val="-2"/>
        </w:rPr>
        <w:t>1999</w:t>
      </w:r>
      <w:r>
        <w:rPr>
          <w:spacing w:val="-2"/>
        </w:rPr>
        <w:t>年创办北京信中利投资股份有限公司并担</w:t>
      </w:r>
      <w:r>
        <w:rPr>
          <w:spacing w:val="-61"/>
        </w:rPr>
        <w:t> </w:t>
      </w:r>
      <w:r>
        <w:rPr>
          <w:spacing w:val="-61"/>
        </w:rPr>
      </w:r>
      <w:r>
        <w:rPr/>
        <w:t>任董事长至今，</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月起担任本公司董事。</w:t>
      </w:r>
    </w:p>
    <w:p>
      <w:pPr>
        <w:pStyle w:val="BodyText"/>
        <w:spacing w:line="300" w:lineRule="auto" w:before="51"/>
        <w:ind w:right="216" w:firstLine="360"/>
        <w:jc w:val="both"/>
      </w:pPr>
      <w:r>
        <w:rPr>
          <w:rFonts w:ascii="Times New Roman" w:hAnsi="Times New Roman" w:cs="Times New Roman" w:eastAsia="Times New Roman" w:hint="default"/>
          <w:b/>
          <w:bCs/>
        </w:rPr>
        <w:t>2</w:t>
      </w:r>
      <w:r>
        <w:rPr>
          <w:rFonts w:ascii="宋体" w:hAnsi="宋体" w:cs="宋体" w:eastAsia="宋体" w:hint="default"/>
          <w:b/>
          <w:bCs/>
        </w:rPr>
        <w:t>、张晶女士：</w:t>
      </w:r>
      <w:r>
        <w:rPr>
          <w:rFonts w:ascii="Times New Roman" w:hAnsi="Times New Roman" w:cs="Times New Roman" w:eastAsia="Times New Roman" w:hint="default"/>
        </w:rPr>
        <w:t>1975</w:t>
      </w:r>
      <w:r>
        <w:rPr/>
        <w:t>年出生，中国籍，东北林业大学毕业，长江商学院</w:t>
      </w:r>
      <w:r>
        <w:rPr>
          <w:rFonts w:ascii="Times New Roman" w:hAnsi="Times New Roman" w:cs="Times New Roman" w:eastAsia="Times New Roman" w:hint="default"/>
        </w:rPr>
        <w:t>EMBA</w:t>
      </w:r>
      <w:r>
        <w:rPr/>
        <w:t>，注册会计师，注册评估师。历任大鹏证 券投资银行部高管、北京信中利投资股份有限公司董事。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月起担任本公司副总裁，</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月起担任本公司董事。</w:t>
      </w:r>
    </w:p>
    <w:p>
      <w:pPr>
        <w:pStyle w:val="BodyText"/>
        <w:spacing w:line="300" w:lineRule="auto" w:before="53"/>
        <w:ind w:right="194" w:firstLine="360"/>
        <w:jc w:val="both"/>
      </w:pPr>
      <w:r>
        <w:rPr>
          <w:rFonts w:ascii="Times New Roman" w:hAnsi="Times New Roman" w:cs="Times New Roman" w:eastAsia="Times New Roman" w:hint="default"/>
          <w:b/>
          <w:bCs/>
        </w:rPr>
        <w:t>3</w:t>
      </w:r>
      <w:r>
        <w:rPr>
          <w:rFonts w:ascii="宋体" w:hAnsi="宋体" w:cs="宋体" w:eastAsia="宋体" w:hint="default"/>
          <w:b/>
          <w:bCs/>
        </w:rPr>
        <w:t>、徐海啸先生：</w:t>
      </w:r>
      <w:r>
        <w:rPr>
          <w:rFonts w:ascii="Times New Roman" w:hAnsi="Times New Roman" w:cs="Times New Roman" w:eastAsia="Times New Roman" w:hint="default"/>
        </w:rPr>
        <w:t>1972</w:t>
      </w:r>
      <w:r>
        <w:rPr/>
        <w:t>年出生，中国籍，中南财经政法大学会计学硕士。曾任大鹏证券投行总部总经理助理、信达证券 投资银行总部董事总经理、日信证券助理总裁兼投资银行事业部总经理。现任北京信中利投资股份有限公司董事，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 </w:t>
      </w:r>
      <w:r>
        <w:rPr/>
        <w:t>月起担任本公司总裁，</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月起担任本公司董事长、财务负责人。</w:t>
      </w:r>
    </w:p>
    <w:p>
      <w:pPr>
        <w:pStyle w:val="BodyText"/>
        <w:spacing w:line="300" w:lineRule="auto" w:before="53"/>
        <w:ind w:right="94" w:firstLine="360"/>
        <w:jc w:val="left"/>
      </w:pPr>
      <w:r>
        <w:rPr>
          <w:rFonts w:ascii="Times New Roman" w:hAnsi="Times New Roman" w:cs="Times New Roman" w:eastAsia="Times New Roman" w:hint="default"/>
          <w:b/>
          <w:bCs/>
          <w:spacing w:val="-2"/>
        </w:rPr>
        <w:t>4</w:t>
      </w:r>
      <w:r>
        <w:rPr>
          <w:rFonts w:ascii="宋体" w:hAnsi="宋体" w:cs="宋体" w:eastAsia="宋体" w:hint="default"/>
          <w:b/>
          <w:bCs/>
          <w:spacing w:val="-2"/>
        </w:rPr>
        <w:t>、沈晓超女士：</w:t>
      </w:r>
      <w:r>
        <w:rPr>
          <w:rFonts w:ascii="Times New Roman" w:hAnsi="Times New Roman" w:cs="Times New Roman" w:eastAsia="Times New Roman" w:hint="default"/>
          <w:spacing w:val="-2"/>
        </w:rPr>
        <w:t>1977</w:t>
      </w:r>
      <w:r>
        <w:rPr>
          <w:spacing w:val="-2"/>
        </w:rPr>
        <w:t>年出生，中国籍，中国人民大学管理学硕士，会计师。曾任保定市华美园林花木有限公司总经理、</w:t>
      </w:r>
      <w:r>
        <w:rPr/>
        <w:t> 北京吉农科技有限公司财务总监，现任北京信中利投资股份有限公司董事、副总经理、财务总监，</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月起担任本公司 董事。</w:t>
      </w:r>
    </w:p>
    <w:p>
      <w:pPr>
        <w:pStyle w:val="BodyText"/>
        <w:spacing w:line="300" w:lineRule="auto" w:before="70"/>
        <w:ind w:right="190" w:firstLine="360"/>
        <w:jc w:val="both"/>
      </w:pPr>
      <w:r>
        <w:rPr>
          <w:rFonts w:ascii="Times New Roman" w:hAnsi="Times New Roman" w:cs="Times New Roman" w:eastAsia="Times New Roman" w:hint="default"/>
          <w:b/>
          <w:bCs/>
        </w:rPr>
        <w:t>5</w:t>
      </w:r>
      <w:r>
        <w:rPr>
          <w:rFonts w:ascii="宋体" w:hAnsi="宋体" w:cs="宋体" w:eastAsia="宋体" w:hint="default"/>
          <w:b/>
          <w:bCs/>
        </w:rPr>
        <w:t>、陈丹女士：</w:t>
      </w:r>
      <w:r>
        <w:rPr>
          <w:rFonts w:ascii="Times New Roman" w:hAnsi="Times New Roman" w:cs="Times New Roman" w:eastAsia="Times New Roman" w:hint="default"/>
        </w:rPr>
        <w:t>1973</w:t>
      </w:r>
      <w:r>
        <w:rPr/>
        <w:t>年出生，中国籍，武汉大学金融保险专业学士、</w:t>
      </w:r>
      <w:r>
        <w:rPr>
          <w:rFonts w:ascii="Times New Roman" w:hAnsi="Times New Roman" w:cs="Times New Roman" w:eastAsia="Times New Roman" w:hint="default"/>
        </w:rPr>
        <w:t>MBA</w:t>
      </w:r>
      <w:r>
        <w:rPr/>
        <w:t>，经济师。曾任</w:t>
      </w:r>
      <w:r>
        <w:rPr>
          <w:rFonts w:ascii="Times New Roman" w:hAnsi="Times New Roman" w:cs="Times New Roman" w:eastAsia="Times New Roman" w:hint="default"/>
        </w:rPr>
        <w:t>Transfield</w:t>
      </w:r>
      <w:r>
        <w:rPr>
          <w:rFonts w:ascii="Times New Roman" w:hAnsi="Times New Roman" w:cs="Times New Roman" w:eastAsia="Times New Roman" w:hint="default"/>
          <w:spacing w:val="-9"/>
        </w:rPr>
        <w:t> </w:t>
      </w:r>
      <w:r>
        <w:rPr>
          <w:rFonts w:ascii="Times New Roman" w:hAnsi="Times New Roman" w:cs="Times New Roman" w:eastAsia="Times New Roman" w:hint="default"/>
        </w:rPr>
        <w:t>Services</w:t>
      </w:r>
      <w:r>
        <w:rPr/>
        <w:t>高级投资经 </w:t>
      </w:r>
      <w:r>
        <w:rPr>
          <w:spacing w:val="-4"/>
        </w:rPr>
        <w:t>理、澳大利亚澳保集团（</w:t>
      </w:r>
      <w:r>
        <w:rPr>
          <w:rFonts w:ascii="Times New Roman" w:hAnsi="Times New Roman" w:cs="Times New Roman" w:eastAsia="Times New Roman" w:hint="default"/>
          <w:spacing w:val="-4"/>
        </w:rPr>
        <w:t>Insurance </w:t>
      </w:r>
      <w:r>
        <w:rPr>
          <w:rFonts w:ascii="Times New Roman" w:hAnsi="Times New Roman" w:cs="Times New Roman" w:eastAsia="Times New Roman" w:hint="default"/>
        </w:rPr>
        <w:t>Australia </w:t>
      </w:r>
      <w:r>
        <w:rPr>
          <w:rFonts w:ascii="Times New Roman" w:hAnsi="Times New Roman" w:cs="Times New Roman" w:eastAsia="Times New Roman" w:hint="default"/>
          <w:spacing w:val="-3"/>
        </w:rPr>
        <w:t>Group</w:t>
      </w:r>
      <w:r>
        <w:rPr>
          <w:spacing w:val="-3"/>
        </w:rPr>
        <w:t>）高级战略顾问，现任北京信中利投资股份有限公司董事、副总经理，</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38"/>
        </w:rPr>
      </w:r>
      <w:r>
        <w:rPr/>
        <w:t>年</w:t>
      </w:r>
      <w:r>
        <w:rPr>
          <w:rFonts w:ascii="Times New Roman" w:hAnsi="Times New Roman" w:cs="Times New Roman" w:eastAsia="Times New Roman" w:hint="default"/>
        </w:rPr>
        <w:t>7</w:t>
      </w:r>
      <w:r>
        <w:rPr/>
        <w:t>月起担任本公司董事。</w:t>
      </w:r>
    </w:p>
    <w:p>
      <w:pPr>
        <w:spacing w:line="300" w:lineRule="auto" w:before="53"/>
        <w:ind w:left="152" w:right="280" w:firstLine="360"/>
        <w:jc w:val="both"/>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WAN XIAO</w:t>
      </w:r>
      <w:r>
        <w:rPr>
          <w:rFonts w:ascii="Times New Roman" w:hAnsi="Times New Roman" w:cs="Times New Roman" w:eastAsia="Times New Roman" w:hint="default"/>
          <w:b/>
          <w:bCs/>
          <w:spacing w:val="-6"/>
          <w:sz w:val="18"/>
          <w:szCs w:val="18"/>
        </w:rPr>
        <w:t> </w:t>
      </w:r>
      <w:r>
        <w:rPr>
          <w:rFonts w:ascii="Times New Roman" w:hAnsi="Times New Roman" w:cs="Times New Roman" w:eastAsia="Times New Roman" w:hint="default"/>
          <w:b/>
          <w:bCs/>
          <w:sz w:val="18"/>
          <w:szCs w:val="18"/>
        </w:rPr>
        <w:t>YANG</w:t>
      </w:r>
      <w:r>
        <w:rPr>
          <w:rFonts w:ascii="宋体" w:hAnsi="宋体" w:cs="宋体" w:eastAsia="宋体" w:hint="default"/>
          <w:b/>
          <w:bCs/>
          <w:sz w:val="18"/>
          <w:szCs w:val="18"/>
        </w:rPr>
        <w:t>（中文名：万晓阳）先生：</w:t>
      </w:r>
      <w:r>
        <w:rPr>
          <w:rFonts w:ascii="Times New Roman" w:hAnsi="Times New Roman" w:cs="Times New Roman" w:eastAsia="Times New Roman" w:hint="default"/>
          <w:sz w:val="18"/>
          <w:szCs w:val="18"/>
        </w:rPr>
        <w:t>1959</w:t>
      </w:r>
      <w:r>
        <w:rPr>
          <w:rFonts w:ascii="宋体" w:hAnsi="宋体" w:cs="宋体" w:eastAsia="宋体" w:hint="default"/>
          <w:sz w:val="18"/>
          <w:szCs w:val="18"/>
        </w:rPr>
        <w:t>年出生，澳大利亚籍，中国石油大学机械工程专业学士学位， 澳大利亚皇家墨尔本大学工程科学硕士博士学位。曾任</w:t>
      </w:r>
      <w:r>
        <w:rPr>
          <w:rFonts w:ascii="Times New Roman" w:hAnsi="Times New Roman" w:cs="Times New Roman" w:eastAsia="Times New Roman" w:hint="default"/>
          <w:sz w:val="18"/>
          <w:szCs w:val="18"/>
        </w:rPr>
        <w:t>Simplex</w:t>
      </w:r>
      <w:r>
        <w:rPr>
          <w:rFonts w:ascii="宋体" w:hAnsi="宋体" w:cs="宋体" w:eastAsia="宋体" w:hint="default"/>
          <w:sz w:val="18"/>
          <w:szCs w:val="18"/>
        </w:rPr>
        <w:t>资本亚洲投资有限公司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香港董事总经理、德国昆格瓦格纳</w:t>
      </w:r>
    </w:p>
    <w:p>
      <w:pPr>
        <w:pStyle w:val="BodyText"/>
        <w:spacing w:line="240" w:lineRule="auto" w:before="13"/>
        <w:ind w:right="94"/>
        <w:jc w:val="left"/>
      </w:pPr>
      <w:r>
        <w:rPr/>
        <w:t>（</w:t>
      </w:r>
      <w:r>
        <w:rPr>
          <w:rFonts w:ascii="Times New Roman" w:hAnsi="Times New Roman" w:cs="Times New Roman" w:eastAsia="Times New Roman" w:hint="default"/>
        </w:rPr>
        <w:t>Kuenkel-Wagner</w:t>
      </w:r>
      <w:r>
        <w:rPr/>
        <w:t>）技术公司首席执行官，现任山东朗进科技股份有限公司董事总经理，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月起担任本公司董事。</w:t>
      </w:r>
    </w:p>
    <w:p>
      <w:pPr>
        <w:pStyle w:val="BodyText"/>
        <w:spacing w:line="307" w:lineRule="auto" w:before="103"/>
        <w:ind w:right="195" w:firstLine="360"/>
        <w:jc w:val="both"/>
      </w:pPr>
      <w:r>
        <w:rPr>
          <w:rFonts w:ascii="Times New Roman" w:hAnsi="Times New Roman" w:cs="Times New Roman" w:eastAsia="Times New Roman" w:hint="default"/>
          <w:b/>
          <w:bCs/>
        </w:rPr>
        <w:t>7</w:t>
      </w:r>
      <w:r>
        <w:rPr>
          <w:rFonts w:ascii="宋体" w:hAnsi="宋体" w:cs="宋体" w:eastAsia="宋体" w:hint="default"/>
          <w:b/>
          <w:bCs/>
        </w:rPr>
        <w:t>、叶陈刚先生：</w:t>
      </w:r>
      <w:r>
        <w:rPr>
          <w:rFonts w:ascii="Times New Roman" w:hAnsi="Times New Roman" w:cs="Times New Roman" w:eastAsia="Times New Roman" w:hint="default"/>
        </w:rPr>
        <w:t>1962</w:t>
      </w:r>
      <w:r>
        <w:rPr/>
        <w:t>年出生，中国籍，中南财经政法大学会计学硕士，华中科技大学管理学博士，南开大学商学院工 </w:t>
      </w:r>
      <w:r>
        <w:rPr>
          <w:spacing w:val="-2"/>
        </w:rPr>
        <w:t>商管理博士后。曾任中国地质大学（武汉）会计学与审计学教授、硕士生导师，现任对外经济贸易大学会计学与审计学教授</w:t>
      </w:r>
      <w:r>
        <w:rPr>
          <w:spacing w:val="-67"/>
        </w:rPr>
        <w:t> </w:t>
      </w:r>
      <w:r>
        <w:rPr>
          <w:spacing w:val="-67"/>
        </w:rPr>
      </w:r>
      <w:r>
        <w:rPr/>
        <w:t>和博士生导师、远大产业控股股份有限公司（证券简称：远大控股，证券代码：</w:t>
      </w:r>
      <w:r>
        <w:rPr>
          <w:rFonts w:ascii="Times New Roman" w:hAnsi="Times New Roman" w:cs="Times New Roman" w:eastAsia="Times New Roman" w:hint="default"/>
        </w:rPr>
        <w:t>000626</w:t>
      </w:r>
      <w:r>
        <w:rPr/>
        <w:t>）独立董事，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月起担任本公 司独立董事。</w:t>
      </w:r>
    </w:p>
    <w:p>
      <w:pPr>
        <w:pStyle w:val="BodyText"/>
        <w:spacing w:line="300" w:lineRule="auto" w:before="64"/>
        <w:ind w:right="92" w:firstLine="360"/>
        <w:jc w:val="left"/>
      </w:pPr>
      <w:r>
        <w:rPr>
          <w:rFonts w:ascii="Times New Roman" w:hAnsi="Times New Roman" w:cs="Times New Roman" w:eastAsia="Times New Roman" w:hint="default"/>
          <w:b/>
          <w:bCs/>
        </w:rPr>
        <w:t>8</w:t>
      </w:r>
      <w:r>
        <w:rPr>
          <w:rFonts w:ascii="宋体" w:hAnsi="宋体" w:cs="宋体" w:eastAsia="宋体" w:hint="default"/>
          <w:b/>
          <w:bCs/>
        </w:rPr>
        <w:t>、钟晓林先生：</w:t>
      </w:r>
      <w:r>
        <w:rPr>
          <w:rFonts w:ascii="Times New Roman" w:hAnsi="Times New Roman" w:cs="Times New Roman" w:eastAsia="Times New Roman" w:hint="default"/>
        </w:rPr>
        <w:t>1965</w:t>
      </w:r>
      <w:r>
        <w:rPr/>
        <w:t>年出生，中国香港籍，华中科技大学工学学士和硕士学位，英国爱丁堡龙比亚大学机器人与人工 </w:t>
      </w:r>
      <w:r>
        <w:rPr>
          <w:spacing w:val="-3"/>
        </w:rPr>
        <w:t>智能博士学位，加拿大西安大略大学</w:t>
      </w:r>
      <w:r>
        <w:rPr>
          <w:rFonts w:ascii="Times New Roman" w:hAnsi="Times New Roman" w:cs="Times New Roman" w:eastAsia="Times New Roman" w:hint="default"/>
          <w:spacing w:val="-3"/>
        </w:rPr>
        <w:t>Ivey</w:t>
      </w:r>
      <w:r>
        <w:rPr>
          <w:spacing w:val="-3"/>
        </w:rPr>
        <w:t>商学院工商管理硕士（</w:t>
      </w:r>
      <w:r>
        <w:rPr>
          <w:rFonts w:ascii="Times New Roman" w:hAnsi="Times New Roman" w:cs="Times New Roman" w:eastAsia="Times New Roman" w:hint="default"/>
          <w:spacing w:val="-3"/>
        </w:rPr>
        <w:t>MBA</w:t>
      </w:r>
      <w:r>
        <w:rPr>
          <w:spacing w:val="-3"/>
        </w:rPr>
        <w:t>）学位。曾任凯鹏华盈（</w:t>
      </w:r>
      <w:r>
        <w:rPr>
          <w:rFonts w:ascii="Times New Roman" w:hAnsi="Times New Roman" w:cs="Times New Roman" w:eastAsia="Times New Roman" w:hint="default"/>
          <w:spacing w:val="-3"/>
        </w:rPr>
        <w:t>KPCB</w:t>
      </w:r>
      <w:r>
        <w:rPr>
          <w:spacing w:val="-3"/>
        </w:rPr>
        <w:t>）中国基金主管合伙人、</w:t>
      </w:r>
      <w:r>
        <w:rPr>
          <w:spacing w:val="-36"/>
        </w:rPr>
        <w:t> </w:t>
      </w:r>
      <w:r>
        <w:rPr>
          <w:spacing w:val="-36"/>
        </w:rPr>
      </w:r>
      <w:r>
        <w:rPr/>
        <w:t>无锡江南仁和新能源产业投资基金（有限合伙）主管合伙人、兴铁富江投资管理有限公司总裁，现任上海华盈创投（</w:t>
      </w:r>
      <w:r>
        <w:rPr>
          <w:rFonts w:ascii="Times New Roman" w:hAnsi="Times New Roman" w:cs="Times New Roman" w:eastAsia="Times New Roman" w:hint="default"/>
        </w:rPr>
        <w:t>TDF</w:t>
      </w:r>
      <w:r>
        <w:rPr>
          <w:rFonts w:ascii="Times New Roman" w:hAnsi="Times New Roman" w:cs="Times New Roman" w:eastAsia="Times New Roman" w:hint="default"/>
          <w:w w:val="99"/>
        </w:rPr>
        <w:t> </w:t>
      </w:r>
      <w:r>
        <w:rPr>
          <w:rFonts w:ascii="Times New Roman" w:hAnsi="Times New Roman" w:cs="Times New Roman" w:eastAsia="Times New Roman" w:hint="default"/>
          <w:spacing w:val="-4"/>
        </w:rPr>
        <w:t>Capital</w:t>
      </w:r>
      <w:r>
        <w:rPr>
          <w:spacing w:val="-4"/>
        </w:rPr>
        <w:t>）董事总经理和合伙人、深圳图灵资产管理有限公司董事长、科通芯城集团（证券简称：科通芯城，证券代码：</w:t>
      </w:r>
      <w:r>
        <w:rPr>
          <w:rFonts w:ascii="Times New Roman" w:hAnsi="Times New Roman" w:cs="Times New Roman" w:eastAsia="Times New Roman" w:hint="default"/>
          <w:spacing w:val="-4"/>
        </w:rPr>
        <w:t>00400</w:t>
      </w:r>
      <w:r>
        <w:rPr>
          <w:spacing w:val="-4"/>
        </w:rPr>
        <w:t>）</w:t>
      </w:r>
    </w:p>
    <w:p>
      <w:pPr>
        <w:spacing w:after="0" w:line="300"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240" w:lineRule="auto" w:before="44"/>
        <w:ind w:right="94"/>
        <w:jc w:val="left"/>
      </w:pPr>
      <w:r>
        <w:rPr/>
        <w:t>独立董事，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月起担任本公司独立董事。</w:t>
      </w:r>
    </w:p>
    <w:p>
      <w:pPr>
        <w:pStyle w:val="BodyText"/>
        <w:spacing w:line="307" w:lineRule="auto" w:before="103"/>
        <w:ind w:right="94" w:firstLine="360"/>
        <w:jc w:val="left"/>
      </w:pPr>
      <w:r>
        <w:rPr>
          <w:rFonts w:ascii="Times New Roman" w:hAnsi="Times New Roman" w:cs="Times New Roman" w:eastAsia="Times New Roman" w:hint="default"/>
          <w:b/>
          <w:bCs/>
        </w:rPr>
        <w:t>9</w:t>
      </w:r>
      <w:r>
        <w:rPr>
          <w:rFonts w:ascii="宋体" w:hAnsi="宋体" w:cs="宋体" w:eastAsia="宋体" w:hint="default"/>
          <w:b/>
          <w:bCs/>
        </w:rPr>
        <w:t>、</w:t>
      </w:r>
      <w:r>
        <w:rPr>
          <w:rFonts w:ascii="Times New Roman" w:hAnsi="Times New Roman" w:cs="Times New Roman" w:eastAsia="Times New Roman" w:hint="default"/>
          <w:b/>
          <w:bCs/>
        </w:rPr>
        <w:t>Key Ke</w:t>
      </w:r>
      <w:r>
        <w:rPr>
          <w:rFonts w:ascii="Times New Roman" w:hAnsi="Times New Roman" w:cs="Times New Roman" w:eastAsia="Times New Roman" w:hint="default"/>
          <w:b/>
          <w:bCs/>
          <w:spacing w:val="-4"/>
        </w:rPr>
        <w:t> </w:t>
      </w:r>
      <w:r>
        <w:rPr>
          <w:rFonts w:ascii="Times New Roman" w:hAnsi="Times New Roman" w:cs="Times New Roman" w:eastAsia="Times New Roman" w:hint="default"/>
          <w:b/>
          <w:bCs/>
        </w:rPr>
        <w:t>Liu</w:t>
      </w:r>
      <w:r>
        <w:rPr>
          <w:rFonts w:ascii="宋体" w:hAnsi="宋体" w:cs="宋体" w:eastAsia="宋体" w:hint="default"/>
          <w:b/>
          <w:bCs/>
        </w:rPr>
        <w:t>（中文名：刘科）先生：</w:t>
      </w:r>
      <w:r>
        <w:rPr>
          <w:rFonts w:ascii="Times New Roman" w:hAnsi="Times New Roman" w:cs="Times New Roman" w:eastAsia="Times New Roman" w:hint="default"/>
        </w:rPr>
        <w:t>1964</w:t>
      </w:r>
      <w:r>
        <w:rPr/>
        <w:t>年出生，美国籍，西北大学有机化学学士学位和硕士学位，美国纽约市立 </w:t>
      </w:r>
      <w:r>
        <w:rPr>
          <w:spacing w:val="-2"/>
        </w:rPr>
        <w:t>大学博士学位，美国伦斯勒理工学院管理学硕士。曾任北京低碳能源研究所副所长和</w:t>
      </w:r>
      <w:r>
        <w:rPr>
          <w:rFonts w:ascii="Times New Roman" w:hAnsi="Times New Roman" w:cs="Times New Roman" w:eastAsia="Times New Roman" w:hint="default"/>
          <w:spacing w:val="-2"/>
        </w:rPr>
        <w:t>CTO</w:t>
      </w:r>
      <w:r>
        <w:rPr>
          <w:spacing w:val="-2"/>
        </w:rPr>
        <w:t>，现任环球资源公司合伙人，南方</w:t>
      </w:r>
      <w:r>
        <w:rPr>
          <w:spacing w:val="-63"/>
        </w:rPr>
        <w:t> </w:t>
      </w:r>
      <w:r>
        <w:rPr>
          <w:spacing w:val="-63"/>
        </w:rPr>
      </w:r>
      <w:r>
        <w:rPr>
          <w:spacing w:val="-4"/>
        </w:rPr>
        <w:t>科技大学清洁能源研究院院长、创新创业学院执行院长和讲座教授，宁波江丰电子材料股份有限公司（证券简称：江丰电子，</w:t>
      </w:r>
      <w:r>
        <w:rPr>
          <w:spacing w:val="-46"/>
        </w:rPr>
        <w:t> </w:t>
      </w:r>
      <w:r>
        <w:rPr>
          <w:spacing w:val="-46"/>
        </w:rPr>
      </w:r>
      <w:r>
        <w:rPr/>
        <w:t>证券代码：</w:t>
      </w:r>
      <w:r>
        <w:rPr>
          <w:rFonts w:ascii="Times New Roman" w:hAnsi="Times New Roman" w:cs="Times New Roman" w:eastAsia="Times New Roman" w:hint="default"/>
        </w:rPr>
        <w:t>300666</w:t>
      </w:r>
      <w:r>
        <w:rPr/>
        <w:t>）独立董事，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月起担任本公司独立董事。</w:t>
      </w:r>
    </w:p>
    <w:p>
      <w:pPr>
        <w:pStyle w:val="BodyText"/>
        <w:spacing w:line="300" w:lineRule="auto" w:before="45"/>
        <w:ind w:right="94" w:firstLine="360"/>
        <w:jc w:val="left"/>
      </w:pPr>
      <w:r>
        <w:rPr>
          <w:rFonts w:ascii="Times New Roman" w:hAnsi="Times New Roman" w:cs="Times New Roman" w:eastAsia="Times New Roman" w:hint="default"/>
          <w:b/>
          <w:bCs/>
          <w:spacing w:val="-4"/>
        </w:rPr>
        <w:t>10</w:t>
      </w:r>
      <w:r>
        <w:rPr>
          <w:rFonts w:ascii="宋体" w:hAnsi="宋体" w:cs="宋体" w:eastAsia="宋体" w:hint="default"/>
          <w:b/>
          <w:bCs/>
          <w:spacing w:val="-4"/>
        </w:rPr>
        <w:t>、梅绍华先生：</w:t>
      </w:r>
      <w:r>
        <w:rPr>
          <w:rFonts w:ascii="Times New Roman" w:hAnsi="Times New Roman" w:cs="Times New Roman" w:eastAsia="Times New Roman" w:hint="default"/>
          <w:spacing w:val="-4"/>
        </w:rPr>
        <w:t>1964</w:t>
      </w:r>
      <w:r>
        <w:rPr>
          <w:spacing w:val="-4"/>
        </w:rPr>
        <w:t>年出生，中国籍，华中科技大学毕业，工学硕士。曾任证券日报社副社长、《经济》杂志总编辑、</w:t>
      </w:r>
      <w:r>
        <w:rPr/>
        <w:t> 经济日报特刊部常务副主任和高级编辑，现任华中科技大学经济学院兼职教授、中关村股权投资协会副会长，</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月起</w:t>
      </w:r>
      <w:r>
        <w:rPr>
          <w:spacing w:val="-3"/>
        </w:rPr>
        <w:t> </w:t>
      </w:r>
      <w:r>
        <w:rPr/>
        <w:t>担任本公司监事会主席。</w:t>
      </w:r>
    </w:p>
    <w:p>
      <w:pPr>
        <w:pStyle w:val="BodyText"/>
        <w:spacing w:line="300" w:lineRule="auto" w:before="72"/>
        <w:ind w:right="188" w:firstLine="360"/>
        <w:jc w:val="both"/>
      </w:pPr>
      <w:r>
        <w:rPr>
          <w:rFonts w:ascii="Times New Roman" w:hAnsi="Times New Roman" w:cs="Times New Roman" w:eastAsia="Times New Roman" w:hint="default"/>
          <w:b/>
          <w:bCs/>
        </w:rPr>
        <w:t>11</w:t>
      </w:r>
      <w:r>
        <w:rPr>
          <w:rFonts w:ascii="宋体" w:hAnsi="宋体" w:cs="宋体" w:eastAsia="宋体" w:hint="default"/>
          <w:b/>
          <w:bCs/>
        </w:rPr>
        <w:t>、夏云飞女士：</w:t>
      </w:r>
      <w:r>
        <w:rPr>
          <w:rFonts w:ascii="Times New Roman" w:hAnsi="Times New Roman" w:cs="Times New Roman" w:eastAsia="Times New Roman" w:hint="default"/>
        </w:rPr>
        <w:t>1983</w:t>
      </w:r>
      <w:r>
        <w:rPr/>
        <w:t>年出生，中国国籍，北京大学光华管理学院会计学专业本科、北京大学光华管理学院</w:t>
      </w:r>
      <w:r>
        <w:rPr>
          <w:rFonts w:ascii="Times New Roman" w:hAnsi="Times New Roman" w:cs="Times New Roman" w:eastAsia="Times New Roman" w:hint="default"/>
        </w:rPr>
        <w:t>MBA</w:t>
      </w:r>
      <w:r>
        <w:rPr/>
        <w:t>、中 </w:t>
      </w:r>
      <w:r>
        <w:rPr>
          <w:spacing w:val="-2"/>
        </w:rPr>
        <w:t>国注册会计师（</w:t>
      </w:r>
      <w:r>
        <w:rPr>
          <w:rFonts w:ascii="Times New Roman" w:hAnsi="Times New Roman" w:cs="Times New Roman" w:eastAsia="Times New Roman" w:hint="default"/>
          <w:spacing w:val="-2"/>
        </w:rPr>
        <w:t>CPA</w:t>
      </w:r>
      <w:r>
        <w:rPr>
          <w:spacing w:val="-2"/>
        </w:rPr>
        <w:t>）、国际注册内部审计师、中级会计师职称。曾任毕马威华振会计师事务所审计经理、建投控股有限责</w:t>
      </w:r>
      <w:r>
        <w:rPr>
          <w:spacing w:val="-59"/>
        </w:rPr>
        <w:t> </w:t>
      </w:r>
      <w:r>
        <w:rPr>
          <w:spacing w:val="-59"/>
        </w:rPr>
      </w:r>
      <w:r>
        <w:rPr>
          <w:spacing w:val="-2"/>
        </w:rPr>
        <w:t>任公司计划财务部业务经理、金融街（北京）置业有限公司财务部财务经理，现任北京信中利投资股份有限公司监事，</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13"/>
        </w:rPr>
        <w:t> </w:t>
      </w:r>
      <w:r>
        <w:rPr/>
        <w:t>年</w:t>
      </w:r>
      <w:r>
        <w:rPr>
          <w:rFonts w:ascii="Times New Roman" w:hAnsi="Times New Roman" w:cs="Times New Roman" w:eastAsia="Times New Roman" w:hint="default"/>
        </w:rPr>
        <w:t>9</w:t>
      </w:r>
      <w:r>
        <w:rPr/>
        <w:t>月起担任本公司监事。</w:t>
      </w:r>
    </w:p>
    <w:p>
      <w:pPr>
        <w:pStyle w:val="BodyText"/>
        <w:spacing w:line="300" w:lineRule="auto" w:before="53"/>
        <w:ind w:right="94" w:firstLine="360"/>
        <w:jc w:val="left"/>
      </w:pPr>
      <w:r>
        <w:rPr>
          <w:rFonts w:ascii="Times New Roman" w:hAnsi="Times New Roman" w:cs="Times New Roman" w:eastAsia="Times New Roman" w:hint="default"/>
          <w:b/>
          <w:bCs/>
          <w:spacing w:val="-2"/>
        </w:rPr>
        <w:t>12</w:t>
      </w:r>
      <w:r>
        <w:rPr>
          <w:rFonts w:ascii="宋体" w:hAnsi="宋体" w:cs="宋体" w:eastAsia="宋体" w:hint="default"/>
          <w:b/>
          <w:bCs/>
          <w:spacing w:val="-2"/>
        </w:rPr>
        <w:t>、温秋萍女士：</w:t>
      </w:r>
      <w:r>
        <w:rPr>
          <w:rFonts w:ascii="Times New Roman" w:hAnsi="Times New Roman" w:cs="Times New Roman" w:eastAsia="Times New Roman" w:hint="default"/>
          <w:spacing w:val="-2"/>
        </w:rPr>
        <w:t>1990</w:t>
      </w:r>
      <w:r>
        <w:rPr>
          <w:spacing w:val="-2"/>
        </w:rPr>
        <w:t>年出生，中国籍，华南农业大学法学专业本科毕业，获法律职业资格证、董事会秘书资格证、证</w:t>
      </w:r>
      <w:r>
        <w:rPr/>
        <w:t> 券从业资格证。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月起任公司证券部合规专员，</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月起任公司监事，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月起任公司证券事务代表。</w:t>
      </w:r>
    </w:p>
    <w:p>
      <w:pPr>
        <w:pStyle w:val="BodyText"/>
        <w:spacing w:line="300" w:lineRule="auto" w:before="51"/>
        <w:ind w:right="191" w:firstLine="360"/>
        <w:jc w:val="both"/>
      </w:pPr>
      <w:r>
        <w:rPr>
          <w:rFonts w:ascii="Times New Roman" w:hAnsi="Times New Roman" w:cs="Times New Roman" w:eastAsia="Times New Roman" w:hint="default"/>
          <w:b/>
          <w:bCs/>
          <w:spacing w:val="-2"/>
        </w:rPr>
        <w:t>13</w:t>
      </w:r>
      <w:r>
        <w:rPr>
          <w:rFonts w:ascii="宋体" w:hAnsi="宋体" w:cs="宋体" w:eastAsia="宋体" w:hint="default"/>
          <w:b/>
          <w:bCs/>
          <w:spacing w:val="-2"/>
        </w:rPr>
        <w:t>、方莉女士：</w:t>
      </w:r>
      <w:r>
        <w:rPr>
          <w:rFonts w:ascii="Times New Roman" w:hAnsi="Times New Roman" w:cs="Times New Roman" w:eastAsia="Times New Roman" w:hint="default"/>
          <w:spacing w:val="-2"/>
        </w:rPr>
        <w:t>1978</w:t>
      </w:r>
      <w:r>
        <w:rPr>
          <w:spacing w:val="-2"/>
        </w:rPr>
        <w:t>年出生，中国籍，武汉大学法学专业毕业，厦门大学</w:t>
      </w:r>
      <w:r>
        <w:rPr>
          <w:rFonts w:ascii="Times New Roman" w:hAnsi="Times New Roman" w:cs="Times New Roman" w:eastAsia="Times New Roman" w:hint="default"/>
          <w:spacing w:val="-2"/>
        </w:rPr>
        <w:t>EMBA</w:t>
      </w:r>
      <w:r>
        <w:rPr>
          <w:spacing w:val="-2"/>
        </w:rPr>
        <w:t>，获董事会秘书资格证。曾任东方金钰</w:t>
      </w:r>
      <w:r>
        <w:rPr/>
        <w:t> </w:t>
      </w:r>
      <w:r>
        <w:rPr>
          <w:spacing w:val="-2"/>
        </w:rPr>
        <w:t>股份有限公司总裁助理、证券事务代表、董事会秘书。</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月起担任本公司董事会秘书、副总裁，</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月起不再担任</w:t>
      </w:r>
      <w:r>
        <w:rPr>
          <w:spacing w:val="-56"/>
        </w:rPr>
        <w:t> </w:t>
      </w:r>
      <w:r>
        <w:rPr>
          <w:spacing w:val="-56"/>
        </w:rPr>
      </w:r>
      <w:r>
        <w:rPr/>
        <w:t>本公司董事会秘书。</w:t>
      </w:r>
    </w:p>
    <w:p>
      <w:pPr>
        <w:pStyle w:val="BodyText"/>
        <w:spacing w:line="300" w:lineRule="auto" w:before="72"/>
        <w:ind w:right="191" w:firstLine="360"/>
        <w:jc w:val="both"/>
      </w:pPr>
      <w:r>
        <w:rPr>
          <w:rFonts w:ascii="Times New Roman" w:hAnsi="Times New Roman" w:cs="Times New Roman" w:eastAsia="Times New Roman" w:hint="default"/>
          <w:b/>
          <w:bCs/>
          <w:spacing w:val="-2"/>
        </w:rPr>
        <w:t>14</w:t>
      </w:r>
      <w:r>
        <w:rPr>
          <w:rFonts w:ascii="宋体" w:hAnsi="宋体" w:cs="宋体" w:eastAsia="宋体" w:hint="default"/>
          <w:b/>
          <w:bCs/>
          <w:spacing w:val="-2"/>
        </w:rPr>
        <w:t>、刘扬女士</w:t>
      </w:r>
      <w:r>
        <w:rPr>
          <w:spacing w:val="-2"/>
        </w:rPr>
        <w:t>：</w:t>
      </w:r>
      <w:r>
        <w:rPr>
          <w:rFonts w:ascii="Times New Roman" w:hAnsi="Times New Roman" w:cs="Times New Roman" w:eastAsia="Times New Roman" w:hint="default"/>
          <w:spacing w:val="-2"/>
        </w:rPr>
        <w:t>1987</w:t>
      </w:r>
      <w:r>
        <w:rPr>
          <w:spacing w:val="-2"/>
        </w:rPr>
        <w:t>年出生，中国籍，天津财经大学会计学专业毕业，管理学硕士，获董事会秘书资格证。曾在中国证</w:t>
      </w:r>
      <w:r>
        <w:rPr/>
        <w:t> 监会辽宁监管局、中国证监会深圳专员办任职，主要从事证券期货违法违规案件调查、中介机构监督检查等工作。</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 </w:t>
      </w:r>
      <w:r>
        <w:rPr/>
        <w:t>月加入本公司，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月起担任本公司董事会秘书、副总裁。</w:t>
      </w:r>
    </w:p>
    <w:p>
      <w:pPr>
        <w:pStyle w:val="BodyText"/>
        <w:spacing w:line="319" w:lineRule="auto" w:before="54"/>
        <w:ind w:right="94" w:firstLine="360"/>
        <w:jc w:val="left"/>
      </w:pPr>
      <w:r>
        <w:rPr>
          <w:rFonts w:ascii="Times New Roman" w:hAnsi="Times New Roman" w:cs="Times New Roman" w:eastAsia="Times New Roman" w:hint="default"/>
          <w:b/>
          <w:bCs/>
          <w:spacing w:val="-2"/>
        </w:rPr>
        <w:t>15</w:t>
      </w:r>
      <w:r>
        <w:rPr>
          <w:rFonts w:ascii="宋体" w:hAnsi="宋体" w:cs="宋体" w:eastAsia="宋体" w:hint="default"/>
          <w:b/>
          <w:bCs/>
          <w:spacing w:val="-2"/>
        </w:rPr>
        <w:t>、迟永军先生</w:t>
      </w:r>
      <w:r>
        <w:rPr>
          <w:spacing w:val="-2"/>
        </w:rPr>
        <w:t>：</w:t>
      </w:r>
      <w:r>
        <w:rPr>
          <w:rFonts w:ascii="Times New Roman" w:hAnsi="Times New Roman" w:cs="Times New Roman" w:eastAsia="Times New Roman" w:hint="default"/>
          <w:spacing w:val="-2"/>
        </w:rPr>
        <w:t>1974</w:t>
      </w:r>
      <w:r>
        <w:rPr>
          <w:spacing w:val="-2"/>
        </w:rPr>
        <w:t>年出生，中国籍，北京商贸管理学院市场营销专业毕业。曾任上海康特环保科技发展有限公司总</w:t>
      </w:r>
      <w:r>
        <w:rPr/>
        <w:t> 经理、浩泽净水国际控股有限公司副总经理。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月起任公司电气事业部总经理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月起担任本公司副总裁。 在股东单位任职情况</w:t>
      </w:r>
    </w:p>
    <w:p>
      <w:pPr>
        <w:pStyle w:val="BodyText"/>
        <w:spacing w:line="240" w:lineRule="auto" w:before="58"/>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737"/>
        <w:gridCol w:w="2413"/>
        <w:gridCol w:w="1982"/>
        <w:gridCol w:w="1560"/>
        <w:gridCol w:w="1561"/>
        <w:gridCol w:w="1445"/>
      </w:tblGrid>
      <w:tr>
        <w:trPr>
          <w:trHeight w:val="713"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93" w:right="92"/>
              <w:jc w:val="left"/>
              <w:rPr>
                <w:rFonts w:ascii="宋体" w:hAnsi="宋体" w:cs="宋体" w:eastAsia="宋体" w:hint="default"/>
                <w:sz w:val="18"/>
                <w:szCs w:val="18"/>
              </w:rPr>
            </w:pPr>
            <w:r>
              <w:rPr>
                <w:rFonts w:ascii="宋体" w:hAnsi="宋体" w:cs="宋体" w:eastAsia="宋体" w:hint="default"/>
                <w:sz w:val="18"/>
                <w:szCs w:val="18"/>
              </w:rPr>
              <w:t>任职人 员姓名</w:t>
            </w:r>
          </w:p>
        </w:tc>
        <w:tc>
          <w:tcPr>
            <w:tcW w:w="2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在股东单位担任的职务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77" w:right="86" w:hanging="92"/>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汪超涌</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北京信中利投资股份有限公司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张晶</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北京信中利投资股份有限公司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徐海啸</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北京信中利投资股份有限公司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沈晓超</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北京信中利投资股份有限公司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pacing w:val="-5"/>
                <w:sz w:val="18"/>
                <w:szCs w:val="18"/>
              </w:rPr>
              <w:t>董事、副总经理、财务总</w:t>
            </w:r>
            <w:r>
              <w:rPr>
                <w:rFonts w:ascii="宋体" w:hAnsi="宋体" w:cs="宋体" w:eastAsia="宋体" w:hint="default"/>
                <w:sz w:val="18"/>
                <w:szCs w:val="18"/>
              </w:rPr>
              <w:t> 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陈丹</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北京信中利投资股份有限公司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夏云飞</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北京信中利投资股份有限公司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94"/>
        <w:jc w:val="left"/>
      </w:pPr>
      <w:r>
        <w:rPr/>
        <w:t>在其他单位任职情况</w:t>
      </w:r>
    </w:p>
    <w:p>
      <w:pPr>
        <w:pStyle w:val="BodyText"/>
        <w:spacing w:line="240" w:lineRule="auto" w:before="117"/>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781"/>
        <w:gridCol w:w="3353"/>
        <w:gridCol w:w="1964"/>
        <w:gridCol w:w="665"/>
        <w:gridCol w:w="668"/>
        <w:gridCol w:w="1267"/>
      </w:tblGrid>
      <w:tr>
        <w:trPr>
          <w:trHeight w:val="1027" w:hRule="exact"/>
        </w:trPr>
        <w:tc>
          <w:tcPr>
            <w:tcW w:w="1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46"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3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128"/>
              <w:jc w:val="right"/>
              <w:rPr>
                <w:rFonts w:ascii="宋体" w:hAnsi="宋体" w:cs="宋体" w:eastAsia="宋体" w:hint="default"/>
                <w:sz w:val="18"/>
                <w:szCs w:val="18"/>
              </w:rPr>
            </w:pPr>
            <w:r>
              <w:rPr>
                <w:rFonts w:ascii="宋体" w:hAnsi="宋体" w:cs="宋体" w:eastAsia="宋体" w:hint="default"/>
                <w:sz w:val="18"/>
                <w:szCs w:val="18"/>
              </w:rPr>
              <w:t>其他单位名称</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6" w:right="0"/>
              <w:jc w:val="left"/>
              <w:rPr>
                <w:rFonts w:ascii="宋体" w:hAnsi="宋体" w:cs="宋体" w:eastAsia="宋体" w:hint="default"/>
                <w:sz w:val="18"/>
                <w:szCs w:val="18"/>
              </w:rPr>
            </w:pPr>
            <w:r>
              <w:rPr>
                <w:rFonts w:ascii="宋体" w:hAnsi="宋体" w:cs="宋体" w:eastAsia="宋体" w:hint="default"/>
                <w:sz w:val="18"/>
                <w:szCs w:val="18"/>
              </w:rPr>
              <w:t>在其他单位担任的职务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8" w:right="59"/>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1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8" w:right="86"/>
              <w:jc w:val="center"/>
              <w:rPr>
                <w:rFonts w:ascii="宋体" w:hAnsi="宋体" w:cs="宋体" w:eastAsia="宋体" w:hint="default"/>
                <w:sz w:val="18"/>
                <w:szCs w:val="18"/>
              </w:rPr>
            </w:pPr>
            <w:r>
              <w:rPr>
                <w:rFonts w:ascii="宋体" w:hAnsi="宋体" w:cs="宋体" w:eastAsia="宋体" w:hint="default"/>
                <w:sz w:val="18"/>
                <w:szCs w:val="18"/>
              </w:rPr>
              <w:t>在其他单位是 否领取报酬津 贴</w:t>
            </w:r>
          </w:p>
        </w:tc>
      </w:tr>
      <w:tr>
        <w:trPr>
          <w:trHeight w:val="713"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19"/>
                <w:sz w:val="18"/>
                <w:szCs w:val="18"/>
              </w:rPr>
              <w:t>W</w:t>
            </w:r>
            <w:r>
              <w:rPr>
                <w:rFonts w:ascii="Times New Roman" w:hAnsi="Times New Roman" w:cs="Times New Roman" w:eastAsia="Times New Roman" w:hint="default"/>
                <w:spacing w:val="-3"/>
                <w:w w:val="99"/>
                <w:sz w:val="18"/>
                <w:szCs w:val="18"/>
              </w:rPr>
              <w:t>A</w:t>
            </w:r>
            <w:r>
              <w:rPr>
                <w:rFonts w:ascii="Times New Roman" w:hAnsi="Times New Roman" w:cs="Times New Roman" w:eastAsia="Times New Roman" w:hint="default"/>
                <w:w w:val="99"/>
                <w:sz w:val="18"/>
                <w:szCs w:val="18"/>
              </w:rPr>
              <w:t>N</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w w:val="99"/>
                <w:sz w:val="18"/>
                <w:szCs w:val="18"/>
              </w:rPr>
              <w:t>X</w:t>
            </w:r>
            <w:r>
              <w:rPr>
                <w:rFonts w:ascii="Times New Roman" w:hAnsi="Times New Roman" w:cs="Times New Roman" w:eastAsia="Times New Roman" w:hint="default"/>
                <w:w w:val="99"/>
                <w:sz w:val="18"/>
                <w:szCs w:val="18"/>
              </w:rPr>
              <w:t>I</w:t>
            </w:r>
            <w:r>
              <w:rPr>
                <w:rFonts w:ascii="Times New Roman" w:hAnsi="Times New Roman" w:cs="Times New Roman" w:eastAsia="Times New Roman" w:hint="default"/>
                <w:spacing w:val="-3"/>
                <w:w w:val="99"/>
                <w:sz w:val="18"/>
                <w:szCs w:val="18"/>
              </w:rPr>
              <w:t>A</w:t>
            </w:r>
            <w:r>
              <w:rPr>
                <w:rFonts w:ascii="Times New Roman" w:hAnsi="Times New Roman" w:cs="Times New Roman" w:eastAsia="Times New Roman" w:hint="default"/>
                <w:w w:val="99"/>
                <w:sz w:val="18"/>
                <w:szCs w:val="18"/>
              </w:rPr>
              <w:t>O</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pacing w:val="-18"/>
                <w:w w:val="99"/>
                <w:sz w:val="18"/>
                <w:szCs w:val="18"/>
              </w:rPr>
              <w:t>Y</w:t>
            </w:r>
            <w:r>
              <w:rPr>
                <w:rFonts w:ascii="Times New Roman" w:hAnsi="Times New Roman" w:cs="Times New Roman" w:eastAsia="Times New Roman" w:hint="default"/>
                <w:spacing w:val="-3"/>
                <w:w w:val="99"/>
                <w:sz w:val="18"/>
                <w:szCs w:val="18"/>
              </w:rPr>
              <w:t>A</w:t>
            </w:r>
            <w:r>
              <w:rPr>
                <w:rFonts w:ascii="Times New Roman" w:hAnsi="Times New Roman" w:cs="Times New Roman" w:eastAsia="Times New Roman" w:hint="default"/>
                <w:spacing w:val="1"/>
                <w:w w:val="99"/>
                <w:sz w:val="18"/>
                <w:szCs w:val="18"/>
              </w:rPr>
              <w:t>N</w:t>
            </w:r>
            <w:r>
              <w:rPr>
                <w:rFonts w:ascii="Times New Roman" w:hAnsi="Times New Roman" w:cs="Times New Roman" w:eastAsia="Times New Roman" w:hint="default"/>
                <w:spacing w:val="-82"/>
                <w:w w:val="99"/>
                <w:sz w:val="18"/>
                <w:szCs w:val="18"/>
              </w:rPr>
              <w:t>G</w:t>
            </w:r>
            <w:r>
              <w:rPr>
                <w:rFonts w:ascii="宋体" w:hAnsi="宋体" w:cs="宋体" w:eastAsia="宋体" w:hint="default"/>
                <w:sz w:val="18"/>
                <w:szCs w:val="18"/>
              </w:rPr>
              <w:t>（中</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文名：万晓阳）</w:t>
            </w:r>
          </w:p>
        </w:tc>
        <w:tc>
          <w:tcPr>
            <w:tcW w:w="3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57"/>
              <w:jc w:val="right"/>
              <w:rPr>
                <w:rFonts w:ascii="宋体" w:hAnsi="宋体" w:cs="宋体" w:eastAsia="宋体" w:hint="default"/>
                <w:sz w:val="18"/>
                <w:szCs w:val="18"/>
              </w:rPr>
            </w:pPr>
            <w:r>
              <w:rPr>
                <w:rFonts w:ascii="宋体" w:hAnsi="宋体" w:cs="宋体" w:eastAsia="宋体" w:hint="default"/>
                <w:sz w:val="18"/>
                <w:szCs w:val="18"/>
              </w:rPr>
              <w:t>山东朗进科技股份有限公司</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40"/>
        </w:sectPr>
      </w:pPr>
    </w:p>
    <w:p>
      <w:pPr>
        <w:spacing w:line="240" w:lineRule="auto" w:before="8"/>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1781"/>
        <w:gridCol w:w="3353"/>
        <w:gridCol w:w="1964"/>
        <w:gridCol w:w="665"/>
        <w:gridCol w:w="668"/>
        <w:gridCol w:w="1267"/>
      </w:tblGrid>
      <w:tr>
        <w:trPr>
          <w:trHeight w:val="713"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叶陈刚</w:t>
            </w:r>
          </w:p>
        </w:tc>
        <w:tc>
          <w:tcPr>
            <w:tcW w:w="3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对外经济贸易大学</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会计学与审计学教授和 博士生导师</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叶陈刚</w:t>
            </w:r>
          </w:p>
        </w:tc>
        <w:tc>
          <w:tcPr>
            <w:tcW w:w="33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远大产业控股股份有限公司（证券简称： 远大控股，证券代码：</w:t>
            </w:r>
            <w:r>
              <w:rPr>
                <w:rFonts w:ascii="Times New Roman" w:hAnsi="Times New Roman" w:cs="Times New Roman" w:eastAsia="Times New Roman" w:hint="default"/>
                <w:sz w:val="18"/>
                <w:szCs w:val="18"/>
              </w:rPr>
              <w:t>000626</w:t>
            </w:r>
            <w:r>
              <w:rPr>
                <w:rFonts w:ascii="宋体" w:hAnsi="宋体" w:cs="宋体" w:eastAsia="宋体" w:hint="default"/>
                <w:sz w:val="18"/>
                <w:szCs w:val="18"/>
              </w:rPr>
              <w:t>）</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钟晓林</w:t>
            </w:r>
          </w:p>
        </w:tc>
        <w:tc>
          <w:tcPr>
            <w:tcW w:w="3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上海华盈创投（</w:t>
            </w:r>
            <w:r>
              <w:rPr>
                <w:rFonts w:ascii="Times New Roman" w:hAnsi="Times New Roman" w:cs="Times New Roman" w:eastAsia="Times New Roman" w:hint="default"/>
                <w:sz w:val="18"/>
                <w:szCs w:val="18"/>
              </w:rPr>
              <w:t>TDF</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Capital</w:t>
            </w:r>
            <w:r>
              <w:rPr>
                <w:rFonts w:ascii="宋体" w:hAnsi="宋体" w:cs="宋体" w:eastAsia="宋体" w:hint="default"/>
                <w:sz w:val="18"/>
                <w:szCs w:val="18"/>
              </w:rPr>
              <w:t>）</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董事总经理和合伙人</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钟晓林</w:t>
            </w:r>
          </w:p>
        </w:tc>
        <w:tc>
          <w:tcPr>
            <w:tcW w:w="3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深圳图灵资产管理有限公司</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2" w:right="0"/>
              <w:jc w:val="left"/>
              <w:rPr>
                <w:rFonts w:ascii="Times New Roman" w:hAnsi="Times New Roman" w:cs="Times New Roman" w:eastAsia="Times New Roman" w:hint="default"/>
                <w:sz w:val="18"/>
                <w:szCs w:val="18"/>
              </w:rPr>
            </w:pPr>
            <w:r>
              <w:rPr>
                <w:rFonts w:ascii="Times New Roman"/>
                <w:sz w:val="18"/>
              </w:rPr>
              <w:t>/</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钟晓林</w:t>
            </w:r>
          </w:p>
        </w:tc>
        <w:tc>
          <w:tcPr>
            <w:tcW w:w="33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科通芯城集团（证券简称：科通芯城，证 券代码：</w:t>
            </w:r>
            <w:r>
              <w:rPr>
                <w:rFonts w:ascii="Times New Roman" w:hAnsi="Times New Roman" w:cs="Times New Roman" w:eastAsia="Times New Roman" w:hint="default"/>
                <w:sz w:val="18"/>
                <w:szCs w:val="18"/>
              </w:rPr>
              <w:t>00400</w:t>
            </w:r>
            <w:r>
              <w:rPr>
                <w:rFonts w:ascii="宋体" w:hAnsi="宋体" w:cs="宋体" w:eastAsia="宋体" w:hint="default"/>
                <w:sz w:val="18"/>
                <w:szCs w:val="18"/>
              </w:rPr>
              <w:t>）</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Key Ke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Liu</w:t>
            </w:r>
            <w:r>
              <w:rPr>
                <w:rFonts w:ascii="宋体" w:hAnsi="宋体" w:cs="宋体" w:eastAsia="宋体" w:hint="default"/>
                <w:sz w:val="18"/>
                <w:szCs w:val="18"/>
              </w:rPr>
              <w:t>（中文名： 刘科）</w:t>
            </w:r>
          </w:p>
        </w:tc>
        <w:tc>
          <w:tcPr>
            <w:tcW w:w="3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南方科技大学</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pacing w:val="-7"/>
                <w:sz w:val="18"/>
                <w:szCs w:val="18"/>
              </w:rPr>
              <w:t>清洁能源研究院院长、创</w:t>
            </w:r>
            <w:r>
              <w:rPr>
                <w:rFonts w:ascii="宋体" w:hAnsi="宋体" w:cs="宋体" w:eastAsia="宋体" w:hint="default"/>
                <w:sz w:val="18"/>
                <w:szCs w:val="18"/>
              </w:rPr>
              <w:t> 新创业学院执行院长</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Key Ke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Liu</w:t>
            </w:r>
            <w:r>
              <w:rPr>
                <w:rFonts w:ascii="宋体" w:hAnsi="宋体" w:cs="宋体" w:eastAsia="宋体" w:hint="default"/>
                <w:sz w:val="18"/>
                <w:szCs w:val="18"/>
              </w:rPr>
              <w:t>（中文名： 刘科）</w:t>
            </w:r>
          </w:p>
        </w:tc>
        <w:tc>
          <w:tcPr>
            <w:tcW w:w="33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宁波江丰电子材料股份有限公司（证券简 称：江丰电子，证券代码：</w:t>
            </w:r>
            <w:r>
              <w:rPr>
                <w:rFonts w:ascii="Times New Roman" w:hAnsi="Times New Roman" w:cs="Times New Roman" w:eastAsia="Times New Roman" w:hint="default"/>
                <w:sz w:val="18"/>
                <w:szCs w:val="18"/>
              </w:rPr>
              <w:t>300666</w:t>
            </w:r>
            <w:r>
              <w:rPr>
                <w:rFonts w:ascii="宋体" w:hAnsi="宋体" w:cs="宋体" w:eastAsia="宋体" w:hint="default"/>
                <w:sz w:val="18"/>
                <w:szCs w:val="18"/>
              </w:rPr>
              <w:t>）</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梅绍华</w:t>
            </w:r>
          </w:p>
        </w:tc>
        <w:tc>
          <w:tcPr>
            <w:tcW w:w="3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华中科技大学</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经济学院兼职教授</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2" w:right="0"/>
              <w:jc w:val="left"/>
              <w:rPr>
                <w:rFonts w:ascii="Times New Roman" w:hAnsi="Times New Roman" w:cs="Times New Roman" w:eastAsia="Times New Roman" w:hint="default"/>
                <w:sz w:val="18"/>
                <w:szCs w:val="18"/>
              </w:rPr>
            </w:pPr>
            <w:r>
              <w:rPr>
                <w:rFonts w:ascii="Times New Roman"/>
                <w:sz w:val="18"/>
              </w:rPr>
              <w:t>/</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梅绍华</w:t>
            </w:r>
          </w:p>
        </w:tc>
        <w:tc>
          <w:tcPr>
            <w:tcW w:w="3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中关村股权投资协会</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153"/>
        <w:jc w:val="left"/>
      </w:pPr>
      <w:r>
        <w:rPr/>
        <w:t>公司现任及报告期内离任董事、监事和高级管理人员近三年证券监管机构处罚的情况</w:t>
      </w:r>
    </w:p>
    <w:p>
      <w:pPr>
        <w:pStyle w:val="BodyText"/>
        <w:spacing w:line="240" w:lineRule="auto" w:before="115"/>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四、董事、监事、高级管理人员报酬情况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53"/>
        <w:jc w:val="left"/>
      </w:pPr>
      <w:r>
        <w:rPr/>
        <w:t>董事、监事、高级管理人员报酬的决策程序、确定依据、实际支付情况</w:t>
      </w:r>
    </w:p>
    <w:p>
      <w:pPr>
        <w:pStyle w:val="Heading4"/>
        <w:spacing w:line="240" w:lineRule="auto" w:before="115"/>
        <w:ind w:right="153"/>
        <w:jc w:val="left"/>
        <w:rPr>
          <w:b w:val="0"/>
          <w:bCs w:val="0"/>
        </w:rPr>
      </w:pPr>
      <w:r>
        <w:rPr>
          <w:rFonts w:ascii="Times New Roman" w:hAnsi="Times New Roman" w:cs="Times New Roman" w:eastAsia="Times New Roman" w:hint="default"/>
        </w:rPr>
        <w:t>1</w:t>
      </w:r>
      <w:r>
        <w:rPr/>
        <w:t>、决策程序：</w:t>
      </w:r>
      <w:r>
        <w:rPr>
          <w:b w:val="0"/>
          <w:bCs w:val="0"/>
        </w:rPr>
      </w:r>
    </w:p>
    <w:p>
      <w:pPr>
        <w:pStyle w:val="BodyText"/>
        <w:spacing w:line="240" w:lineRule="auto" w:before="63"/>
        <w:ind w:left="513" w:right="153"/>
        <w:jc w:val="left"/>
      </w:pPr>
      <w:r>
        <w:rPr/>
        <w:t>（</w:t>
      </w:r>
      <w:r>
        <w:rPr>
          <w:rFonts w:ascii="Times New Roman" w:hAnsi="Times New Roman" w:cs="Times New Roman" w:eastAsia="Times New Roman" w:hint="default"/>
        </w:rPr>
        <w:t>1</w:t>
      </w:r>
      <w:r>
        <w:rPr/>
        <w:t>）董事会薪酬与考核委员会负责拟订公司董事、监事薪酬方案及独立董事津贴方案经公司股东大会批准后实施。</w:t>
      </w:r>
    </w:p>
    <w:p>
      <w:pPr>
        <w:pStyle w:val="BodyText"/>
        <w:spacing w:line="309" w:lineRule="auto" w:before="63"/>
        <w:ind w:right="153" w:firstLine="360"/>
        <w:jc w:val="both"/>
      </w:pPr>
      <w:r>
        <w:rPr/>
        <w:t>（</w:t>
      </w:r>
      <w:r>
        <w:rPr>
          <w:rFonts w:ascii="Times New Roman" w:hAnsi="Times New Roman" w:cs="Times New Roman" w:eastAsia="Times New Roman" w:hint="default"/>
        </w:rPr>
        <w:t>2</w:t>
      </w:r>
      <w:r>
        <w:rPr/>
        <w:t>）董事会薪酬与考核委员会是确定公司高管人员薪酬方案、负责薪酬管理、考核和监督的专门机构，对于公司引进 </w:t>
      </w:r>
      <w:r>
        <w:rPr>
          <w:spacing w:val="-2"/>
        </w:rPr>
        <w:t>高管人员或对公司有杰出贡献的人员，可由总经理参考引进人员原有的薪酬水平及引进人员对公司的贡献情况另行拟订其薪</w:t>
      </w:r>
      <w:r>
        <w:rPr>
          <w:spacing w:val="-64"/>
        </w:rPr>
        <w:t> </w:t>
      </w:r>
      <w:r>
        <w:rPr>
          <w:spacing w:val="-64"/>
        </w:rPr>
      </w:r>
      <w:r>
        <w:rPr/>
        <w:t>酬方案。</w:t>
      </w:r>
    </w:p>
    <w:p>
      <w:pPr>
        <w:pStyle w:val="BodyText"/>
        <w:spacing w:line="307" w:lineRule="auto" w:before="24"/>
        <w:ind w:right="151" w:firstLine="360"/>
        <w:jc w:val="both"/>
      </w:pPr>
      <w:r>
        <w:rPr>
          <w:rFonts w:ascii="Times New Roman" w:hAnsi="Times New Roman" w:cs="Times New Roman" w:eastAsia="Times New Roman" w:hint="default"/>
          <w:b/>
          <w:bCs/>
        </w:rPr>
        <w:t>2</w:t>
      </w:r>
      <w:r>
        <w:rPr>
          <w:rFonts w:ascii="宋体" w:hAnsi="宋体" w:cs="宋体" w:eastAsia="宋体" w:hint="default"/>
          <w:b/>
          <w:bCs/>
        </w:rPr>
        <w:t>、确定依据：</w:t>
      </w:r>
      <w:r>
        <w:rPr>
          <w:rFonts w:ascii="Times New Roman" w:hAnsi="Times New Roman" w:cs="Times New Roman" w:eastAsia="Times New Roman" w:hint="default"/>
        </w:rPr>
        <w:t>2016</w:t>
      </w:r>
      <w:r>
        <w:rPr/>
        <w:t>年第二次临时股东大会审议通过的《关于确定公司第五届董事会董事、第五届监事会监事薪酬的议 </w:t>
      </w:r>
      <w:r>
        <w:rPr>
          <w:spacing w:val="-2"/>
        </w:rPr>
        <w:t>案》、</w:t>
      </w:r>
      <w:r>
        <w:rPr>
          <w:rFonts w:ascii="Times New Roman" w:hAnsi="Times New Roman" w:cs="Times New Roman" w:eastAsia="Times New Roman" w:hint="default"/>
          <w:spacing w:val="-2"/>
        </w:rPr>
        <w:t>2017</w:t>
      </w:r>
      <w:r>
        <w:rPr>
          <w:spacing w:val="-2"/>
        </w:rPr>
        <w:t>年第二次临时股东大会审议通过的《关于公司第六届董事会董事、第六届监事会监事薪酬的议案》、第五届董事</w:t>
      </w:r>
      <w:r>
        <w:rPr>
          <w:spacing w:val="-64"/>
        </w:rPr>
        <w:t> </w:t>
      </w:r>
      <w:r>
        <w:rPr>
          <w:spacing w:val="-64"/>
        </w:rPr>
      </w:r>
      <w:r>
        <w:rPr>
          <w:spacing w:val="-2"/>
        </w:rPr>
        <w:t>会第二十六次会议审议通过的《关于确定公司高级管理人员薪酬的议案》、第六届董事会第一次会议审议通过的《关于确定</w:t>
      </w:r>
      <w:r>
        <w:rPr>
          <w:spacing w:val="-64"/>
        </w:rPr>
        <w:t> </w:t>
      </w:r>
      <w:r>
        <w:rPr>
          <w:spacing w:val="-64"/>
        </w:rPr>
      </w:r>
      <w:r>
        <w:rPr/>
        <w:t>公司高级管理人员薪酬的议案》、</w:t>
      </w:r>
      <w:r>
        <w:rPr>
          <w:rFonts w:ascii="Times New Roman" w:hAnsi="Times New Roman" w:cs="Times New Roman" w:eastAsia="Times New Roman" w:hint="default"/>
        </w:rPr>
        <w:t>2015</w:t>
      </w:r>
      <w:r>
        <w:rPr/>
        <w:t>年两期股权激励计划及</w:t>
      </w:r>
      <w:r>
        <w:rPr>
          <w:rFonts w:ascii="Times New Roman" w:hAnsi="Times New Roman" w:cs="Times New Roman" w:eastAsia="Times New Roman" w:hint="default"/>
        </w:rPr>
        <w:t>2016</w:t>
      </w:r>
      <w:r>
        <w:rPr/>
        <w:t>年股权激励计划。</w:t>
      </w:r>
    </w:p>
    <w:p>
      <w:pPr>
        <w:pStyle w:val="Heading4"/>
        <w:spacing w:line="240" w:lineRule="auto" w:before="7"/>
        <w:ind w:right="153"/>
        <w:jc w:val="left"/>
        <w:rPr>
          <w:b w:val="0"/>
          <w:bCs w:val="0"/>
        </w:rPr>
      </w:pPr>
      <w:r>
        <w:rPr>
          <w:rFonts w:ascii="Times New Roman" w:hAnsi="Times New Roman" w:cs="Times New Roman" w:eastAsia="Times New Roman" w:hint="default"/>
        </w:rPr>
        <w:t>3</w:t>
      </w:r>
      <w:r>
        <w:rPr/>
        <w:t>、实际支付情况：</w:t>
      </w:r>
      <w:r>
        <w:rPr>
          <w:b w:val="0"/>
          <w:bCs w:val="0"/>
        </w:rPr>
      </w:r>
    </w:p>
    <w:p>
      <w:pPr>
        <w:pStyle w:val="BodyText"/>
        <w:spacing w:line="300" w:lineRule="auto" w:before="63"/>
        <w:ind w:right="150" w:firstLine="360"/>
        <w:jc w:val="both"/>
      </w:pPr>
      <w:r>
        <w:rPr/>
        <w:t>（</w:t>
      </w:r>
      <w:r>
        <w:rPr>
          <w:rFonts w:ascii="Times New Roman" w:hAnsi="Times New Roman" w:cs="Times New Roman" w:eastAsia="Times New Roman" w:hint="default"/>
        </w:rPr>
        <w:t>1</w:t>
      </w:r>
      <w:r>
        <w:rPr/>
        <w:t>）报告期内，董事、监事的薪酬根据</w:t>
      </w:r>
      <w:r>
        <w:rPr>
          <w:rFonts w:ascii="Times New Roman" w:hAnsi="Times New Roman" w:cs="Times New Roman" w:eastAsia="Times New Roman" w:hint="default"/>
        </w:rPr>
        <w:t>2016</w:t>
      </w:r>
      <w:r>
        <w:rPr/>
        <w:t>年第二次临时股东大会审议通过的《关于公司第五届董事会董事、第五届 </w:t>
      </w:r>
      <w:r>
        <w:rPr>
          <w:spacing w:val="-2"/>
        </w:rPr>
        <w:t>监事会监事薪酬的议案》和</w:t>
      </w:r>
      <w:r>
        <w:rPr>
          <w:rFonts w:ascii="Times New Roman" w:hAnsi="Times New Roman" w:cs="Times New Roman" w:eastAsia="Times New Roman" w:hint="default"/>
          <w:spacing w:val="-2"/>
        </w:rPr>
        <w:t>2017</w:t>
      </w:r>
      <w:r>
        <w:rPr>
          <w:spacing w:val="-2"/>
        </w:rPr>
        <w:t>年第二次临时股东大会审议通过的《关于公司第六届董事会董事、第六届监事会监事薪酬的</w:t>
      </w:r>
      <w:r>
        <w:rPr>
          <w:spacing w:val="-61"/>
        </w:rPr>
        <w:t> </w:t>
      </w:r>
      <w:r>
        <w:rPr>
          <w:spacing w:val="-61"/>
        </w:rPr>
      </w:r>
      <w:r>
        <w:rPr/>
        <w:t>议案》按月发放。</w:t>
      </w:r>
    </w:p>
    <w:p>
      <w:pPr>
        <w:pStyle w:val="BodyText"/>
        <w:spacing w:line="307" w:lineRule="auto" w:before="31"/>
        <w:ind w:right="151" w:firstLine="360"/>
        <w:jc w:val="both"/>
      </w:pPr>
      <w:r>
        <w:rPr/>
        <w:t>（</w:t>
      </w:r>
      <w:r>
        <w:rPr>
          <w:rFonts w:ascii="Times New Roman" w:hAnsi="Times New Roman" w:cs="Times New Roman" w:eastAsia="Times New Roman" w:hint="default"/>
        </w:rPr>
        <w:t>2</w:t>
      </w:r>
      <w:r>
        <w:rPr/>
        <w:t>）报告期内，公司高级管理人员的基本工资根据第五届董事会薪酬与考核委员会</w:t>
      </w:r>
      <w:r>
        <w:rPr>
          <w:rFonts w:ascii="Times New Roman" w:hAnsi="Times New Roman" w:cs="Times New Roman" w:eastAsia="Times New Roman" w:hint="default"/>
        </w:rPr>
        <w:t>2016</w:t>
      </w:r>
      <w:r>
        <w:rPr/>
        <w:t>年第二次会议和第五届董事会 </w:t>
      </w:r>
      <w:r>
        <w:rPr>
          <w:spacing w:val="-2"/>
        </w:rPr>
        <w:t>第二十六次会议审议通过的《关于确定公司高级管理人员薪酬的议案》、第六届董事会薪酬与考核委员会</w:t>
      </w:r>
      <w:r>
        <w:rPr>
          <w:rFonts w:ascii="Times New Roman" w:hAnsi="Times New Roman" w:cs="Times New Roman" w:eastAsia="Times New Roman" w:hint="default"/>
          <w:spacing w:val="-2"/>
        </w:rPr>
        <w:t>2017</w:t>
      </w:r>
      <w:r>
        <w:rPr>
          <w:spacing w:val="-2"/>
        </w:rPr>
        <w:t>年第一次会议</w:t>
      </w:r>
      <w:r>
        <w:rPr>
          <w:spacing w:val="-63"/>
        </w:rPr>
        <w:t> </w:t>
      </w:r>
      <w:r>
        <w:rPr>
          <w:spacing w:val="-63"/>
        </w:rPr>
      </w:r>
      <w:r>
        <w:rPr>
          <w:spacing w:val="-2"/>
        </w:rPr>
        <w:t>和第六届董事会第一次会议审议通过的《关于确定公司高级管理人员薪酬的议案》按月发放，绩效奖金根据《高级管理人员</w:t>
      </w:r>
      <w:r>
        <w:rPr>
          <w:spacing w:val="-64"/>
        </w:rPr>
        <w:t> </w:t>
      </w:r>
      <w:r>
        <w:rPr>
          <w:spacing w:val="-64"/>
        </w:rPr>
      </w:r>
      <w:r>
        <w:rPr/>
        <w:t>绩效考核实施细则》在年度绩效考评结束后发放。</w:t>
      </w:r>
    </w:p>
    <w:p>
      <w:pPr>
        <w:pStyle w:val="BodyText"/>
        <w:spacing w:line="300" w:lineRule="auto" w:before="26"/>
        <w:ind w:right="156" w:firstLine="360"/>
        <w:jc w:val="both"/>
      </w:pPr>
      <w:r>
        <w:rPr/>
        <w:t>（</w:t>
      </w:r>
      <w:r>
        <w:rPr>
          <w:rFonts w:ascii="Times New Roman" w:hAnsi="Times New Roman" w:cs="Times New Roman" w:eastAsia="Times New Roman" w:hint="default"/>
        </w:rPr>
        <w:t>3</w:t>
      </w:r>
      <w:r>
        <w:rPr/>
        <w:t>）报告期内，公司董事、高级管理人员的股权激励根据</w:t>
      </w:r>
      <w:r>
        <w:rPr>
          <w:rFonts w:ascii="Times New Roman" w:hAnsi="Times New Roman" w:cs="Times New Roman" w:eastAsia="Times New Roman" w:hint="default"/>
        </w:rPr>
        <w:t>2015</w:t>
      </w:r>
      <w:r>
        <w:rPr/>
        <w:t>年两期股权激励计划和</w:t>
      </w:r>
      <w:r>
        <w:rPr>
          <w:rFonts w:ascii="Times New Roman" w:hAnsi="Times New Roman" w:cs="Times New Roman" w:eastAsia="Times New Roman" w:hint="default"/>
        </w:rPr>
        <w:t>2016</w:t>
      </w:r>
      <w:r>
        <w:rPr/>
        <w:t>年股权激励计划的实施情况 和公司具体安排解除限售或行权。</w:t>
      </w:r>
    </w:p>
    <w:p>
      <w:pPr>
        <w:spacing w:after="0" w:line="300" w:lineRule="auto"/>
        <w:jc w:val="both"/>
        <w:sectPr>
          <w:pgSz w:w="11910" w:h="16840"/>
          <w:pgMar w:header="877" w:footer="979" w:top="1100" w:bottom="1160" w:left="980" w:right="980"/>
        </w:sectPr>
      </w:pPr>
    </w:p>
    <w:p>
      <w:pPr>
        <w:spacing w:line="240" w:lineRule="auto" w:before="11"/>
        <w:rPr>
          <w:rFonts w:ascii="宋体" w:hAnsi="宋体" w:cs="宋体" w:eastAsia="宋体" w:hint="default"/>
          <w:sz w:val="21"/>
          <w:szCs w:val="21"/>
        </w:rPr>
      </w:pPr>
    </w:p>
    <w:p>
      <w:pPr>
        <w:pStyle w:val="BodyText"/>
        <w:spacing w:line="240" w:lineRule="auto" w:before="44"/>
        <w:ind w:right="153"/>
        <w:jc w:val="left"/>
      </w:pPr>
      <w:r>
        <w:rPr/>
        <w:t>公司报告期内董事、监事和高级管理人员报酬情况</w:t>
      </w:r>
    </w:p>
    <w:p>
      <w:pPr>
        <w:pStyle w:val="BodyText"/>
        <w:spacing w:line="240" w:lineRule="auto" w:before="117"/>
        <w:ind w:left="0" w:right="151"/>
        <w:jc w:val="right"/>
      </w:pPr>
      <w:r>
        <w:rPr/>
        <w:t>单位：万元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006"/>
        <w:gridCol w:w="2268"/>
        <w:gridCol w:w="569"/>
        <w:gridCol w:w="566"/>
        <w:gridCol w:w="852"/>
        <w:gridCol w:w="1275"/>
        <w:gridCol w:w="1162"/>
      </w:tblGrid>
      <w:tr>
        <w:trPr>
          <w:trHeight w:val="715"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89"/>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5"/>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401" w:hRule="exact"/>
        </w:trPr>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汪超涌</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张晶</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徐海啸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董事长、总裁、财务总监</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沈晓超</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3006" w:type="dxa"/>
            <w:tcBorders>
              <w:top w:val="single" w:sz="4" w:space="0" w:color="000000"/>
              <w:left w:val="single" w:sz="4" w:space="0" w:color="000000"/>
              <w:bottom w:val="single" w:sz="4" w:space="0" w:color="000000"/>
              <w:right w:val="single" w:sz="14" w:space="0" w:color="FFFFFF"/>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WAN </w:t>
            </w:r>
            <w:r>
              <w:rPr>
                <w:rFonts w:ascii="Times New Roman" w:hAnsi="Times New Roman" w:cs="Times New Roman" w:eastAsia="Times New Roman" w:hint="default"/>
                <w:sz w:val="18"/>
                <w:szCs w:val="18"/>
              </w:rPr>
              <w:t>XIAO</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4"/>
                <w:sz w:val="18"/>
                <w:szCs w:val="18"/>
              </w:rPr>
              <w:t>YANG</w:t>
            </w:r>
            <w:r>
              <w:rPr>
                <w:rFonts w:ascii="宋体" w:hAnsi="宋体" w:cs="宋体" w:eastAsia="宋体" w:hint="default"/>
                <w:spacing w:val="-4"/>
                <w:sz w:val="18"/>
                <w:szCs w:val="18"/>
              </w:rPr>
              <w:t>（中文名：万晓阳</w:t>
            </w:r>
          </w:p>
        </w:tc>
        <w:tc>
          <w:tcPr>
            <w:tcW w:w="2268" w:type="dxa"/>
            <w:tcBorders>
              <w:top w:val="single" w:sz="4" w:space="0" w:color="000000"/>
              <w:left w:val="single" w:sz="14" w:space="0" w:color="FFFFFF"/>
              <w:bottom w:val="single" w:sz="4" w:space="0" w:color="000000"/>
              <w:right w:val="single" w:sz="4" w:space="0" w:color="000000"/>
            </w:tcBorders>
          </w:tcPr>
          <w:p>
            <w:pPr>
              <w:pStyle w:val="TableParagraph"/>
              <w:spacing w:line="240" w:lineRule="auto" w:before="49"/>
              <w:ind w:left="-106" w:right="0"/>
              <w:jc w:val="left"/>
              <w:rPr>
                <w:rFonts w:ascii="宋体" w:hAnsi="宋体" w:cs="宋体" w:eastAsia="宋体" w:hint="default"/>
                <w:sz w:val="18"/>
                <w:szCs w:val="18"/>
              </w:rPr>
            </w:pPr>
            <w:r>
              <w:rPr>
                <w:rFonts w:ascii="宋体" w:hAnsi="宋体" w:cs="宋体" w:eastAsia="宋体" w:hint="default"/>
                <w:spacing w:val="-21"/>
                <w:sz w:val="18"/>
                <w:szCs w:val="18"/>
              </w:rPr>
              <w:t>）董事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叶陈刚</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钟晓林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Key Ke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Liu</w:t>
            </w:r>
            <w:r>
              <w:rPr>
                <w:rFonts w:ascii="宋体" w:hAnsi="宋体" w:cs="宋体" w:eastAsia="宋体" w:hint="default"/>
                <w:sz w:val="18"/>
                <w:szCs w:val="18"/>
              </w:rPr>
              <w:t>（中文名：刘科）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梅绍华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于奔</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10.68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夏云飞</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温秋萍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32.73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方莉</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w w:val="95"/>
                <w:sz w:val="18"/>
              </w:rPr>
              <w:t>111.89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刘扬</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董事会秘书、副总裁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90.36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迟永军</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76.01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970.73</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980"/>
        </w:sectPr>
      </w:pPr>
    </w:p>
    <w:p>
      <w:pPr>
        <w:pStyle w:val="BodyText"/>
        <w:spacing w:line="240" w:lineRule="auto" w:before="49"/>
        <w:ind w:right="-20"/>
        <w:jc w:val="left"/>
      </w:pPr>
      <w:r>
        <w:rPr/>
        <w:t>公司董事、高级管理人员报告期内被授予的股权激励情况</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单位：股</w:t>
      </w:r>
    </w:p>
    <w:p>
      <w:pPr>
        <w:spacing w:after="0" w:line="240" w:lineRule="auto"/>
        <w:jc w:val="left"/>
        <w:sectPr>
          <w:type w:val="continuous"/>
          <w:pgSz w:w="11910" w:h="16840"/>
          <w:pgMar w:top="1060" w:bottom="1160" w:left="980" w:right="980"/>
          <w:cols w:num="2" w:equalWidth="0">
            <w:col w:w="4653" w:space="4267"/>
            <w:col w:w="1030"/>
          </w:cols>
        </w:sectPr>
      </w:pPr>
    </w:p>
    <w:p>
      <w:pPr>
        <w:spacing w:line="240" w:lineRule="auto" w:before="4"/>
        <w:rPr>
          <w:rFonts w:ascii="宋体" w:hAnsi="宋体" w:cs="宋体" w:eastAsia="宋体" w:hint="default"/>
          <w:sz w:val="8"/>
          <w:szCs w:val="8"/>
        </w:rPr>
      </w:pPr>
      <w:r>
        <w:rPr/>
        <w:pict>
          <v:group style="position:absolute;margin-left:207.050003pt;margin-top:243.865982pt;width:110.55pt;height:19.75pt;mso-position-horizontal-relative:page;mso-position-vertical-relative:page;z-index:-1104496" coordorigin="4141,4877" coordsize="2211,395">
            <v:shape style="position:absolute;left:4141;top:4877;width:2211;height:395" coordorigin="4141,4877" coordsize="2211,395" path="m4141,5271l6352,5271,6352,4877,4141,4877,4141,5271xe" filled="true" fillcolor="#ffffff" stroked="false">
              <v:path arrowok="t"/>
              <v:fill type="solid"/>
            </v:shape>
            <w10:wrap type="none"/>
          </v:group>
        </w:pict>
      </w:r>
    </w:p>
    <w:tbl>
      <w:tblPr>
        <w:tblW w:w="0" w:type="auto"/>
        <w:jc w:val="left"/>
        <w:tblInd w:w="119" w:type="dxa"/>
        <w:tblLayout w:type="fixed"/>
        <w:tblCellMar>
          <w:top w:w="0" w:type="dxa"/>
          <w:left w:w="0" w:type="dxa"/>
          <w:bottom w:w="0" w:type="dxa"/>
          <w:right w:w="0" w:type="dxa"/>
        </w:tblCellMar>
        <w:tblLook w:val="01E0"/>
      </w:tblPr>
      <w:tblGrid>
        <w:gridCol w:w="1306"/>
        <w:gridCol w:w="1027"/>
        <w:gridCol w:w="533"/>
        <w:gridCol w:w="533"/>
        <w:gridCol w:w="982"/>
        <w:gridCol w:w="761"/>
        <w:gridCol w:w="1109"/>
        <w:gridCol w:w="785"/>
        <w:gridCol w:w="650"/>
        <w:gridCol w:w="903"/>
        <w:gridCol w:w="1109"/>
      </w:tblGrid>
      <w:tr>
        <w:trPr>
          <w:trHeight w:val="165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81" w:right="80"/>
              <w:jc w:val="both"/>
              <w:rPr>
                <w:rFonts w:ascii="宋体" w:hAnsi="宋体" w:cs="宋体" w:eastAsia="宋体" w:hint="default"/>
                <w:sz w:val="18"/>
                <w:szCs w:val="18"/>
              </w:rPr>
            </w:pPr>
            <w:r>
              <w:rPr>
                <w:rFonts w:ascii="宋体" w:hAnsi="宋体" w:cs="宋体" w:eastAsia="宋体" w:hint="default"/>
                <w:sz w:val="18"/>
                <w:szCs w:val="18"/>
              </w:rPr>
              <w:t>报告 期内 可行 权股 数</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81" w:right="79"/>
              <w:jc w:val="both"/>
              <w:rPr>
                <w:rFonts w:ascii="宋体" w:hAnsi="宋体" w:cs="宋体" w:eastAsia="宋体" w:hint="default"/>
                <w:sz w:val="18"/>
                <w:szCs w:val="18"/>
              </w:rPr>
            </w:pPr>
            <w:r>
              <w:rPr>
                <w:rFonts w:ascii="宋体" w:hAnsi="宋体" w:cs="宋体" w:eastAsia="宋体" w:hint="default"/>
                <w:sz w:val="18"/>
                <w:szCs w:val="18"/>
              </w:rPr>
              <w:t>报告 期内 已行 权股 数</w:t>
            </w:r>
          </w:p>
        </w:tc>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23" w:right="21" w:hanging="2"/>
              <w:jc w:val="center"/>
              <w:rPr>
                <w:rFonts w:ascii="宋体" w:hAnsi="宋体" w:cs="宋体" w:eastAsia="宋体" w:hint="default"/>
                <w:sz w:val="18"/>
                <w:szCs w:val="18"/>
              </w:rPr>
            </w:pPr>
            <w:r>
              <w:rPr>
                <w:rFonts w:ascii="宋体" w:hAnsi="宋体" w:cs="宋体" w:eastAsia="宋体" w:hint="default"/>
                <w:sz w:val="18"/>
                <w:szCs w:val="18"/>
              </w:rPr>
              <w:t>报告期内已 行权股数行 </w:t>
            </w:r>
            <w:r>
              <w:rPr>
                <w:rFonts w:ascii="宋体" w:hAnsi="宋体" w:cs="宋体" w:eastAsia="宋体" w:hint="default"/>
                <w:spacing w:val="-5"/>
                <w:sz w:val="18"/>
                <w:szCs w:val="18"/>
              </w:rPr>
              <w:t>权价格（元</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105" w:right="103"/>
              <w:jc w:val="left"/>
              <w:rPr>
                <w:rFonts w:ascii="宋体" w:hAnsi="宋体" w:cs="宋体" w:eastAsia="宋体" w:hint="default"/>
                <w:sz w:val="18"/>
                <w:szCs w:val="18"/>
              </w:rPr>
            </w:pPr>
            <w:r>
              <w:rPr>
                <w:rFonts w:ascii="宋体" w:hAnsi="宋体" w:cs="宋体" w:eastAsia="宋体" w:hint="default"/>
                <w:sz w:val="18"/>
                <w:szCs w:val="18"/>
              </w:rPr>
              <w:t>报告期 末市价</w:t>
            </w:r>
          </w:p>
          <w:p>
            <w:pPr>
              <w:pStyle w:val="TableParagraph"/>
              <w:spacing w:line="240" w:lineRule="auto" w:before="17"/>
              <w:ind w:left="23"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101" w:right="96"/>
              <w:jc w:val="left"/>
              <w:rPr>
                <w:rFonts w:ascii="宋体" w:hAnsi="宋体" w:cs="宋体" w:eastAsia="宋体" w:hint="default"/>
                <w:sz w:val="18"/>
                <w:szCs w:val="18"/>
              </w:rPr>
            </w:pPr>
            <w:r>
              <w:rPr>
                <w:rFonts w:ascii="宋体" w:hAnsi="宋体" w:cs="宋体" w:eastAsia="宋体" w:hint="default"/>
                <w:sz w:val="18"/>
                <w:szCs w:val="18"/>
              </w:rPr>
              <w:t>期初持有限 制性股票数</w:t>
            </w:r>
          </w:p>
          <w:p>
            <w:pPr>
              <w:pStyle w:val="TableParagraph"/>
              <w:tabs>
                <w:tab w:pos="461" w:val="left" w:leader="none"/>
              </w:tabs>
              <w:spacing w:line="240" w:lineRule="auto" w:before="17"/>
              <w:ind w:left="-147" w:right="0"/>
              <w:jc w:val="left"/>
              <w:rPr>
                <w:rFonts w:ascii="宋体" w:hAnsi="宋体" w:cs="宋体" w:eastAsia="宋体" w:hint="default"/>
                <w:sz w:val="18"/>
                <w:szCs w:val="18"/>
              </w:rPr>
            </w:pPr>
            <w:r>
              <w:rPr>
                <w:rFonts w:ascii="宋体" w:hAnsi="宋体" w:cs="宋体" w:eastAsia="宋体" w:hint="default"/>
                <w:sz w:val="18"/>
                <w:szCs w:val="18"/>
              </w:rPr>
              <w:t>）</w:t>
              <w:tab/>
              <w:t>量</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8" w:right="24"/>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0" w:right="48"/>
              <w:jc w:val="center"/>
              <w:rPr>
                <w:rFonts w:ascii="宋体" w:hAnsi="宋体" w:cs="宋体" w:eastAsia="宋体" w:hint="default"/>
                <w:sz w:val="18"/>
                <w:szCs w:val="18"/>
              </w:rPr>
            </w:pPr>
            <w:r>
              <w:rPr>
                <w:rFonts w:ascii="宋体" w:hAnsi="宋体" w:cs="宋体" w:eastAsia="宋体" w:hint="default"/>
                <w:sz w:val="18"/>
                <w:szCs w:val="18"/>
              </w:rPr>
              <w:t>报告期 新授予 限制性 股票数 量</w:t>
            </w:r>
          </w:p>
        </w:tc>
        <w:tc>
          <w:tcPr>
            <w:tcW w:w="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64" w:right="57" w:hanging="2"/>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98" w:right="98"/>
              <w:jc w:val="center"/>
              <w:rPr>
                <w:rFonts w:ascii="宋体" w:hAnsi="宋体" w:cs="宋体" w:eastAsia="宋体" w:hint="default"/>
                <w:sz w:val="18"/>
                <w:szCs w:val="18"/>
              </w:rPr>
            </w:pPr>
            <w:r>
              <w:rPr>
                <w:rFonts w:ascii="宋体" w:hAnsi="宋体" w:cs="宋体" w:eastAsia="宋体" w:hint="default"/>
                <w:sz w:val="18"/>
                <w:szCs w:val="18"/>
              </w:rPr>
              <w:t>期末持有限 制性股票数 量</w:t>
            </w:r>
          </w:p>
        </w:tc>
      </w:tr>
      <w:tr>
        <w:trPr>
          <w:trHeight w:val="354" w:hRule="exact"/>
        </w:trPr>
        <w:tc>
          <w:tcPr>
            <w:tcW w:w="1306" w:type="dxa"/>
            <w:tcBorders>
              <w:top w:val="single" w:sz="4" w:space="0" w:color="000000"/>
              <w:left w:val="single" w:sz="4" w:space="0" w:color="000000"/>
              <w:bottom w:val="nil" w:sz="6" w:space="0" w:color="auto"/>
              <w:right w:val="single" w:sz="4" w:space="0" w:color="000000"/>
            </w:tcBorders>
          </w:tcPr>
          <w:p>
            <w:pPr/>
          </w:p>
        </w:tc>
        <w:tc>
          <w:tcPr>
            <w:tcW w:w="10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董事长、总</w:t>
            </w:r>
          </w:p>
        </w:tc>
        <w:tc>
          <w:tcPr>
            <w:tcW w:w="533" w:type="dxa"/>
            <w:tcBorders>
              <w:top w:val="single" w:sz="4" w:space="0" w:color="000000"/>
              <w:left w:val="single" w:sz="4" w:space="0" w:color="000000"/>
              <w:bottom w:val="nil" w:sz="6" w:space="0" w:color="auto"/>
              <w:right w:val="single" w:sz="4" w:space="0" w:color="000000"/>
            </w:tcBorders>
          </w:tcPr>
          <w:p>
            <w:pPr/>
          </w:p>
        </w:tc>
        <w:tc>
          <w:tcPr>
            <w:tcW w:w="533" w:type="dxa"/>
            <w:tcBorders>
              <w:top w:val="single" w:sz="4" w:space="0" w:color="000000"/>
              <w:left w:val="single" w:sz="4" w:space="0" w:color="000000"/>
              <w:bottom w:val="nil" w:sz="6" w:space="0" w:color="auto"/>
              <w:right w:val="single" w:sz="4" w:space="0" w:color="000000"/>
            </w:tcBorders>
          </w:tcPr>
          <w:p>
            <w:pPr/>
          </w:p>
        </w:tc>
        <w:tc>
          <w:tcPr>
            <w:tcW w:w="982" w:type="dxa"/>
            <w:tcBorders>
              <w:top w:val="single" w:sz="4" w:space="0" w:color="000000"/>
              <w:left w:val="single" w:sz="4" w:space="0" w:color="000000"/>
              <w:bottom w:val="nil" w:sz="6" w:space="0" w:color="auto"/>
              <w:right w:val="single" w:sz="4" w:space="0" w:color="000000"/>
            </w:tcBorders>
          </w:tcPr>
          <w:p>
            <w:pPr/>
          </w:p>
        </w:tc>
        <w:tc>
          <w:tcPr>
            <w:tcW w:w="761" w:type="dxa"/>
            <w:tcBorders>
              <w:top w:val="single" w:sz="4" w:space="0" w:color="000000"/>
              <w:left w:val="single" w:sz="4" w:space="0" w:color="000000"/>
              <w:bottom w:val="nil" w:sz="6" w:space="0" w:color="auto"/>
              <w:right w:val="single" w:sz="4" w:space="0" w:color="000000"/>
            </w:tcBorders>
          </w:tcPr>
          <w:p>
            <w:pPr/>
          </w:p>
        </w:tc>
        <w:tc>
          <w:tcPr>
            <w:tcW w:w="1109" w:type="dxa"/>
            <w:tcBorders>
              <w:top w:val="single" w:sz="4" w:space="0" w:color="000000"/>
              <w:left w:val="single" w:sz="4" w:space="0" w:color="000000"/>
              <w:bottom w:val="nil" w:sz="6" w:space="0" w:color="auto"/>
              <w:right w:val="single" w:sz="4" w:space="0" w:color="000000"/>
            </w:tcBorders>
          </w:tcPr>
          <w:p>
            <w:pPr/>
          </w:p>
        </w:tc>
        <w:tc>
          <w:tcPr>
            <w:tcW w:w="785" w:type="dxa"/>
            <w:tcBorders>
              <w:top w:val="single" w:sz="4" w:space="0" w:color="000000"/>
              <w:left w:val="single" w:sz="4" w:space="0" w:color="000000"/>
              <w:bottom w:val="nil" w:sz="6" w:space="0" w:color="auto"/>
              <w:right w:val="single" w:sz="4" w:space="0" w:color="000000"/>
            </w:tcBorders>
          </w:tcPr>
          <w:p>
            <w:pPr/>
          </w:p>
        </w:tc>
        <w:tc>
          <w:tcPr>
            <w:tcW w:w="650" w:type="dxa"/>
            <w:tcBorders>
              <w:top w:val="single" w:sz="4" w:space="0" w:color="000000"/>
              <w:left w:val="single" w:sz="4" w:space="0" w:color="000000"/>
              <w:bottom w:val="nil" w:sz="6" w:space="0" w:color="auto"/>
              <w:right w:val="single" w:sz="4" w:space="0" w:color="000000"/>
            </w:tcBorders>
          </w:tcPr>
          <w:p>
            <w:pPr/>
          </w:p>
        </w:tc>
        <w:tc>
          <w:tcPr>
            <w:tcW w:w="903" w:type="dxa"/>
            <w:tcBorders>
              <w:top w:val="single" w:sz="4" w:space="0" w:color="000000"/>
              <w:left w:val="single" w:sz="4" w:space="0" w:color="000000"/>
              <w:bottom w:val="nil" w:sz="6" w:space="0" w:color="auto"/>
              <w:right w:val="single" w:sz="4" w:space="0" w:color="000000"/>
            </w:tcBorders>
          </w:tcPr>
          <w:p>
            <w:pPr/>
          </w:p>
        </w:tc>
        <w:tc>
          <w:tcPr>
            <w:tcW w:w="1109"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30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徐海啸</w:t>
            </w: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裁、财务总</w:t>
            </w:r>
          </w:p>
        </w:tc>
        <w:tc>
          <w:tcPr>
            <w:tcW w:w="533"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z w:val="18"/>
              </w:rPr>
              <w:t>0</w:t>
            </w:r>
          </w:p>
        </w:tc>
        <w:tc>
          <w:tcPr>
            <w:tcW w:w="761"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z w:val="18"/>
              </w:rPr>
              <w:t>13.76</w:t>
            </w: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785"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z w:val="18"/>
              </w:rPr>
              <w:t>0</w:t>
            </w:r>
          </w:p>
        </w:tc>
        <w:tc>
          <w:tcPr>
            <w:tcW w:w="650"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z w:val="18"/>
              </w:rPr>
              <w:t>0</w:t>
            </w:r>
          </w:p>
        </w:tc>
        <w:tc>
          <w:tcPr>
            <w:tcW w:w="903"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6"/>
              <w:jc w:val="right"/>
              <w:rPr>
                <w:rFonts w:ascii="Times New Roman" w:hAnsi="Times New Roman" w:cs="Times New Roman" w:eastAsia="Times New Roman" w:hint="default"/>
                <w:sz w:val="18"/>
                <w:szCs w:val="18"/>
              </w:rPr>
            </w:pPr>
            <w:r>
              <w:rPr>
                <w:rFonts w:ascii="Times New Roman"/>
                <w:spacing w:val="-1"/>
                <w:sz w:val="18"/>
              </w:rPr>
              <w:t>7.44</w:t>
            </w: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354" w:hRule="exact"/>
        </w:trPr>
        <w:tc>
          <w:tcPr>
            <w:tcW w:w="1306" w:type="dxa"/>
            <w:tcBorders>
              <w:top w:val="nil" w:sz="6" w:space="0" w:color="auto"/>
              <w:left w:val="single" w:sz="4" w:space="0" w:color="000000"/>
              <w:bottom w:val="single" w:sz="4" w:space="0" w:color="000000"/>
              <w:right w:val="single" w:sz="4" w:space="0" w:color="000000"/>
            </w:tcBorders>
          </w:tcPr>
          <w:p>
            <w:pPr/>
          </w:p>
        </w:tc>
        <w:tc>
          <w:tcPr>
            <w:tcW w:w="10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监</w:t>
            </w:r>
          </w:p>
        </w:tc>
        <w:tc>
          <w:tcPr>
            <w:tcW w:w="533" w:type="dxa"/>
            <w:tcBorders>
              <w:top w:val="nil" w:sz="6" w:space="0" w:color="auto"/>
              <w:left w:val="single" w:sz="4" w:space="0" w:color="000000"/>
              <w:bottom w:val="single" w:sz="4" w:space="0" w:color="000000"/>
              <w:right w:val="single" w:sz="4" w:space="0" w:color="000000"/>
            </w:tcBorders>
          </w:tcPr>
          <w:p>
            <w:pPr/>
          </w:p>
        </w:tc>
        <w:tc>
          <w:tcPr>
            <w:tcW w:w="533" w:type="dxa"/>
            <w:tcBorders>
              <w:top w:val="nil" w:sz="6" w:space="0" w:color="auto"/>
              <w:left w:val="single" w:sz="4" w:space="0" w:color="000000"/>
              <w:bottom w:val="single" w:sz="4" w:space="0" w:color="000000"/>
              <w:right w:val="single" w:sz="4" w:space="0" w:color="000000"/>
            </w:tcBorders>
          </w:tcPr>
          <w:p>
            <w:pPr/>
          </w:p>
        </w:tc>
        <w:tc>
          <w:tcPr>
            <w:tcW w:w="982" w:type="dxa"/>
            <w:tcBorders>
              <w:top w:val="nil" w:sz="6" w:space="0" w:color="auto"/>
              <w:left w:val="single" w:sz="4" w:space="0" w:color="000000"/>
              <w:bottom w:val="single" w:sz="4" w:space="0" w:color="000000"/>
              <w:right w:val="single" w:sz="4" w:space="0" w:color="000000"/>
            </w:tcBorders>
          </w:tcPr>
          <w:p>
            <w:pPr/>
          </w:p>
        </w:tc>
        <w:tc>
          <w:tcPr>
            <w:tcW w:w="761" w:type="dxa"/>
            <w:tcBorders>
              <w:top w:val="nil" w:sz="6" w:space="0" w:color="auto"/>
              <w:left w:val="single" w:sz="4" w:space="0" w:color="000000"/>
              <w:bottom w:val="single" w:sz="4" w:space="0" w:color="000000"/>
              <w:right w:val="single" w:sz="4" w:space="0" w:color="000000"/>
            </w:tcBorders>
          </w:tcPr>
          <w:p>
            <w:pPr/>
          </w:p>
        </w:tc>
        <w:tc>
          <w:tcPr>
            <w:tcW w:w="1109" w:type="dxa"/>
            <w:tcBorders>
              <w:top w:val="nil" w:sz="6" w:space="0" w:color="auto"/>
              <w:left w:val="single" w:sz="4" w:space="0" w:color="000000"/>
              <w:bottom w:val="single" w:sz="4" w:space="0" w:color="000000"/>
              <w:right w:val="single" w:sz="4" w:space="0" w:color="000000"/>
            </w:tcBorders>
          </w:tcPr>
          <w:p>
            <w:pPr/>
          </w:p>
        </w:tc>
        <w:tc>
          <w:tcPr>
            <w:tcW w:w="785" w:type="dxa"/>
            <w:tcBorders>
              <w:top w:val="nil" w:sz="6" w:space="0" w:color="auto"/>
              <w:left w:val="single" w:sz="4" w:space="0" w:color="000000"/>
              <w:bottom w:val="single" w:sz="4" w:space="0" w:color="000000"/>
              <w:right w:val="single" w:sz="4" w:space="0" w:color="000000"/>
            </w:tcBorders>
          </w:tcPr>
          <w:p>
            <w:pPr/>
          </w:p>
        </w:tc>
        <w:tc>
          <w:tcPr>
            <w:tcW w:w="650" w:type="dxa"/>
            <w:tcBorders>
              <w:top w:val="nil" w:sz="6" w:space="0" w:color="auto"/>
              <w:left w:val="single" w:sz="4" w:space="0" w:color="000000"/>
              <w:bottom w:val="single" w:sz="4" w:space="0" w:color="000000"/>
              <w:right w:val="single" w:sz="4" w:space="0" w:color="000000"/>
            </w:tcBorders>
          </w:tcPr>
          <w:p>
            <w:pPr/>
          </w:p>
        </w:tc>
        <w:tc>
          <w:tcPr>
            <w:tcW w:w="903" w:type="dxa"/>
            <w:tcBorders>
              <w:top w:val="nil" w:sz="6" w:space="0" w:color="auto"/>
              <w:left w:val="single" w:sz="4" w:space="0" w:color="000000"/>
              <w:bottom w:val="single" w:sz="4" w:space="0" w:color="000000"/>
              <w:right w:val="single" w:sz="4" w:space="0" w:color="000000"/>
            </w:tcBorders>
          </w:tcPr>
          <w:p>
            <w:pPr/>
          </w:p>
        </w:tc>
        <w:tc>
          <w:tcPr>
            <w:tcW w:w="1109"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沈晓超</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7.44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5,200,000</w:t>
            </w:r>
          </w:p>
        </w:tc>
      </w:tr>
      <w:tr>
        <w:trPr>
          <w:trHeight w:val="71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张晶</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91"/>
              <w:jc w:val="left"/>
              <w:rPr>
                <w:rFonts w:ascii="宋体" w:hAnsi="宋体" w:cs="宋体" w:eastAsia="宋体" w:hint="default"/>
                <w:sz w:val="18"/>
                <w:szCs w:val="18"/>
              </w:rPr>
            </w:pPr>
            <w:r>
              <w:rPr>
                <w:rFonts w:ascii="宋体" w:hAnsi="宋体" w:cs="宋体" w:eastAsia="宋体" w:hint="default"/>
                <w:sz w:val="18"/>
                <w:szCs w:val="18"/>
              </w:rPr>
              <w:t>董事、副总 裁</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7.44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w:t>
            </w:r>
          </w:p>
        </w:tc>
      </w:tr>
      <w:tr>
        <w:trPr>
          <w:trHeight w:val="40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陈丹</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7.44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8"/>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1306"/>
        <w:gridCol w:w="1027"/>
        <w:gridCol w:w="533"/>
        <w:gridCol w:w="533"/>
        <w:gridCol w:w="982"/>
        <w:gridCol w:w="761"/>
        <w:gridCol w:w="1109"/>
        <w:gridCol w:w="785"/>
        <w:gridCol w:w="650"/>
        <w:gridCol w:w="903"/>
        <w:gridCol w:w="1109"/>
      </w:tblGrid>
      <w:tr>
        <w:trPr>
          <w:trHeight w:val="1025"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91"/>
              <w:ind w:left="24" w:right="83"/>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WAN</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3"/>
                <w:sz w:val="18"/>
                <w:szCs w:val="18"/>
              </w:rPr>
              <w:t>XIAOYANG(</w:t>
            </w:r>
            <w:r>
              <w:rPr>
                <w:rFonts w:ascii="宋体" w:hAnsi="宋体" w:cs="宋体" w:eastAsia="宋体" w:hint="default"/>
                <w:spacing w:val="-3"/>
                <w:sz w:val="18"/>
                <w:szCs w:val="18"/>
              </w:rPr>
              <w:t>中</w:t>
            </w:r>
          </w:p>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文名：万晓阳</w:t>
            </w:r>
            <w:r>
              <w:rPr>
                <w:rFonts w:ascii="Times New Roman" w:hAnsi="Times New Roman" w:cs="Times New Roman" w:eastAsia="Times New Roman" w:hint="default"/>
                <w:sz w:val="18"/>
                <w:szCs w:val="18"/>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13.76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7.44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2,900,000</w:t>
            </w: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93"/>
              <w:ind w:left="24" w:right="83"/>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WAN</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3"/>
                <w:sz w:val="18"/>
                <w:szCs w:val="18"/>
              </w:rPr>
              <w:t>XIAOYANG(</w:t>
            </w:r>
            <w:r>
              <w:rPr>
                <w:rFonts w:ascii="宋体" w:hAnsi="宋体" w:cs="宋体" w:eastAsia="宋体" w:hint="default"/>
                <w:spacing w:val="-3"/>
                <w:sz w:val="18"/>
                <w:szCs w:val="18"/>
              </w:rPr>
              <w:t>中</w:t>
            </w:r>
          </w:p>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文名：万晓阳</w:t>
            </w:r>
            <w:r>
              <w:rPr>
                <w:rFonts w:ascii="Times New Roman" w:hAnsi="Times New Roman" w:cs="Times New Roman" w:eastAsia="Times New Roman" w:hint="default"/>
                <w:sz w:val="18"/>
                <w:szCs w:val="18"/>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13.76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7.49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1,600,000</w:t>
            </w:r>
          </w:p>
        </w:tc>
      </w:tr>
      <w:tr>
        <w:trPr>
          <w:trHeight w:val="401"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方莉</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1" w:right="0"/>
              <w:jc w:val="left"/>
              <w:rPr>
                <w:rFonts w:ascii="Times New Roman" w:hAnsi="Times New Roman" w:cs="Times New Roman" w:eastAsia="Times New Roman" w:hint="default"/>
                <w:sz w:val="18"/>
                <w:szCs w:val="18"/>
              </w:rPr>
            </w:pPr>
            <w:r>
              <w:rPr>
                <w:rFonts w:ascii="Times New Roman"/>
                <w:sz w:val="18"/>
              </w:rPr>
              <w:t>13.76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560,000</w:t>
            </w: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方莉</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21" w:right="0"/>
              <w:jc w:val="left"/>
              <w:rPr>
                <w:rFonts w:ascii="Times New Roman" w:hAnsi="Times New Roman" w:cs="Times New Roman" w:eastAsia="Times New Roman" w:hint="default"/>
                <w:sz w:val="18"/>
                <w:szCs w:val="18"/>
              </w:rPr>
            </w:pPr>
            <w:r>
              <w:rPr>
                <w:rFonts w:ascii="Times New Roman"/>
                <w:sz w:val="18"/>
              </w:rPr>
              <w:t>13.76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75,000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6.24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175,000</w:t>
            </w:r>
          </w:p>
        </w:tc>
      </w:tr>
      <w:tr>
        <w:trPr>
          <w:trHeight w:val="401"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迟永军</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1" w:right="0"/>
              <w:jc w:val="left"/>
              <w:rPr>
                <w:rFonts w:ascii="Times New Roman" w:hAnsi="Times New Roman" w:cs="Times New Roman" w:eastAsia="Times New Roman" w:hint="default"/>
                <w:sz w:val="18"/>
                <w:szCs w:val="18"/>
              </w:rPr>
            </w:pPr>
            <w:r>
              <w:rPr>
                <w:rFonts w:ascii="Times New Roman"/>
                <w:sz w:val="18"/>
              </w:rPr>
              <w:t>13.76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490,000</w:t>
            </w:r>
          </w:p>
        </w:tc>
      </w:tr>
      <w:tr>
        <w:trPr>
          <w:trHeight w:val="40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4"/>
              <w:ind w:right="13"/>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314" w:right="0"/>
              <w:jc w:val="left"/>
              <w:rPr>
                <w:rFonts w:ascii="Times New Roman" w:hAnsi="Times New Roman" w:cs="Times New Roman" w:eastAsia="Times New Roman" w:hint="default"/>
                <w:sz w:val="18"/>
                <w:szCs w:val="18"/>
              </w:rPr>
            </w:pPr>
            <w:r>
              <w:rPr>
                <w:rFonts w:ascii="Times New Roman"/>
                <w:sz w:val="18"/>
              </w:rPr>
              <w:t>--</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26,000,000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75,000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5" w:right="0"/>
              <w:jc w:val="center"/>
              <w:rPr>
                <w:rFonts w:ascii="Times New Roman" w:hAnsi="Times New Roman" w:cs="Times New Roman" w:eastAsia="Times New Roman" w:hint="default"/>
                <w:sz w:val="18"/>
                <w:szCs w:val="18"/>
              </w:rPr>
            </w:pPr>
            <w:r>
              <w:rPr>
                <w:rFonts w:ascii="Times New Roman"/>
                <w:sz w:val="18"/>
              </w:rPr>
              <w:t>--</w:t>
            </w:r>
          </w:p>
        </w:tc>
        <w:tc>
          <w:tcPr>
            <w:tcW w:w="11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25,925,000</w:t>
            </w:r>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5"/>
        <w:gridCol w:w="4794"/>
      </w:tblGrid>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430</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904</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904</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402</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904</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硕士以上</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284</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w:t>
            </w:r>
          </w:p>
        </w:tc>
      </w:tr>
      <w:tr>
        <w:trPr>
          <w:trHeight w:val="404"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2"/>
        <w:rPr>
          <w:rFonts w:ascii="宋体" w:hAnsi="宋体" w:cs="宋体" w:eastAsia="宋体" w:hint="default"/>
          <w:b/>
          <w:bCs/>
          <w:sz w:val="20"/>
          <w:szCs w:val="20"/>
        </w:rPr>
      </w:pPr>
    </w:p>
    <w:p>
      <w:pPr>
        <w:pStyle w:val="Heading3"/>
        <w:spacing w:line="240" w:lineRule="auto" w:before="36"/>
        <w:ind w:right="94"/>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firstLine="360"/>
        <w:jc w:val="left"/>
      </w:pPr>
      <w:r>
        <w:rPr>
          <w:spacing w:val="-2"/>
        </w:rPr>
        <w:t>公司的薪酬结构包括基本薪金及津贴、绩效工资，坚持公司与员工共同发展的原则，为员工提供公平的及有竞争力的福</w:t>
      </w:r>
      <w:r>
        <w:rPr/>
        <w:t> </w:t>
      </w:r>
      <w:r>
        <w:rPr>
          <w:spacing w:val="-4"/>
        </w:rPr>
        <w:t>利待遇，严格遵照劳动法及劳动合同法规定，实行对全体员工劳动合同制，并根据相关规定缴纳各类社会保险及住房公积金，</w:t>
      </w:r>
      <w:r>
        <w:rPr>
          <w:spacing w:val="-43"/>
        </w:rPr>
        <w:t> </w:t>
      </w:r>
      <w:r>
        <w:rPr>
          <w:spacing w:val="-43"/>
        </w:rPr>
      </w:r>
      <w:r>
        <w:rPr>
          <w:spacing w:val="-2"/>
        </w:rPr>
        <w:t>针对部分特殊岗位购买意外险。对于各类休假严格按照劳动法及相关法律法规规定执行。公司定期会根据员工上年度绩效考</w:t>
      </w:r>
      <w:r>
        <w:rPr>
          <w:spacing w:val="-64"/>
        </w:rPr>
        <w:t> </w:t>
      </w:r>
      <w:r>
        <w:rPr>
          <w:spacing w:val="-64"/>
        </w:rPr>
      </w:r>
      <w:r>
        <w:rPr/>
        <w:t>核、工作结果对员工重新进行定薪定级。公司对工资核算及发放制定了严格的审批流程，确保员工工资发放的准确、及时。</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94" w:firstLine="360"/>
        <w:jc w:val="left"/>
      </w:pPr>
      <w:r>
        <w:rPr>
          <w:spacing w:val="-1"/>
        </w:rPr>
        <w:t>公司严格按照既定的培训计划进行开展</w:t>
      </w:r>
      <w:r>
        <w:rPr>
          <w:rFonts w:ascii="Times New Roman" w:hAnsi="Times New Roman" w:cs="Times New Roman" w:eastAsia="Times New Roman" w:hint="default"/>
          <w:spacing w:val="-1"/>
        </w:rPr>
        <w:t>,</w:t>
      </w:r>
      <w:r>
        <w:rPr>
          <w:spacing w:val="-1"/>
        </w:rPr>
        <w:t>积极开拓多种学习资源，以技能培训为主，旨在提高公司在职员工的职业素养，</w:t>
      </w:r>
      <w:r>
        <w:rPr/>
        <w:t> 从而提高工作效率</w:t>
      </w:r>
      <w:r>
        <w:rPr>
          <w:spacing w:val="-18"/>
        </w:rPr>
        <w:t> </w:t>
      </w:r>
      <w:r>
        <w:rPr/>
        <w:t>，为公司经营目标的实现奠定基础。</w:t>
      </w:r>
    </w:p>
    <w:p>
      <w:pPr>
        <w:spacing w:line="240" w:lineRule="auto" w:before="10"/>
        <w:rPr>
          <w:rFonts w:ascii="宋体" w:hAnsi="宋体" w:cs="宋体" w:eastAsia="宋体" w:hint="default"/>
          <w:sz w:val="23"/>
          <w:szCs w:val="23"/>
        </w:rPr>
      </w:pPr>
    </w:p>
    <w:p>
      <w:pPr>
        <w:pStyle w:val="Heading3"/>
        <w:spacing w:line="240" w:lineRule="auto"/>
        <w:ind w:right="94"/>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36,297</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526,315.70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590" w:right="3626"/>
        <w:jc w:val="center"/>
        <w:rPr>
          <w:b w:val="0"/>
          <w:bCs w:val="0"/>
        </w:rPr>
      </w:pPr>
      <w:bookmarkStart w:name="_bookmark7" w:id="8"/>
      <w:bookmarkEnd w:id="8"/>
      <w:r>
        <w:rPr>
          <w:b w:val="0"/>
          <w:bCs w:val="0"/>
        </w:rPr>
      </w:r>
      <w:r>
        <w:rPr/>
        <w:t>第九节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4"/>
        <w:jc w:val="left"/>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3" w:firstLine="360"/>
        <w:jc w:val="both"/>
      </w:pPr>
      <w:r>
        <w:rPr>
          <w:spacing w:val="-2"/>
        </w:rPr>
        <w:t>公司严格按照《公司法》、《证券法》、《上市公司治理准则》、《深圳证券交易所股票上市规则》、《深圳证券交易</w:t>
      </w:r>
      <w:r>
        <w:rPr/>
        <w:t> </w:t>
      </w:r>
      <w:r>
        <w:rPr>
          <w:spacing w:val="-2"/>
        </w:rPr>
        <w:t>所中小企业板上市公司规范运作指引》和中国证监会及深交所颁布的其他有关法律法规等的要求，不断完善公司法人治理结</w:t>
      </w:r>
      <w:r>
        <w:rPr>
          <w:spacing w:val="-64"/>
        </w:rPr>
        <w:t> </w:t>
      </w:r>
      <w:r>
        <w:rPr>
          <w:spacing w:val="-64"/>
        </w:rPr>
      </w:r>
      <w:r>
        <w:rPr>
          <w:spacing w:val="-2"/>
        </w:rPr>
        <w:t>构，建立健全内部控制制度，进一步加强公司信息披露工作，积极开展投资者关系管理，维护公司及全体股东的利益，确保</w:t>
      </w:r>
      <w:r>
        <w:rPr>
          <w:spacing w:val="-67"/>
        </w:rPr>
        <w:t> </w:t>
      </w:r>
      <w:r>
        <w:rPr>
          <w:spacing w:val="-67"/>
        </w:rPr>
      </w:r>
      <w:r>
        <w:rPr/>
        <w:t>公司规范、健康发展。报告期内，公司未收到证券监管部门采取行政监管措施或自律监管措施的相关文件。</w:t>
      </w:r>
    </w:p>
    <w:p>
      <w:pPr>
        <w:pStyle w:val="BodyText"/>
        <w:spacing w:line="319" w:lineRule="auto" w:before="19"/>
        <w:ind w:right="190" w:firstLine="360"/>
        <w:jc w:val="both"/>
      </w:pPr>
      <w:r>
        <w:rPr>
          <w:spacing w:val="-2"/>
        </w:rPr>
        <w:t>截至报告期末，公司治理的实际状况符合《上市公司治理准则》、《深圳证券交易所股票上市规则》、《深圳证券交易</w:t>
      </w:r>
      <w:r>
        <w:rPr/>
        <w:t> 所中小企业板上市公司规范运作指引》等相关法律法规的要求，具体情况如下：</w:t>
      </w:r>
    </w:p>
    <w:p>
      <w:pPr>
        <w:pStyle w:val="Heading4"/>
        <w:spacing w:line="240" w:lineRule="auto"/>
        <w:ind w:right="94"/>
        <w:jc w:val="left"/>
        <w:rPr>
          <w:b w:val="0"/>
          <w:bCs w:val="0"/>
        </w:rPr>
      </w:pPr>
      <w:r>
        <w:rPr/>
        <w:t>（一）公司治理结构</w:t>
      </w:r>
      <w:r>
        <w:rPr>
          <w:b w:val="0"/>
          <w:bCs w:val="0"/>
        </w:rPr>
      </w:r>
    </w:p>
    <w:p>
      <w:pPr>
        <w:pStyle w:val="BodyText"/>
        <w:spacing w:line="300" w:lineRule="auto" w:before="76"/>
        <w:ind w:left="513" w:right="94"/>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）股东与股东大会</w:t>
      </w:r>
      <w:r>
        <w:rPr>
          <w:rFonts w:ascii="宋体" w:hAnsi="宋体" w:cs="宋体" w:eastAsia="宋体" w:hint="default"/>
          <w:b/>
          <w:bCs/>
          <w:w w:val="99"/>
        </w:rPr>
        <w:t> </w:t>
      </w:r>
      <w:r>
        <w:rPr>
          <w:spacing w:val="-2"/>
        </w:rPr>
        <w:t>公司依据《公司法》、《公司章程》、《上市公司治理准则》等文件制定了《股东大会议事规则》、《控股股东实际控</w:t>
      </w:r>
    </w:p>
    <w:p>
      <w:pPr>
        <w:pStyle w:val="BodyText"/>
        <w:spacing w:line="316" w:lineRule="auto" w:before="31"/>
        <w:ind w:right="94"/>
        <w:jc w:val="left"/>
      </w:pPr>
      <w:r>
        <w:rPr>
          <w:spacing w:val="-2"/>
        </w:rPr>
        <w:t>制人行为规范》，对股东大会的权力、召开程序、提案、表决和控股股东及实际控制人行为进行了规范，为维护中小股东权</w:t>
      </w:r>
      <w:r>
        <w:rPr>
          <w:spacing w:val="-67"/>
        </w:rPr>
        <w:t> </w:t>
      </w:r>
      <w:r>
        <w:rPr>
          <w:spacing w:val="-67"/>
        </w:rPr>
      </w:r>
      <w:r>
        <w:rPr/>
        <w:t>益提供制度保障。</w:t>
      </w:r>
    </w:p>
    <w:p>
      <w:pPr>
        <w:pStyle w:val="BodyText"/>
        <w:spacing w:line="316" w:lineRule="auto" w:before="19"/>
        <w:ind w:right="193" w:firstLine="360"/>
        <w:jc w:val="both"/>
      </w:pPr>
      <w:r>
        <w:rPr>
          <w:spacing w:val="-2"/>
        </w:rPr>
        <w:t>公司股东严格根据《上市公司治理准则》、《深圳证券交易所股票上市规则》、《公司章程》规范自身行为，通过股东</w:t>
      </w:r>
      <w:r>
        <w:rPr/>
        <w:t> 大会行使股东权利，未发生超越股东大会及董事会而直接干预公司经营与决策的行为。</w:t>
      </w:r>
    </w:p>
    <w:p>
      <w:pPr>
        <w:pStyle w:val="BodyText"/>
        <w:spacing w:line="316" w:lineRule="auto" w:before="19"/>
        <w:ind w:right="193" w:firstLine="360"/>
        <w:jc w:val="both"/>
      </w:pPr>
      <w:r>
        <w:rPr>
          <w:spacing w:val="-2"/>
        </w:rPr>
        <w:t>公司依据《上市公司股东大会规则》的要求，报告期内召开股东大会均采取现场及网络投票相结合的表决方式，方便中</w:t>
      </w:r>
      <w:r>
        <w:rPr/>
        <w:t> 小投资者通过股东大会行使股东权利，提高中小投资者对公司决策的参与度。</w:t>
      </w:r>
    </w:p>
    <w:p>
      <w:pPr>
        <w:pStyle w:val="BodyText"/>
        <w:spacing w:line="300" w:lineRule="auto" w:before="19"/>
        <w:ind w:right="201" w:firstLine="360"/>
        <w:jc w:val="both"/>
      </w:pPr>
      <w:r>
        <w:rPr/>
        <w:t>报告期内，公司共召开</w:t>
      </w:r>
      <w:r>
        <w:rPr>
          <w:rFonts w:ascii="Times New Roman" w:hAnsi="Times New Roman" w:cs="Times New Roman" w:eastAsia="Times New Roman" w:hint="default"/>
        </w:rPr>
        <w:t>5</w:t>
      </w:r>
      <w:r>
        <w:rPr/>
        <w:t>次股东大会，会议的召集与召开程序、出席会议人员的资格、会议表决程序、表决结果和决议 内容均符合法律法规和《公司章程》的规定。</w:t>
      </w:r>
    </w:p>
    <w:p>
      <w:pPr>
        <w:spacing w:line="300" w:lineRule="auto" w:before="31"/>
        <w:ind w:left="513" w:right="9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）公司与控股股东、实际控制人</w:t>
      </w:r>
      <w:r>
        <w:rPr>
          <w:rFonts w:ascii="宋体" w:hAnsi="宋体" w:cs="宋体" w:eastAsia="宋体" w:hint="default"/>
          <w:b/>
          <w:bCs/>
          <w:w w:val="99"/>
          <w:sz w:val="18"/>
          <w:szCs w:val="18"/>
        </w:rPr>
        <w:t> </w:t>
      </w:r>
      <w:r>
        <w:rPr>
          <w:rFonts w:ascii="宋体" w:hAnsi="宋体" w:cs="宋体" w:eastAsia="宋体" w:hint="default"/>
          <w:spacing w:val="-2"/>
          <w:sz w:val="18"/>
          <w:szCs w:val="18"/>
        </w:rPr>
        <w:t>公司控股股东和实际控制人按照《上市公司治理准则》、《深圳证券交易所股票上市规则》、《深圳证券交易所中小企</w:t>
      </w:r>
    </w:p>
    <w:p>
      <w:pPr>
        <w:pStyle w:val="BodyText"/>
        <w:spacing w:line="316" w:lineRule="auto" w:before="31"/>
        <w:ind w:right="94"/>
        <w:jc w:val="left"/>
      </w:pPr>
      <w:r>
        <w:rPr>
          <w:spacing w:val="-2"/>
        </w:rPr>
        <w:t>业板上市公司规范运作指引》、《公司章程》等的规定和要求规范自己的行为，依法行使权利并承担相应义务，没有超越权</w:t>
      </w:r>
      <w:r>
        <w:rPr>
          <w:spacing w:val="-69"/>
        </w:rPr>
        <w:t> </w:t>
      </w:r>
      <w:r>
        <w:rPr>
          <w:spacing w:val="-69"/>
        </w:rPr>
      </w:r>
      <w:r>
        <w:rPr>
          <w:spacing w:val="-2"/>
        </w:rPr>
        <w:t>限直接或间接干预公司的决策及生产经营活动，没有损害公司及其他股东的利益。公司与控股股东、实际控制人在人员、资</w:t>
      </w:r>
      <w:r>
        <w:rPr>
          <w:spacing w:val="-64"/>
        </w:rPr>
        <w:t> </w:t>
      </w:r>
      <w:r>
        <w:rPr>
          <w:spacing w:val="-64"/>
        </w:rPr>
      </w:r>
      <w:r>
        <w:rPr>
          <w:spacing w:val="-4"/>
        </w:rPr>
        <w:t>产、财务、机构、业务上均保持独立，公司拥有独立完整的自主经营能力；公司董事会、监事会及其他内部机构均独立运作；</w:t>
      </w:r>
      <w:r>
        <w:rPr>
          <w:spacing w:val="-44"/>
        </w:rPr>
        <w:t> </w:t>
      </w:r>
      <w:r>
        <w:rPr>
          <w:spacing w:val="-44"/>
        </w:rPr>
      </w:r>
      <w:r>
        <w:rPr/>
        <w:t>报告期内未发生控股股东和实际控制人占用公司资金、资产的情况。</w:t>
      </w:r>
    </w:p>
    <w:p>
      <w:pPr>
        <w:pStyle w:val="BodyText"/>
        <w:spacing w:line="300" w:lineRule="auto" w:before="19"/>
        <w:ind w:left="513" w:right="94"/>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）董事与董事会</w:t>
      </w:r>
      <w:r>
        <w:rPr>
          <w:rFonts w:ascii="宋体" w:hAnsi="宋体" w:cs="宋体" w:eastAsia="宋体" w:hint="default"/>
          <w:b/>
          <w:bCs/>
          <w:w w:val="99"/>
        </w:rPr>
        <w:t> </w:t>
      </w:r>
      <w:r>
        <w:rPr>
          <w:spacing w:val="-2"/>
        </w:rPr>
        <w:t>公司依据《公司法》、《公司章程》、《上市公司治理准则》等文件制定了《董事会议事规则》、《独立董事年报工作</w:t>
      </w:r>
    </w:p>
    <w:p>
      <w:pPr>
        <w:pStyle w:val="BodyText"/>
        <w:spacing w:line="312" w:lineRule="auto" w:before="32"/>
        <w:ind w:right="191"/>
        <w:jc w:val="both"/>
      </w:pPr>
      <w:r>
        <w:rPr>
          <w:spacing w:val="-2"/>
        </w:rPr>
        <w:t>制度》、《总经理工作细则》、《独立董事工作制度》，公司董事会设董事</w:t>
      </w:r>
      <w:r>
        <w:rPr>
          <w:rFonts w:ascii="Times New Roman" w:hAnsi="Times New Roman" w:cs="Times New Roman" w:eastAsia="Times New Roman" w:hint="default"/>
          <w:spacing w:val="-2"/>
        </w:rPr>
        <w:t>9</w:t>
      </w:r>
      <w:r>
        <w:rPr>
          <w:spacing w:val="-2"/>
        </w:rPr>
        <w:t>名，其中独立董事</w:t>
      </w:r>
      <w:r>
        <w:rPr>
          <w:rFonts w:ascii="Times New Roman" w:hAnsi="Times New Roman" w:cs="Times New Roman" w:eastAsia="Times New Roman" w:hint="default"/>
          <w:spacing w:val="-2"/>
        </w:rPr>
        <w:t>3</w:t>
      </w:r>
      <w:r>
        <w:rPr>
          <w:spacing w:val="-2"/>
        </w:rPr>
        <w:t>名，公司董事选举程序、董</w:t>
      </w:r>
      <w:r>
        <w:rPr>
          <w:spacing w:val="-69"/>
        </w:rPr>
        <w:t> </w:t>
      </w:r>
      <w:r>
        <w:rPr>
          <w:spacing w:val="-69"/>
        </w:rPr>
      </w:r>
      <w:r>
        <w:rPr>
          <w:spacing w:val="-2"/>
        </w:rPr>
        <w:t>事会人数及人员构成符合法律、法规的要求，公司董事勤勉尽责履行职责，维护公司和全体股东的合法权益。独立董事能够</w:t>
      </w:r>
      <w:r>
        <w:rPr>
          <w:spacing w:val="-64"/>
        </w:rPr>
        <w:t> </w:t>
      </w:r>
      <w:r>
        <w:rPr>
          <w:spacing w:val="-64"/>
        </w:rPr>
      </w:r>
      <w:r>
        <w:rPr>
          <w:spacing w:val="-2"/>
        </w:rPr>
        <w:t>严格按照《公司章程》、《独立董事工作制度》，不受影响独立履行职责，对公司生产经营、关联交易、人事任免等重要及</w:t>
      </w:r>
      <w:r>
        <w:rPr>
          <w:spacing w:val="-70"/>
        </w:rPr>
        <w:t> </w:t>
      </w:r>
      <w:r>
        <w:rPr>
          <w:spacing w:val="-70"/>
        </w:rPr>
      </w:r>
      <w:r>
        <w:rPr/>
        <w:t>重大事项发表独立意见，保证公司的规范运作。</w:t>
      </w:r>
    </w:p>
    <w:p>
      <w:pPr>
        <w:pStyle w:val="BodyText"/>
        <w:spacing w:line="300" w:lineRule="auto" w:before="22"/>
        <w:ind w:right="194" w:firstLine="360"/>
        <w:jc w:val="both"/>
      </w:pPr>
      <w:r>
        <w:rPr>
          <w:spacing w:val="-2"/>
        </w:rPr>
        <w:t>报告期内，公司共召开</w:t>
      </w:r>
      <w:r>
        <w:rPr>
          <w:rFonts w:ascii="Times New Roman" w:hAnsi="Times New Roman" w:cs="Times New Roman" w:eastAsia="Times New Roman" w:hint="default"/>
          <w:spacing w:val="-2"/>
        </w:rPr>
        <w:t>18</w:t>
      </w:r>
      <w:r>
        <w:rPr>
          <w:spacing w:val="-2"/>
        </w:rPr>
        <w:t>次董事会会议，会议的召集与召开程序、出席会议人员的资格、会议表决程序、表决结果和决</w:t>
      </w:r>
      <w:r>
        <w:rPr/>
        <w:t> 议内容均符合法律法规和《公司章程》的规定。</w:t>
      </w:r>
    </w:p>
    <w:p>
      <w:pPr>
        <w:pStyle w:val="BodyText"/>
        <w:spacing w:line="309" w:lineRule="auto" w:before="31"/>
        <w:ind w:right="195" w:firstLine="360"/>
        <w:jc w:val="both"/>
      </w:pPr>
      <w:r>
        <w:rPr>
          <w:spacing w:val="-2"/>
        </w:rPr>
        <w:t>公司董事会设立了审计、薪酬与考核、提名、战略四个专门委员会，建立并完善了议事规则，各委员会分工明确，报告</w:t>
      </w:r>
      <w:r>
        <w:rPr/>
        <w:t> 期内，公司共召开</w:t>
      </w:r>
      <w:r>
        <w:rPr>
          <w:rFonts w:ascii="Times New Roman" w:hAnsi="Times New Roman" w:cs="Times New Roman" w:eastAsia="Times New Roman" w:hint="default"/>
        </w:rPr>
        <w:t>5</w:t>
      </w:r>
      <w:r>
        <w:rPr/>
        <w:t>次审计委员会会议、</w:t>
      </w:r>
      <w:r>
        <w:rPr>
          <w:rFonts w:ascii="Times New Roman" w:hAnsi="Times New Roman" w:cs="Times New Roman" w:eastAsia="Times New Roman" w:hint="default"/>
        </w:rPr>
        <w:t>4</w:t>
      </w:r>
      <w:r>
        <w:rPr/>
        <w:t>次薪酬与考核委员会会议、</w:t>
      </w:r>
      <w:r>
        <w:rPr>
          <w:rFonts w:ascii="Times New Roman" w:hAnsi="Times New Roman" w:cs="Times New Roman" w:eastAsia="Times New Roman" w:hint="default"/>
        </w:rPr>
        <w:t>3</w:t>
      </w:r>
      <w:r>
        <w:rPr/>
        <w:t>次提名委员会会议，为董事会的决策提供科学和专业</w:t>
      </w:r>
      <w:r>
        <w:rPr>
          <w:spacing w:val="-87"/>
        </w:rPr>
        <w:t> </w:t>
      </w:r>
      <w:r>
        <w:rPr/>
        <w:t>的意见，确保董事会对经营层的有效监督。</w:t>
      </w:r>
    </w:p>
    <w:p>
      <w:pPr>
        <w:pStyle w:val="BodyText"/>
        <w:spacing w:line="300" w:lineRule="auto" w:before="24"/>
        <w:ind w:left="513" w:right="183"/>
        <w:jc w:val="left"/>
        <w:rPr>
          <w:rFonts w:ascii="Times New Roman" w:hAnsi="Times New Roman" w:cs="Times New Roman" w:eastAsia="Times New Roman" w:hint="default"/>
        </w:rPr>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）监事与监事会</w:t>
      </w:r>
      <w:r>
        <w:rPr>
          <w:rFonts w:ascii="宋体" w:hAnsi="宋体" w:cs="宋体" w:eastAsia="宋体" w:hint="default"/>
          <w:b/>
          <w:bCs/>
          <w:w w:val="99"/>
        </w:rPr>
        <w:t> </w:t>
      </w:r>
      <w:r>
        <w:rPr/>
        <w:t>公司依据《公司法》、《公司章程》、《上市公司治理准则》等文件制定了《监事会议事规则》，公司监事会设监事</w:t>
      </w:r>
      <w:r>
        <w:rPr>
          <w:rFonts w:ascii="Times New Roman" w:hAnsi="Times New Roman" w:cs="Times New Roman" w:eastAsia="Times New Roman" w:hint="default"/>
        </w:rPr>
        <w:t>3</w:t>
      </w:r>
    </w:p>
    <w:p>
      <w:pPr>
        <w:pStyle w:val="BodyText"/>
        <w:spacing w:line="300" w:lineRule="auto" w:before="13"/>
        <w:ind w:right="184"/>
        <w:jc w:val="left"/>
      </w:pPr>
      <w:r>
        <w:rPr/>
        <w:t>名，其中职工代表监事</w:t>
      </w:r>
      <w:r>
        <w:rPr>
          <w:rFonts w:ascii="Times New Roman" w:hAnsi="Times New Roman" w:cs="Times New Roman" w:eastAsia="Times New Roman" w:hint="default"/>
        </w:rPr>
        <w:t>1</w:t>
      </w:r>
      <w:r>
        <w:rPr/>
        <w:t>名，监事会的人数、构成及选聘程序均符合相关法律法规的规定。公司监事按规定出席监事会，认 真履行职责，对公司重大事项、关联交易、财务状况等进行监督并发表意见，维护公司及股东的合法权益。</w:t>
      </w:r>
    </w:p>
    <w:p>
      <w:pPr>
        <w:spacing w:after="0" w:line="300"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300" w:lineRule="auto" w:before="44"/>
        <w:ind w:right="234" w:firstLine="360"/>
        <w:jc w:val="left"/>
      </w:pPr>
      <w:r>
        <w:rPr>
          <w:spacing w:val="-2"/>
        </w:rPr>
        <w:t>报告期内，公司共召开</w:t>
      </w:r>
      <w:r>
        <w:rPr>
          <w:rFonts w:ascii="Times New Roman" w:hAnsi="Times New Roman" w:cs="Times New Roman" w:eastAsia="Times New Roman" w:hint="default"/>
          <w:spacing w:val="-2"/>
        </w:rPr>
        <w:t>11</w:t>
      </w:r>
      <w:r>
        <w:rPr>
          <w:spacing w:val="-2"/>
        </w:rPr>
        <w:t>次监事会会议，会议的召集与召开程序、出席会议人员的资格、会议表决程序、表决结果和决</w:t>
      </w:r>
      <w:r>
        <w:rPr/>
        <w:t> 议内容均符合法律法规和《公司章程》的规定。</w:t>
      </w:r>
    </w:p>
    <w:p>
      <w:pPr>
        <w:pStyle w:val="BodyText"/>
        <w:spacing w:line="300" w:lineRule="auto" w:before="31"/>
        <w:ind w:left="513" w:right="234"/>
        <w:jc w:val="left"/>
      </w:pPr>
      <w:r>
        <w:rPr>
          <w:rFonts w:ascii="宋体" w:hAnsi="宋体" w:cs="宋体" w:eastAsia="宋体" w:hint="default"/>
          <w:b/>
          <w:bCs/>
        </w:rPr>
        <w:t>（</w:t>
      </w:r>
      <w:r>
        <w:rPr>
          <w:rFonts w:ascii="Times New Roman" w:hAnsi="Times New Roman" w:cs="Times New Roman" w:eastAsia="Times New Roman" w:hint="default"/>
          <w:b/>
          <w:bCs/>
        </w:rPr>
        <w:t>5</w:t>
      </w:r>
      <w:r>
        <w:rPr>
          <w:rFonts w:ascii="宋体" w:hAnsi="宋体" w:cs="宋体" w:eastAsia="宋体" w:hint="default"/>
          <w:b/>
          <w:bCs/>
        </w:rPr>
        <w:t>）信息披露</w:t>
      </w:r>
      <w:r>
        <w:rPr>
          <w:rFonts w:ascii="宋体" w:hAnsi="宋体" w:cs="宋体" w:eastAsia="宋体" w:hint="default"/>
          <w:b/>
          <w:bCs/>
          <w:w w:val="99"/>
        </w:rPr>
        <w:t> </w:t>
      </w:r>
      <w:r>
        <w:rPr>
          <w:spacing w:val="-4"/>
        </w:rPr>
        <w:t>公司上市前就根据相关文件制度制定了《信息披露管理制度》和《投资者关系管理制度》，公司上市后按照中国证监会、</w:t>
      </w:r>
    </w:p>
    <w:p>
      <w:pPr>
        <w:pStyle w:val="BodyText"/>
        <w:spacing w:line="316" w:lineRule="auto" w:before="31"/>
        <w:ind w:right="234"/>
        <w:jc w:val="left"/>
      </w:pPr>
      <w:r>
        <w:rPr>
          <w:spacing w:val="-2"/>
        </w:rPr>
        <w:t>深圳证券交易所发布的相关法规修订了《信息披露管理制度》、《年报信息披露重大差错责任追究制度》、《推广和接待制</w:t>
      </w:r>
      <w:r>
        <w:rPr>
          <w:spacing w:val="-69"/>
        </w:rPr>
        <w:t> </w:t>
      </w:r>
      <w:r>
        <w:rPr>
          <w:spacing w:val="-69"/>
        </w:rPr>
      </w:r>
      <w:r>
        <w:rPr>
          <w:spacing w:val="-2"/>
        </w:rPr>
        <w:t>度》、《重大信息内部报告制度》、《董事会审计委员会年报工作规程》、《独立董事年报工作制度》、《内部信息保密制</w:t>
      </w:r>
      <w:r>
        <w:rPr>
          <w:spacing w:val="-69"/>
        </w:rPr>
        <w:t> </w:t>
      </w:r>
      <w:r>
        <w:rPr>
          <w:spacing w:val="-69"/>
        </w:rPr>
      </w:r>
      <w:r>
        <w:rPr/>
        <w:t>度》、《内幕信息知情人登记和报备制度》，指定公司董事会秘书负责信息披露工作，规范公司内部重大信息传递的程序， </w:t>
      </w:r>
      <w:r>
        <w:rPr>
          <w:spacing w:val="-2"/>
        </w:rPr>
        <w:t>对年报信息披露重大差错责任追究作出明确规定，切实履行信息披露义务。公司指定《中国证券报》、《证券时报》和巨潮</w:t>
      </w:r>
      <w:r>
        <w:rPr>
          <w:spacing w:val="-69"/>
        </w:rPr>
        <w:t> </w:t>
      </w:r>
      <w:r>
        <w:rPr>
          <w:spacing w:val="-69"/>
        </w:rPr>
      </w:r>
      <w:r>
        <w:rPr>
          <w:spacing w:val="-2"/>
        </w:rPr>
        <w:t>资讯网站为公司信息披露的报纸和网站，真实、准确、完整、及时地披露公司信息，确保公司所有股东公平的获得公司相关</w:t>
      </w:r>
      <w:r>
        <w:rPr>
          <w:spacing w:val="-64"/>
        </w:rPr>
        <w:t> </w:t>
      </w:r>
      <w:r>
        <w:rPr>
          <w:spacing w:val="-64"/>
        </w:rPr>
      </w:r>
      <w:r>
        <w:rPr/>
        <w:t>信息。</w:t>
      </w:r>
    </w:p>
    <w:p>
      <w:pPr>
        <w:pStyle w:val="BodyText"/>
        <w:spacing w:line="300" w:lineRule="auto" w:before="19"/>
        <w:ind w:left="513" w:right="234"/>
        <w:jc w:val="left"/>
      </w:pPr>
      <w:r>
        <w:rPr>
          <w:rFonts w:ascii="宋体" w:hAnsi="宋体" w:cs="宋体" w:eastAsia="宋体" w:hint="default"/>
          <w:b/>
          <w:bCs/>
        </w:rPr>
        <w:t>（</w:t>
      </w:r>
      <w:r>
        <w:rPr>
          <w:rFonts w:ascii="Times New Roman" w:hAnsi="Times New Roman" w:cs="Times New Roman" w:eastAsia="Times New Roman" w:hint="default"/>
          <w:b/>
          <w:bCs/>
        </w:rPr>
        <w:t>6</w:t>
      </w:r>
      <w:r>
        <w:rPr>
          <w:rFonts w:ascii="宋体" w:hAnsi="宋体" w:cs="宋体" w:eastAsia="宋体" w:hint="default"/>
          <w:b/>
          <w:bCs/>
        </w:rPr>
        <w:t>）投资者关系管理</w:t>
      </w:r>
      <w:r>
        <w:rPr>
          <w:rFonts w:ascii="宋体" w:hAnsi="宋体" w:cs="宋体" w:eastAsia="宋体" w:hint="default"/>
          <w:b/>
          <w:bCs/>
          <w:w w:val="99"/>
        </w:rPr>
        <w:t> </w:t>
      </w:r>
      <w:r>
        <w:rPr>
          <w:spacing w:val="-2"/>
        </w:rPr>
        <w:t>公司重视投资者关系管理工作，指定董事会秘书为投资者关系管理负责人，公司证券部作为投资者关系管理的具体实施</w:t>
      </w:r>
    </w:p>
    <w:p>
      <w:pPr>
        <w:pStyle w:val="BodyText"/>
        <w:spacing w:line="316" w:lineRule="auto" w:before="31"/>
        <w:ind w:right="234"/>
        <w:jc w:val="left"/>
      </w:pPr>
      <w:r>
        <w:rPr>
          <w:spacing w:val="-2"/>
        </w:rPr>
        <w:t>机构，协助实施投资者关系的日常管理工作，包括投资者来电、来访接待工作、股东大会的安排组织工作、投资者关系互动</w:t>
      </w:r>
      <w:r>
        <w:rPr>
          <w:spacing w:val="-67"/>
        </w:rPr>
        <w:t> </w:t>
      </w:r>
      <w:r>
        <w:rPr>
          <w:spacing w:val="-67"/>
        </w:rPr>
      </w:r>
      <w:r>
        <w:rPr/>
        <w:t>平台答疑工作等，加强与投资者沟通和交流，回答投资者问题，充分保证广大投资者的知情权。</w:t>
      </w:r>
    </w:p>
    <w:p>
      <w:pPr>
        <w:pStyle w:val="BodyText"/>
        <w:spacing w:line="300" w:lineRule="auto" w:before="19"/>
        <w:ind w:left="513" w:right="234"/>
        <w:jc w:val="left"/>
      </w:pPr>
      <w:r>
        <w:rPr>
          <w:rFonts w:ascii="宋体" w:hAnsi="宋体" w:cs="宋体" w:eastAsia="宋体" w:hint="default"/>
          <w:b/>
          <w:bCs/>
        </w:rPr>
        <w:t>（</w:t>
      </w:r>
      <w:r>
        <w:rPr>
          <w:rFonts w:ascii="Times New Roman" w:hAnsi="Times New Roman" w:cs="Times New Roman" w:eastAsia="Times New Roman" w:hint="default"/>
          <w:b/>
          <w:bCs/>
        </w:rPr>
        <w:t>7</w:t>
      </w:r>
      <w:r>
        <w:rPr>
          <w:rFonts w:ascii="宋体" w:hAnsi="宋体" w:cs="宋体" w:eastAsia="宋体" w:hint="default"/>
          <w:b/>
          <w:bCs/>
        </w:rPr>
        <w:t>）关于利益相关者</w:t>
      </w:r>
      <w:r>
        <w:rPr>
          <w:rFonts w:ascii="宋体" w:hAnsi="宋体" w:cs="宋体" w:eastAsia="宋体" w:hint="default"/>
          <w:b/>
          <w:bCs/>
          <w:w w:val="99"/>
        </w:rPr>
        <w:t> </w:t>
      </w:r>
      <w:r>
        <w:rPr>
          <w:spacing w:val="-4"/>
        </w:rPr>
        <w:t>公司充分尊重和维护利益相关者（债权人、员工、关联方等）的合法权益，重视公司的社会责任，努力实现股东、员工、</w:t>
      </w:r>
    </w:p>
    <w:p>
      <w:pPr>
        <w:pStyle w:val="BodyText"/>
        <w:spacing w:line="240" w:lineRule="auto" w:before="31"/>
        <w:ind w:right="234"/>
        <w:jc w:val="left"/>
      </w:pPr>
      <w:r>
        <w:rPr/>
        <w:t>社会等各方利益的协调平衡，积极合作，共同推动公司持续、健康的发展。</w:t>
      </w:r>
    </w:p>
    <w:p>
      <w:pPr>
        <w:spacing w:line="316" w:lineRule="auto" w:before="76"/>
        <w:ind w:left="513" w:right="234" w:firstLine="0"/>
        <w:jc w:val="left"/>
        <w:rPr>
          <w:rFonts w:ascii="宋体" w:hAnsi="宋体" w:cs="宋体" w:eastAsia="宋体" w:hint="default"/>
          <w:sz w:val="18"/>
          <w:szCs w:val="18"/>
        </w:rPr>
      </w:pPr>
      <w:r>
        <w:rPr>
          <w:rFonts w:ascii="宋体" w:hAnsi="宋体" w:cs="宋体" w:eastAsia="宋体" w:hint="default"/>
          <w:b/>
          <w:bCs/>
          <w:sz w:val="18"/>
          <w:szCs w:val="18"/>
        </w:rPr>
        <w:t>（二）公司董事履行职责情况</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报告期内，公司董事长能够积极推动公司内部各项制度的制定和完善，加强董事会建设，确保董事会会议依法正常召集</w:t>
      </w:r>
    </w:p>
    <w:p>
      <w:pPr>
        <w:pStyle w:val="BodyText"/>
        <w:spacing w:line="316" w:lineRule="auto" w:before="19"/>
        <w:ind w:right="234"/>
        <w:jc w:val="left"/>
      </w:pPr>
      <w:r>
        <w:rPr>
          <w:spacing w:val="-2"/>
        </w:rPr>
        <w:t>和召开。董事长未有从事超越其职权范围的行为，能够积极督促董事会决议的执行，及时将有关情况告知其他董事，能够保</w:t>
      </w:r>
      <w:r>
        <w:rPr>
          <w:spacing w:val="-65"/>
        </w:rPr>
        <w:t> </w:t>
      </w:r>
      <w:r>
        <w:rPr>
          <w:spacing w:val="-65"/>
        </w:rPr>
      </w:r>
      <w:r>
        <w:rPr/>
        <w:t>证独立董事和董事会秘书的知情权，为其行使职能和发挥作用提供了平台和保障。</w:t>
      </w:r>
    </w:p>
    <w:p>
      <w:pPr>
        <w:pStyle w:val="BodyText"/>
        <w:spacing w:line="316" w:lineRule="auto" w:before="19"/>
        <w:ind w:right="234" w:firstLine="360"/>
        <w:jc w:val="left"/>
      </w:pPr>
      <w:r>
        <w:rPr>
          <w:spacing w:val="-2"/>
        </w:rPr>
        <w:t>报告期内，公司董事能够恪尽职守、廉洁自律、忠实勤勉、勤免尽责的履行职责，尽力保护公司及股东特别是中小投资</w:t>
      </w:r>
      <w:r>
        <w:rPr/>
        <w:t> 者的权益并致力于保护公司和股东利益。</w:t>
      </w:r>
    </w:p>
    <w:p>
      <w:pPr>
        <w:pStyle w:val="BodyText"/>
        <w:spacing w:line="316" w:lineRule="auto" w:before="19"/>
        <w:ind w:right="234" w:firstLine="360"/>
        <w:jc w:val="left"/>
      </w:pPr>
      <w:r>
        <w:rPr>
          <w:spacing w:val="-2"/>
        </w:rPr>
        <w:t>报告期内，公司全体董事能够依照《公司法》、《公司章程》的规定出席公司召开的董事会会议并独立、客观的发表意</w:t>
      </w:r>
      <w:r>
        <w:rPr/>
        <w:t> 见，未出现违反国家法律法规、《公司章程》等规定不能担任公司董事职责规定的行为。</w:t>
      </w:r>
    </w:p>
    <w:p>
      <w:pPr>
        <w:pStyle w:val="BodyText"/>
        <w:spacing w:line="307" w:lineRule="auto" w:before="19"/>
        <w:ind w:right="234" w:firstLine="360"/>
        <w:jc w:val="left"/>
      </w:pPr>
      <w:r>
        <w:rPr>
          <w:spacing w:val="-2"/>
        </w:rPr>
        <w:t>报告期内，公司独立董事能够定期了解公司经营情况，对公司的重大决策提供了专业性意见，对公司重大生产经营活动</w:t>
      </w:r>
      <w:r>
        <w:rPr/>
        <w:t> </w:t>
      </w:r>
      <w:r>
        <w:rPr>
          <w:spacing w:val="-4"/>
        </w:rPr>
        <w:t>进行有效监督，保证了公司决策的科学性。对公司定期报告、回购注销</w:t>
      </w:r>
      <w:r>
        <w:rPr>
          <w:rFonts w:ascii="Times New Roman" w:hAnsi="Times New Roman" w:cs="Times New Roman" w:eastAsia="Times New Roman" w:hint="default"/>
          <w:spacing w:val="-4"/>
        </w:rPr>
        <w:t>2015</w:t>
      </w:r>
      <w:r>
        <w:rPr>
          <w:spacing w:val="-4"/>
        </w:rPr>
        <w:t>年两期股权激励计划部分限制性股票和股票期权、</w:t>
      </w:r>
      <w:r>
        <w:rPr>
          <w:spacing w:val="-37"/>
        </w:rPr>
        <w:t> </w:t>
      </w:r>
      <w:r>
        <w:rPr>
          <w:spacing w:val="-37"/>
        </w:rPr>
      </w:r>
      <w:r>
        <w:rPr>
          <w:spacing w:val="-5"/>
        </w:rPr>
        <w:t>坏账核销、重大资产购买暨关联交易、孙公司向关联方租赁办公场所、处置公司房产、产业并购基金三次处置投资项目、</w:t>
      </w:r>
      <w:r>
        <w:rPr>
          <w:rFonts w:ascii="Times New Roman" w:hAnsi="Times New Roman" w:cs="Times New Roman" w:eastAsia="Times New Roman" w:hint="default"/>
          <w:spacing w:val="-5"/>
        </w:rPr>
        <w:t>2015</w:t>
      </w:r>
      <w:r>
        <w:rPr>
          <w:rFonts w:ascii="Times New Roman" w:hAnsi="Times New Roman" w:cs="Times New Roman" w:eastAsia="Times New Roman" w:hint="default"/>
          <w:spacing w:val="-20"/>
        </w:rPr>
        <w:t> </w:t>
      </w:r>
      <w:r>
        <w:rPr/>
        <w:t>年两期股权激励计划授予的预留限制性股票与股票期权第一期解锁</w:t>
      </w:r>
      <w:r>
        <w:rPr>
          <w:rFonts w:ascii="Times New Roman" w:hAnsi="Times New Roman" w:cs="Times New Roman" w:eastAsia="Times New Roman" w:hint="default"/>
        </w:rPr>
        <w:t>/</w:t>
      </w:r>
      <w:r>
        <w:rPr/>
        <w:t>行权、董事会及高级管理人员换届、新一届董事监事及 </w:t>
      </w:r>
      <w:r>
        <w:rPr>
          <w:spacing w:val="-2"/>
        </w:rPr>
        <w:t>高管薪酬、子公司对外转让所持股权等重大事项进行审议并发表独立意见，为完善公司监督机制、维护公司和全体股东的合</w:t>
      </w:r>
      <w:r>
        <w:rPr>
          <w:spacing w:val="-63"/>
        </w:rPr>
        <w:t> </w:t>
      </w:r>
      <w:r>
        <w:rPr>
          <w:spacing w:val="-63"/>
        </w:rPr>
      </w:r>
      <w:r>
        <w:rPr/>
        <w:t>法权益发挥了应有的作用。报告期内，独立董事没有对公司有关事项提出异议。</w:t>
      </w:r>
    </w:p>
    <w:p>
      <w:pPr>
        <w:pStyle w:val="BodyText"/>
        <w:spacing w:line="240" w:lineRule="auto" w:before="26"/>
        <w:ind w:left="513" w:right="234"/>
        <w:jc w:val="left"/>
      </w:pPr>
      <w:r>
        <w:rPr/>
        <w:t>报告期内董事出席董事会的情况：</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327"/>
        <w:gridCol w:w="2295"/>
        <w:gridCol w:w="854"/>
        <w:gridCol w:w="696"/>
        <w:gridCol w:w="692"/>
        <w:gridCol w:w="535"/>
        <w:gridCol w:w="1457"/>
      </w:tblGrid>
      <w:tr>
        <w:trPr>
          <w:trHeight w:val="661" w:hRule="exact"/>
        </w:trPr>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sz w:val="18"/>
                <w:szCs w:val="18"/>
              </w:rPr>
              <w:t>董事姓名</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60" w:right="59"/>
              <w:jc w:val="left"/>
              <w:rPr>
                <w:rFonts w:ascii="宋体" w:hAnsi="宋体" w:cs="宋体" w:eastAsia="宋体" w:hint="default"/>
                <w:sz w:val="18"/>
                <w:szCs w:val="18"/>
              </w:rPr>
            </w:pPr>
            <w:r>
              <w:rPr>
                <w:rFonts w:ascii="宋体" w:hAnsi="宋体" w:cs="宋体" w:eastAsia="宋体" w:hint="default"/>
                <w:sz w:val="18"/>
                <w:szCs w:val="18"/>
              </w:rPr>
              <w:t>应参加董 事会次数</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71" w:right="67"/>
              <w:jc w:val="left"/>
              <w:rPr>
                <w:rFonts w:ascii="宋体" w:hAnsi="宋体" w:cs="宋体" w:eastAsia="宋体" w:hint="default"/>
                <w:sz w:val="18"/>
                <w:szCs w:val="18"/>
              </w:rPr>
            </w:pPr>
            <w:r>
              <w:rPr>
                <w:rFonts w:ascii="宋体" w:hAnsi="宋体" w:cs="宋体" w:eastAsia="宋体" w:hint="default"/>
                <w:sz w:val="18"/>
                <w:szCs w:val="18"/>
              </w:rPr>
              <w:t>亲自出 席次数</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67" w:right="68"/>
              <w:jc w:val="left"/>
              <w:rPr>
                <w:rFonts w:ascii="宋体" w:hAnsi="宋体" w:cs="宋体" w:eastAsia="宋体" w:hint="default"/>
                <w:sz w:val="18"/>
                <w:szCs w:val="18"/>
              </w:rPr>
            </w:pPr>
            <w:r>
              <w:rPr>
                <w:rFonts w:ascii="宋体" w:hAnsi="宋体" w:cs="宋体" w:eastAsia="宋体" w:hint="default"/>
                <w:sz w:val="18"/>
                <w:szCs w:val="18"/>
              </w:rPr>
              <w:t>委托出 席次数</w:t>
            </w:r>
          </w:p>
        </w:tc>
        <w:tc>
          <w:tcPr>
            <w:tcW w:w="5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81" w:right="77"/>
              <w:jc w:val="left"/>
              <w:rPr>
                <w:rFonts w:ascii="宋体" w:hAnsi="宋体" w:cs="宋体" w:eastAsia="宋体" w:hint="default"/>
                <w:sz w:val="18"/>
                <w:szCs w:val="18"/>
              </w:rPr>
            </w:pPr>
            <w:r>
              <w:rPr>
                <w:rFonts w:ascii="宋体" w:hAnsi="宋体" w:cs="宋体" w:eastAsia="宋体" w:hint="default"/>
                <w:sz w:val="18"/>
                <w:szCs w:val="18"/>
              </w:rPr>
              <w:t>缺席 次数</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182" w:right="89"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346" w:hRule="exact"/>
        </w:trPr>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汪超涌</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18</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18</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w:t>
            </w:r>
          </w:p>
        </w:tc>
        <w:tc>
          <w:tcPr>
            <w:tcW w:w="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8" w:hRule="exact"/>
        </w:trPr>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张晶</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18</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18</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w:t>
            </w:r>
          </w:p>
        </w:tc>
        <w:tc>
          <w:tcPr>
            <w:tcW w:w="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6" w:hRule="exact"/>
        </w:trPr>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徐海啸</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董事长、总裁、财务总监</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18</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18</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w:t>
            </w:r>
          </w:p>
        </w:tc>
        <w:tc>
          <w:tcPr>
            <w:tcW w:w="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8" w:hRule="exact"/>
        </w:trPr>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沈晓超</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18</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18</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w:t>
            </w:r>
          </w:p>
        </w:tc>
        <w:tc>
          <w:tcPr>
            <w:tcW w:w="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6" w:hRule="exact"/>
        </w:trPr>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陈丹</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18</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18</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w:t>
            </w:r>
          </w:p>
        </w:tc>
        <w:tc>
          <w:tcPr>
            <w:tcW w:w="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8" w:hRule="exact"/>
        </w:trPr>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WAN XIAO</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YANG</w:t>
            </w:r>
            <w:r>
              <w:rPr>
                <w:rFonts w:ascii="宋体" w:hAnsi="宋体" w:cs="宋体" w:eastAsia="宋体" w:hint="default"/>
                <w:sz w:val="18"/>
                <w:szCs w:val="18"/>
              </w:rPr>
              <w:t>（中文名：万晓阳）</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18</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18</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w:t>
            </w:r>
          </w:p>
        </w:tc>
        <w:tc>
          <w:tcPr>
            <w:tcW w:w="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8" w:hRule="exact"/>
        </w:trPr>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叶陈刚</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18</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18</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w:t>
            </w:r>
          </w:p>
        </w:tc>
        <w:tc>
          <w:tcPr>
            <w:tcW w:w="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6" w:hRule="exact"/>
        </w:trPr>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钟晓林</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18</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17</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w:t>
            </w:r>
          </w:p>
        </w:tc>
        <w:tc>
          <w:tcPr>
            <w:tcW w:w="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8" w:hRule="exact"/>
        </w:trPr>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Key Ke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Liu</w:t>
            </w:r>
            <w:r>
              <w:rPr>
                <w:rFonts w:ascii="宋体" w:hAnsi="宋体" w:cs="宋体" w:eastAsia="宋体" w:hint="default"/>
                <w:sz w:val="18"/>
                <w:szCs w:val="18"/>
              </w:rPr>
              <w:t>（中文名：刘科）</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18</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17</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w:t>
            </w:r>
          </w:p>
        </w:tc>
        <w:tc>
          <w:tcPr>
            <w:tcW w:w="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800"/>
        </w:sectPr>
      </w:pPr>
    </w:p>
    <w:p>
      <w:pPr>
        <w:spacing w:line="240" w:lineRule="auto" w:before="11"/>
        <w:rPr>
          <w:rFonts w:ascii="宋体" w:hAnsi="宋体" w:cs="宋体" w:eastAsia="宋体" w:hint="default"/>
          <w:sz w:val="21"/>
          <w:szCs w:val="21"/>
        </w:rPr>
      </w:pPr>
    </w:p>
    <w:p>
      <w:pPr>
        <w:spacing w:line="316" w:lineRule="auto" w:before="44"/>
        <w:ind w:left="513" w:right="114" w:firstLine="0"/>
        <w:jc w:val="left"/>
        <w:rPr>
          <w:rFonts w:ascii="宋体" w:hAnsi="宋体" w:cs="宋体" w:eastAsia="宋体" w:hint="default"/>
          <w:sz w:val="18"/>
          <w:szCs w:val="18"/>
        </w:rPr>
      </w:pPr>
      <w:r>
        <w:rPr>
          <w:rFonts w:ascii="宋体" w:hAnsi="宋体" w:cs="宋体" w:eastAsia="宋体" w:hint="default"/>
          <w:b/>
          <w:bCs/>
          <w:sz w:val="18"/>
          <w:szCs w:val="18"/>
        </w:rPr>
        <w:t>（三）公司内部审计制度的建立和执行</w:t>
      </w:r>
      <w:r>
        <w:rPr>
          <w:rFonts w:ascii="宋体" w:hAnsi="宋体" w:cs="宋体" w:eastAsia="宋体" w:hint="default"/>
          <w:b/>
          <w:bCs/>
          <w:w w:val="99"/>
          <w:sz w:val="18"/>
          <w:szCs w:val="18"/>
        </w:rPr>
        <w:t> </w:t>
      </w:r>
      <w:r>
        <w:rPr>
          <w:rFonts w:ascii="宋体" w:hAnsi="宋体" w:cs="宋体" w:eastAsia="宋体" w:hint="default"/>
          <w:spacing w:val="-2"/>
          <w:sz w:val="18"/>
          <w:szCs w:val="18"/>
        </w:rPr>
        <w:t>公司根据《中华人民共和国审计法》、《审计署关于内部审计工作的规定》等法律法规和《公司章程》的有关规定，结</w:t>
      </w:r>
    </w:p>
    <w:p>
      <w:pPr>
        <w:pStyle w:val="BodyText"/>
        <w:spacing w:line="316" w:lineRule="auto" w:before="19"/>
        <w:ind w:left="513" w:right="114" w:hanging="361"/>
        <w:jc w:val="left"/>
      </w:pPr>
      <w:r>
        <w:rPr/>
        <w:t>合公司实际情况，制定了《内部审计制度》。 </w:t>
      </w:r>
      <w:r>
        <w:rPr>
          <w:spacing w:val="-2"/>
        </w:rPr>
        <w:t>根据《内部审计制度》，公司董事会设审计委员会，审计委员会下设审计室作为公司内部审计的执行机构，审计室负责</w:t>
      </w:r>
    </w:p>
    <w:p>
      <w:pPr>
        <w:pStyle w:val="BodyText"/>
        <w:spacing w:line="316" w:lineRule="auto" w:before="19"/>
        <w:ind w:right="114"/>
        <w:jc w:val="left"/>
      </w:pPr>
      <w:r>
        <w:rPr>
          <w:spacing w:val="-2"/>
        </w:rPr>
        <w:t>人由董事会审计委员会提名，董事会任免。内部审计机构对审计委员会负责，向审计委员会报告工作，对公司及所属的经营</w:t>
      </w:r>
      <w:r>
        <w:rPr>
          <w:spacing w:val="-65"/>
        </w:rPr>
        <w:t> </w:t>
      </w:r>
      <w:r>
        <w:rPr>
          <w:spacing w:val="-65"/>
        </w:rPr>
      </w:r>
      <w:r>
        <w:rPr/>
        <w:t>管理活动进行审计监督。</w:t>
      </w:r>
    </w:p>
    <w:p>
      <w:pPr>
        <w:pStyle w:val="BodyText"/>
        <w:spacing w:line="316" w:lineRule="auto" w:before="59"/>
        <w:ind w:right="114" w:firstLine="288"/>
        <w:jc w:val="left"/>
      </w:pPr>
      <w:r>
        <w:rPr/>
        <w:t>审计室负责组织实施公司内部审计制度，对公司财务计划、成本计划或公司预算的执行和决算情况，财务收支及其有关 </w:t>
      </w:r>
      <w:r>
        <w:rPr>
          <w:spacing w:val="-4"/>
        </w:rPr>
        <w:t>的经济活动，生产、经营、开发的经济效益和资产保值增值情况，建设项目概预算和决算情况、经济合同的签订及履行情况、</w:t>
      </w:r>
      <w:r>
        <w:rPr>
          <w:spacing w:val="-41"/>
        </w:rPr>
        <w:t> </w:t>
      </w:r>
      <w:r>
        <w:rPr>
          <w:spacing w:val="-41"/>
        </w:rPr>
      </w:r>
      <w:r>
        <w:rPr>
          <w:spacing w:val="-2"/>
        </w:rPr>
        <w:t>内部控制制度等事项的合法性、合规性、真实性和完整性进行审计监督，负责监督检查公司董事会各项经营决策的贯彻执行</w:t>
      </w:r>
      <w:r>
        <w:rPr>
          <w:spacing w:val="-66"/>
        </w:rPr>
        <w:t> </w:t>
      </w:r>
      <w:r>
        <w:rPr>
          <w:spacing w:val="-66"/>
        </w:rPr>
      </w:r>
      <w:r>
        <w:rPr/>
        <w:t>情况，确定反舞弊的重点领域、关键环节和主要内容，并在内部审计过程中合理关注和检查可能存在的舞弊行为。</w:t>
      </w:r>
    </w:p>
    <w:p>
      <w:pPr>
        <w:pStyle w:val="BodyText"/>
        <w:spacing w:line="240" w:lineRule="auto" w:before="57"/>
        <w:ind w:right="114"/>
        <w:jc w:val="left"/>
      </w:pPr>
      <w:r>
        <w:rPr/>
        <w:t>公司治理的实际状况与中国证监会发布的有关上市公司治理的规范性文件是否存在重大差异</w:t>
      </w:r>
    </w:p>
    <w:p>
      <w:pPr>
        <w:pStyle w:val="BodyText"/>
        <w:spacing w:line="340" w:lineRule="auto" w:before="118"/>
        <w:ind w:right="26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114"/>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3" w:right="114"/>
        <w:jc w:val="left"/>
      </w:pPr>
      <w:r>
        <w:rPr/>
        <w:t>公司与控股股东在业务、人员、资产、机构、财务等方面完全分开，具有独立完整的业务及自主经营能力。</w:t>
      </w:r>
    </w:p>
    <w:p>
      <w:pPr>
        <w:pStyle w:val="BodyText"/>
        <w:spacing w:line="300" w:lineRule="auto" w:before="117"/>
        <w:ind w:right="215" w:firstLine="346"/>
        <w:jc w:val="left"/>
      </w:pPr>
      <w:r>
        <w:rPr>
          <w:rFonts w:ascii="Times New Roman" w:hAnsi="Times New Roman" w:cs="Times New Roman" w:eastAsia="Times New Roman" w:hint="default"/>
          <w:b/>
          <w:bCs/>
        </w:rPr>
        <w:t>1</w:t>
      </w:r>
      <w:r>
        <w:rPr>
          <w:rFonts w:ascii="宋体" w:hAnsi="宋体" w:cs="宋体" w:eastAsia="宋体" w:hint="default"/>
          <w:b/>
          <w:bCs/>
        </w:rPr>
        <w:t>、业务：</w:t>
      </w:r>
      <w:r>
        <w:rPr/>
        <w:t>公司业务结构完整，自主独立经营，不依赖于控股股东或其他任何关联方，与控股股东、实际控制人及其控 制的其他企业间不存在同业竞争或者显失公平的关联交易，也不存在控股股东直接或间接干预公司经营运作的情形。</w:t>
      </w:r>
    </w:p>
    <w:p>
      <w:pPr>
        <w:pStyle w:val="BodyText"/>
        <w:spacing w:line="300" w:lineRule="auto" w:before="72"/>
        <w:ind w:right="215" w:firstLine="346"/>
        <w:jc w:val="left"/>
      </w:pPr>
      <w:r>
        <w:rPr>
          <w:rFonts w:ascii="Times New Roman" w:hAnsi="Times New Roman" w:cs="Times New Roman" w:eastAsia="Times New Roman" w:hint="default"/>
          <w:b/>
          <w:bCs/>
        </w:rPr>
        <w:t>2</w:t>
      </w:r>
      <w:r>
        <w:rPr>
          <w:rFonts w:ascii="宋体" w:hAnsi="宋体" w:cs="宋体" w:eastAsia="宋体" w:hint="default"/>
          <w:b/>
          <w:bCs/>
        </w:rPr>
        <w:t>、人员：</w:t>
      </w:r>
      <w:r>
        <w:rPr/>
        <w:t>公司在劳动、人事及工资等方面均完全独立于控股股东。公司董事长、总裁、副总裁、董事会秘书、财务负 责人等人员均在公司领取薪酬，未在控股股东及其下属企业担任董事、监事以外的任何职务。</w:t>
      </w:r>
    </w:p>
    <w:p>
      <w:pPr>
        <w:pStyle w:val="BodyText"/>
        <w:spacing w:line="309" w:lineRule="auto" w:before="70"/>
        <w:ind w:right="215" w:firstLine="346"/>
        <w:jc w:val="both"/>
      </w:pPr>
      <w:r>
        <w:rPr>
          <w:rFonts w:ascii="Times New Roman" w:hAnsi="Times New Roman" w:cs="Times New Roman" w:eastAsia="Times New Roman" w:hint="default"/>
          <w:b/>
          <w:bCs/>
        </w:rPr>
        <w:t>3</w:t>
      </w:r>
      <w:r>
        <w:rPr>
          <w:rFonts w:ascii="宋体" w:hAnsi="宋体" w:cs="宋体" w:eastAsia="宋体" w:hint="default"/>
          <w:b/>
          <w:bCs/>
        </w:rPr>
        <w:t>、资产：</w:t>
      </w:r>
      <w:r>
        <w:rPr/>
        <w:t>公司拥有独立于控股股东的生产经营场所，拥有独立完整的资产结构，拥有独立的生产系统、辅助生产系统 </w:t>
      </w:r>
      <w:r>
        <w:rPr>
          <w:spacing w:val="-2"/>
        </w:rPr>
        <w:t>和配套设施、土地使用权、房屋所有权等资产，拥有独立的采购和销售系统，对所有资产拥有完全的控制支配权，不存在资</w:t>
      </w:r>
      <w:r>
        <w:rPr>
          <w:spacing w:val="-67"/>
        </w:rPr>
        <w:t> </w:t>
      </w:r>
      <w:r>
        <w:rPr>
          <w:spacing w:val="-67"/>
        </w:rPr>
      </w:r>
      <w:r>
        <w:rPr/>
        <w:t>产、资金被控股股东、实际控制人及其控制的其他企业违规占用而损害公司利益的情况。</w:t>
      </w:r>
    </w:p>
    <w:p>
      <w:pPr>
        <w:pStyle w:val="BodyText"/>
        <w:spacing w:line="240" w:lineRule="auto" w:before="65"/>
        <w:ind w:left="498" w:right="114"/>
        <w:jc w:val="left"/>
      </w:pPr>
      <w:r>
        <w:rPr>
          <w:rFonts w:ascii="Times New Roman" w:hAnsi="Times New Roman" w:cs="Times New Roman" w:eastAsia="Times New Roman" w:hint="default"/>
          <w:b/>
          <w:bCs/>
        </w:rPr>
        <w:t>4</w:t>
      </w:r>
      <w:r>
        <w:rPr>
          <w:rFonts w:ascii="宋体" w:hAnsi="宋体" w:cs="宋体" w:eastAsia="宋体" w:hint="default"/>
          <w:b/>
          <w:bCs/>
        </w:rPr>
        <w:t>、机构：</w:t>
      </w:r>
      <w:r>
        <w:rPr/>
        <w:t>公司设立了健全的组织机构体系，独立运作，不存在与控股股东或其职能部门之间的从属关系。</w:t>
      </w:r>
    </w:p>
    <w:p>
      <w:pPr>
        <w:pStyle w:val="BodyText"/>
        <w:spacing w:line="300" w:lineRule="auto" w:before="103"/>
        <w:ind w:right="211" w:firstLine="350"/>
        <w:jc w:val="left"/>
      </w:pPr>
      <w:r>
        <w:rPr>
          <w:rFonts w:ascii="Times New Roman" w:hAnsi="Times New Roman" w:cs="Times New Roman" w:eastAsia="Times New Roman" w:hint="default"/>
          <w:b/>
          <w:bCs/>
        </w:rPr>
        <w:t>5</w:t>
      </w:r>
      <w:r>
        <w:rPr>
          <w:rFonts w:ascii="宋体" w:hAnsi="宋体" w:cs="宋体" w:eastAsia="宋体" w:hint="default"/>
          <w:b/>
          <w:bCs/>
        </w:rPr>
        <w:t>、财务：</w:t>
      </w:r>
      <w:r>
        <w:rPr/>
        <w:t>公司设有独立的财务会计部门，配备独立的财务会计人员，建立了独立的会计核算体系和财务管理制度，独 立进行财务决策；公司独立开设银行账户，独立纳税。</w:t>
      </w:r>
    </w:p>
    <w:p>
      <w:pPr>
        <w:spacing w:line="240" w:lineRule="auto" w:before="8"/>
        <w:rPr>
          <w:rFonts w:ascii="宋体" w:hAnsi="宋体" w:cs="宋体" w:eastAsia="宋体" w:hint="default"/>
          <w:sz w:val="21"/>
          <w:szCs w:val="21"/>
        </w:rPr>
      </w:pPr>
    </w:p>
    <w:p>
      <w:pPr>
        <w:pStyle w:val="Heading2"/>
        <w:spacing w:line="240" w:lineRule="auto"/>
        <w:ind w:right="114"/>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BodyText"/>
        <w:spacing w:line="240" w:lineRule="auto" w:before="44"/>
        <w:ind w:left="0" w:right="117"/>
        <w:jc w:val="right"/>
      </w:pPr>
      <w:r>
        <w:rPr/>
        <w:pict>
          <v:shape style="position:absolute;margin-left:54.959999pt;margin-top:-153.388321pt;width:485.65pt;height:181.1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6"/>
                    <w:gridCol w:w="708"/>
                    <w:gridCol w:w="706"/>
                    <w:gridCol w:w="2837"/>
                    <w:gridCol w:w="3121"/>
                    <w:gridCol w:w="1870"/>
                  </w:tblGrid>
                  <w:tr>
                    <w:trPr>
                      <w:trHeight w:val="713" w:hRule="exact"/>
                    </w:trPr>
                    <w:tc>
                      <w:tcPr>
                        <w:tcW w:w="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 w:right="41"/>
                          <w:jc w:val="left"/>
                          <w:rPr>
                            <w:rFonts w:ascii="宋体" w:hAnsi="宋体" w:cs="宋体" w:eastAsia="宋体" w:hint="default"/>
                            <w:sz w:val="18"/>
                            <w:szCs w:val="18"/>
                          </w:rPr>
                        </w:pPr>
                        <w:r>
                          <w:rPr>
                            <w:rFonts w:ascii="宋体" w:hAnsi="宋体" w:cs="宋体" w:eastAsia="宋体" w:hint="default"/>
                            <w:sz w:val="18"/>
                            <w:szCs w:val="18"/>
                          </w:rPr>
                          <w:t>问题 类型</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left"/>
                          <w:rPr>
                            <w:rFonts w:ascii="宋体" w:hAnsi="宋体" w:cs="宋体" w:eastAsia="宋体" w:hint="default"/>
                            <w:sz w:val="18"/>
                            <w:szCs w:val="18"/>
                          </w:rPr>
                        </w:pPr>
                        <w:r>
                          <w:rPr>
                            <w:rFonts w:ascii="宋体" w:hAnsi="宋体" w:cs="宋体" w:eastAsia="宋体" w:hint="default"/>
                            <w:sz w:val="18"/>
                            <w:szCs w:val="18"/>
                          </w:rPr>
                          <w:t>控股股 东名称</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4"/>
                          <w:jc w:val="left"/>
                          <w:rPr>
                            <w:rFonts w:ascii="宋体" w:hAnsi="宋体" w:cs="宋体" w:eastAsia="宋体" w:hint="default"/>
                            <w:sz w:val="18"/>
                            <w:szCs w:val="18"/>
                          </w:rPr>
                        </w:pPr>
                        <w:r>
                          <w:rPr>
                            <w:rFonts w:ascii="宋体" w:hAnsi="宋体" w:cs="宋体" w:eastAsia="宋体" w:hint="default"/>
                            <w:sz w:val="18"/>
                            <w:szCs w:val="18"/>
                          </w:rPr>
                          <w:t>控股股 东性质</w:t>
                        </w:r>
                      </w:p>
                    </w:tc>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问题成因</w:t>
                        </w:r>
                      </w:p>
                    </w:tc>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解决措施</w:t>
                        </w:r>
                      </w:p>
                    </w:tc>
                    <w:tc>
                      <w:tcPr>
                        <w:tcW w:w="1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工作进度及后续计划</w:t>
                        </w:r>
                      </w:p>
                    </w:tc>
                  </w:tr>
                  <w:tr>
                    <w:trPr>
                      <w:trHeight w:val="2900" w:hRule="exact"/>
                    </w:trPr>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4" w:right="60"/>
                          <w:jc w:val="left"/>
                          <w:rPr>
                            <w:rFonts w:ascii="宋体" w:hAnsi="宋体" w:cs="宋体" w:eastAsia="宋体" w:hint="default"/>
                            <w:sz w:val="18"/>
                            <w:szCs w:val="18"/>
                          </w:rPr>
                        </w:pPr>
                        <w:r>
                          <w:rPr>
                            <w:rFonts w:ascii="宋体" w:hAnsi="宋体" w:cs="宋体" w:eastAsia="宋体" w:hint="default"/>
                            <w:sz w:val="18"/>
                            <w:szCs w:val="18"/>
                          </w:rPr>
                          <w:t>同业 竞争</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信中利</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1"/>
                          <w:jc w:val="both"/>
                          <w:rPr>
                            <w:rFonts w:ascii="宋体" w:hAnsi="宋体" w:cs="宋体" w:eastAsia="宋体" w:hint="default"/>
                            <w:sz w:val="18"/>
                            <w:szCs w:val="18"/>
                          </w:rPr>
                        </w:pPr>
                        <w:r>
                          <w:rPr>
                            <w:rFonts w:ascii="宋体" w:hAnsi="宋体" w:cs="宋体" w:eastAsia="宋体" w:hint="default"/>
                            <w:sz w:val="18"/>
                            <w:szCs w:val="18"/>
                          </w:rPr>
                          <w:t>信中利与公司股权投资相关业务在 经营范围上存在重叠，与子公司喀 什中汇联银的创业投资业务、惠程 智能的股权投资、北京中汇联银及 其子公司的投资管理业务在经营范 围上存在重叠。公司及子公司上述 相关业务在中驰惠程及中源信成为 公司控股股东之前业已存在。</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both"/>
                          <w:rPr>
                            <w:rFonts w:ascii="宋体" w:hAnsi="宋体" w:cs="宋体" w:eastAsia="宋体" w:hint="default"/>
                            <w:sz w:val="18"/>
                            <w:szCs w:val="18"/>
                          </w:rPr>
                        </w:pPr>
                        <w:r>
                          <w:rPr>
                            <w:rFonts w:ascii="宋体" w:hAnsi="宋体" w:cs="宋体" w:eastAsia="宋体" w:hint="default"/>
                            <w:sz w:val="18"/>
                            <w:szCs w:val="18"/>
                          </w:rPr>
                          <w:t>相关主体已承诺在作为深圳惠程控股股 东及一致行动人、实际控制人期间，及 </w:t>
                        </w:r>
                        <w:r>
                          <w:rPr>
                            <w:rFonts w:ascii="宋体" w:hAnsi="宋体" w:cs="宋体" w:eastAsia="宋体" w:hint="default"/>
                            <w:spacing w:val="-8"/>
                            <w:sz w:val="18"/>
                            <w:szCs w:val="18"/>
                          </w:rPr>
                          <w:t>上述期间届满（或终止）后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月内不会 直接或间接从事或参与任何与深圳惠程 及其下属企业构成竞争的任何业务或活 动，不以任何方式从事或参与任何与深 圳惠程及其下属企业业务相同、相似或 可能取代深圳惠程及其下属企业业务的 活动。</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both"/>
                          <w:rPr>
                            <w:rFonts w:ascii="宋体" w:hAnsi="宋体" w:cs="宋体" w:eastAsia="宋体" w:hint="default"/>
                            <w:sz w:val="18"/>
                            <w:szCs w:val="18"/>
                          </w:rPr>
                        </w:pPr>
                        <w:r>
                          <w:rPr>
                            <w:rFonts w:ascii="宋体" w:hAnsi="宋体" w:cs="宋体" w:eastAsia="宋体" w:hint="default"/>
                            <w:sz w:val="18"/>
                            <w:szCs w:val="18"/>
                          </w:rPr>
                          <w:t>公司已于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日在巨潮资讯网</w:t>
                        </w:r>
                      </w:p>
                      <w:p>
                        <w:pPr>
                          <w:pStyle w:val="TableParagraph"/>
                          <w:spacing w:line="314" w:lineRule="auto" w:before="63"/>
                          <w:ind w:left="23" w:right="23"/>
                          <w:jc w:val="both"/>
                          <w:rPr>
                            <w:rFonts w:ascii="宋体" w:hAnsi="宋体" w:cs="宋体" w:eastAsia="宋体" w:hint="default"/>
                            <w:sz w:val="18"/>
                            <w:szCs w:val="18"/>
                          </w:rPr>
                        </w:pPr>
                        <w:r>
                          <w:rPr>
                            <w:rFonts w:ascii="宋体" w:hAnsi="宋体" w:cs="宋体" w:eastAsia="宋体" w:hint="default"/>
                            <w:spacing w:val="-1"/>
                            <w:sz w:val="18"/>
                            <w:szCs w:val="18"/>
                          </w:rPr>
                          <w:t>（</w:t>
                        </w:r>
                        <w:hyperlink r:id="rId15">
                          <w:r>
                            <w:rPr>
                              <w:rFonts w:ascii="Times New Roman" w:hAnsi="Times New Roman" w:cs="Times New Roman" w:eastAsia="Times New Roman" w:hint="default"/>
                              <w:spacing w:val="-1"/>
                              <w:sz w:val="18"/>
                              <w:szCs w:val="18"/>
                            </w:rPr>
                            <w:t>www.cninfo.com.cn</w:t>
                          </w:r>
                        </w:hyperlink>
                        <w:r>
                          <w:rPr>
                            <w:rFonts w:ascii="宋体" w:hAnsi="宋体" w:cs="宋体" w:eastAsia="宋体" w:hint="default"/>
                            <w:spacing w:val="-1"/>
                            <w:sz w:val="18"/>
                            <w:szCs w:val="18"/>
                          </w:rPr>
                          <w:t>）</w:t>
                        </w:r>
                        <w:r>
                          <w:rPr>
                            <w:rFonts w:ascii="宋体" w:hAnsi="宋体" w:cs="宋体" w:eastAsia="宋体" w:hint="default"/>
                            <w:sz w:val="18"/>
                            <w:szCs w:val="18"/>
                          </w:rPr>
                          <w:t> 上披露了《关于控股股 东及其一致行动人、实 际控制人避免同业竞争 承诺履行情况的公告》</w:t>
                        </w:r>
                      </w:p>
                      <w:p>
                        <w:pPr>
                          <w:pStyle w:val="TableParagraph"/>
                          <w:spacing w:line="240" w:lineRule="auto" w:before="21"/>
                          <w:ind w:left="23" w:right="0"/>
                          <w:jc w:val="both"/>
                          <w:rPr>
                            <w:rFonts w:ascii="Times New Roman" w:hAnsi="Times New Roman" w:cs="Times New Roman" w:eastAsia="Times New Roman" w:hint="default"/>
                            <w:sz w:val="18"/>
                            <w:szCs w:val="18"/>
                          </w:rPr>
                        </w:pP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2017-060</w:t>
                        </w:r>
                      </w:p>
                    </w:tc>
                  </w:tr>
                </w:tbl>
                <w:p>
                  <w:pPr/>
                </w:p>
              </w:txbxContent>
            </v:textbox>
            <w10:wrap type="none"/>
          </v:shape>
        </w:pict>
      </w:r>
      <w:r>
        <w:rPr/>
        <w:t>）</w:t>
      </w:r>
    </w:p>
    <w:p>
      <w:pPr>
        <w:spacing w:after="0" w:line="240" w:lineRule="auto"/>
        <w:jc w:val="right"/>
        <w:sectPr>
          <w:pgSz w:w="11910" w:h="16840"/>
          <w:pgMar w:header="877" w:footer="979" w:top="1100" w:bottom="1160" w:left="980" w:right="920"/>
        </w:sectPr>
      </w:pPr>
    </w:p>
    <w:p>
      <w:pPr>
        <w:spacing w:line="240" w:lineRule="auto" w:before="10"/>
        <w:rPr>
          <w:rFonts w:ascii="宋体" w:hAnsi="宋体" w:cs="宋体" w:eastAsia="宋体" w:hint="default"/>
          <w:sz w:val="19"/>
          <w:szCs w:val="19"/>
        </w:rPr>
      </w:pPr>
    </w:p>
    <w:p>
      <w:pPr>
        <w:pStyle w:val="Heading2"/>
        <w:spacing w:line="240" w:lineRule="auto" w:before="26"/>
        <w:ind w:right="114"/>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4"/>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BodyText"/>
        <w:spacing w:line="240" w:lineRule="auto" w:before="44"/>
        <w:ind w:left="0" w:right="117"/>
        <w:jc w:val="right"/>
      </w:pPr>
      <w:r>
        <w:rPr/>
        <w:pict>
          <v:shape style="position:absolute;margin-left:54.959999pt;margin-top:-87.728279pt;width:485.65pt;height:214.75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33"/>
                    <w:gridCol w:w="898"/>
                    <w:gridCol w:w="826"/>
                    <w:gridCol w:w="1585"/>
                    <w:gridCol w:w="1702"/>
                    <w:gridCol w:w="3855"/>
                  </w:tblGrid>
                  <w:tr>
                    <w:trPr>
                      <w:trHeight w:val="715" w:hRule="exact"/>
                    </w:trPr>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9" w:right="47" w:hanging="92"/>
                          <w:jc w:val="left"/>
                          <w:rPr>
                            <w:rFonts w:ascii="宋体" w:hAnsi="宋体" w:cs="宋体" w:eastAsia="宋体" w:hint="default"/>
                            <w:sz w:val="18"/>
                            <w:szCs w:val="18"/>
                          </w:rPr>
                        </w:pPr>
                        <w:r>
                          <w:rPr>
                            <w:rFonts w:ascii="宋体" w:hAnsi="宋体" w:cs="宋体" w:eastAsia="宋体" w:hint="default"/>
                            <w:sz w:val="18"/>
                            <w:szCs w:val="18"/>
                          </w:rPr>
                          <w:t>投资者参 与比例</w:t>
                        </w:r>
                      </w:p>
                    </w:tc>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3"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39"/>
                          <w:jc w:val="left"/>
                          <w:rPr>
                            <w:rFonts w:ascii="宋体" w:hAnsi="宋体" w:cs="宋体" w:eastAsia="宋体" w:hint="default"/>
                            <w:sz w:val="18"/>
                            <w:szCs w:val="18"/>
                          </w:rPr>
                        </w:pPr>
                        <w:r>
                          <w:rPr>
                            <w:rFonts w:ascii="宋体" w:hAnsi="宋体" w:cs="宋体" w:eastAsia="宋体" w:hint="default"/>
                            <w:sz w:val="18"/>
                            <w:szCs w:val="18"/>
                          </w:rPr>
                          <w:t>年度股东 大会</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17.04%</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巨潮资讯网（</w:t>
                        </w:r>
                        <w:hyperlink r:id="rId15">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3"/>
                              <w:sz w:val="18"/>
                              <w:szCs w:val="18"/>
                            </w:rPr>
                            <w:t>n</w:t>
                          </w:r>
                        </w:hyperlink>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 股东大会决议公告</w:t>
                        </w:r>
                        <w:r>
                          <w:rPr>
                            <w:rFonts w:ascii="宋体" w:hAnsi="宋体" w:cs="宋体" w:eastAsia="宋体" w:hint="default"/>
                            <w:spacing w:val="-92"/>
                            <w:sz w:val="18"/>
                            <w:szCs w:val="18"/>
                          </w:rPr>
                          <w:t>》</w:t>
                        </w:r>
                        <w:r>
                          <w:rPr>
                            <w:rFonts w:ascii="宋体" w:hAnsi="宋体" w:cs="宋体" w:eastAsia="宋体" w:hint="default"/>
                            <w:sz w:val="18"/>
                            <w:szCs w:val="18"/>
                          </w:rPr>
                          <w:t>（公告编</w:t>
                        </w:r>
                        <w:r>
                          <w:rPr>
                            <w:rFonts w:ascii="宋体" w:hAnsi="宋体" w:cs="宋体" w:eastAsia="宋体" w:hint="default"/>
                            <w:spacing w:val="2"/>
                            <w:sz w:val="18"/>
                            <w:szCs w:val="18"/>
                          </w:rPr>
                          <w:t>号</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032</w:t>
                        </w:r>
                        <w:r>
                          <w:rPr>
                            <w:rFonts w:ascii="宋体" w:hAnsi="宋体" w:cs="宋体" w:eastAsia="宋体" w:hint="default"/>
                            <w:sz w:val="18"/>
                            <w:szCs w:val="18"/>
                          </w:rPr>
                          <w:t>）</w:t>
                        </w:r>
                      </w:p>
                    </w:tc>
                  </w:tr>
                  <w:tr>
                    <w:trPr>
                      <w:trHeight w:val="715"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 一次</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39"/>
                          <w:jc w:val="left"/>
                          <w:rPr>
                            <w:rFonts w:ascii="宋体" w:hAnsi="宋体" w:cs="宋体" w:eastAsia="宋体" w:hint="default"/>
                            <w:sz w:val="18"/>
                            <w:szCs w:val="18"/>
                          </w:rPr>
                        </w:pPr>
                        <w:r>
                          <w:rPr>
                            <w:rFonts w:ascii="宋体" w:hAnsi="宋体" w:cs="宋体" w:eastAsia="宋体" w:hint="default"/>
                            <w:sz w:val="18"/>
                            <w:szCs w:val="18"/>
                          </w:rPr>
                          <w:t>临时股东 大会</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16.97%</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67"/>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5">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3"/>
                              <w:sz w:val="18"/>
                              <w:szCs w:val="18"/>
                            </w:rPr>
                            <w:t>n</w:t>
                          </w:r>
                        </w:hyperlink>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 次临时股东大会决议公告</w:t>
                        </w:r>
                        <w:r>
                          <w:rPr>
                            <w:rFonts w:ascii="宋体" w:hAnsi="宋体" w:cs="宋体" w:eastAsia="宋体" w:hint="default"/>
                            <w:spacing w:val="-157"/>
                            <w:sz w:val="18"/>
                            <w:szCs w:val="18"/>
                          </w:rPr>
                          <w:t>》</w:t>
                        </w:r>
                        <w:r>
                          <w:rPr>
                            <w:rFonts w:ascii="宋体" w:hAnsi="宋体" w:cs="宋体" w:eastAsia="宋体" w:hint="default"/>
                            <w:sz w:val="18"/>
                            <w:szCs w:val="18"/>
                          </w:rPr>
                          <w:t>（公告编号</w:t>
                        </w:r>
                        <w:r>
                          <w:rPr>
                            <w:rFonts w:ascii="宋体" w:hAnsi="宋体" w:cs="宋体" w:eastAsia="宋体" w:hint="default"/>
                            <w:spacing w:val="-65"/>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17</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5</w:t>
                        </w:r>
                      </w:p>
                    </w:tc>
                  </w:tr>
                  <w:tr>
                    <w:trPr>
                      <w:trHeight w:val="713"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 二次</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39"/>
                          <w:jc w:val="left"/>
                          <w:rPr>
                            <w:rFonts w:ascii="宋体" w:hAnsi="宋体" w:cs="宋体" w:eastAsia="宋体" w:hint="default"/>
                            <w:sz w:val="18"/>
                            <w:szCs w:val="18"/>
                          </w:rPr>
                        </w:pPr>
                        <w:r>
                          <w:rPr>
                            <w:rFonts w:ascii="宋体" w:hAnsi="宋体" w:cs="宋体" w:eastAsia="宋体" w:hint="default"/>
                            <w:sz w:val="18"/>
                            <w:szCs w:val="18"/>
                          </w:rPr>
                          <w:t>临时股东 大会</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17.68%</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67"/>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5">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3"/>
                              <w:sz w:val="18"/>
                              <w:szCs w:val="18"/>
                            </w:rPr>
                            <w:t>n</w:t>
                          </w:r>
                        </w:hyperlink>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 次临时股东大会决议公告</w:t>
                        </w:r>
                        <w:r>
                          <w:rPr>
                            <w:rFonts w:ascii="宋体" w:hAnsi="宋体" w:cs="宋体" w:eastAsia="宋体" w:hint="default"/>
                            <w:spacing w:val="-154"/>
                            <w:sz w:val="18"/>
                            <w:szCs w:val="18"/>
                          </w:rPr>
                          <w:t>》</w:t>
                        </w:r>
                        <w:r>
                          <w:rPr>
                            <w:rFonts w:ascii="宋体" w:hAnsi="宋体" w:cs="宋体" w:eastAsia="宋体" w:hint="default"/>
                            <w:sz w:val="18"/>
                            <w:szCs w:val="18"/>
                          </w:rPr>
                          <w:t>（公告编号</w:t>
                        </w:r>
                        <w:r>
                          <w:rPr>
                            <w:rFonts w:ascii="宋体" w:hAnsi="宋体" w:cs="宋体" w:eastAsia="宋体" w:hint="default"/>
                            <w:spacing w:val="-6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p>
                    </w:tc>
                  </w:tr>
                  <w:tr>
                    <w:trPr>
                      <w:trHeight w:val="715"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 三次</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39"/>
                          <w:jc w:val="left"/>
                          <w:rPr>
                            <w:rFonts w:ascii="宋体" w:hAnsi="宋体" w:cs="宋体" w:eastAsia="宋体" w:hint="default"/>
                            <w:sz w:val="18"/>
                            <w:szCs w:val="18"/>
                          </w:rPr>
                        </w:pPr>
                        <w:r>
                          <w:rPr>
                            <w:rFonts w:ascii="宋体" w:hAnsi="宋体" w:cs="宋体" w:eastAsia="宋体" w:hint="default"/>
                            <w:sz w:val="18"/>
                            <w:szCs w:val="18"/>
                          </w:rPr>
                          <w:t>临时股东 大会</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31.75%</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67"/>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5">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3"/>
                              <w:sz w:val="18"/>
                              <w:szCs w:val="18"/>
                            </w:rPr>
                            <w:t>n</w:t>
                          </w:r>
                        </w:hyperlink>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 次临时股东大会决议公告</w:t>
                        </w:r>
                        <w:r>
                          <w:rPr>
                            <w:rFonts w:ascii="宋体" w:hAnsi="宋体" w:cs="宋体" w:eastAsia="宋体" w:hint="default"/>
                            <w:spacing w:val="-157"/>
                            <w:sz w:val="18"/>
                            <w:szCs w:val="18"/>
                          </w:rPr>
                          <w:t>》</w:t>
                        </w:r>
                        <w:r>
                          <w:rPr>
                            <w:rFonts w:ascii="宋体" w:hAnsi="宋体" w:cs="宋体" w:eastAsia="宋体" w:hint="default"/>
                            <w:sz w:val="18"/>
                            <w:szCs w:val="18"/>
                          </w:rPr>
                          <w:t>（公告编号</w:t>
                        </w:r>
                        <w:r>
                          <w:rPr>
                            <w:rFonts w:ascii="宋体" w:hAnsi="宋体" w:cs="宋体" w:eastAsia="宋体" w:hint="default"/>
                            <w:spacing w:val="-65"/>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17</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4</w:t>
                        </w:r>
                      </w:p>
                    </w:tc>
                  </w:tr>
                  <w:tr>
                    <w:trPr>
                      <w:trHeight w:val="713"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 四次</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39"/>
                          <w:jc w:val="left"/>
                          <w:rPr>
                            <w:rFonts w:ascii="宋体" w:hAnsi="宋体" w:cs="宋体" w:eastAsia="宋体" w:hint="default"/>
                            <w:sz w:val="18"/>
                            <w:szCs w:val="18"/>
                          </w:rPr>
                        </w:pPr>
                        <w:r>
                          <w:rPr>
                            <w:rFonts w:ascii="宋体" w:hAnsi="宋体" w:cs="宋体" w:eastAsia="宋体" w:hint="default"/>
                            <w:sz w:val="18"/>
                            <w:szCs w:val="18"/>
                          </w:rPr>
                          <w:t>临时股东 大会</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18.17%</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67"/>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5">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3"/>
                              <w:sz w:val="18"/>
                              <w:szCs w:val="18"/>
                            </w:rPr>
                            <w:t>n</w:t>
                          </w:r>
                        </w:hyperlink>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 次临时股东大会决议公告</w:t>
                        </w:r>
                        <w:r>
                          <w:rPr>
                            <w:rFonts w:ascii="宋体" w:hAnsi="宋体" w:cs="宋体" w:eastAsia="宋体" w:hint="default"/>
                            <w:spacing w:val="-157"/>
                            <w:sz w:val="18"/>
                            <w:szCs w:val="18"/>
                          </w:rPr>
                          <w:t>》</w:t>
                        </w:r>
                        <w:r>
                          <w:rPr>
                            <w:rFonts w:ascii="宋体" w:hAnsi="宋体" w:cs="宋体" w:eastAsia="宋体" w:hint="default"/>
                            <w:sz w:val="18"/>
                            <w:szCs w:val="18"/>
                          </w:rPr>
                          <w:t>（公告编号</w:t>
                        </w:r>
                        <w:r>
                          <w:rPr>
                            <w:rFonts w:ascii="宋体" w:hAnsi="宋体" w:cs="宋体" w:eastAsia="宋体" w:hint="default"/>
                            <w:spacing w:val="-65"/>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17</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8</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ind w:left="0" w:right="117"/>
        <w:jc w:val="right"/>
      </w:pPr>
      <w:r>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ind w:left="0" w:right="117"/>
        <w:jc w:val="right"/>
      </w:pPr>
      <w:r>
        <w:rPr/>
        <w:t>）</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ind w:left="0" w:right="117"/>
        <w:jc w:val="right"/>
      </w:pPr>
      <w:r>
        <w:rPr/>
        <w:t>）</w:t>
      </w:r>
    </w:p>
    <w:p>
      <w:pPr>
        <w:spacing w:line="240" w:lineRule="auto" w:before="4"/>
        <w:rPr>
          <w:rFonts w:ascii="宋体" w:hAnsi="宋体" w:cs="宋体" w:eastAsia="宋体" w:hint="default"/>
          <w:sz w:val="28"/>
          <w:szCs w:val="28"/>
        </w:rPr>
      </w:pPr>
    </w:p>
    <w:p>
      <w:pPr>
        <w:pStyle w:val="Heading3"/>
        <w:spacing w:line="240" w:lineRule="auto" w:before="36"/>
        <w:ind w:right="114"/>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114"/>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4"/>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1484"/>
        <w:gridCol w:w="1330"/>
        <w:gridCol w:w="1032"/>
        <w:gridCol w:w="1327"/>
        <w:gridCol w:w="1032"/>
        <w:gridCol w:w="833"/>
        <w:gridCol w:w="1726"/>
        <w:gridCol w:w="934"/>
      </w:tblGrid>
      <w:tr>
        <w:trPr>
          <w:trHeight w:val="402" w:hRule="exact"/>
        </w:trPr>
        <w:tc>
          <w:tcPr>
            <w:tcW w:w="9698"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714" w:hRule="exact"/>
        </w:trPr>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08" w:right="29"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51" w:right="60" w:hanging="92"/>
              <w:jc w:val="left"/>
              <w:rPr>
                <w:rFonts w:ascii="宋体" w:hAnsi="宋体" w:cs="宋体" w:eastAsia="宋体" w:hint="default"/>
                <w:sz w:val="18"/>
                <w:szCs w:val="18"/>
              </w:rPr>
            </w:pPr>
            <w:r>
              <w:rPr>
                <w:rFonts w:ascii="宋体" w:hAnsi="宋体" w:cs="宋体" w:eastAsia="宋体" w:hint="default"/>
                <w:sz w:val="18"/>
                <w:szCs w:val="18"/>
              </w:rPr>
              <w:t>现场出席董 事会次数</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08" w:right="26" w:hanging="180"/>
              <w:jc w:val="left"/>
              <w:rPr>
                <w:rFonts w:ascii="宋体" w:hAnsi="宋体" w:cs="宋体" w:eastAsia="宋体" w:hint="default"/>
                <w:sz w:val="18"/>
                <w:szCs w:val="18"/>
              </w:rPr>
            </w:pPr>
            <w:r>
              <w:rPr>
                <w:rFonts w:ascii="宋体" w:hAnsi="宋体" w:cs="宋体" w:eastAsia="宋体" w:hint="default"/>
                <w:sz w:val="18"/>
                <w:szCs w:val="18"/>
              </w:rPr>
              <w:t>以通讯方式参加 董事会次数</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51" w:right="60" w:hanging="92"/>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41" w:right="50" w:hanging="92"/>
              <w:jc w:val="left"/>
              <w:rPr>
                <w:rFonts w:ascii="宋体" w:hAnsi="宋体" w:cs="宋体" w:eastAsia="宋体" w:hint="default"/>
                <w:sz w:val="18"/>
                <w:szCs w:val="18"/>
              </w:rPr>
            </w:pPr>
            <w:r>
              <w:rPr>
                <w:rFonts w:ascii="宋体" w:hAnsi="宋体" w:cs="宋体" w:eastAsia="宋体" w:hint="default"/>
                <w:sz w:val="18"/>
                <w:szCs w:val="18"/>
              </w:rPr>
              <w:t>缺席董事 会次数</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8" w:right="46" w:hanging="180"/>
              <w:jc w:val="left"/>
              <w:rPr>
                <w:rFonts w:ascii="宋体" w:hAnsi="宋体" w:cs="宋体" w:eastAsia="宋体" w:hint="default"/>
                <w:sz w:val="18"/>
                <w:szCs w:val="18"/>
              </w:rPr>
            </w:pPr>
            <w:r>
              <w:rPr>
                <w:rFonts w:ascii="宋体" w:hAnsi="宋体" w:cs="宋体" w:eastAsia="宋体" w:hint="default"/>
                <w:sz w:val="18"/>
                <w:szCs w:val="18"/>
              </w:rPr>
              <w:t>是否连续两次未亲自 参加董事会会议</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00" w:right="101"/>
              <w:jc w:val="left"/>
              <w:rPr>
                <w:rFonts w:ascii="宋体" w:hAnsi="宋体" w:cs="宋体" w:eastAsia="宋体" w:hint="default"/>
                <w:sz w:val="18"/>
                <w:szCs w:val="18"/>
              </w:rPr>
            </w:pPr>
            <w:r>
              <w:rPr>
                <w:rFonts w:ascii="宋体" w:hAnsi="宋体" w:cs="宋体" w:eastAsia="宋体" w:hint="default"/>
                <w:sz w:val="18"/>
                <w:szCs w:val="18"/>
              </w:rPr>
              <w:t>出席股东 大会次数</w:t>
            </w:r>
          </w:p>
        </w:tc>
      </w:tr>
      <w:tr>
        <w:trPr>
          <w:trHeight w:val="401"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叶陈刚</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4"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钟晓林</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18</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17</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1</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1</w:t>
            </w:r>
          </w:p>
        </w:tc>
      </w:tr>
      <w:tr>
        <w:trPr>
          <w:trHeight w:val="715"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Key Ke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Liu</w:t>
            </w:r>
            <w:r>
              <w:rPr>
                <w:rFonts w:ascii="宋体" w:hAnsi="宋体" w:cs="宋体" w:eastAsia="宋体" w:hint="default"/>
                <w:sz w:val="18"/>
                <w:szCs w:val="18"/>
              </w:rPr>
              <w:t>（中文 名：刘科）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17</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49"/>
        <w:ind w:right="114"/>
        <w:jc w:val="left"/>
      </w:pPr>
      <w:r>
        <w:rPr/>
        <w:t>连续两次未亲自出席董事会的说明：无。</w:t>
      </w:r>
    </w:p>
    <w:p>
      <w:pPr>
        <w:spacing w:line="240" w:lineRule="auto" w:before="0"/>
        <w:rPr>
          <w:rFonts w:ascii="宋体" w:hAnsi="宋体" w:cs="宋体" w:eastAsia="宋体" w:hint="default"/>
          <w:sz w:val="18"/>
          <w:szCs w:val="18"/>
        </w:rPr>
      </w:pPr>
    </w:p>
    <w:p>
      <w:pPr>
        <w:pStyle w:val="Heading3"/>
        <w:spacing w:line="240" w:lineRule="auto" w:before="118"/>
        <w:ind w:right="114"/>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4"/>
        <w:jc w:val="left"/>
      </w:pPr>
      <w:r>
        <w:rPr/>
        <w:t>独立董事对公司有关事项是否提出异议</w:t>
      </w:r>
    </w:p>
    <w:p>
      <w:pPr>
        <w:pStyle w:val="BodyText"/>
        <w:spacing w:line="340" w:lineRule="auto" w:before="115"/>
        <w:ind w:right="60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after="0" w:line="340" w:lineRule="auto"/>
        <w:jc w:val="left"/>
        <w:sectPr>
          <w:pgSz w:w="11910" w:h="16840"/>
          <w:pgMar w:header="877" w:footer="979" w:top="1100" w:bottom="1160" w:left="980" w:right="920"/>
        </w:sectPr>
      </w:pPr>
    </w:p>
    <w:p>
      <w:pPr>
        <w:spacing w:line="240" w:lineRule="auto" w:before="12"/>
        <w:rPr>
          <w:rFonts w:ascii="宋体" w:hAnsi="宋体" w:cs="宋体" w:eastAsia="宋体" w:hint="default"/>
          <w:sz w:val="20"/>
          <w:szCs w:val="20"/>
        </w:rPr>
      </w:pPr>
    </w:p>
    <w:p>
      <w:pPr>
        <w:pStyle w:val="Heading3"/>
        <w:spacing w:line="240" w:lineRule="auto" w:before="36"/>
        <w:ind w:right="94"/>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独立董事对公司有关建议是否被采纳</w:t>
      </w:r>
    </w:p>
    <w:p>
      <w:pPr>
        <w:pStyle w:val="BodyText"/>
        <w:spacing w:line="340" w:lineRule="auto" w:before="115"/>
        <w:ind w:right="58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09" w:lineRule="auto" w:before="41"/>
        <w:ind w:right="101" w:firstLine="360"/>
        <w:jc w:val="left"/>
      </w:pPr>
      <w:r>
        <w:rPr>
          <w:spacing w:val="-2"/>
        </w:rPr>
        <w:t>公司独立董事关注公司运作，独立履行职责，对报告期内公司定期报告、回购注销</w:t>
      </w:r>
      <w:r>
        <w:rPr>
          <w:rFonts w:ascii="Times New Roman" w:hAnsi="Times New Roman" w:cs="Times New Roman" w:eastAsia="Times New Roman" w:hint="default"/>
          <w:spacing w:val="-2"/>
        </w:rPr>
        <w:t>2015</w:t>
      </w:r>
      <w:r>
        <w:rPr>
          <w:spacing w:val="-2"/>
        </w:rPr>
        <w:t>年两期股权激励计划部分限制性</w:t>
      </w:r>
      <w:r>
        <w:rPr/>
        <w:t> </w:t>
      </w:r>
      <w:r>
        <w:rPr>
          <w:spacing w:val="-2"/>
        </w:rPr>
        <w:t>股票和股票期权、坏账核销、重大资产购买暨关联交易、孙公司向关联方租赁办公场所、处置公司房产、产业并购基金三次</w:t>
      </w:r>
      <w:r>
        <w:rPr>
          <w:spacing w:val="-66"/>
        </w:rPr>
        <w:t> </w:t>
      </w:r>
      <w:r>
        <w:rPr>
          <w:spacing w:val="-66"/>
        </w:rPr>
      </w:r>
      <w:r>
        <w:rPr>
          <w:spacing w:val="-1"/>
        </w:rPr>
        <w:t>处置投资项目、</w:t>
      </w:r>
      <w:r>
        <w:rPr>
          <w:rFonts w:ascii="Times New Roman" w:hAnsi="Times New Roman" w:cs="Times New Roman" w:eastAsia="Times New Roman" w:hint="default"/>
          <w:spacing w:val="-1"/>
        </w:rPr>
        <w:t>2015</w:t>
      </w:r>
      <w:r>
        <w:rPr>
          <w:spacing w:val="-1"/>
        </w:rPr>
        <w:t>年两期股权激励计划授予的预留限制性股票与股票期权第一期解锁</w:t>
      </w:r>
      <w:r>
        <w:rPr>
          <w:rFonts w:ascii="Times New Roman" w:hAnsi="Times New Roman" w:cs="Times New Roman" w:eastAsia="Times New Roman" w:hint="default"/>
          <w:spacing w:val="-1"/>
        </w:rPr>
        <w:t>/</w:t>
      </w:r>
      <w:r>
        <w:rPr>
          <w:spacing w:val="-1"/>
        </w:rPr>
        <w:t>行权、董事会及高级管理人员换届、</w:t>
      </w:r>
      <w:r>
        <w:rPr>
          <w:spacing w:val="-79"/>
        </w:rPr>
        <w:t> </w:t>
      </w:r>
      <w:r>
        <w:rPr>
          <w:spacing w:val="-79"/>
        </w:rPr>
      </w:r>
      <w:r>
        <w:rPr>
          <w:spacing w:val="-2"/>
        </w:rPr>
        <w:t>新一届董事监事及高管薪酬、子公司对外转让所持股权等事项发表了同意的独立意见，对完善公司治理结构、维护公司及全</w:t>
      </w:r>
      <w:r>
        <w:rPr>
          <w:spacing w:val="-63"/>
        </w:rPr>
        <w:t> </w:t>
      </w:r>
      <w:r>
        <w:rPr>
          <w:spacing w:val="-63"/>
        </w:rPr>
      </w:r>
      <w:r>
        <w:rPr/>
        <w:t>体股东的权益发挥了积极的作用。</w:t>
      </w:r>
    </w:p>
    <w:p>
      <w:pPr>
        <w:spacing w:line="240" w:lineRule="auto" w:before="4"/>
        <w:rPr>
          <w:rFonts w:ascii="宋体" w:hAnsi="宋体" w:cs="宋体" w:eastAsia="宋体" w:hint="default"/>
          <w:sz w:val="21"/>
          <w:szCs w:val="21"/>
        </w:rPr>
      </w:pPr>
    </w:p>
    <w:p>
      <w:pPr>
        <w:pStyle w:val="Heading2"/>
        <w:spacing w:line="240" w:lineRule="auto"/>
        <w:ind w:right="94"/>
        <w:jc w:val="left"/>
        <w:rPr>
          <w:b w:val="0"/>
          <w:bCs w:val="0"/>
        </w:rPr>
      </w:pPr>
      <w:r>
        <w:rPr/>
        <w:t>六、董事会下设专门委员会在报告期内履行职责情况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4"/>
        <w:jc w:val="left"/>
      </w:pPr>
      <w:r>
        <w:rPr>
          <w:rFonts w:ascii="Times New Roman" w:hAnsi="Times New Roman" w:cs="Times New Roman" w:eastAsia="Times New Roman" w:hint="default"/>
        </w:rPr>
        <w:t>1</w:t>
      </w:r>
      <w:r>
        <w:rPr/>
        <w:t>、报告期内公司董事会战略委员会未召开会议。</w:t>
      </w:r>
    </w:p>
    <w:p>
      <w:pPr>
        <w:pStyle w:val="BodyText"/>
        <w:spacing w:line="300" w:lineRule="auto" w:before="63"/>
        <w:ind w:right="192" w:firstLine="360"/>
        <w:jc w:val="both"/>
      </w:pPr>
      <w:r>
        <w:rPr>
          <w:rFonts w:ascii="Times New Roman" w:hAnsi="Times New Roman" w:cs="Times New Roman" w:eastAsia="Times New Roman" w:hint="default"/>
          <w:spacing w:val="-2"/>
        </w:rPr>
        <w:t>2</w:t>
      </w:r>
      <w:r>
        <w:rPr>
          <w:spacing w:val="-2"/>
        </w:rPr>
        <w:t>、报告期内公司董事会审计委员会召开了</w:t>
      </w:r>
      <w:r>
        <w:rPr>
          <w:rFonts w:ascii="Times New Roman" w:hAnsi="Times New Roman" w:cs="Times New Roman" w:eastAsia="Times New Roman" w:hint="default"/>
          <w:spacing w:val="-2"/>
        </w:rPr>
        <w:t>5</w:t>
      </w:r>
      <w:r>
        <w:rPr>
          <w:spacing w:val="-2"/>
        </w:rPr>
        <w:t>次会议，审议公司审计室提交的各项内部审计报告，听取审计室年度工作总</w:t>
      </w:r>
      <w:r>
        <w:rPr/>
        <w:t> 结和工作计划安排，指导审计室开展各项工作，围绕定期报告审计开展各项工作，相关议案已提交公司董事会审议。</w:t>
      </w:r>
    </w:p>
    <w:p>
      <w:pPr>
        <w:pStyle w:val="BodyText"/>
        <w:spacing w:line="300" w:lineRule="auto" w:before="31"/>
        <w:ind w:right="190" w:firstLine="360"/>
        <w:jc w:val="both"/>
      </w:pPr>
      <w:r>
        <w:rPr>
          <w:rFonts w:ascii="Times New Roman" w:hAnsi="Times New Roman" w:cs="Times New Roman" w:eastAsia="Times New Roman" w:hint="default"/>
          <w:spacing w:val="-2"/>
        </w:rPr>
        <w:t>3</w:t>
      </w:r>
      <w:r>
        <w:rPr>
          <w:spacing w:val="-2"/>
        </w:rPr>
        <w:t>、报告期内公司董事会薪酬与考核委员会召开了</w:t>
      </w:r>
      <w:r>
        <w:rPr>
          <w:rFonts w:ascii="Times New Roman" w:hAnsi="Times New Roman" w:cs="Times New Roman" w:eastAsia="Times New Roman" w:hint="default"/>
          <w:spacing w:val="-2"/>
        </w:rPr>
        <w:t>4</w:t>
      </w:r>
      <w:r>
        <w:rPr>
          <w:spacing w:val="-2"/>
        </w:rPr>
        <w:t>次会议，审议公司</w:t>
      </w:r>
      <w:r>
        <w:rPr>
          <w:rFonts w:ascii="Times New Roman" w:hAnsi="Times New Roman" w:cs="Times New Roman" w:eastAsia="Times New Roman" w:hint="default"/>
          <w:spacing w:val="-2"/>
        </w:rPr>
        <w:t>2016</w:t>
      </w:r>
      <w:r>
        <w:rPr>
          <w:spacing w:val="-2"/>
        </w:rPr>
        <w:t>年度绩效考核报告暨年度奖金分配方案、</w:t>
      </w:r>
      <w:r>
        <w:rPr>
          <w:rFonts w:ascii="Times New Roman" w:hAnsi="Times New Roman" w:cs="Times New Roman" w:eastAsia="Times New Roman" w:hint="default"/>
          <w:spacing w:val="-2"/>
        </w:rPr>
        <w:t>2015</w:t>
      </w:r>
      <w:r>
        <w:rPr>
          <w:rFonts w:ascii="Times New Roman" w:hAnsi="Times New Roman" w:cs="Times New Roman" w:eastAsia="Times New Roman" w:hint="default"/>
        </w:rPr>
        <w:t> </w:t>
      </w:r>
      <w:r>
        <w:rPr/>
        <w:t>年两期股权激励计划授予的预留限制性股票与股票期权第一期解锁</w:t>
      </w:r>
      <w:r>
        <w:rPr>
          <w:rFonts w:ascii="Times New Roman" w:hAnsi="Times New Roman" w:cs="Times New Roman" w:eastAsia="Times New Roman" w:hint="default"/>
        </w:rPr>
        <w:t>/</w:t>
      </w:r>
      <w:r>
        <w:rPr/>
        <w:t>行权、新一届董事监事薪酬及高级管理人员薪酬方案等 事项，相关议案已提交公司董事会审议。</w:t>
      </w:r>
    </w:p>
    <w:p>
      <w:pPr>
        <w:pStyle w:val="BodyText"/>
        <w:spacing w:line="300" w:lineRule="auto" w:before="72"/>
        <w:ind w:right="192" w:firstLine="288"/>
        <w:jc w:val="both"/>
      </w:pPr>
      <w:r>
        <w:rPr>
          <w:rFonts w:ascii="Times New Roman" w:hAnsi="Times New Roman" w:cs="Times New Roman" w:eastAsia="Times New Roman" w:hint="default"/>
          <w:spacing w:val="-1"/>
        </w:rPr>
        <w:t>4</w:t>
      </w:r>
      <w:r>
        <w:rPr>
          <w:spacing w:val="-1"/>
        </w:rPr>
        <w:t>、报告期内公司董事会提名委员会召开了</w:t>
      </w:r>
      <w:r>
        <w:rPr>
          <w:rFonts w:ascii="Times New Roman" w:hAnsi="Times New Roman" w:cs="Times New Roman" w:eastAsia="Times New Roman" w:hint="default"/>
          <w:spacing w:val="-1"/>
        </w:rPr>
        <w:t>3</w:t>
      </w:r>
      <w:r>
        <w:rPr>
          <w:spacing w:val="-1"/>
        </w:rPr>
        <w:t>次会议，审议公司聘任刘扬女士担任副总裁兼董事会秘书、提名第六届董事</w:t>
      </w:r>
      <w:r>
        <w:rPr/>
        <w:t> 会成员、续聘新一届高级管理人员的议案，相关议案已提交公司董事会审议。</w:t>
      </w:r>
    </w:p>
    <w:p>
      <w:pPr>
        <w:spacing w:line="240" w:lineRule="auto" w:before="9"/>
        <w:rPr>
          <w:rFonts w:ascii="宋体" w:hAnsi="宋体" w:cs="宋体" w:eastAsia="宋体" w:hint="default"/>
          <w:sz w:val="21"/>
          <w:szCs w:val="21"/>
        </w:rPr>
      </w:pPr>
    </w:p>
    <w:p>
      <w:pPr>
        <w:pStyle w:val="Heading2"/>
        <w:spacing w:line="240" w:lineRule="auto"/>
        <w:ind w:right="94"/>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t>监事会在报告期内的监督活动中发现公司是否存在风险</w:t>
      </w:r>
    </w:p>
    <w:p>
      <w:pPr>
        <w:pStyle w:val="BodyText"/>
        <w:spacing w:line="340" w:lineRule="auto" w:before="117"/>
        <w:ind w:right="67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94"/>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90" w:firstLine="360"/>
        <w:jc w:val="both"/>
      </w:pPr>
      <w:r>
        <w:rPr>
          <w:spacing w:val="-2"/>
        </w:rPr>
        <w:t>根据《董事、监事、高级管理人员薪酬制度》，对于公司引进高管人员或对公司有杰出贡献的人员，其个人报酬由董事</w:t>
      </w:r>
      <w:r>
        <w:rPr/>
        <w:t> </w:t>
      </w:r>
      <w:r>
        <w:rPr>
          <w:spacing w:val="-2"/>
        </w:rPr>
        <w:t>会或总裁决定，公司独立董事应对该薪酬方案发表意见。高管人员的个人绩效奖金与公司经营目标挂钩，董事会薪酬与考核</w:t>
      </w:r>
      <w:r>
        <w:rPr>
          <w:spacing w:val="-63"/>
        </w:rPr>
        <w:t> </w:t>
      </w:r>
      <w:r>
        <w:rPr>
          <w:spacing w:val="-63"/>
        </w:rPr>
      </w:r>
      <w:r>
        <w:rPr/>
        <w:t>委员会根据上年生产经营计划对公司高管人员进行考核，具体确定各高管人员的绩效奖金数额及发放方式。</w:t>
      </w:r>
    </w:p>
    <w:p>
      <w:pPr>
        <w:pStyle w:val="BodyText"/>
        <w:spacing w:line="240" w:lineRule="auto" w:before="17"/>
        <w:ind w:left="513" w:right="94"/>
        <w:jc w:val="left"/>
      </w:pPr>
      <w:r>
        <w:rPr/>
        <w:t>（一）</w:t>
      </w:r>
      <w:r>
        <w:rPr>
          <w:rFonts w:ascii="Times New Roman" w:hAnsi="Times New Roman" w:cs="Times New Roman" w:eastAsia="Times New Roman" w:hint="default"/>
        </w:rPr>
        <w:t>2015</w:t>
      </w:r>
      <w:r>
        <w:rPr/>
        <w:t>年第一期股权激励计划</w:t>
      </w:r>
    </w:p>
    <w:p>
      <w:pPr>
        <w:pStyle w:val="BodyText"/>
        <w:spacing w:line="300" w:lineRule="auto" w:before="63"/>
        <w:ind w:right="196"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日，根据公司</w:t>
      </w:r>
      <w:r>
        <w:rPr>
          <w:rFonts w:ascii="Times New Roman" w:hAnsi="Times New Roman" w:cs="Times New Roman" w:eastAsia="Times New Roman" w:hint="default"/>
        </w:rPr>
        <w:t>2015</w:t>
      </w:r>
      <w:r>
        <w:rPr/>
        <w:t>年第一期股权激励计划，公司授予纪晓文、杨富年等</w:t>
      </w:r>
      <w:r>
        <w:rPr>
          <w:rFonts w:ascii="Times New Roman" w:hAnsi="Times New Roman" w:cs="Times New Roman" w:eastAsia="Times New Roman" w:hint="default"/>
        </w:rPr>
        <w:t>6</w:t>
      </w:r>
      <w:r>
        <w:rPr/>
        <w:t>名董事、高级管理人员限制性股 票共计</w:t>
      </w:r>
      <w:r>
        <w:rPr>
          <w:rFonts w:ascii="Times New Roman" w:hAnsi="Times New Roman" w:cs="Times New Roman" w:eastAsia="Times New Roman" w:hint="default"/>
        </w:rPr>
        <w:t>820</w:t>
      </w:r>
      <w:r>
        <w:rPr/>
        <w:t>万股，相关授予登记工作已于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13</w:t>
      </w:r>
      <w:r>
        <w:rPr/>
        <w:t>日完成，授予的限制性股票已于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日上市。</w:t>
      </w:r>
    </w:p>
    <w:p>
      <w:pPr>
        <w:pStyle w:val="BodyText"/>
        <w:spacing w:line="240" w:lineRule="auto" w:before="13"/>
        <w:ind w:left="513" w:right="94"/>
        <w:jc w:val="left"/>
        <w:rPr>
          <w:rFonts w:ascii="Times New Roman" w:hAnsi="Times New Roman" w:cs="Times New Roman" w:eastAsia="Times New Roman" w:hint="default"/>
        </w:rPr>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日，公司授予核心业务骨干预留限制性股票</w:t>
      </w:r>
      <w:r>
        <w:rPr>
          <w:rFonts w:ascii="Times New Roman" w:hAnsi="Times New Roman" w:cs="Times New Roman" w:eastAsia="Times New Roman" w:hint="default"/>
        </w:rPr>
        <w:t>120</w:t>
      </w:r>
      <w:r>
        <w:rPr/>
        <w:t>万股和预留股票期权</w:t>
      </w:r>
      <w:r>
        <w:rPr>
          <w:rFonts w:ascii="Times New Roman" w:hAnsi="Times New Roman" w:cs="Times New Roman" w:eastAsia="Times New Roman" w:hint="default"/>
        </w:rPr>
        <w:t>60</w:t>
      </w:r>
      <w:r>
        <w:rPr/>
        <w:t>万份，相关授予登记工作已于</w:t>
      </w:r>
      <w:r>
        <w:rPr>
          <w:rFonts w:ascii="Times New Roman" w:hAnsi="Times New Roman" w:cs="Times New Roman" w:eastAsia="Times New Roman" w:hint="default"/>
        </w:rPr>
        <w:t>2016</w:t>
      </w:r>
    </w:p>
    <w:p>
      <w:pPr>
        <w:pStyle w:val="BodyText"/>
        <w:spacing w:line="240" w:lineRule="auto" w:before="63"/>
        <w:ind w:right="94"/>
        <w:jc w:val="left"/>
      </w:pP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日完成，授予的限制性股票已于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日上市。</w:t>
      </w:r>
    </w:p>
    <w:p>
      <w:pPr>
        <w:pStyle w:val="BodyText"/>
        <w:spacing w:line="300" w:lineRule="auto" w:before="63"/>
        <w:ind w:right="191" w:firstLine="360"/>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28</w:t>
      </w:r>
      <w:r>
        <w:rPr>
          <w:spacing w:val="-2"/>
        </w:rPr>
        <w:t>日，</w:t>
      </w:r>
      <w:r>
        <w:rPr>
          <w:rFonts w:ascii="Times New Roman" w:hAnsi="Times New Roman" w:cs="Times New Roman" w:eastAsia="Times New Roman" w:hint="default"/>
          <w:spacing w:val="-2"/>
        </w:rPr>
        <w:t>2015</w:t>
      </w:r>
      <w:r>
        <w:rPr>
          <w:spacing w:val="-2"/>
        </w:rPr>
        <w:t>年第一期股权激励计划首次授予的限制性股票和股票期权第一个解锁期符合解锁条件，相关激励</w:t>
      </w:r>
      <w:r>
        <w:rPr/>
        <w:t> 对象可解锁限制性股票共计</w:t>
      </w:r>
      <w:r>
        <w:rPr>
          <w:rFonts w:ascii="Times New Roman" w:hAnsi="Times New Roman" w:cs="Times New Roman" w:eastAsia="Times New Roman" w:hint="default"/>
        </w:rPr>
        <w:t>246</w:t>
      </w:r>
      <w:r>
        <w:rPr/>
        <w:t>万股已于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日解锁上市流通。</w:t>
      </w:r>
    </w:p>
    <w:p>
      <w:pPr>
        <w:pStyle w:val="BodyText"/>
        <w:spacing w:line="300" w:lineRule="auto" w:before="13"/>
        <w:ind w:right="188" w:firstLine="36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18</w:t>
      </w:r>
      <w:r>
        <w:rPr>
          <w:spacing w:val="-1"/>
        </w:rPr>
        <w:t>日，公司董事会同意回购注销已离职激励对象纪晓文先生已获授未解锁的限制性股票</w:t>
      </w:r>
      <w:r>
        <w:rPr>
          <w:rFonts w:ascii="Times New Roman" w:hAnsi="Times New Roman" w:cs="Times New Roman" w:eastAsia="Times New Roman" w:hint="default"/>
          <w:spacing w:val="-1"/>
        </w:rPr>
        <w:t>227.5</w:t>
      </w:r>
      <w:r>
        <w:rPr>
          <w:spacing w:val="-1"/>
        </w:rPr>
        <w:t>万股，本次回购</w:t>
      </w:r>
      <w:r>
        <w:rPr/>
        <w:t> 注销事项已于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5</w:t>
      </w:r>
      <w:r>
        <w:rPr/>
        <w:t>日完成。</w:t>
      </w:r>
    </w:p>
    <w:p>
      <w:pPr>
        <w:pStyle w:val="BodyText"/>
        <w:spacing w:line="300" w:lineRule="auto" w:before="13"/>
        <w:ind w:right="100"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w:t>
      </w:r>
      <w:r>
        <w:rPr>
          <w:rFonts w:ascii="Times New Roman" w:hAnsi="Times New Roman" w:cs="Times New Roman" w:eastAsia="Times New Roman" w:hint="default"/>
        </w:rPr>
        <w:t>2015</w:t>
      </w:r>
      <w:r>
        <w:rPr/>
        <w:t>年第一期股权激励计划预留授予的限制性股票和股票期权第一个解锁</w:t>
      </w:r>
      <w:r>
        <w:rPr>
          <w:rFonts w:ascii="Times New Roman" w:hAnsi="Times New Roman" w:cs="Times New Roman" w:eastAsia="Times New Roman" w:hint="default"/>
        </w:rPr>
        <w:t>/</w:t>
      </w:r>
      <w:r>
        <w:rPr/>
        <w:t>行权期符合解锁</w:t>
      </w:r>
      <w:r>
        <w:rPr>
          <w:rFonts w:ascii="Times New Roman" w:hAnsi="Times New Roman" w:cs="Times New Roman" w:eastAsia="Times New Roman" w:hint="default"/>
        </w:rPr>
        <w:t>/</w:t>
      </w:r>
      <w:r>
        <w:rPr/>
        <w:t>行权条件， 截止本报告披露日相关激励对象可解锁限制性股票</w:t>
      </w:r>
      <w:r>
        <w:rPr>
          <w:rFonts w:ascii="Times New Roman" w:hAnsi="Times New Roman" w:cs="Times New Roman" w:eastAsia="Times New Roman" w:hint="default"/>
        </w:rPr>
        <w:t>60</w:t>
      </w:r>
      <w:r>
        <w:rPr/>
        <w:t>万股和可行权股票期权</w:t>
      </w:r>
      <w:r>
        <w:rPr>
          <w:rFonts w:ascii="Times New Roman" w:hAnsi="Times New Roman" w:cs="Times New Roman" w:eastAsia="Times New Roman" w:hint="default"/>
        </w:rPr>
        <w:t>30</w:t>
      </w:r>
      <w:r>
        <w:rPr/>
        <w:t>万份尚未解锁</w:t>
      </w:r>
      <w:r>
        <w:rPr>
          <w:rFonts w:ascii="Times New Roman" w:hAnsi="Times New Roman" w:cs="Times New Roman" w:eastAsia="Times New Roman" w:hint="default"/>
        </w:rPr>
        <w:t>/</w:t>
      </w:r>
      <w:r>
        <w:rPr/>
        <w:t>行权。</w:t>
      </w:r>
    </w:p>
    <w:p>
      <w:pPr>
        <w:spacing w:after="0" w:line="300" w:lineRule="auto"/>
        <w:jc w:val="both"/>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300" w:lineRule="auto" w:before="44"/>
        <w:ind w:right="94"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w:t>
      </w:r>
      <w:r>
        <w:rPr>
          <w:rFonts w:ascii="Times New Roman" w:hAnsi="Times New Roman" w:cs="Times New Roman" w:eastAsia="Times New Roman" w:hint="default"/>
        </w:rPr>
        <w:t>2015</w:t>
      </w:r>
      <w:r>
        <w:rPr/>
        <w:t>年第一期股权激励计划首次授予部分第三个解锁</w:t>
      </w:r>
      <w:r>
        <w:rPr>
          <w:rFonts w:ascii="Times New Roman" w:hAnsi="Times New Roman" w:cs="Times New Roman" w:eastAsia="Times New Roman" w:hint="default"/>
        </w:rPr>
        <w:t>/</w:t>
      </w:r>
      <w:r>
        <w:rPr/>
        <w:t>行权期和预留部分第二个解锁</w:t>
      </w:r>
      <w:r>
        <w:rPr>
          <w:rFonts w:ascii="Times New Roman" w:hAnsi="Times New Roman" w:cs="Times New Roman" w:eastAsia="Times New Roman" w:hint="default"/>
        </w:rPr>
        <w:t>/</w:t>
      </w:r>
      <w:r>
        <w:rPr/>
        <w:t>行权期不符合解 </w:t>
      </w:r>
      <w:r>
        <w:rPr>
          <w:spacing w:val="-1"/>
        </w:rPr>
        <w:t>锁</w:t>
      </w:r>
      <w:r>
        <w:rPr>
          <w:rFonts w:ascii="Times New Roman" w:hAnsi="Times New Roman" w:cs="Times New Roman" w:eastAsia="Times New Roman" w:hint="default"/>
          <w:spacing w:val="-1"/>
        </w:rPr>
        <w:t>/</w:t>
      </w:r>
      <w:r>
        <w:rPr>
          <w:spacing w:val="-1"/>
        </w:rPr>
        <w:t>行权条件，董事会同意回购注销激励对象相关已获授未解锁的限制性股票共计</w:t>
      </w:r>
      <w:r>
        <w:rPr>
          <w:rFonts w:ascii="Times New Roman" w:hAnsi="Times New Roman" w:cs="Times New Roman" w:eastAsia="Times New Roman" w:hint="default"/>
          <w:spacing w:val="-1"/>
        </w:rPr>
        <w:t>278</w:t>
      </w:r>
      <w:r>
        <w:rPr>
          <w:spacing w:val="-1"/>
        </w:rPr>
        <w:t>万股和相关已获授未行权股票期权</w:t>
      </w:r>
      <w:r>
        <w:rPr>
          <w:rFonts w:ascii="Times New Roman" w:hAnsi="Times New Roman" w:cs="Times New Roman" w:eastAsia="Times New Roman" w:hint="default"/>
          <w:spacing w:val="-1"/>
        </w:rPr>
        <w:t>30</w:t>
      </w:r>
      <w:r>
        <w:rPr>
          <w:spacing w:val="-1"/>
        </w:rPr>
        <w:t>万</w:t>
      </w:r>
      <w:r>
        <w:rPr>
          <w:spacing w:val="-78"/>
        </w:rPr>
        <w:t> </w:t>
      </w:r>
      <w:r>
        <w:rPr/>
        <w:t>份，截止本报告披露日本次回购注销事项尚未完成。</w:t>
      </w:r>
    </w:p>
    <w:p>
      <w:pPr>
        <w:pStyle w:val="BodyText"/>
        <w:spacing w:line="240" w:lineRule="auto" w:before="31"/>
        <w:ind w:left="513" w:right="94"/>
        <w:jc w:val="left"/>
      </w:pPr>
      <w:r>
        <w:rPr/>
        <w:t>（二）</w:t>
      </w:r>
      <w:r>
        <w:rPr>
          <w:rFonts w:ascii="Times New Roman" w:hAnsi="Times New Roman" w:cs="Times New Roman" w:eastAsia="Times New Roman" w:hint="default"/>
        </w:rPr>
        <w:t>2015</w:t>
      </w:r>
      <w:r>
        <w:rPr/>
        <w:t>年第二期股权激励计划</w:t>
      </w:r>
    </w:p>
    <w:p>
      <w:pPr>
        <w:pStyle w:val="BodyText"/>
        <w:spacing w:line="300" w:lineRule="auto" w:before="63"/>
        <w:ind w:right="191"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日，根据公司</w:t>
      </w:r>
      <w:r>
        <w:rPr>
          <w:rFonts w:ascii="Times New Roman" w:hAnsi="Times New Roman" w:cs="Times New Roman" w:eastAsia="Times New Roman" w:hint="default"/>
        </w:rPr>
        <w:t>2015</w:t>
      </w:r>
      <w:r>
        <w:rPr/>
        <w:t>年第二期股权激励计划，公司首次授予纪晓文、杨富年等</w:t>
      </w:r>
      <w:r>
        <w:rPr>
          <w:rFonts w:ascii="Times New Roman" w:hAnsi="Times New Roman" w:cs="Times New Roman" w:eastAsia="Times New Roman" w:hint="default"/>
        </w:rPr>
        <w:t>10</w:t>
      </w:r>
      <w:r>
        <w:rPr/>
        <w:t>名董事、高级管理人员及核 </w:t>
      </w:r>
      <w:r>
        <w:rPr>
          <w:spacing w:val="-1"/>
        </w:rPr>
        <w:t>心管理人员限制性股票共计</w:t>
      </w:r>
      <w:r>
        <w:rPr>
          <w:rFonts w:ascii="Times New Roman" w:hAnsi="Times New Roman" w:cs="Times New Roman" w:eastAsia="Times New Roman" w:hint="default"/>
          <w:spacing w:val="-1"/>
        </w:rPr>
        <w:t>1,570</w:t>
      </w:r>
      <w:r>
        <w:rPr>
          <w:spacing w:val="-1"/>
        </w:rPr>
        <w:t>万股和股票期权共计</w:t>
      </w:r>
      <w:r>
        <w:rPr>
          <w:rFonts w:ascii="Times New Roman" w:hAnsi="Times New Roman" w:cs="Times New Roman" w:eastAsia="Times New Roman" w:hint="default"/>
          <w:spacing w:val="-1"/>
        </w:rPr>
        <w:t>650</w:t>
      </w:r>
      <w:r>
        <w:rPr>
          <w:spacing w:val="-1"/>
        </w:rPr>
        <w:t>万份，相关授予登记工作已于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23</w:t>
      </w:r>
      <w:r>
        <w:rPr>
          <w:spacing w:val="-1"/>
        </w:rPr>
        <w:t>日完成，授予的限制性</w:t>
      </w:r>
      <w:r>
        <w:rPr>
          <w:spacing w:val="-73"/>
        </w:rPr>
        <w:t> </w:t>
      </w:r>
      <w:r>
        <w:rPr>
          <w:spacing w:val="-73"/>
        </w:rPr>
      </w:r>
      <w:r>
        <w:rPr/>
        <w:t>股票已于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日上市。</w:t>
      </w:r>
    </w:p>
    <w:p>
      <w:pPr>
        <w:pStyle w:val="BodyText"/>
        <w:spacing w:line="240" w:lineRule="auto" w:before="13"/>
        <w:ind w:left="513" w:right="94"/>
        <w:jc w:val="left"/>
        <w:rPr>
          <w:rFonts w:ascii="Times New Roman" w:hAnsi="Times New Roman" w:cs="Times New Roman" w:eastAsia="Times New Roman" w:hint="default"/>
        </w:rPr>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日，公司授予核心业务骨干预留限制性股票</w:t>
      </w:r>
      <w:r>
        <w:rPr>
          <w:rFonts w:ascii="Times New Roman" w:hAnsi="Times New Roman" w:cs="Times New Roman" w:eastAsia="Times New Roman" w:hint="default"/>
        </w:rPr>
        <w:t>120</w:t>
      </w:r>
      <w:r>
        <w:rPr/>
        <w:t>万股和预留股票期权</w:t>
      </w:r>
      <w:r>
        <w:rPr>
          <w:rFonts w:ascii="Times New Roman" w:hAnsi="Times New Roman" w:cs="Times New Roman" w:eastAsia="Times New Roman" w:hint="default"/>
        </w:rPr>
        <w:t>60</w:t>
      </w:r>
      <w:r>
        <w:rPr/>
        <w:t>万份，相关授予登记工作已于</w:t>
      </w:r>
      <w:r>
        <w:rPr>
          <w:rFonts w:ascii="Times New Roman" w:hAnsi="Times New Roman" w:cs="Times New Roman" w:eastAsia="Times New Roman" w:hint="default"/>
        </w:rPr>
        <w:t>2016</w:t>
      </w:r>
    </w:p>
    <w:p>
      <w:pPr>
        <w:pStyle w:val="BodyText"/>
        <w:spacing w:line="240" w:lineRule="auto" w:before="63"/>
        <w:ind w:right="94"/>
        <w:jc w:val="left"/>
      </w:pP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日完成，授予的限制性股票已于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日上市。</w:t>
      </w:r>
    </w:p>
    <w:p>
      <w:pPr>
        <w:pStyle w:val="BodyText"/>
        <w:spacing w:line="300" w:lineRule="auto" w:before="63"/>
        <w:ind w:right="84" w:firstLine="36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w:t>
      </w:r>
      <w:r>
        <w:rPr>
          <w:rFonts w:ascii="Times New Roman" w:hAnsi="Times New Roman" w:cs="Times New Roman" w:eastAsia="Times New Roman" w:hint="default"/>
        </w:rPr>
        <w:t>2015</w:t>
      </w:r>
      <w:r>
        <w:rPr/>
        <w:t>年第二期股权激励计划首次授予的限制性股票和股票期权第一个解锁</w:t>
      </w:r>
      <w:r>
        <w:rPr>
          <w:rFonts w:ascii="Times New Roman" w:hAnsi="Times New Roman" w:cs="Times New Roman" w:eastAsia="Times New Roman" w:hint="default"/>
        </w:rPr>
        <w:t>/</w:t>
      </w:r>
      <w:r>
        <w:rPr/>
        <w:t>行权期符合解锁</w:t>
      </w:r>
      <w:r>
        <w:rPr>
          <w:rFonts w:ascii="Times New Roman" w:hAnsi="Times New Roman" w:cs="Times New Roman" w:eastAsia="Times New Roman" w:hint="default"/>
        </w:rPr>
        <w:t>/</w:t>
      </w:r>
      <w:r>
        <w:rPr/>
        <w:t>行权条件， </w:t>
      </w:r>
      <w:r>
        <w:rPr>
          <w:spacing w:val="-2"/>
        </w:rPr>
        <w:t>相关激励对象可解锁限制性股票共计</w:t>
      </w:r>
      <w:r>
        <w:rPr>
          <w:rFonts w:ascii="Times New Roman" w:hAnsi="Times New Roman" w:cs="Times New Roman" w:eastAsia="Times New Roman" w:hint="default"/>
          <w:spacing w:val="-2"/>
        </w:rPr>
        <w:t>471</w:t>
      </w:r>
      <w:r>
        <w:rPr>
          <w:spacing w:val="-2"/>
        </w:rPr>
        <w:t>万股已于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28</w:t>
      </w:r>
      <w:r>
        <w:rPr>
          <w:spacing w:val="-2"/>
        </w:rPr>
        <w:t>日解锁上市流通，相关激励对象可行权股票期权共计</w:t>
      </w:r>
      <w:r>
        <w:rPr>
          <w:rFonts w:ascii="Times New Roman" w:hAnsi="Times New Roman" w:cs="Times New Roman" w:eastAsia="Times New Roman" w:hint="default"/>
          <w:spacing w:val="-2"/>
        </w:rPr>
        <w:t>195</w:t>
      </w:r>
      <w:r>
        <w:rPr>
          <w:spacing w:val="-2"/>
        </w:rPr>
        <w:t>万份</w:t>
      </w:r>
      <w:r>
        <w:rPr>
          <w:spacing w:val="-50"/>
        </w:rPr>
        <w:t> </w:t>
      </w:r>
      <w:r>
        <w:rPr/>
        <w:t>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日行权完毕。</w:t>
      </w:r>
    </w:p>
    <w:p>
      <w:pPr>
        <w:pStyle w:val="BodyText"/>
        <w:spacing w:line="300" w:lineRule="auto" w:before="13"/>
        <w:ind w:right="94" w:firstLine="360"/>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18</w:t>
      </w:r>
      <w:r>
        <w:rPr>
          <w:spacing w:val="-2"/>
        </w:rPr>
        <w:t>日，公司董事会同意回购注销已离职激励对象纪晓文先生已获授未解锁的限制性股票</w:t>
      </w:r>
      <w:r>
        <w:rPr>
          <w:rFonts w:ascii="Times New Roman" w:hAnsi="Times New Roman" w:cs="Times New Roman" w:eastAsia="Times New Roman" w:hint="default"/>
          <w:spacing w:val="-2"/>
        </w:rPr>
        <w:t>399</w:t>
      </w:r>
      <w:r>
        <w:rPr>
          <w:spacing w:val="-2"/>
        </w:rPr>
        <w:t>万股和已获授未行</w:t>
      </w:r>
      <w:r>
        <w:rPr/>
        <w:t> 权的股票期权</w:t>
      </w:r>
      <w:r>
        <w:rPr>
          <w:rFonts w:ascii="Times New Roman" w:hAnsi="Times New Roman" w:cs="Times New Roman" w:eastAsia="Times New Roman" w:hint="default"/>
        </w:rPr>
        <w:t>129.5</w:t>
      </w:r>
      <w:r>
        <w:rPr/>
        <w:t>万份，本次回购注销事项已于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5</w:t>
      </w:r>
      <w:r>
        <w:rPr/>
        <w:t>日完成。</w:t>
      </w:r>
    </w:p>
    <w:p>
      <w:pPr>
        <w:pStyle w:val="BodyText"/>
        <w:spacing w:line="300" w:lineRule="auto" w:before="13"/>
        <w:ind w:right="84"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w:t>
      </w:r>
      <w:r>
        <w:rPr>
          <w:rFonts w:ascii="Times New Roman" w:hAnsi="Times New Roman" w:cs="Times New Roman" w:eastAsia="Times New Roman" w:hint="default"/>
        </w:rPr>
        <w:t>2015</w:t>
      </w:r>
      <w:r>
        <w:rPr/>
        <w:t>年第二期股权激励计划预留授予的限制性股票和股票期权第一个解锁</w:t>
      </w:r>
      <w:r>
        <w:rPr>
          <w:rFonts w:ascii="Times New Roman" w:hAnsi="Times New Roman" w:cs="Times New Roman" w:eastAsia="Times New Roman" w:hint="default"/>
        </w:rPr>
        <w:t>/</w:t>
      </w:r>
      <w:r>
        <w:rPr/>
        <w:t>行权期符合解锁</w:t>
      </w:r>
      <w:r>
        <w:rPr>
          <w:rFonts w:ascii="Times New Roman" w:hAnsi="Times New Roman" w:cs="Times New Roman" w:eastAsia="Times New Roman" w:hint="default"/>
        </w:rPr>
        <w:t>/</w:t>
      </w:r>
      <w:r>
        <w:rPr/>
        <w:t>行权条件， 截止本报告披露日相关激励对象可解锁限制性股票</w:t>
      </w:r>
      <w:r>
        <w:rPr>
          <w:rFonts w:ascii="Times New Roman" w:hAnsi="Times New Roman" w:cs="Times New Roman" w:eastAsia="Times New Roman" w:hint="default"/>
        </w:rPr>
        <w:t>60</w:t>
      </w:r>
      <w:r>
        <w:rPr/>
        <w:t>万股和可行权股票期权</w:t>
      </w:r>
      <w:r>
        <w:rPr>
          <w:rFonts w:ascii="Times New Roman" w:hAnsi="Times New Roman" w:cs="Times New Roman" w:eastAsia="Times New Roman" w:hint="default"/>
        </w:rPr>
        <w:t>30</w:t>
      </w:r>
      <w:r>
        <w:rPr/>
        <w:t>万份尚未解锁</w:t>
      </w:r>
      <w:r>
        <w:rPr>
          <w:rFonts w:ascii="Times New Roman" w:hAnsi="Times New Roman" w:cs="Times New Roman" w:eastAsia="Times New Roman" w:hint="default"/>
        </w:rPr>
        <w:t>/</w:t>
      </w:r>
      <w:r>
        <w:rPr/>
        <w:t>行权。</w:t>
      </w:r>
    </w:p>
    <w:p>
      <w:pPr>
        <w:pStyle w:val="BodyText"/>
        <w:spacing w:line="300" w:lineRule="auto" w:before="13"/>
        <w:ind w:right="234"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w:t>
      </w:r>
      <w:r>
        <w:rPr>
          <w:rFonts w:ascii="Times New Roman" w:hAnsi="Times New Roman" w:cs="Times New Roman" w:eastAsia="Times New Roman" w:hint="default"/>
        </w:rPr>
        <w:t>2015</w:t>
      </w:r>
      <w:r>
        <w:rPr/>
        <w:t>年第二期股权激励计划首次授予部分第三个解锁</w:t>
      </w:r>
      <w:r>
        <w:rPr>
          <w:rFonts w:ascii="Times New Roman" w:hAnsi="Times New Roman" w:cs="Times New Roman" w:eastAsia="Times New Roman" w:hint="default"/>
        </w:rPr>
        <w:t>/</w:t>
      </w:r>
      <w:r>
        <w:rPr/>
        <w:t>行权期和预留部分第二个解锁</w:t>
      </w:r>
      <w:r>
        <w:rPr>
          <w:rFonts w:ascii="Times New Roman" w:hAnsi="Times New Roman" w:cs="Times New Roman" w:eastAsia="Times New Roman" w:hint="default"/>
        </w:rPr>
        <w:t>/</w:t>
      </w:r>
      <w:r>
        <w:rPr/>
        <w:t>行权期不符合解 锁</w:t>
      </w:r>
      <w:r>
        <w:rPr>
          <w:rFonts w:ascii="Times New Roman" w:hAnsi="Times New Roman" w:cs="Times New Roman" w:eastAsia="Times New Roman" w:hint="default"/>
        </w:rPr>
        <w:t>/</w:t>
      </w:r>
      <w:r>
        <w:rPr/>
        <w:t>行权条件，董事会同意回购注销激励对象相关已获授未解锁的限制性股票共计</w:t>
      </w:r>
      <w:r>
        <w:rPr>
          <w:rFonts w:ascii="Times New Roman" w:hAnsi="Times New Roman" w:cs="Times New Roman" w:eastAsia="Times New Roman" w:hint="default"/>
        </w:rPr>
        <w:t>480</w:t>
      </w:r>
      <w:r>
        <w:rPr/>
        <w:t>万股和相关已获授未行权股票期权</w:t>
      </w:r>
      <w:r>
        <w:rPr>
          <w:rFonts w:ascii="Times New Roman" w:hAnsi="Times New Roman" w:cs="Times New Roman" w:eastAsia="Times New Roman" w:hint="default"/>
        </w:rPr>
        <w:t>216</w:t>
      </w:r>
      <w:r>
        <w:rPr>
          <w:rFonts w:ascii="Times New Roman" w:hAnsi="Times New Roman" w:cs="Times New Roman" w:eastAsia="Times New Roman" w:hint="default"/>
          <w:spacing w:val="-42"/>
        </w:rPr>
        <w:t> </w:t>
      </w:r>
      <w:r>
        <w:rPr/>
        <w:t>万份，截止本报告披露日本次回购注销事项尚未完成。</w:t>
      </w:r>
    </w:p>
    <w:p>
      <w:pPr>
        <w:pStyle w:val="BodyText"/>
        <w:spacing w:line="240" w:lineRule="auto" w:before="31"/>
        <w:ind w:left="513" w:right="94"/>
        <w:jc w:val="left"/>
      </w:pPr>
      <w:r>
        <w:rPr/>
        <w:t>（三）</w:t>
      </w:r>
      <w:r>
        <w:rPr>
          <w:rFonts w:ascii="Times New Roman" w:hAnsi="Times New Roman" w:cs="Times New Roman" w:eastAsia="Times New Roman" w:hint="default"/>
        </w:rPr>
        <w:t>2016</w:t>
      </w:r>
      <w:r>
        <w:rPr/>
        <w:t>年股权激励计划</w:t>
      </w:r>
    </w:p>
    <w:p>
      <w:pPr>
        <w:pStyle w:val="BodyText"/>
        <w:spacing w:line="300" w:lineRule="auto" w:before="103"/>
        <w:ind w:right="184" w:firstLine="36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日，根据公司</w:t>
      </w:r>
      <w:r>
        <w:rPr>
          <w:rFonts w:ascii="Times New Roman" w:hAnsi="Times New Roman" w:cs="Times New Roman" w:eastAsia="Times New Roman" w:hint="default"/>
        </w:rPr>
        <w:t>2016</w:t>
      </w:r>
      <w:r>
        <w:rPr/>
        <w:t>年股权激励计划，公司授予徐海啸、沈晓超等</w:t>
      </w:r>
      <w:r>
        <w:rPr>
          <w:rFonts w:ascii="Times New Roman" w:hAnsi="Times New Roman" w:cs="Times New Roman" w:eastAsia="Times New Roman" w:hint="default"/>
        </w:rPr>
        <w:t>10</w:t>
      </w:r>
      <w:r>
        <w:rPr/>
        <w:t>名董事、高级管理人员及核心管理人员 限制性股票共计</w:t>
      </w:r>
      <w:r>
        <w:rPr>
          <w:rFonts w:ascii="Times New Roman" w:hAnsi="Times New Roman" w:cs="Times New Roman" w:eastAsia="Times New Roman" w:hint="default"/>
        </w:rPr>
        <w:t>4,070</w:t>
      </w:r>
      <w:r>
        <w:rPr/>
        <w:t>万股，相关授予登记工作已于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日完成，授予的限制性股票已于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21</w:t>
      </w:r>
      <w:r>
        <w:rPr/>
        <w:t>日上市。</w:t>
      </w:r>
    </w:p>
    <w:p>
      <w:pPr>
        <w:spacing w:line="240" w:lineRule="auto" w:before="3"/>
        <w:rPr>
          <w:rFonts w:ascii="宋体" w:hAnsi="宋体" w:cs="宋体" w:eastAsia="宋体" w:hint="default"/>
          <w:sz w:val="20"/>
          <w:szCs w:val="20"/>
        </w:rPr>
      </w:pPr>
    </w:p>
    <w:p>
      <w:pPr>
        <w:pStyle w:val="Heading2"/>
        <w:spacing w:line="240" w:lineRule="auto"/>
        <w:ind w:right="94"/>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94"/>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31" w:type="dxa"/>
        <w:tblLayout w:type="fixed"/>
        <w:tblCellMar>
          <w:top w:w="0" w:type="dxa"/>
          <w:left w:w="0" w:type="dxa"/>
          <w:bottom w:w="0" w:type="dxa"/>
          <w:right w:w="0" w:type="dxa"/>
        </w:tblCellMar>
        <w:tblLook w:val="01E0"/>
      </w:tblPr>
      <w:tblGrid>
        <w:gridCol w:w="1566"/>
        <w:gridCol w:w="3981"/>
        <w:gridCol w:w="566"/>
        <w:gridCol w:w="3572"/>
      </w:tblGrid>
      <w:tr>
        <w:trPr>
          <w:trHeight w:val="404" w:hRule="exact"/>
        </w:trPr>
        <w:tc>
          <w:tcPr>
            <w:tcW w:w="55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4138"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r>
      <w:tr>
        <w:trPr>
          <w:trHeight w:val="161" w:hRule="exact"/>
        </w:trPr>
        <w:tc>
          <w:tcPr>
            <w:tcW w:w="554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138" w:type="dxa"/>
            <w:gridSpan w:val="2"/>
            <w:vMerge w:val="restart"/>
            <w:tcBorders>
              <w:top w:val="single" w:sz="4" w:space="0" w:color="000000"/>
              <w:left w:val="single" w:sz="9" w:space="0" w:color="D2D2D2"/>
              <w:right w:val="single" w:sz="4" w:space="0" w:color="000000"/>
            </w:tcBorders>
          </w:tcPr>
          <w:p>
            <w:pPr>
              <w:pStyle w:val="TableParagraph"/>
              <w:spacing w:line="300" w:lineRule="auto" w:before="49"/>
              <w:ind w:left="17" w:right="38"/>
              <w:jc w:val="left"/>
              <w:rPr>
                <w:rFonts w:ascii="宋体" w:hAnsi="宋体" w:cs="宋体" w:eastAsia="宋体" w:hint="default"/>
                <w:sz w:val="18"/>
                <w:szCs w:val="18"/>
              </w:rPr>
            </w:pPr>
            <w:r>
              <w:rPr>
                <w:rFonts w:ascii="宋体" w:hAnsi="宋体" w:cs="宋体" w:eastAsia="宋体" w:hint="default"/>
                <w:spacing w:val="-4"/>
                <w:w w:val="99"/>
                <w:sz w:val="18"/>
                <w:szCs w:val="18"/>
              </w:rPr>
              <w:t>巨潮资讯网（</w:t>
            </w:r>
            <w:hyperlink r:id="rId15">
              <w:r>
                <w:rPr>
                  <w:rFonts w:ascii="Times New Roman" w:hAnsi="Times New Roman" w:cs="Times New Roman" w:eastAsia="Times New Roman" w:hint="default"/>
                  <w:spacing w:val="-4"/>
                  <w:w w:val="99"/>
                  <w:sz w:val="18"/>
                  <w:szCs w:val="18"/>
                </w:rPr>
                <w:t>www.cninfo.com.cn</w:t>
              </w:r>
            </w:hyperlink>
            <w:r>
              <w:rPr>
                <w:rFonts w:ascii="宋体" w:hAnsi="宋体" w:cs="宋体" w:eastAsia="宋体" w:hint="default"/>
                <w:spacing w:val="-4"/>
                <w:w w:val="99"/>
                <w:sz w:val="18"/>
                <w:szCs w:val="18"/>
              </w:rPr>
              <w:t>）《深圳市惠程电气</w:t>
            </w:r>
            <w:r>
              <w:rPr>
                <w:rFonts w:ascii="宋体" w:hAnsi="宋体" w:cs="宋体" w:eastAsia="宋体" w:hint="default"/>
                <w:spacing w:val="-69"/>
                <w:w w:val="99"/>
                <w:sz w:val="18"/>
                <w:szCs w:val="18"/>
              </w:rPr>
              <w:t> </w:t>
            </w:r>
            <w:r>
              <w:rPr>
                <w:rFonts w:ascii="宋体" w:hAnsi="宋体" w:cs="宋体" w:eastAsia="宋体" w:hint="default"/>
                <w:spacing w:val="-69"/>
                <w:w w:val="99"/>
                <w:sz w:val="18"/>
                <w:szCs w:val="18"/>
              </w:rPr>
            </w:r>
            <w:r>
              <w:rPr>
                <w:rFonts w:ascii="宋体" w:hAnsi="宋体" w:cs="宋体" w:eastAsia="宋体" w:hint="default"/>
                <w:sz w:val="18"/>
                <w:szCs w:val="18"/>
              </w:rPr>
              <w:t>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年度内部控制的自我评价报告》</w:t>
            </w:r>
          </w:p>
        </w:tc>
      </w:tr>
      <w:tr>
        <w:trPr>
          <w:trHeight w:val="391" w:hRule="exact"/>
        </w:trPr>
        <w:tc>
          <w:tcPr>
            <w:tcW w:w="554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4138" w:type="dxa"/>
            <w:gridSpan w:val="2"/>
            <w:vMerge/>
            <w:tcBorders>
              <w:left w:val="single" w:sz="9" w:space="0" w:color="D2D2D2"/>
              <w:right w:val="single" w:sz="4" w:space="0" w:color="000000"/>
            </w:tcBorders>
          </w:tcPr>
          <w:p>
            <w:pPr/>
          </w:p>
        </w:tc>
      </w:tr>
      <w:tr>
        <w:trPr>
          <w:trHeight w:val="161" w:hRule="exact"/>
        </w:trPr>
        <w:tc>
          <w:tcPr>
            <w:tcW w:w="554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138" w:type="dxa"/>
            <w:gridSpan w:val="2"/>
            <w:vMerge/>
            <w:tcBorders>
              <w:left w:val="single" w:sz="9" w:space="0" w:color="D2D2D2"/>
              <w:bottom w:val="single" w:sz="4" w:space="0" w:color="000000"/>
              <w:right w:val="single" w:sz="4" w:space="0" w:color="000000"/>
            </w:tcBorders>
          </w:tcPr>
          <w:p>
            <w:pPr/>
          </w:p>
        </w:tc>
      </w:tr>
      <w:tr>
        <w:trPr>
          <w:trHeight w:val="403" w:hRule="exact"/>
        </w:trPr>
        <w:tc>
          <w:tcPr>
            <w:tcW w:w="55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纳入评价范围单位资产总额占公司合并财务报表资产总额的比例</w:t>
            </w:r>
          </w:p>
        </w:tc>
        <w:tc>
          <w:tcPr>
            <w:tcW w:w="4138"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90.00%</w:t>
            </w:r>
          </w:p>
        </w:tc>
      </w:tr>
      <w:tr>
        <w:trPr>
          <w:trHeight w:val="406" w:hRule="exact"/>
        </w:trPr>
        <w:tc>
          <w:tcPr>
            <w:tcW w:w="55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纳入评价范围单位营业收入占公司合并财务报表营业收入的比例</w:t>
            </w:r>
          </w:p>
        </w:tc>
        <w:tc>
          <w:tcPr>
            <w:tcW w:w="4138"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4" w:hRule="exact"/>
        </w:trPr>
        <w:tc>
          <w:tcPr>
            <w:tcW w:w="968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1"/>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6" w:hRule="exact"/>
        </w:trPr>
        <w:tc>
          <w:tcPr>
            <w:tcW w:w="1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5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54" w:hRule="exact"/>
        </w:trPr>
        <w:tc>
          <w:tcPr>
            <w:tcW w:w="1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4548" w:type="dxa"/>
            <w:gridSpan w:val="2"/>
            <w:vMerge w:val="restart"/>
            <w:tcBorders>
              <w:top w:val="single" w:sz="4" w:space="0" w:color="000000"/>
              <w:left w:val="single" w:sz="9" w:space="0" w:color="D2D2D2"/>
              <w:right w:val="single" w:sz="4" w:space="0" w:color="000000"/>
            </w:tcBorders>
          </w:tcPr>
          <w:p>
            <w:pPr>
              <w:pStyle w:val="TableParagraph"/>
              <w:spacing w:line="319" w:lineRule="auto" w:before="49"/>
              <w:ind w:left="28" w:right="19"/>
              <w:jc w:val="left"/>
              <w:rPr>
                <w:rFonts w:ascii="宋体" w:hAnsi="宋体" w:cs="宋体" w:eastAsia="宋体" w:hint="default"/>
                <w:sz w:val="18"/>
                <w:szCs w:val="18"/>
              </w:rPr>
            </w:pPr>
            <w:r>
              <w:rPr>
                <w:rFonts w:ascii="宋体" w:hAnsi="宋体" w:cs="宋体" w:eastAsia="宋体" w:hint="default"/>
                <w:spacing w:val="-1"/>
                <w:sz w:val="18"/>
                <w:szCs w:val="18"/>
              </w:rPr>
              <w:t>①重大缺陷：控制环境无效；公司审核委员会和内部审计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机构对内部控制的监督无效；发现董事、监事和高级管理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人员重大舞弊；公司对已经公布的财务报表进行重大更 </w:t>
            </w:r>
            <w:r>
              <w:rPr>
                <w:rFonts w:ascii="宋体" w:hAnsi="宋体" w:cs="宋体" w:eastAsia="宋体" w:hint="default"/>
                <w:spacing w:val="-1"/>
                <w:sz w:val="18"/>
                <w:szCs w:val="18"/>
              </w:rPr>
              <w:t>正；外部审计发现当期财务报表存在重大错报，而内部控</w:t>
            </w:r>
          </w:p>
        </w:tc>
        <w:tc>
          <w:tcPr>
            <w:tcW w:w="3572" w:type="dxa"/>
            <w:vMerge w:val="restart"/>
            <w:tcBorders>
              <w:top w:val="single" w:sz="4" w:space="0" w:color="000000"/>
              <w:left w:val="single" w:sz="4" w:space="0" w:color="000000"/>
              <w:right w:val="single" w:sz="4" w:space="0" w:color="000000"/>
            </w:tcBorders>
          </w:tcPr>
          <w:p>
            <w:pPr>
              <w:pStyle w:val="TableParagraph"/>
              <w:spacing w:line="319" w:lineRule="auto" w:before="49"/>
              <w:ind w:left="26" w:right="20"/>
              <w:jc w:val="both"/>
              <w:rPr>
                <w:rFonts w:ascii="宋体" w:hAnsi="宋体" w:cs="宋体" w:eastAsia="宋体" w:hint="default"/>
                <w:sz w:val="18"/>
                <w:szCs w:val="18"/>
              </w:rPr>
            </w:pPr>
            <w:r>
              <w:rPr>
                <w:rFonts w:ascii="宋体" w:hAnsi="宋体" w:cs="宋体" w:eastAsia="宋体" w:hint="default"/>
                <w:spacing w:val="-5"/>
                <w:sz w:val="18"/>
                <w:szCs w:val="18"/>
              </w:rPr>
              <w:t>①重大缺陷：违反国家法律、法规或规范性文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件；缺乏决策程序或决策程序不科学，导致重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大失误；重要业务缺乏制度控制或制度系统性</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5"/>
                <w:sz w:val="18"/>
                <w:szCs w:val="18"/>
              </w:rPr>
              <w:t>失败；内部控制评价的结果特别是重大或重要</w:t>
            </w:r>
          </w:p>
        </w:tc>
      </w:tr>
      <w:tr>
        <w:trPr>
          <w:trHeight w:val="391" w:hRule="exact"/>
        </w:trPr>
        <w:tc>
          <w:tcPr>
            <w:tcW w:w="15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4548" w:type="dxa"/>
            <w:gridSpan w:val="2"/>
            <w:vMerge/>
            <w:tcBorders>
              <w:left w:val="single" w:sz="9" w:space="0" w:color="D2D2D2"/>
              <w:right w:val="single" w:sz="4" w:space="0" w:color="000000"/>
            </w:tcBorders>
          </w:tcPr>
          <w:p>
            <w:pPr/>
          </w:p>
        </w:tc>
        <w:tc>
          <w:tcPr>
            <w:tcW w:w="3572" w:type="dxa"/>
            <w:vMerge/>
            <w:tcBorders>
              <w:left w:val="single" w:sz="4" w:space="0" w:color="000000"/>
              <w:right w:val="single" w:sz="4" w:space="0" w:color="000000"/>
            </w:tcBorders>
          </w:tcPr>
          <w:p>
            <w:pPr/>
          </w:p>
        </w:tc>
      </w:tr>
      <w:tr>
        <w:trPr>
          <w:trHeight w:val="454" w:hRule="exact"/>
        </w:trPr>
        <w:tc>
          <w:tcPr>
            <w:tcW w:w="1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4548" w:type="dxa"/>
            <w:gridSpan w:val="2"/>
            <w:vMerge/>
            <w:tcBorders>
              <w:left w:val="single" w:sz="9" w:space="0" w:color="D2D2D2"/>
              <w:bottom w:val="single" w:sz="4" w:space="0" w:color="000000"/>
              <w:right w:val="single" w:sz="4" w:space="0" w:color="000000"/>
            </w:tcBorders>
          </w:tcPr>
          <w:p>
            <w:pPr/>
          </w:p>
        </w:tc>
        <w:tc>
          <w:tcPr>
            <w:tcW w:w="357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40"/>
        </w:sectPr>
      </w:pPr>
    </w:p>
    <w:p>
      <w:pPr>
        <w:spacing w:line="240" w:lineRule="auto" w:before="8"/>
        <w:rPr>
          <w:rFonts w:ascii="宋体" w:hAnsi="宋体" w:cs="宋体" w:eastAsia="宋体" w:hint="default"/>
          <w:b/>
          <w:bCs/>
          <w:sz w:val="24"/>
          <w:szCs w:val="24"/>
        </w:rPr>
      </w:pPr>
      <w:r>
        <w:rPr/>
        <w:pict>
          <v:group style="position:absolute;margin-left:363.070007pt;margin-top:233.065979pt;width:175.6pt;height:17.55pt;mso-position-horizontal-relative:page;mso-position-vertical-relative:page;z-index:-1104424" coordorigin="7261,4661" coordsize="3512,351">
            <v:shape style="position:absolute;left:7261;top:4661;width:3512;height:351" coordorigin="7261,4661" coordsize="3512,351" path="m7261,5012l10773,5012,10773,4661,7261,4661,7261,5012xe" filled="true" fillcolor="#ffffff" stroked="false">
              <v:path arrowok="t"/>
              <v:fill type="solid"/>
            </v:shape>
            <w10:wrap type="none"/>
          </v:group>
        </w:pict>
      </w:r>
    </w:p>
    <w:tbl>
      <w:tblPr>
        <w:tblW w:w="0" w:type="auto"/>
        <w:jc w:val="left"/>
        <w:tblInd w:w="120" w:type="dxa"/>
        <w:tblLayout w:type="fixed"/>
        <w:tblCellMar>
          <w:top w:w="0" w:type="dxa"/>
          <w:left w:w="0" w:type="dxa"/>
          <w:bottom w:w="0" w:type="dxa"/>
          <w:right w:w="0" w:type="dxa"/>
        </w:tblCellMar>
        <w:tblLook w:val="01E0"/>
      </w:tblPr>
      <w:tblGrid>
        <w:gridCol w:w="1588"/>
        <w:gridCol w:w="4537"/>
        <w:gridCol w:w="3572"/>
      </w:tblGrid>
      <w:tr>
        <w:trPr>
          <w:trHeight w:val="315" w:hRule="exact"/>
        </w:trPr>
        <w:tc>
          <w:tcPr>
            <w:tcW w:w="1588" w:type="dxa"/>
            <w:vMerge w:val="restart"/>
            <w:tcBorders>
              <w:top w:val="single" w:sz="4" w:space="0" w:color="000000"/>
              <w:left w:val="single" w:sz="4" w:space="0" w:color="000000"/>
              <w:right w:val="single" w:sz="4" w:space="0" w:color="000000"/>
            </w:tcBorders>
            <w:shd w:val="clear" w:color="auto" w:fill="D2D2D2"/>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制在运行过程中未能发现该错报；已经发现并报告给管理</w:t>
            </w:r>
          </w:p>
        </w:tc>
        <w:tc>
          <w:tcPr>
            <w:tcW w:w="3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缺陷未得到整改；其他对公司影响重大的情</w:t>
            </w:r>
          </w:p>
        </w:tc>
      </w:tr>
      <w:tr>
        <w:trPr>
          <w:trHeight w:val="312" w:hRule="exact"/>
        </w:trPr>
        <w:tc>
          <w:tcPr>
            <w:tcW w:w="1588" w:type="dxa"/>
            <w:vMerge/>
            <w:tcBorders>
              <w:left w:val="single" w:sz="4" w:space="0" w:color="000000"/>
              <w:right w:val="single" w:sz="4" w:space="0" w:color="000000"/>
            </w:tcBorders>
            <w:shd w:val="clear" w:color="auto" w:fill="D2D2D2"/>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层的重大缺陷在合理的时间后未加以改正；其他可能影响</w:t>
            </w:r>
          </w:p>
        </w:tc>
        <w:tc>
          <w:tcPr>
            <w:tcW w:w="3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5"/>
                <w:sz w:val="18"/>
                <w:szCs w:val="18"/>
              </w:rPr>
              <w:t>形。②重要缺陷：单独缺陷或连同其他缺陷组</w:t>
            </w:r>
          </w:p>
        </w:tc>
      </w:tr>
      <w:tr>
        <w:trPr>
          <w:trHeight w:val="312" w:hRule="exact"/>
        </w:trPr>
        <w:tc>
          <w:tcPr>
            <w:tcW w:w="1588" w:type="dxa"/>
            <w:vMerge/>
            <w:tcBorders>
              <w:left w:val="single" w:sz="4" w:space="0" w:color="000000"/>
              <w:right w:val="single" w:sz="4" w:space="0" w:color="000000"/>
            </w:tcBorders>
            <w:shd w:val="clear" w:color="auto" w:fill="D2D2D2"/>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报表使用者正确判断的缺陷。②重要缺陷：单独缺陷或连</w:t>
            </w:r>
          </w:p>
        </w:tc>
        <w:tc>
          <w:tcPr>
            <w:tcW w:w="3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5"/>
                <w:sz w:val="18"/>
                <w:szCs w:val="18"/>
              </w:rPr>
              <w:t>合，其严重程度低于重大缺陷，但仍有可能导</w:t>
            </w:r>
          </w:p>
        </w:tc>
      </w:tr>
      <w:tr>
        <w:trPr>
          <w:trHeight w:val="312" w:hRule="exact"/>
        </w:trPr>
        <w:tc>
          <w:tcPr>
            <w:tcW w:w="1588" w:type="dxa"/>
            <w:vMerge/>
            <w:tcBorders>
              <w:left w:val="single" w:sz="4" w:space="0" w:color="000000"/>
              <w:right w:val="single" w:sz="4" w:space="0" w:color="000000"/>
            </w:tcBorders>
            <w:shd w:val="clear" w:color="auto" w:fill="D2D2D2"/>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同其他缺陷组合，其严重程度低于重大缺陷，但仍有可能</w:t>
            </w:r>
          </w:p>
        </w:tc>
        <w:tc>
          <w:tcPr>
            <w:tcW w:w="3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5"/>
                <w:sz w:val="18"/>
                <w:szCs w:val="18"/>
              </w:rPr>
              <w:t>致公司偏离控制目标。③一般缺陷：不构成重</w:t>
            </w:r>
          </w:p>
        </w:tc>
      </w:tr>
      <w:tr>
        <w:trPr>
          <w:trHeight w:val="312" w:hRule="exact"/>
        </w:trPr>
        <w:tc>
          <w:tcPr>
            <w:tcW w:w="1588" w:type="dxa"/>
            <w:vMerge/>
            <w:tcBorders>
              <w:left w:val="single" w:sz="4" w:space="0" w:color="000000"/>
              <w:right w:val="single" w:sz="4" w:space="0" w:color="000000"/>
            </w:tcBorders>
            <w:shd w:val="clear" w:color="auto" w:fill="D2D2D2"/>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导致公司偏离控制目标。③一般缺陷：不构成重大缺陷或</w:t>
            </w:r>
          </w:p>
        </w:tc>
        <w:tc>
          <w:tcPr>
            <w:tcW w:w="3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大缺陷或重要缺陷的其他内部控制缺陷。</w:t>
            </w:r>
          </w:p>
        </w:tc>
      </w:tr>
      <w:tr>
        <w:trPr>
          <w:trHeight w:val="360" w:hRule="exact"/>
        </w:trPr>
        <w:tc>
          <w:tcPr>
            <w:tcW w:w="1588" w:type="dxa"/>
            <w:vMerge/>
            <w:tcBorders>
              <w:left w:val="single" w:sz="4" w:space="0" w:color="000000"/>
              <w:bottom w:val="single" w:sz="4" w:space="0" w:color="000000"/>
              <w:right w:val="single" w:sz="4" w:space="0" w:color="000000"/>
            </w:tcBorders>
            <w:shd w:val="clear" w:color="auto" w:fill="D2D2D2"/>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重要缺陷的其他内部控制缺陷。</w:t>
            </w:r>
          </w:p>
        </w:tc>
        <w:tc>
          <w:tcPr>
            <w:tcW w:w="3572"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588" w:type="dxa"/>
            <w:tcBorders>
              <w:top w:val="single" w:sz="4" w:space="0" w:color="000000"/>
              <w:left w:val="single" w:sz="4" w:space="0" w:color="000000"/>
              <w:bottom w:val="nil" w:sz="6" w:space="0" w:color="auto"/>
              <w:right w:val="single" w:sz="4" w:space="0" w:color="000000"/>
            </w:tcBorders>
            <w:shd w:val="clear" w:color="auto" w:fill="D2D2D2"/>
          </w:tcPr>
          <w:p>
            <w:pPr/>
          </w:p>
        </w:tc>
        <w:tc>
          <w:tcPr>
            <w:tcW w:w="45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公司所采用标准直接取决于该内部控制缺陷造成财产损</w:t>
            </w:r>
          </w:p>
        </w:tc>
        <w:tc>
          <w:tcPr>
            <w:tcW w:w="357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88" w:type="dxa"/>
            <w:tcBorders>
              <w:top w:val="nil" w:sz="6" w:space="0" w:color="auto"/>
              <w:left w:val="single" w:sz="4" w:space="0" w:color="000000"/>
              <w:bottom w:val="nil" w:sz="6" w:space="0" w:color="auto"/>
              <w:right w:val="single" w:sz="4" w:space="0" w:color="000000"/>
            </w:tcBorders>
            <w:shd w:val="clear" w:color="auto" w:fill="D2D2D2"/>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失大小，根据损失占公司上一年度合并报表的潜在错报项</w:t>
            </w:r>
          </w:p>
        </w:tc>
        <w:tc>
          <w:tcPr>
            <w:tcW w:w="357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88" w:type="dxa"/>
            <w:tcBorders>
              <w:top w:val="nil" w:sz="6" w:space="0" w:color="auto"/>
              <w:left w:val="single" w:sz="4" w:space="0" w:color="000000"/>
              <w:bottom w:val="nil" w:sz="6" w:space="0" w:color="auto"/>
              <w:right w:val="single" w:sz="4" w:space="0" w:color="000000"/>
            </w:tcBorders>
            <w:shd w:val="clear" w:color="auto" w:fill="D2D2D2"/>
          </w:tcPr>
          <w:p>
            <w:pPr/>
          </w:p>
        </w:tc>
        <w:tc>
          <w:tcPr>
            <w:tcW w:w="4537" w:type="dxa"/>
            <w:tcBorders>
              <w:top w:val="nil" w:sz="6" w:space="0" w:color="auto"/>
              <w:left w:val="single" w:sz="4" w:space="0" w:color="000000"/>
              <w:bottom w:val="nil" w:sz="6" w:space="0" w:color="auto"/>
              <w:right w:val="single" w:sz="14" w:space="0" w:color="FFFFF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目总额的比率作为判断标准。</w:t>
            </w:r>
          </w:p>
        </w:tc>
        <w:tc>
          <w:tcPr>
            <w:tcW w:w="3572" w:type="dxa"/>
            <w:tcBorders>
              <w:top w:val="nil" w:sz="6" w:space="0" w:color="auto"/>
              <w:left w:val="single" w:sz="14" w:space="0" w:color="FFFFFF"/>
              <w:bottom w:val="nil" w:sz="6" w:space="0" w:color="auto"/>
              <w:right w:val="single" w:sz="4" w:space="0" w:color="000000"/>
            </w:tcBorders>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公司所采用标准直接取决于该内部控制缺陷</w:t>
            </w:r>
          </w:p>
        </w:tc>
      </w:tr>
      <w:tr>
        <w:trPr>
          <w:trHeight w:val="336" w:hRule="exact"/>
        </w:trPr>
        <w:tc>
          <w:tcPr>
            <w:tcW w:w="1588" w:type="dxa"/>
            <w:tcBorders>
              <w:top w:val="nil" w:sz="6" w:space="0" w:color="auto"/>
              <w:left w:val="single" w:sz="4" w:space="0" w:color="000000"/>
              <w:bottom w:val="nil" w:sz="6" w:space="0" w:color="auto"/>
              <w:right w:val="single" w:sz="4" w:space="0" w:color="000000"/>
            </w:tcBorders>
            <w:shd w:val="clear" w:color="auto" w:fill="D2D2D2"/>
          </w:tcPr>
          <w:p>
            <w:pPr/>
          </w:p>
        </w:tc>
        <w:tc>
          <w:tcPr>
            <w:tcW w:w="4537" w:type="dxa"/>
            <w:tcBorders>
              <w:top w:val="nil" w:sz="6" w:space="0" w:color="auto"/>
              <w:left w:val="single" w:sz="4" w:space="0" w:color="000000"/>
              <w:bottom w:val="nil" w:sz="6" w:space="0" w:color="auto"/>
              <w:right w:val="single" w:sz="14" w:space="0" w:color="FFFFFF"/>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①重大缺陷：潜在错报</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；潜在错报</w:t>
            </w:r>
            <w:r>
              <w:rPr>
                <w:rFonts w:ascii="Times New Roman" w:hAnsi="Times New Roman" w:cs="Times New Roman" w:eastAsia="Times New Roman" w:hint="default"/>
                <w:sz w:val="18"/>
                <w:szCs w:val="18"/>
              </w:rPr>
              <w:t>≥</w:t>
            </w:r>
          </w:p>
        </w:tc>
        <w:tc>
          <w:tcPr>
            <w:tcW w:w="3572" w:type="dxa"/>
            <w:tcBorders>
              <w:top w:val="nil" w:sz="6" w:space="0" w:color="auto"/>
              <w:left w:val="single" w:sz="14" w:space="0" w:color="FFFFFF"/>
              <w:bottom w:val="nil" w:sz="6" w:space="0" w:color="auto"/>
              <w:right w:val="single" w:sz="4" w:space="0" w:color="000000"/>
            </w:tcBorders>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造成财产损失大小</w:t>
            </w:r>
            <w:r>
              <w:rPr>
                <w:rFonts w:ascii="宋体" w:hAnsi="宋体" w:cs="宋体" w:eastAsia="宋体" w:hint="default"/>
                <w:spacing w:val="-87"/>
                <w:sz w:val="18"/>
                <w:szCs w:val="18"/>
              </w:rPr>
              <w:t>，</w:t>
            </w:r>
            <w:r>
              <w:rPr>
                <w:rFonts w:ascii="宋体" w:hAnsi="宋体" w:cs="宋体" w:eastAsia="宋体" w:hint="default"/>
                <w:sz w:val="18"/>
                <w:szCs w:val="18"/>
              </w:rPr>
              <w:t>根据损失占公司上一年度</w:t>
            </w:r>
          </w:p>
        </w:tc>
      </w:tr>
      <w:tr>
        <w:trPr>
          <w:trHeight w:val="322" w:hRule="exact"/>
        </w:trPr>
        <w:tc>
          <w:tcPr>
            <w:tcW w:w="1588" w:type="dxa"/>
            <w:tcBorders>
              <w:top w:val="nil" w:sz="6" w:space="0" w:color="auto"/>
              <w:left w:val="single" w:sz="4" w:space="0" w:color="000000"/>
              <w:bottom w:val="nil" w:sz="6" w:space="0" w:color="auto"/>
              <w:right w:val="single" w:sz="4" w:space="0" w:color="000000"/>
            </w:tcBorders>
            <w:shd w:val="clear" w:color="auto" w:fill="D2D2D2"/>
          </w:tcPr>
          <w:p>
            <w:pPr/>
          </w:p>
        </w:tc>
        <w:tc>
          <w:tcPr>
            <w:tcW w:w="4537" w:type="dxa"/>
            <w:tcBorders>
              <w:top w:val="nil" w:sz="6" w:space="0" w:color="auto"/>
              <w:left w:val="single" w:sz="4" w:space="0" w:color="000000"/>
              <w:bottom w:val="nil" w:sz="6" w:space="0" w:color="auto"/>
              <w:right w:val="single" w:sz="14" w:space="0" w:color="FFFFFF"/>
            </w:tcBorders>
          </w:tcPr>
          <w:p>
            <w:pPr>
              <w:pStyle w:val="TableParagraph"/>
              <w:spacing w:line="240" w:lineRule="auto" w:before="25"/>
              <w:ind w:left="23" w:right="0"/>
              <w:jc w:val="left"/>
              <w:rPr>
                <w:rFonts w:ascii="宋体" w:hAnsi="宋体" w:cs="宋体" w:eastAsia="宋体" w:hint="default"/>
                <w:sz w:val="18"/>
                <w:szCs w:val="18"/>
              </w:rPr>
            </w:pPr>
            <w:r>
              <w:rPr>
                <w:rFonts w:ascii="宋体" w:hAnsi="宋体" w:cs="宋体" w:eastAsia="宋体" w:hint="default"/>
                <w:sz w:val="18"/>
                <w:szCs w:val="18"/>
              </w:rPr>
              <w:t>利润总额的</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；潜在错报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资产总额的</w:t>
            </w:r>
            <w:r>
              <w:rPr>
                <w:rFonts w:ascii="宋体" w:hAnsi="宋体" w:cs="宋体" w:eastAsia="宋体" w:hint="default"/>
                <w:spacing w:val="-40"/>
                <w:sz w:val="18"/>
                <w:szCs w:val="18"/>
              </w:rPr>
              <w:t>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。②重要缺陷</w:t>
            </w:r>
          </w:p>
        </w:tc>
        <w:tc>
          <w:tcPr>
            <w:tcW w:w="3572" w:type="dxa"/>
            <w:tcBorders>
              <w:top w:val="nil" w:sz="6" w:space="0" w:color="auto"/>
              <w:left w:val="single" w:sz="14" w:space="0" w:color="FFFFFF"/>
              <w:bottom w:val="nil" w:sz="6" w:space="0" w:color="auto"/>
              <w:right w:val="single" w:sz="4" w:space="0" w:color="000000"/>
            </w:tcBorders>
          </w:tcPr>
          <w:p>
            <w:pPr>
              <w:pStyle w:val="TableParagraph"/>
              <w:spacing w:line="262" w:lineRule="exact"/>
              <w:ind w:left="-33" w:right="0"/>
              <w:jc w:val="left"/>
              <w:rPr>
                <w:rFonts w:ascii="宋体" w:hAnsi="宋体" w:cs="宋体" w:eastAsia="宋体" w:hint="default"/>
                <w:sz w:val="18"/>
                <w:szCs w:val="18"/>
              </w:rPr>
            </w:pPr>
            <w:r>
              <w:rPr>
                <w:rFonts w:ascii="宋体" w:hAnsi="宋体" w:cs="宋体" w:eastAsia="宋体" w:hint="default"/>
                <w:spacing w:val="-135"/>
                <w:position w:val="-3"/>
                <w:sz w:val="18"/>
                <w:szCs w:val="18"/>
              </w:rPr>
              <w:t>：</w:t>
            </w:r>
            <w:r>
              <w:rPr>
                <w:rFonts w:ascii="宋体" w:hAnsi="宋体" w:cs="宋体" w:eastAsia="宋体" w:hint="default"/>
                <w:sz w:val="18"/>
                <w:szCs w:val="18"/>
              </w:rPr>
              <w:t>合并报表资产总额的比率作为判断标准。</w:t>
            </w:r>
          </w:p>
        </w:tc>
      </w:tr>
      <w:tr>
        <w:trPr>
          <w:trHeight w:val="322" w:hRule="exact"/>
        </w:trPr>
        <w:tc>
          <w:tcPr>
            <w:tcW w:w="15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4537" w:type="dxa"/>
            <w:tcBorders>
              <w:top w:val="nil" w:sz="6" w:space="0" w:color="auto"/>
              <w:left w:val="single" w:sz="4" w:space="0" w:color="000000"/>
              <w:bottom w:val="nil" w:sz="6" w:space="0" w:color="auto"/>
              <w:right w:val="single" w:sz="14" w:space="0" w:color="FFFFFF"/>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营业收入总额的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宋体" w:hAnsi="宋体" w:cs="宋体" w:eastAsia="宋体" w:hint="default"/>
                <w:sz w:val="18"/>
                <w:szCs w:val="18"/>
              </w:rPr>
              <w:t>潜在错报＜营业收入总额的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；利</w:t>
            </w:r>
          </w:p>
        </w:tc>
        <w:tc>
          <w:tcPr>
            <w:tcW w:w="3572" w:type="dxa"/>
            <w:tcBorders>
              <w:top w:val="nil" w:sz="6" w:space="0" w:color="auto"/>
              <w:left w:val="single" w:sz="14" w:space="0" w:color="FFFFFF"/>
              <w:bottom w:val="nil" w:sz="6" w:space="0" w:color="auto"/>
              <w:right w:val="single" w:sz="4" w:space="0" w:color="000000"/>
            </w:tcBorders>
          </w:tcPr>
          <w:p>
            <w:pPr>
              <w:pStyle w:val="TableParagraph"/>
              <w:spacing w:line="240" w:lineRule="auto" w:before="15"/>
              <w:ind w:left="13" w:right="0"/>
              <w:jc w:val="left"/>
              <w:rPr>
                <w:rFonts w:ascii="宋体" w:hAnsi="宋体" w:cs="宋体" w:eastAsia="宋体" w:hint="default"/>
                <w:sz w:val="18"/>
                <w:szCs w:val="18"/>
              </w:rPr>
            </w:pPr>
            <w:r>
              <w:rPr>
                <w:rFonts w:ascii="宋体" w:hAnsi="宋体" w:cs="宋体" w:eastAsia="宋体" w:hint="default"/>
                <w:sz w:val="18"/>
                <w:szCs w:val="18"/>
              </w:rPr>
              <w:t>①重大缺陷：损失金额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。②</w:t>
            </w:r>
          </w:p>
        </w:tc>
      </w:tr>
      <w:tr>
        <w:trPr>
          <w:trHeight w:val="312" w:hRule="exact"/>
        </w:trPr>
        <w:tc>
          <w:tcPr>
            <w:tcW w:w="1588" w:type="dxa"/>
            <w:tcBorders>
              <w:top w:val="nil" w:sz="6" w:space="0" w:color="auto"/>
              <w:left w:val="single" w:sz="4" w:space="0" w:color="000000"/>
              <w:bottom w:val="nil" w:sz="6" w:space="0" w:color="auto"/>
              <w:right w:val="single" w:sz="4" w:space="0" w:color="000000"/>
            </w:tcBorders>
            <w:shd w:val="clear" w:color="auto" w:fill="D2D2D2"/>
          </w:tcPr>
          <w:p>
            <w:pPr/>
          </w:p>
        </w:tc>
        <w:tc>
          <w:tcPr>
            <w:tcW w:w="4537" w:type="dxa"/>
            <w:tcBorders>
              <w:top w:val="nil" w:sz="6" w:space="0" w:color="auto"/>
              <w:left w:val="single" w:sz="4" w:space="0" w:color="000000"/>
              <w:bottom w:val="nil" w:sz="6" w:space="0" w:color="auto"/>
              <w:right w:val="single" w:sz="14" w:space="0" w:color="FFFFFF"/>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宋体" w:hAnsi="宋体" w:cs="宋体" w:eastAsia="宋体" w:hint="default"/>
                <w:sz w:val="18"/>
                <w:szCs w:val="18"/>
              </w:rPr>
              <w:t>潜在错报＜利润总额的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；资产总额的</w:t>
            </w:r>
          </w:p>
        </w:tc>
        <w:tc>
          <w:tcPr>
            <w:tcW w:w="3572" w:type="dxa"/>
            <w:tcBorders>
              <w:top w:val="nil" w:sz="6" w:space="0" w:color="auto"/>
              <w:left w:val="single" w:sz="14" w:space="0" w:color="FFFFFF"/>
              <w:bottom w:val="nil" w:sz="6" w:space="0" w:color="auto"/>
              <w:right w:val="single" w:sz="4" w:space="0" w:color="000000"/>
            </w:tcBorders>
          </w:tcPr>
          <w:p>
            <w:pPr>
              <w:pStyle w:val="TableParagraph"/>
              <w:spacing w:line="240" w:lineRule="auto" w:before="5"/>
              <w:ind w:left="13" w:right="0"/>
              <w:jc w:val="left"/>
              <w:rPr>
                <w:rFonts w:ascii="宋体" w:hAnsi="宋体" w:cs="宋体" w:eastAsia="宋体" w:hint="default"/>
                <w:sz w:val="18"/>
                <w:szCs w:val="18"/>
              </w:rPr>
            </w:pPr>
            <w:r>
              <w:rPr>
                <w:rFonts w:ascii="宋体" w:hAnsi="宋体" w:cs="宋体" w:eastAsia="宋体" w:hint="default"/>
                <w:sz w:val="18"/>
                <w:szCs w:val="18"/>
              </w:rPr>
              <w:t>重要缺陷：资产总额的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宋体" w:hAnsi="宋体" w:cs="宋体" w:eastAsia="宋体" w:hint="default"/>
                <w:sz w:val="18"/>
                <w:szCs w:val="18"/>
              </w:rPr>
              <w:t>损失金额＜资产</w:t>
            </w:r>
          </w:p>
        </w:tc>
      </w:tr>
      <w:tr>
        <w:trPr>
          <w:trHeight w:val="312" w:hRule="exact"/>
        </w:trPr>
        <w:tc>
          <w:tcPr>
            <w:tcW w:w="1588" w:type="dxa"/>
            <w:tcBorders>
              <w:top w:val="nil" w:sz="6" w:space="0" w:color="auto"/>
              <w:left w:val="single" w:sz="4" w:space="0" w:color="000000"/>
              <w:bottom w:val="nil" w:sz="6" w:space="0" w:color="auto"/>
              <w:right w:val="single" w:sz="4" w:space="0" w:color="000000"/>
            </w:tcBorders>
            <w:shd w:val="clear" w:color="auto" w:fill="D2D2D2"/>
          </w:tcPr>
          <w:p>
            <w:pPr/>
          </w:p>
        </w:tc>
        <w:tc>
          <w:tcPr>
            <w:tcW w:w="4537" w:type="dxa"/>
            <w:tcBorders>
              <w:top w:val="nil" w:sz="6" w:space="0" w:color="auto"/>
              <w:left w:val="single" w:sz="4" w:space="0" w:color="000000"/>
              <w:bottom w:val="nil" w:sz="6" w:space="0" w:color="auto"/>
              <w:right w:val="single" w:sz="14" w:space="0" w:color="FFFFFF"/>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宋体" w:hAnsi="宋体" w:cs="宋体" w:eastAsia="宋体" w:hint="default"/>
                <w:sz w:val="18"/>
                <w:szCs w:val="18"/>
              </w:rPr>
              <w:t>潜在错报＜资产总额的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。③一般缺陷：潜在错报</w:t>
            </w:r>
          </w:p>
        </w:tc>
        <w:tc>
          <w:tcPr>
            <w:tcW w:w="3572" w:type="dxa"/>
            <w:tcBorders>
              <w:top w:val="nil" w:sz="6" w:space="0" w:color="auto"/>
              <w:left w:val="single" w:sz="14" w:space="0" w:color="FFFFFF"/>
              <w:bottom w:val="nil" w:sz="6" w:space="0" w:color="auto"/>
              <w:right w:val="single" w:sz="4" w:space="0" w:color="000000"/>
            </w:tcBorders>
          </w:tcPr>
          <w:p>
            <w:pPr>
              <w:pStyle w:val="TableParagraph"/>
              <w:spacing w:line="240" w:lineRule="auto" w:before="5"/>
              <w:ind w:left="13" w:right="0"/>
              <w:jc w:val="left"/>
              <w:rPr>
                <w:rFonts w:ascii="宋体" w:hAnsi="宋体" w:cs="宋体" w:eastAsia="宋体" w:hint="default"/>
                <w:sz w:val="18"/>
                <w:szCs w:val="18"/>
              </w:rPr>
            </w:pPr>
            <w:r>
              <w:rPr>
                <w:rFonts w:ascii="宋体" w:hAnsi="宋体" w:cs="宋体" w:eastAsia="宋体" w:hint="default"/>
                <w:sz w:val="18"/>
                <w:szCs w:val="18"/>
              </w:rPr>
              <w:t>总额的</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。③一般缺陷：损失金额＜资产总</w:t>
            </w:r>
          </w:p>
        </w:tc>
      </w:tr>
      <w:tr>
        <w:trPr>
          <w:trHeight w:val="312" w:hRule="exact"/>
        </w:trPr>
        <w:tc>
          <w:tcPr>
            <w:tcW w:w="1588" w:type="dxa"/>
            <w:tcBorders>
              <w:top w:val="nil" w:sz="6" w:space="0" w:color="auto"/>
              <w:left w:val="single" w:sz="4" w:space="0" w:color="000000"/>
              <w:bottom w:val="nil" w:sz="6" w:space="0" w:color="auto"/>
              <w:right w:val="single" w:sz="4" w:space="0" w:color="000000"/>
            </w:tcBorders>
            <w:shd w:val="clear" w:color="auto" w:fill="D2D2D2"/>
          </w:tcPr>
          <w:p>
            <w:pPr/>
          </w:p>
        </w:tc>
        <w:tc>
          <w:tcPr>
            <w:tcW w:w="4537" w:type="dxa"/>
            <w:tcBorders>
              <w:top w:val="nil" w:sz="6" w:space="0" w:color="auto"/>
              <w:left w:val="single" w:sz="4" w:space="0" w:color="000000"/>
              <w:bottom w:val="nil" w:sz="6" w:space="0" w:color="auto"/>
              <w:right w:val="single" w:sz="14" w:space="0" w:color="FFFFFF"/>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＜营业收入总额的</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；潜在错报＜利润总额的</w:t>
            </w:r>
            <w:r>
              <w:rPr>
                <w:rFonts w:ascii="宋体" w:hAnsi="宋体" w:cs="宋体" w:eastAsia="宋体" w:hint="default"/>
                <w:spacing w:val="-58"/>
                <w:sz w:val="18"/>
                <w:szCs w:val="18"/>
              </w:rPr>
              <w:t> </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；潜在</w:t>
            </w:r>
          </w:p>
        </w:tc>
        <w:tc>
          <w:tcPr>
            <w:tcW w:w="3572" w:type="dxa"/>
            <w:tcBorders>
              <w:top w:val="nil" w:sz="6" w:space="0" w:color="auto"/>
              <w:left w:val="single" w:sz="14" w:space="0" w:color="FFFFFF"/>
              <w:bottom w:val="nil" w:sz="6" w:space="0" w:color="auto"/>
              <w:right w:val="single" w:sz="4" w:space="0" w:color="000000"/>
            </w:tcBorders>
          </w:tcPr>
          <w:p>
            <w:pPr>
              <w:pStyle w:val="TableParagraph"/>
              <w:spacing w:line="240" w:lineRule="auto" w:before="5"/>
              <w:ind w:left="13" w:right="0"/>
              <w:jc w:val="left"/>
              <w:rPr>
                <w:rFonts w:ascii="宋体" w:hAnsi="宋体" w:cs="宋体" w:eastAsia="宋体" w:hint="default"/>
                <w:sz w:val="18"/>
                <w:szCs w:val="18"/>
              </w:rPr>
            </w:pPr>
            <w:r>
              <w:rPr>
                <w:rFonts w:ascii="宋体" w:hAnsi="宋体" w:cs="宋体" w:eastAsia="宋体" w:hint="default"/>
                <w:sz w:val="18"/>
                <w:szCs w:val="18"/>
              </w:rPr>
              <w:t>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312" w:hRule="exact"/>
        </w:trPr>
        <w:tc>
          <w:tcPr>
            <w:tcW w:w="1588" w:type="dxa"/>
            <w:tcBorders>
              <w:top w:val="nil" w:sz="6" w:space="0" w:color="auto"/>
              <w:left w:val="single" w:sz="4" w:space="0" w:color="000000"/>
              <w:bottom w:val="nil" w:sz="6" w:space="0" w:color="auto"/>
              <w:right w:val="single" w:sz="4" w:space="0" w:color="000000"/>
            </w:tcBorders>
            <w:shd w:val="clear" w:color="auto" w:fill="D2D2D2"/>
          </w:tcPr>
          <w:p>
            <w:pPr/>
          </w:p>
        </w:tc>
        <w:tc>
          <w:tcPr>
            <w:tcW w:w="45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错报＜资产总额的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。当某项内部控制缺陷导致的潜在</w:t>
            </w:r>
          </w:p>
        </w:tc>
        <w:tc>
          <w:tcPr>
            <w:tcW w:w="3572"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588" w:type="dxa"/>
            <w:tcBorders>
              <w:top w:val="nil" w:sz="6" w:space="0" w:color="auto"/>
              <w:left w:val="single" w:sz="4" w:space="0" w:color="000000"/>
              <w:bottom w:val="single" w:sz="4" w:space="0" w:color="000000"/>
              <w:right w:val="single" w:sz="4" w:space="0" w:color="000000"/>
            </w:tcBorders>
            <w:shd w:val="clear" w:color="auto" w:fill="D2D2D2"/>
          </w:tcPr>
          <w:p>
            <w:pPr/>
          </w:p>
        </w:tc>
        <w:tc>
          <w:tcPr>
            <w:tcW w:w="4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错报影响多项指标时，按孰低原则认定缺陷性质。</w:t>
            </w:r>
          </w:p>
        </w:tc>
        <w:tc>
          <w:tcPr>
            <w:tcW w:w="3572" w:type="dxa"/>
            <w:tcBorders>
              <w:top w:val="nil" w:sz="6" w:space="0" w:color="auto"/>
              <w:left w:val="single" w:sz="4" w:space="0" w:color="000000"/>
              <w:bottom w:val="single" w:sz="4" w:space="0" w:color="000000"/>
              <w:right w:val="single" w:sz="4" w:space="0" w:color="000000"/>
            </w:tcBorders>
          </w:tcPr>
          <w:p>
            <w:pPr/>
          </w:p>
        </w:tc>
      </w:tr>
      <w:tr>
        <w:trPr>
          <w:trHeight w:val="713" w:hRule="exact"/>
        </w:trPr>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3"/>
              <w:jc w:val="left"/>
              <w:rPr>
                <w:rFonts w:ascii="宋体" w:hAnsi="宋体" w:cs="宋体" w:eastAsia="宋体" w:hint="default"/>
                <w:sz w:val="18"/>
                <w:szCs w:val="18"/>
              </w:rPr>
            </w:pPr>
            <w:r>
              <w:rPr>
                <w:rFonts w:ascii="宋体" w:hAnsi="宋体" w:cs="宋体" w:eastAsia="宋体" w:hint="default"/>
                <w:sz w:val="18"/>
                <w:szCs w:val="18"/>
              </w:rPr>
              <w:t>财务报告重大缺陷 数量（个）</w:t>
            </w:r>
          </w:p>
        </w:tc>
        <w:tc>
          <w:tcPr>
            <w:tcW w:w="81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非财务报告重大缺 陷数量（个）</w:t>
            </w:r>
          </w:p>
        </w:tc>
        <w:tc>
          <w:tcPr>
            <w:tcW w:w="81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3"/>
              <w:jc w:val="left"/>
              <w:rPr>
                <w:rFonts w:ascii="宋体" w:hAnsi="宋体" w:cs="宋体" w:eastAsia="宋体" w:hint="default"/>
                <w:sz w:val="18"/>
                <w:szCs w:val="18"/>
              </w:rPr>
            </w:pPr>
            <w:r>
              <w:rPr>
                <w:rFonts w:ascii="宋体" w:hAnsi="宋体" w:cs="宋体" w:eastAsia="宋体" w:hint="default"/>
                <w:sz w:val="18"/>
                <w:szCs w:val="18"/>
              </w:rPr>
              <w:t>财务报告重要缺陷 数量（个）</w:t>
            </w:r>
          </w:p>
        </w:tc>
        <w:tc>
          <w:tcPr>
            <w:tcW w:w="81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非财务报告重要缺 陷数量（个）</w:t>
            </w:r>
          </w:p>
        </w:tc>
        <w:tc>
          <w:tcPr>
            <w:tcW w:w="81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right="153"/>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3"/>
        <w:jc w:val="left"/>
      </w:pPr>
      <w:r>
        <w:rPr/>
        <w:t>不适用</w:t>
      </w:r>
    </w:p>
    <w:p>
      <w:pPr>
        <w:spacing w:after="0" w:line="240" w:lineRule="auto"/>
        <w:jc w:val="left"/>
        <w:sectPr>
          <w:pgSz w:w="11910" w:h="16840"/>
          <w:pgMar w:header="877"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125" w:right="153"/>
        <w:jc w:val="left"/>
        <w:rPr>
          <w:b w:val="0"/>
          <w:bCs w:val="0"/>
        </w:rPr>
      </w:pPr>
      <w:bookmarkStart w:name="_bookmark8" w:id="9"/>
      <w:bookmarkEnd w:id="9"/>
      <w:r>
        <w:rPr>
          <w:b w:val="0"/>
          <w:bCs w:val="0"/>
        </w:rPr>
      </w:r>
      <w:r>
        <w:rPr/>
        <w:t>第十节</w:t>
      </w:r>
      <w:r>
        <w:rPr>
          <w:spacing w:val="-6"/>
        </w:rPr>
        <w:t> </w:t>
      </w:r>
      <w:r>
        <w:rPr/>
        <w:t>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113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877"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590" w:right="3631"/>
        <w:jc w:val="center"/>
        <w:rPr>
          <w:b w:val="0"/>
          <w:bCs w:val="0"/>
        </w:rPr>
      </w:pPr>
      <w:bookmarkStart w:name="_bookmark9" w:id="10"/>
      <w:bookmarkEnd w:id="10"/>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4"/>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上会会计师事务所（特殊普通合伙）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上会师报字（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2491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张晓荣</w:t>
            </w:r>
            <w:r>
              <w:rPr>
                <w:rFonts w:ascii="宋体" w:hAnsi="宋体" w:cs="宋体" w:eastAsia="宋体" w:hint="default"/>
                <w:spacing w:val="1"/>
                <w:sz w:val="18"/>
                <w:szCs w:val="18"/>
              </w:rPr>
              <w:t> </w:t>
            </w:r>
            <w:r>
              <w:rPr>
                <w:rFonts w:ascii="宋体" w:hAnsi="宋体" w:cs="宋体" w:eastAsia="宋体" w:hint="default"/>
                <w:sz w:val="18"/>
                <w:szCs w:val="18"/>
              </w:rPr>
              <w:t>、唐慧珏</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40"/>
        </w:sect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2"/>
          <w:szCs w:val="12"/>
        </w:rPr>
      </w:pPr>
    </w:p>
    <w:p>
      <w:pPr>
        <w:pStyle w:val="Heading4"/>
        <w:spacing w:line="316" w:lineRule="auto" w:before="0"/>
        <w:ind w:right="0" w:hanging="361"/>
        <w:jc w:val="left"/>
        <w:rPr>
          <w:b w:val="0"/>
          <w:bCs w:val="0"/>
        </w:rPr>
      </w:pPr>
      <w:r>
        <w:rPr>
          <w:w w:val="95"/>
        </w:rPr>
        <w:t>深圳市惠程电气股份有限公司全体股东：</w:t>
      </w:r>
      <w:r>
        <w:rPr>
          <w:spacing w:val="73"/>
          <w:w w:val="95"/>
        </w:rPr>
        <w:t> </w:t>
      </w:r>
      <w:r>
        <w:rPr>
          <w:spacing w:val="73"/>
          <w:w w:val="95"/>
        </w:rPr>
      </w:r>
      <w:r>
        <w:rPr/>
        <w:t>一、审计意见</w:t>
      </w:r>
      <w:r>
        <w:rPr>
          <w:b w:val="0"/>
          <w:bCs w:val="0"/>
        </w:rPr>
      </w:r>
    </w:p>
    <w:p>
      <w:pPr>
        <w:pStyle w:val="BodyText"/>
        <w:spacing w:line="240" w:lineRule="auto" w:before="49"/>
        <w:ind w:right="0"/>
        <w:jc w:val="left"/>
      </w:pPr>
      <w:r>
        <w:rPr/>
        <w:br w:type="column"/>
      </w:r>
      <w:r>
        <w:rPr/>
        <w:t>审计报告正文</w:t>
      </w:r>
    </w:p>
    <w:p>
      <w:pPr>
        <w:spacing w:after="0" w:line="240" w:lineRule="auto"/>
        <w:jc w:val="left"/>
        <w:sectPr>
          <w:type w:val="continuous"/>
          <w:pgSz w:w="11910" w:h="16840"/>
          <w:pgMar w:top="1060" w:bottom="1160" w:left="980" w:right="940"/>
          <w:cols w:num="2" w:equalWidth="0">
            <w:col w:w="3404" w:space="876"/>
            <w:col w:w="5710"/>
          </w:cols>
        </w:sectPr>
      </w:pPr>
    </w:p>
    <w:p>
      <w:pPr>
        <w:pStyle w:val="BodyText"/>
        <w:spacing w:line="300" w:lineRule="auto" w:before="19"/>
        <w:ind w:right="188" w:firstLine="360"/>
        <w:jc w:val="both"/>
      </w:pPr>
      <w:r>
        <w:rPr>
          <w:spacing w:val="-2"/>
        </w:rPr>
        <w:t>我们审计了深圳市惠程电气股份有限公司（以下简称</w:t>
      </w:r>
      <w:r>
        <w:rPr>
          <w:rFonts w:ascii="Times New Roman" w:hAnsi="Times New Roman" w:cs="Times New Roman" w:eastAsia="Times New Roman" w:hint="default"/>
          <w:spacing w:val="-2"/>
        </w:rPr>
        <w:t>“</w:t>
      </w:r>
      <w:r>
        <w:rPr>
          <w:spacing w:val="-2"/>
        </w:rPr>
        <w:t>深圳惠程公司</w:t>
      </w:r>
      <w:r>
        <w:rPr>
          <w:rFonts w:ascii="Times New Roman" w:hAnsi="Times New Roman" w:cs="Times New Roman" w:eastAsia="Times New Roman" w:hint="default"/>
          <w:spacing w:val="-2"/>
        </w:rPr>
        <w:t>”</w:t>
      </w:r>
      <w:r>
        <w:rPr>
          <w:spacing w:val="-2"/>
        </w:rPr>
        <w:t>）财务报表，包括</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日的合并资产负债</w:t>
      </w:r>
      <w:r>
        <w:rPr/>
        <w:t> </w:t>
      </w:r>
      <w:r>
        <w:rPr>
          <w:spacing w:val="-2"/>
        </w:rPr>
        <w:t>表及资产负债表，</w:t>
      </w:r>
      <w:r>
        <w:rPr>
          <w:rFonts w:ascii="Times New Roman" w:hAnsi="Times New Roman" w:cs="Times New Roman" w:eastAsia="Times New Roman" w:hint="default"/>
          <w:spacing w:val="-2"/>
        </w:rPr>
        <w:t>2017</w:t>
      </w:r>
      <w:r>
        <w:rPr>
          <w:spacing w:val="-2"/>
        </w:rPr>
        <w:t>年度的合并利润表及利润表、合并现金流量表及现金流量表、合并所有者权益变动表及所有者权益变</w:t>
      </w:r>
      <w:r>
        <w:rPr>
          <w:spacing w:val="-60"/>
        </w:rPr>
        <w:t> </w:t>
      </w:r>
      <w:r>
        <w:rPr>
          <w:spacing w:val="-60"/>
        </w:rPr>
      </w:r>
      <w:r>
        <w:rPr/>
        <w:t>动表以及相关财务报表附注。</w:t>
      </w:r>
    </w:p>
    <w:p>
      <w:pPr>
        <w:pStyle w:val="BodyText"/>
        <w:spacing w:line="300" w:lineRule="auto" w:before="31"/>
        <w:ind w:right="188" w:firstLine="360"/>
        <w:jc w:val="both"/>
      </w:pPr>
      <w:r>
        <w:rPr>
          <w:spacing w:val="-2"/>
        </w:rPr>
        <w:t>我们认为，后附的财务报表在所有重大方面按照企业会计准则的规定编制，公允反映了深圳惠程公司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w:t>
      </w:r>
      <w:r>
        <w:rPr/>
        <w:t> 合并及公司财务状况以及</w:t>
      </w:r>
      <w:r>
        <w:rPr>
          <w:rFonts w:ascii="Times New Roman" w:hAnsi="Times New Roman" w:cs="Times New Roman" w:eastAsia="Times New Roman" w:hint="default"/>
        </w:rPr>
        <w:t>2017</w:t>
      </w:r>
      <w:r>
        <w:rPr/>
        <w:t>年度合并及公司经营成果和现金流量。</w:t>
      </w:r>
    </w:p>
    <w:p>
      <w:pPr>
        <w:pStyle w:val="BodyText"/>
        <w:spacing w:line="316" w:lineRule="auto" w:before="13"/>
        <w:ind w:left="513" w:right="94"/>
        <w:jc w:val="left"/>
      </w:pPr>
      <w:r>
        <w:rPr>
          <w:rFonts w:ascii="宋体" w:hAnsi="宋体" w:cs="宋体" w:eastAsia="宋体" w:hint="default"/>
          <w:b/>
          <w:bCs/>
        </w:rPr>
        <w:t>二、形成审计意见的基础</w:t>
      </w:r>
      <w:r>
        <w:rPr>
          <w:rFonts w:ascii="宋体" w:hAnsi="宋体" w:cs="宋体" w:eastAsia="宋体" w:hint="default"/>
          <w:b/>
          <w:bCs/>
          <w:w w:val="99"/>
        </w:rPr>
        <w:t>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316" w:lineRule="auto"/>
        <w:ind w:right="94"/>
        <w:jc w:val="left"/>
      </w:pPr>
      <w:r>
        <w:rPr>
          <w:spacing w:val="-2"/>
        </w:rPr>
        <w:t>阐述了我们在这些准则下的责任。按照中国注册会计师职业道德守则，我们独立于深圳惠程公司，并履行了职业道德方面的</w:t>
      </w:r>
      <w:r>
        <w:rPr>
          <w:spacing w:val="-61"/>
        </w:rPr>
        <w:t> </w:t>
      </w:r>
      <w:r>
        <w:rPr>
          <w:spacing w:val="-61"/>
        </w:rPr>
      </w:r>
      <w:r>
        <w:rPr/>
        <w:t>其他责任。我们相信，我们获取的审计证据是充分、适当的，为发表审计意见提供了基础。</w:t>
      </w:r>
    </w:p>
    <w:p>
      <w:pPr>
        <w:pStyle w:val="BodyText"/>
        <w:spacing w:line="316" w:lineRule="auto" w:before="19"/>
        <w:ind w:left="513" w:right="94"/>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pStyle w:val="BodyText"/>
        <w:spacing w:line="240" w:lineRule="auto" w:before="19"/>
        <w:ind w:right="94"/>
        <w:jc w:val="left"/>
      </w:pPr>
      <w:r>
        <w:rPr/>
        <w:t>审计并形成审计意见为背景，我们不对这些事项单独发表意见。我们在审计中识别出的关键审计事项如下：</w:t>
      </w:r>
    </w:p>
    <w:p>
      <w:pPr>
        <w:pStyle w:val="BodyText"/>
        <w:spacing w:line="240" w:lineRule="auto" w:before="76"/>
        <w:ind w:left="513" w:right="94"/>
        <w:jc w:val="left"/>
      </w:pPr>
      <w:r>
        <w:rPr>
          <w:rFonts w:ascii="Times New Roman" w:hAnsi="Times New Roman" w:cs="Times New Roman" w:eastAsia="Times New Roman" w:hint="default"/>
        </w:rPr>
        <w:t>1</w:t>
      </w:r>
      <w:r>
        <w:rPr/>
        <w:t>、企业合并</w:t>
      </w:r>
    </w:p>
    <w:p>
      <w:pPr>
        <w:pStyle w:val="BodyText"/>
        <w:spacing w:line="300" w:lineRule="auto" w:before="63"/>
        <w:ind w:left="513" w:right="9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关键审计事项</w:t>
      </w:r>
      <w:r>
        <w:rPr>
          <w:w w:val="99"/>
        </w:rPr>
        <w:t> </w:t>
      </w:r>
      <w:r>
        <w:rPr>
          <w:spacing w:val="-3"/>
        </w:rPr>
        <w:t>如附注六</w:t>
      </w:r>
      <w:r>
        <w:rPr>
          <w:rFonts w:ascii="Times New Roman" w:hAnsi="Times New Roman" w:cs="Times New Roman" w:eastAsia="Times New Roman" w:hint="default"/>
          <w:spacing w:val="-3"/>
        </w:rPr>
        <w:t>/16</w:t>
      </w:r>
      <w:r>
        <w:rPr>
          <w:spacing w:val="-3"/>
        </w:rPr>
        <w:t>、七</w:t>
      </w:r>
      <w:r>
        <w:rPr>
          <w:rFonts w:ascii="Times New Roman" w:hAnsi="Times New Roman" w:cs="Times New Roman" w:eastAsia="Times New Roman" w:hint="default"/>
          <w:spacing w:val="-3"/>
        </w:rPr>
        <w:t>/1</w:t>
      </w:r>
      <w:r>
        <w:rPr>
          <w:spacing w:val="-3"/>
        </w:rPr>
        <w:t>、十五</w:t>
      </w:r>
      <w:r>
        <w:rPr>
          <w:rFonts w:ascii="Times New Roman" w:hAnsi="Times New Roman" w:cs="Times New Roman" w:eastAsia="Times New Roman" w:hint="default"/>
          <w:spacing w:val="-3"/>
        </w:rPr>
        <w:t>/1</w:t>
      </w:r>
      <w:r>
        <w:rPr>
          <w:spacing w:val="-3"/>
        </w:rPr>
        <w:t>所述，</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月深圳惠程公司以现金形式收购成都哆可梦网络科技有限公司（以下简称</w:t>
      </w:r>
      <w:r>
        <w:rPr>
          <w:rFonts w:ascii="Times New Roman" w:hAnsi="Times New Roman" w:cs="Times New Roman" w:eastAsia="Times New Roman" w:hint="default"/>
          <w:spacing w:val="-3"/>
        </w:rPr>
        <w:t>“</w:t>
      </w:r>
      <w:r>
        <w:rPr>
          <w:spacing w:val="-3"/>
        </w:rPr>
        <w:t>哆</w:t>
      </w:r>
    </w:p>
    <w:p>
      <w:pPr>
        <w:pStyle w:val="BodyText"/>
        <w:spacing w:line="300" w:lineRule="auto" w:before="13"/>
        <w:ind w:right="94"/>
        <w:jc w:val="left"/>
      </w:pPr>
      <w:r>
        <w:rPr>
          <w:spacing w:val="-2"/>
        </w:rPr>
        <w:t>可梦</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77.57%</w:t>
      </w:r>
      <w:r>
        <w:rPr>
          <w:spacing w:val="-2"/>
        </w:rPr>
        <w:t>股权，交易对价</w:t>
      </w:r>
      <w:r>
        <w:rPr>
          <w:rFonts w:ascii="Times New Roman" w:hAnsi="Times New Roman" w:cs="Times New Roman" w:eastAsia="Times New Roman" w:hint="default"/>
          <w:spacing w:val="-2"/>
        </w:rPr>
        <w:t>138,346.10</w:t>
      </w:r>
      <w:r>
        <w:rPr>
          <w:spacing w:val="-2"/>
        </w:rPr>
        <w:t>万元，截止</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日，已向交易对方支付了</w:t>
      </w:r>
      <w:r>
        <w:rPr>
          <w:rFonts w:ascii="Times New Roman" w:hAnsi="Times New Roman" w:cs="Times New Roman" w:eastAsia="Times New Roman" w:hint="default"/>
          <w:spacing w:val="-2"/>
        </w:rPr>
        <w:t>31,521.09</w:t>
      </w:r>
      <w:r>
        <w:rPr>
          <w:spacing w:val="-2"/>
        </w:rPr>
        <w:t>万元，哆可梦就本次交</w:t>
      </w:r>
      <w:r>
        <w:rPr>
          <w:spacing w:val="-47"/>
        </w:rPr>
        <w:t> </w:t>
      </w:r>
      <w:r>
        <w:rPr>
          <w:spacing w:val="-47"/>
        </w:rPr>
      </w:r>
      <w:r>
        <w:rPr>
          <w:spacing w:val="-2"/>
        </w:rPr>
        <w:t>易项下的标的资产过户事宜于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20</w:t>
      </w:r>
      <w:r>
        <w:rPr>
          <w:spacing w:val="-2"/>
        </w:rPr>
        <w:t>日完成了工商变更登记。深圳惠程公司以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20</w:t>
      </w:r>
      <w:r>
        <w:rPr>
          <w:spacing w:val="-2"/>
        </w:rPr>
        <w:t>日作为并购日，哆可梦的</w:t>
      </w:r>
      <w:r>
        <w:rPr>
          <w:spacing w:val="-53"/>
        </w:rPr>
        <w:t> </w:t>
      </w:r>
      <w:r>
        <w:rPr>
          <w:spacing w:val="-53"/>
        </w:rPr>
      </w:r>
      <w:r>
        <w:rPr/>
        <w:t>评估作价为人民币</w:t>
      </w:r>
      <w:r>
        <w:rPr>
          <w:rFonts w:ascii="Times New Roman" w:hAnsi="Times New Roman" w:cs="Times New Roman" w:eastAsia="Times New Roman" w:hint="default"/>
        </w:rPr>
        <w:t>178,612.46</w:t>
      </w:r>
      <w:r>
        <w:rPr/>
        <w:t>万元，经确认的并购日哆可梦账面各项可辨认资产、负债的公允价值净额为</w:t>
      </w:r>
      <w:r>
        <w:rPr>
          <w:rFonts w:ascii="Times New Roman" w:hAnsi="Times New Roman" w:cs="Times New Roman" w:eastAsia="Times New Roman" w:hint="default"/>
        </w:rPr>
        <w:t>21,041.70</w:t>
      </w:r>
      <w:r>
        <w:rPr/>
        <w:t>万元，其</w:t>
      </w:r>
      <w:r>
        <w:rPr>
          <w:spacing w:val="-87"/>
        </w:rPr>
        <w:t> </w:t>
      </w:r>
      <w:r>
        <w:rPr>
          <w:spacing w:val="-87"/>
        </w:rPr>
      </w:r>
      <w:r>
        <w:rPr>
          <w:spacing w:val="-2"/>
        </w:rPr>
        <w:t>中：深圳惠程公司享有</w:t>
      </w:r>
      <w:r>
        <w:rPr>
          <w:rFonts w:ascii="Times New Roman" w:hAnsi="Times New Roman" w:cs="Times New Roman" w:eastAsia="Times New Roman" w:hint="default"/>
          <w:spacing w:val="-2"/>
        </w:rPr>
        <w:t>16,322.05</w:t>
      </w:r>
      <w:r>
        <w:rPr>
          <w:spacing w:val="-2"/>
        </w:rPr>
        <w:t>万元，少数股东享有</w:t>
      </w:r>
      <w:r>
        <w:rPr>
          <w:rFonts w:ascii="Times New Roman" w:hAnsi="Times New Roman" w:cs="Times New Roman" w:eastAsia="Times New Roman" w:hint="default"/>
          <w:spacing w:val="-2"/>
        </w:rPr>
        <w:t>4,719.65</w:t>
      </w:r>
      <w:r>
        <w:rPr>
          <w:spacing w:val="-2"/>
        </w:rPr>
        <w:t>万元。深圳惠程公司最终交易对价与享有的并购日可辨认资产、</w:t>
      </w:r>
      <w:r>
        <w:rPr>
          <w:spacing w:val="-51"/>
        </w:rPr>
        <w:t> </w:t>
      </w:r>
      <w:r>
        <w:rPr>
          <w:spacing w:val="-51"/>
        </w:rPr>
      </w:r>
      <w:r>
        <w:rPr/>
        <w:t>负债的公允价值差额部分</w:t>
      </w:r>
      <w:r>
        <w:rPr>
          <w:rFonts w:ascii="Times New Roman" w:hAnsi="Times New Roman" w:cs="Times New Roman" w:eastAsia="Times New Roman" w:hint="default"/>
        </w:rPr>
        <w:t>122,024.05</w:t>
      </w:r>
      <w:r>
        <w:rPr/>
        <w:t>万元确认为商誉。</w:t>
      </w:r>
    </w:p>
    <w:p>
      <w:pPr>
        <w:pStyle w:val="BodyText"/>
        <w:spacing w:line="300" w:lineRule="auto" w:before="13"/>
        <w:ind w:right="194" w:firstLine="360"/>
        <w:jc w:val="both"/>
      </w:pPr>
      <w:r>
        <w:rPr/>
        <w:t>我们认为该事项属于特殊事项，且交易形成的商誉占总资产的比例</w:t>
      </w:r>
      <w:r>
        <w:rPr>
          <w:rFonts w:ascii="Times New Roman" w:hAnsi="Times New Roman" w:cs="Times New Roman" w:eastAsia="Times New Roman" w:hint="default"/>
        </w:rPr>
        <w:t>37.74%</w:t>
      </w:r>
      <w:r>
        <w:rPr/>
        <w:t>，对本期合并资产负债表影响较大，因此我 们将企业合并作为关键审计事项。</w:t>
      </w:r>
    </w:p>
    <w:p>
      <w:pPr>
        <w:pStyle w:val="BodyText"/>
        <w:spacing w:line="300" w:lineRule="auto" w:before="31"/>
        <w:ind w:left="513" w:right="549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审计应对</w:t>
      </w:r>
      <w:r>
        <w:rPr>
          <w:w w:val="99"/>
        </w:rPr>
        <w:t> </w:t>
      </w:r>
      <w:r>
        <w:rPr/>
        <w:t>我们对上述事项的确认实施的审计程序主要包括：</w:t>
      </w:r>
    </w:p>
    <w:p>
      <w:pPr>
        <w:pStyle w:val="BodyText"/>
        <w:spacing w:line="240" w:lineRule="auto" w:before="31"/>
        <w:ind w:left="513" w:right="94"/>
        <w:jc w:val="left"/>
      </w:pPr>
      <w:r>
        <w:rPr/>
        <w:t>①</w:t>
      </w:r>
      <w:r>
        <w:rPr>
          <w:spacing w:val="-18"/>
        </w:rPr>
        <w:t> </w:t>
      </w:r>
      <w:r>
        <w:rPr/>
        <w:t>我们核查并取得上述股权转让的董事会决议与股东大会决议；</w:t>
      </w:r>
    </w:p>
    <w:p>
      <w:pPr>
        <w:pStyle w:val="BodyText"/>
        <w:spacing w:line="319" w:lineRule="auto" w:before="76"/>
        <w:ind w:right="197" w:firstLine="360"/>
        <w:jc w:val="both"/>
      </w:pPr>
      <w:r>
        <w:rPr/>
        <w:t>②</w:t>
      </w:r>
      <w:r>
        <w:rPr>
          <w:spacing w:val="-1"/>
        </w:rPr>
        <w:t> </w:t>
      </w:r>
      <w:r>
        <w:rPr/>
        <w:t>我们核查并取得上述股权转让的股权转让协议和评估报告，并对股权转让协议相关信息与股东大会决议及评估报告</w:t>
      </w:r>
      <w:r>
        <w:rPr/>
        <w:t> 进行核对；</w:t>
      </w:r>
    </w:p>
    <w:p>
      <w:pPr>
        <w:pStyle w:val="BodyText"/>
        <w:spacing w:line="240" w:lineRule="auto" w:before="17"/>
        <w:ind w:left="513" w:right="94"/>
        <w:jc w:val="left"/>
      </w:pPr>
      <w:r>
        <w:rPr/>
        <w:t>③</w:t>
      </w:r>
      <w:r>
        <w:rPr>
          <w:spacing w:val="-18"/>
        </w:rPr>
        <w:t> </w:t>
      </w:r>
      <w:r>
        <w:rPr/>
        <w:t>我们对交易对价进行了了解和关注；</w:t>
      </w:r>
    </w:p>
    <w:p>
      <w:pPr>
        <w:spacing w:after="0" w:line="240" w:lineRule="auto"/>
        <w:jc w:val="left"/>
        <w:sectPr>
          <w:type w:val="continuous"/>
          <w:pgSz w:w="11910" w:h="16840"/>
          <w:pgMar w:top="1060" w:bottom="1160" w:left="980" w:right="940"/>
        </w:sectPr>
      </w:pPr>
    </w:p>
    <w:p>
      <w:pPr>
        <w:spacing w:line="240" w:lineRule="auto" w:before="11"/>
        <w:rPr>
          <w:rFonts w:ascii="宋体" w:hAnsi="宋体" w:cs="宋体" w:eastAsia="宋体" w:hint="default"/>
          <w:sz w:val="21"/>
          <w:szCs w:val="21"/>
        </w:rPr>
      </w:pPr>
    </w:p>
    <w:p>
      <w:pPr>
        <w:pStyle w:val="BodyText"/>
        <w:spacing w:line="240" w:lineRule="auto" w:before="44"/>
        <w:ind w:left="513" w:right="153"/>
        <w:jc w:val="left"/>
      </w:pPr>
      <w:r>
        <w:rPr/>
        <w:t>④</w:t>
      </w:r>
      <w:r>
        <w:rPr>
          <w:spacing w:val="-18"/>
        </w:rPr>
        <w:t> </w:t>
      </w:r>
      <w:r>
        <w:rPr/>
        <w:t>我们核查并取得上述股权转让收款的银行回单；</w:t>
      </w:r>
    </w:p>
    <w:p>
      <w:pPr>
        <w:pStyle w:val="BodyText"/>
        <w:spacing w:line="316" w:lineRule="auto" w:before="76"/>
        <w:ind w:right="157" w:firstLine="360"/>
        <w:jc w:val="both"/>
      </w:pPr>
      <w:r>
        <w:rPr/>
        <w:t>⑤</w:t>
      </w:r>
      <w:r>
        <w:rPr>
          <w:spacing w:val="-2"/>
        </w:rPr>
        <w:t> </w:t>
      </w:r>
      <w:r>
        <w:rPr/>
        <w:t>我们了解交易的背景及交易的整体安排，检查交易合同等文件条款，分析交易合理性和必要性，从而综合判断交易</w:t>
      </w:r>
      <w:r>
        <w:rPr/>
        <w:t> 是否具有商业实质；</w:t>
      </w:r>
    </w:p>
    <w:p>
      <w:pPr>
        <w:pStyle w:val="BodyText"/>
        <w:spacing w:line="240" w:lineRule="auto" w:before="19"/>
        <w:ind w:left="513" w:right="153"/>
        <w:jc w:val="left"/>
      </w:pPr>
      <w:r>
        <w:rPr/>
        <w:t>⑥</w:t>
      </w:r>
      <w:r>
        <w:rPr>
          <w:spacing w:val="-18"/>
        </w:rPr>
        <w:t> </w:t>
      </w:r>
      <w:r>
        <w:rPr/>
        <w:t>我们核查并取得上述股权转让的工商变更登记信息；</w:t>
      </w:r>
    </w:p>
    <w:p>
      <w:pPr>
        <w:pStyle w:val="BodyText"/>
        <w:spacing w:line="240" w:lineRule="auto" w:before="76"/>
        <w:ind w:left="513" w:right="153"/>
        <w:jc w:val="left"/>
      </w:pPr>
      <w:r>
        <w:rPr/>
        <w:t>⑦</w:t>
      </w:r>
      <w:r>
        <w:rPr>
          <w:spacing w:val="-18"/>
        </w:rPr>
        <w:t> </w:t>
      </w:r>
      <w:r>
        <w:rPr/>
        <w:t>我们对评估增值的资产在合并层面所进行的调整进行了复核检查；</w:t>
      </w:r>
    </w:p>
    <w:p>
      <w:pPr>
        <w:pStyle w:val="BodyText"/>
        <w:spacing w:line="240" w:lineRule="auto" w:before="76"/>
        <w:ind w:left="513" w:right="153"/>
        <w:jc w:val="left"/>
      </w:pPr>
      <w:r>
        <w:rPr/>
        <w:t>⑧</w:t>
      </w:r>
      <w:r>
        <w:rPr>
          <w:spacing w:val="-18"/>
        </w:rPr>
        <w:t> </w:t>
      </w:r>
      <w:r>
        <w:rPr/>
        <w:t>我们在对合并商誉进行复核确认时，取得了哆可梦未来期间的盈利预测，并与管理层对相关信息进行了沟通。</w:t>
      </w:r>
    </w:p>
    <w:p>
      <w:pPr>
        <w:pStyle w:val="BodyText"/>
        <w:spacing w:line="300" w:lineRule="auto" w:before="76"/>
        <w:ind w:left="513" w:right="6623"/>
        <w:jc w:val="left"/>
      </w:pPr>
      <w:r>
        <w:rPr>
          <w:rFonts w:ascii="Times New Roman" w:hAnsi="Times New Roman" w:cs="Times New Roman" w:eastAsia="Times New Roman" w:hint="default"/>
        </w:rPr>
        <w:t>2</w:t>
      </w:r>
      <w:r>
        <w:rPr/>
        <w:t>、权益法核算的长期股权投资收益 </w:t>
      </w: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关键审计事项</w:t>
      </w:r>
    </w:p>
    <w:p>
      <w:pPr>
        <w:pStyle w:val="BodyText"/>
        <w:spacing w:line="314" w:lineRule="auto" w:before="13"/>
        <w:ind w:right="148" w:firstLine="360"/>
        <w:jc w:val="both"/>
      </w:pPr>
      <w:r>
        <w:rPr/>
        <w:t>如附注六</w:t>
      </w:r>
      <w:r>
        <w:rPr>
          <w:rFonts w:ascii="Times New Roman" w:hAnsi="Times New Roman" w:cs="Times New Roman" w:eastAsia="Times New Roman" w:hint="default"/>
        </w:rPr>
        <w:t>/44</w:t>
      </w:r>
      <w:r>
        <w:rPr/>
        <w:t>、八</w:t>
      </w:r>
      <w:r>
        <w:rPr>
          <w:rFonts w:ascii="Times New Roman" w:hAnsi="Times New Roman" w:cs="Times New Roman" w:eastAsia="Times New Roman" w:hint="default"/>
        </w:rPr>
        <w:t>/2</w:t>
      </w:r>
      <w:r>
        <w:rPr/>
        <w:t>所述，深圳惠程公司本年度权益法核算的长期股权投资收益</w:t>
      </w:r>
      <w:r>
        <w:rPr>
          <w:rFonts w:ascii="Times New Roman" w:hAnsi="Times New Roman" w:cs="Times New Roman" w:eastAsia="Times New Roman" w:hint="default"/>
        </w:rPr>
        <w:t>-57,936,057.63</w:t>
      </w:r>
      <w:r>
        <w:rPr/>
        <w:t>元，深圳惠程公司对被投 </w:t>
      </w:r>
      <w:r>
        <w:rPr>
          <w:spacing w:val="-2"/>
        </w:rPr>
        <w:t>资单位的财务和经营政策有参与决策的权力，但并不能够控制或者与其他方一起共同控制这些政策的制定，故认定为重大影</w:t>
      </w:r>
      <w:r>
        <w:rPr>
          <w:spacing w:val="-64"/>
        </w:rPr>
        <w:t> </w:t>
      </w:r>
      <w:r>
        <w:rPr>
          <w:spacing w:val="-64"/>
        </w:rPr>
      </w:r>
      <w:r>
        <w:rPr>
          <w:spacing w:val="-2"/>
        </w:rPr>
        <w:t>响。对有重大影响的联营企业的长期股权投资，采用权益法核算。由于涉及权益法核算的投资主体未按实际出资比例确认相</w:t>
      </w:r>
      <w:r>
        <w:rPr>
          <w:spacing w:val="-63"/>
        </w:rPr>
        <w:t> </w:t>
      </w:r>
      <w:r>
        <w:rPr>
          <w:spacing w:val="-63"/>
        </w:rPr>
      </w:r>
      <w:r>
        <w:rPr>
          <w:spacing w:val="-2"/>
        </w:rPr>
        <w:t>应权益变动，而采用按门槛收益和超额收益的特殊计提比例来计算，因此，我们将权益法核算的长期股权投资收益作为关键</w:t>
      </w:r>
      <w:r>
        <w:rPr>
          <w:spacing w:val="-66"/>
        </w:rPr>
        <w:t> </w:t>
      </w:r>
      <w:r>
        <w:rPr>
          <w:spacing w:val="-66"/>
        </w:rPr>
      </w:r>
      <w:r>
        <w:rPr/>
        <w:t>审计事项。</w:t>
      </w:r>
    </w:p>
    <w:p>
      <w:pPr>
        <w:pStyle w:val="BodyText"/>
        <w:spacing w:line="300" w:lineRule="auto" w:before="20"/>
        <w:ind w:left="513" w:right="545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审计应对</w:t>
      </w:r>
      <w:r>
        <w:rPr>
          <w:w w:val="99"/>
        </w:rPr>
        <w:t> </w:t>
      </w:r>
      <w:r>
        <w:rPr/>
        <w:t>我们对上述事项的确认实施的审计程序主要包括：</w:t>
      </w:r>
    </w:p>
    <w:p>
      <w:pPr>
        <w:pStyle w:val="BodyText"/>
        <w:spacing w:line="240" w:lineRule="auto" w:before="31"/>
        <w:ind w:left="513" w:right="153"/>
        <w:jc w:val="left"/>
      </w:pPr>
      <w:r>
        <w:rPr/>
        <w:t>①</w:t>
      </w:r>
      <w:r>
        <w:rPr>
          <w:spacing w:val="-18"/>
        </w:rPr>
        <w:t> </w:t>
      </w:r>
      <w:r>
        <w:rPr/>
        <w:t>我们核查并取得投资协议或合同，确认是否符合按权益法核算的条件；</w:t>
      </w:r>
    </w:p>
    <w:p>
      <w:pPr>
        <w:pStyle w:val="BodyText"/>
        <w:spacing w:line="240" w:lineRule="auto" w:before="76"/>
        <w:ind w:left="513" w:right="153"/>
        <w:jc w:val="left"/>
      </w:pPr>
      <w:r>
        <w:rPr/>
        <w:t>②</w:t>
      </w:r>
      <w:r>
        <w:rPr>
          <w:spacing w:val="-20"/>
        </w:rPr>
        <w:t> </w:t>
      </w:r>
      <w:r>
        <w:rPr/>
        <w:t>我们取得了被投资单位</w:t>
      </w:r>
      <w:r>
        <w:rPr>
          <w:rFonts w:ascii="Times New Roman" w:hAnsi="Times New Roman" w:cs="Times New Roman" w:eastAsia="Times New Roman" w:hint="default"/>
        </w:rPr>
        <w:t>2017</w:t>
      </w:r>
      <w:r>
        <w:rPr/>
        <w:t>年度的审计报告；</w:t>
      </w:r>
    </w:p>
    <w:p>
      <w:pPr>
        <w:pStyle w:val="BodyText"/>
        <w:spacing w:line="316" w:lineRule="auto" w:before="63"/>
        <w:ind w:right="157" w:firstLine="360"/>
        <w:jc w:val="both"/>
      </w:pPr>
      <w:r>
        <w:rPr/>
        <w:t>③</w:t>
      </w:r>
      <w:r>
        <w:rPr>
          <w:spacing w:val="-1"/>
        </w:rPr>
        <w:t> </w:t>
      </w:r>
      <w:r>
        <w:rPr/>
        <w:t>对于重要的被投资单位我们进一步执行了必要的审计程序：我们在重要的被投资单位现场，核查并取得与本期处置</w:t>
      </w:r>
      <w:r>
        <w:rPr/>
        <w:t> 重大项目相关的文件资料、大额资金的收支情况、投资项目的现状及减值测试的资料；</w:t>
      </w:r>
    </w:p>
    <w:p>
      <w:pPr>
        <w:pStyle w:val="BodyText"/>
        <w:spacing w:line="240" w:lineRule="auto" w:before="19"/>
        <w:ind w:left="513" w:right="153"/>
        <w:jc w:val="left"/>
      </w:pPr>
      <w:r>
        <w:rPr/>
        <w:t>④</w:t>
      </w:r>
      <w:r>
        <w:rPr>
          <w:spacing w:val="-18"/>
        </w:rPr>
        <w:t> </w:t>
      </w:r>
      <w:r>
        <w:rPr/>
        <w:t>对于被投资单位本期处置的重大投资项目股权，我们除了取得上述资料外，还对交易对手方执行了走访程序；</w:t>
      </w:r>
    </w:p>
    <w:p>
      <w:pPr>
        <w:pStyle w:val="BodyText"/>
        <w:spacing w:line="300" w:lineRule="auto" w:before="76"/>
        <w:ind w:right="155" w:firstLine="360"/>
        <w:jc w:val="both"/>
      </w:pPr>
      <w:r>
        <w:rPr/>
        <w:t>⑤ 通过执行审计程序，对于被投资单位</w:t>
      </w:r>
      <w:r>
        <w:rPr>
          <w:rFonts w:ascii="Times New Roman" w:hAnsi="Times New Roman" w:cs="Times New Roman" w:eastAsia="Times New Roman" w:hint="default"/>
        </w:rPr>
        <w:t>2017</w:t>
      </w:r>
      <w:r>
        <w:rPr/>
        <w:t>年度审计报告中与我们判断不一致的部分，我们对被投资单位的财务报表 进行调整后再计算相关权益影响。</w:t>
      </w:r>
    </w:p>
    <w:p>
      <w:pPr>
        <w:pStyle w:val="BodyText"/>
        <w:spacing w:line="316" w:lineRule="auto" w:before="31"/>
        <w:ind w:left="513" w:right="0"/>
        <w:jc w:val="left"/>
      </w:pPr>
      <w:r>
        <w:rPr>
          <w:rFonts w:ascii="宋体" w:hAnsi="宋体" w:cs="宋体" w:eastAsia="宋体" w:hint="default"/>
          <w:b/>
          <w:bCs/>
        </w:rPr>
        <w:t>四、其他信息</w:t>
      </w:r>
      <w:r>
        <w:rPr>
          <w:rFonts w:ascii="宋体" w:hAnsi="宋体" w:cs="宋体" w:eastAsia="宋体" w:hint="default"/>
          <w:b/>
          <w:bCs/>
          <w:w w:val="99"/>
        </w:rPr>
        <w:t> </w:t>
      </w:r>
      <w:r>
        <w:rPr/>
        <w:t>深圳惠程公司管理层对其他信息负责。其他信息包括年度报告中涵盖的信息，但不包括财务报表和我们的审计报告。 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16" w:lineRule="auto" w:before="19"/>
        <w:ind w:left="513" w:right="152" w:hanging="361"/>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before="19"/>
        <w:ind w:right="153"/>
        <w:jc w:val="left"/>
      </w:pPr>
      <w:r>
        <w:rPr/>
        <w:t>报告。</w:t>
      </w:r>
    </w:p>
    <w:p>
      <w:pPr>
        <w:spacing w:line="316" w:lineRule="auto" w:before="76"/>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深圳惠程公司管理层负责按照企业会计准则的规定编制财务报表，使其实现公允反映，并设计、执行和维护必要的内部</w:t>
      </w:r>
    </w:p>
    <w:p>
      <w:pPr>
        <w:pStyle w:val="BodyText"/>
        <w:spacing w:line="319" w:lineRule="auto" w:before="19"/>
        <w:ind w:left="513" w:right="0" w:hanging="361"/>
        <w:jc w:val="left"/>
      </w:pPr>
      <w:r>
        <w:rPr/>
        <w:t>控制，以使财务报表不存在由于舞弊或错误导致的重大错报。 </w:t>
      </w:r>
      <w:r>
        <w:rPr>
          <w:spacing w:val="-1"/>
        </w:rPr>
        <w:t>在编制财务报表时，管理层负责评估深圳惠程公司的持续经营能力，披露与持续经营相关的事项</w:t>
      </w:r>
      <w:r>
        <w:rPr>
          <w:rFonts w:ascii="Times New Roman" w:hAnsi="Times New Roman" w:cs="Times New Roman" w:eastAsia="Times New Roman" w:hint="default"/>
          <w:spacing w:val="-1"/>
        </w:rPr>
        <w:t>(</w:t>
      </w:r>
      <w:r>
        <w:rPr>
          <w:spacing w:val="-1"/>
        </w:rPr>
        <w:t>如适用</w:t>
      </w:r>
      <w:r>
        <w:rPr>
          <w:rFonts w:ascii="Times New Roman" w:hAnsi="Times New Roman" w:cs="Times New Roman" w:eastAsia="Times New Roman" w:hint="default"/>
          <w:spacing w:val="-1"/>
        </w:rPr>
        <w:t>)</w:t>
      </w:r>
      <w:r>
        <w:rPr>
          <w:spacing w:val="-1"/>
        </w:rPr>
        <w:t>并运用持续经</w:t>
      </w:r>
    </w:p>
    <w:p>
      <w:pPr>
        <w:spacing w:line="316" w:lineRule="auto" w:before="0"/>
        <w:ind w:left="513" w:right="3474" w:hanging="361"/>
        <w:jc w:val="left"/>
        <w:rPr>
          <w:rFonts w:ascii="宋体" w:hAnsi="宋体" w:cs="宋体" w:eastAsia="宋体" w:hint="default"/>
          <w:sz w:val="18"/>
          <w:szCs w:val="18"/>
        </w:rPr>
      </w:pPr>
      <w:r>
        <w:rPr>
          <w:rFonts w:ascii="宋体" w:hAnsi="宋体" w:cs="宋体" w:eastAsia="宋体" w:hint="default"/>
          <w:sz w:val="18"/>
          <w:szCs w:val="18"/>
        </w:rPr>
        <w:t>营假设，除非管理层计划清算深圳惠程公司、终止运营或别无其他现实的选择。 治理层负责监督深圳惠程公司的财务报告过程。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6" w:lineRule="auto" w:before="19"/>
        <w:ind w:right="149"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2"/>
        </w:rPr>
        <w:t> </w:t>
      </w:r>
      <w:r>
        <w:rPr>
          <w:spacing w:val="-62"/>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19"/>
        <w:ind w:left="513" w:right="153"/>
        <w:jc w:val="left"/>
      </w:pPr>
      <w:r>
        <w:rPr/>
        <w:t>在按照审计准则执行审计工作的过程中，我们运用职业判断，并保持职业怀疑。同时，我们也执行以下工作：</w:t>
      </w:r>
    </w:p>
    <w:p>
      <w:pPr>
        <w:pStyle w:val="BodyText"/>
        <w:spacing w:line="309" w:lineRule="auto" w:before="76"/>
        <w:ind w:right="153" w:firstLine="360"/>
        <w:jc w:val="both"/>
      </w:pP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、识别和评估由于舞弊或错误导致的财务报表重大错报风险，设计和实施审计程序以应对这些风险，并获取充分、适 </w:t>
      </w:r>
      <w:r>
        <w:rPr>
          <w:spacing w:val="-2"/>
        </w:rPr>
        <w:t>当的审计证据，作为发表审计意见的基础。由于舞弊可能涉及串通、伪造、故意遗漏、虚假陈述或凌驾于内部控制之上，未</w:t>
      </w:r>
      <w:r>
        <w:rPr>
          <w:spacing w:val="-70"/>
        </w:rPr>
        <w:t> </w:t>
      </w:r>
      <w:r>
        <w:rPr>
          <w:spacing w:val="-70"/>
        </w:rPr>
      </w:r>
      <w:r>
        <w:rPr/>
        <w:t>能发现由于舞弊导致的重大错报的风险高于未能发现由于错误导致的重大错报的风险。</w:t>
      </w:r>
    </w:p>
    <w:p>
      <w:pPr>
        <w:spacing w:after="0" w:line="309" w:lineRule="auto"/>
        <w:jc w:val="both"/>
        <w:sectPr>
          <w:pgSz w:w="11910" w:h="16840"/>
          <w:pgMar w:header="877" w:footer="979" w:top="1100" w:bottom="1160" w:left="980" w:right="980"/>
        </w:sectPr>
      </w:pPr>
    </w:p>
    <w:p>
      <w:pPr>
        <w:spacing w:line="240" w:lineRule="auto" w:before="11"/>
        <w:rPr>
          <w:rFonts w:ascii="宋体" w:hAnsi="宋体" w:cs="宋体" w:eastAsia="宋体" w:hint="default"/>
          <w:sz w:val="21"/>
          <w:szCs w:val="21"/>
        </w:rPr>
      </w:pPr>
    </w:p>
    <w:p>
      <w:pPr>
        <w:pStyle w:val="BodyText"/>
        <w:spacing w:line="240" w:lineRule="auto" w:before="44"/>
        <w:ind w:left="513" w:right="153"/>
        <w:jc w:val="left"/>
      </w:pP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pStyle w:val="BodyText"/>
        <w:spacing w:line="240" w:lineRule="auto" w:before="63"/>
        <w:ind w:left="513" w:right="153"/>
        <w:jc w:val="left"/>
      </w:pP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12" w:lineRule="auto" w:before="63"/>
        <w:ind w:right="151" w:firstLine="360"/>
        <w:jc w:val="both"/>
      </w:pPr>
      <w:r>
        <w:rPr>
          <w:rFonts w:ascii="Times New Roman" w:hAnsi="Times New Roman" w:cs="Times New Roman" w:eastAsia="Times New Roman" w:hint="default"/>
        </w:rPr>
        <w:t>4</w:t>
      </w:r>
      <w:r>
        <w:rPr/>
        <w:t>、对管理层使用持续经营假设的恰当性得出结论。同时，根据获取的审计证据，就可能导致对深圳惠程公司持续经营 </w:t>
      </w:r>
      <w:r>
        <w:rPr>
          <w:spacing w:val="-2"/>
        </w:rPr>
        <w:t>能力产生重大疑虑的事项或情况是否存在重大不确定性得出结论。如果我们得出结论认为存在重大不确定性，审计准则要求</w:t>
      </w:r>
      <w:r>
        <w:rPr>
          <w:spacing w:val="-64"/>
        </w:rPr>
        <w:t> </w:t>
      </w:r>
      <w:r>
        <w:rPr>
          <w:spacing w:val="-64"/>
        </w:rPr>
      </w:r>
      <w:r>
        <w:rPr>
          <w:spacing w:val="-2"/>
        </w:rPr>
        <w:t>我们在审计报告中提请报表使用者注意财务报表中的相关披露；如果披露不充分，我们应当发表非无保留意见。我们的结论</w:t>
      </w:r>
      <w:r>
        <w:rPr>
          <w:spacing w:val="-64"/>
        </w:rPr>
        <w:t> </w:t>
      </w:r>
      <w:r>
        <w:rPr>
          <w:spacing w:val="-64"/>
        </w:rPr>
      </w:r>
      <w:r>
        <w:rPr/>
        <w:t>基于截至审计报告日可获得的信息。然而，未来的事项或情况可能导致深圳惠程公司不能持续经营。</w:t>
      </w:r>
    </w:p>
    <w:p>
      <w:pPr>
        <w:pStyle w:val="BodyText"/>
        <w:spacing w:line="240" w:lineRule="auto" w:before="22"/>
        <w:ind w:left="513" w:right="153"/>
        <w:jc w:val="left"/>
      </w:pPr>
      <w:r>
        <w:rPr>
          <w:rFonts w:ascii="Times New Roman" w:hAnsi="Times New Roman" w:cs="Times New Roman" w:eastAsia="Times New Roman" w:hint="default"/>
        </w:rPr>
        <w:t>5</w:t>
      </w:r>
      <w:r>
        <w:rPr/>
        <w:t>、评价财务报表的总体列报、结构和内容</w:t>
      </w:r>
      <w:r>
        <w:rPr>
          <w:rFonts w:ascii="Times New Roman" w:hAnsi="Times New Roman" w:cs="Times New Roman" w:eastAsia="Times New Roman" w:hint="default"/>
        </w:rPr>
        <w:t>(</w:t>
      </w:r>
      <w:r>
        <w:rPr/>
        <w:t>包括披露</w:t>
      </w:r>
      <w:r>
        <w:rPr>
          <w:rFonts w:ascii="Times New Roman" w:hAnsi="Times New Roman" w:cs="Times New Roman" w:eastAsia="Times New Roman" w:hint="default"/>
        </w:rPr>
        <w:t>)</w:t>
      </w:r>
      <w:r>
        <w:rPr/>
        <w:t>，并评价财务报表是否公允反映相关交易和事项。</w:t>
      </w:r>
    </w:p>
    <w:p>
      <w:pPr>
        <w:pStyle w:val="BodyText"/>
        <w:spacing w:line="300" w:lineRule="auto" w:before="63"/>
        <w:ind w:right="153" w:firstLine="360"/>
        <w:jc w:val="both"/>
      </w:pPr>
      <w:r>
        <w:rPr>
          <w:rFonts w:ascii="Times New Roman" w:hAnsi="Times New Roman" w:cs="Times New Roman" w:eastAsia="Times New Roman" w:hint="default"/>
        </w:rPr>
        <w:t>6</w:t>
      </w:r>
      <w:r>
        <w:rPr/>
        <w:t>、就深圳惠程公司中实体或业务活动的财务信息获取充分、适当的审计证据，以对合并财务报表发表审计意见。我们 负责指导、监督和执行集团审计，并对审计意见承担全部责任。</w:t>
      </w:r>
    </w:p>
    <w:p>
      <w:pPr>
        <w:pStyle w:val="BodyText"/>
        <w:spacing w:line="316" w:lineRule="auto" w:before="31"/>
        <w:ind w:right="152"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16" w:lineRule="auto" w:before="19"/>
        <w:ind w:right="152"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w:t>
      </w:r>
      <w:r>
        <w:rPr>
          <w:rFonts w:ascii="Times New Roman" w:hAnsi="Times New Roman" w:cs="Times New Roman" w:eastAsia="Times New Roman" w:hint="default"/>
        </w:rPr>
        <w:t>(</w:t>
      </w:r>
      <w:r>
        <w:rPr/>
        <w:t>如适用</w:t>
      </w:r>
      <w:r>
        <w:rPr>
          <w:rFonts w:ascii="Times New Roman" w:hAnsi="Times New Roman" w:cs="Times New Roman" w:eastAsia="Times New Roman" w:hint="default"/>
        </w:rPr>
        <w:t>)</w:t>
      </w:r>
      <w:r>
        <w:rPr/>
        <w:t>。</w:t>
      </w:r>
    </w:p>
    <w:p>
      <w:pPr>
        <w:pStyle w:val="BodyText"/>
        <w:spacing w:line="316" w:lineRule="auto"/>
        <w:ind w:right="150"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3"/>
        </w:rPr>
        <w:t> </w:t>
      </w:r>
      <w:r>
        <w:rPr>
          <w:spacing w:val="-63"/>
        </w:rPr>
      </w:r>
      <w:r>
        <w:rPr/>
        <w:t>的负面后果超过在公众利益方面产生的益处，我们确定不应在审计报告中沟通该事项。</w:t>
      </w:r>
    </w:p>
    <w:p>
      <w:pPr>
        <w:spacing w:line="240" w:lineRule="auto" w:before="4"/>
        <w:rPr>
          <w:rFonts w:ascii="宋体" w:hAnsi="宋体" w:cs="宋体" w:eastAsia="宋体" w:hint="default"/>
          <w:sz w:val="25"/>
          <w:szCs w:val="25"/>
        </w:rPr>
      </w:pPr>
    </w:p>
    <w:p>
      <w:pPr>
        <w:pStyle w:val="BodyText"/>
        <w:tabs>
          <w:tab w:pos="7747" w:val="left" w:leader="none"/>
        </w:tabs>
        <w:spacing w:line="240" w:lineRule="auto"/>
        <w:ind w:left="513" w:right="153"/>
        <w:jc w:val="left"/>
      </w:pPr>
      <w:r>
        <w:rPr/>
        <w:t>上会会计师事务所（特殊普通合伙）</w:t>
        <w:tab/>
        <w:t>中国注册会计师</w:t>
      </w:r>
      <w:r>
        <w:rPr>
          <w:spacing w:val="51"/>
        </w:rPr>
        <w:t> </w:t>
      </w:r>
      <w:r>
        <w:rPr/>
        <w:t>张晓荣</w:t>
      </w:r>
    </w:p>
    <w:p>
      <w:pPr>
        <w:pStyle w:val="BodyText"/>
        <w:spacing w:line="636" w:lineRule="auto" w:before="76"/>
        <w:ind w:left="7762" w:right="220" w:firstLine="105"/>
        <w:jc w:val="left"/>
      </w:pPr>
      <w:r>
        <w:rPr/>
        <w:t>（项目合伙人） 中国注册会计师</w:t>
      </w:r>
      <w:r>
        <w:rPr>
          <w:spacing w:val="54"/>
        </w:rPr>
        <w:t> </w:t>
      </w:r>
      <w:r>
        <w:rPr/>
        <w:t>唐慧钰</w:t>
      </w:r>
    </w:p>
    <w:p>
      <w:pPr>
        <w:pStyle w:val="BodyText"/>
        <w:tabs>
          <w:tab w:pos="7942" w:val="left" w:leader="none"/>
        </w:tabs>
        <w:spacing w:line="240" w:lineRule="auto" w:before="92"/>
        <w:ind w:left="573" w:right="153"/>
        <w:jc w:val="left"/>
      </w:pPr>
      <w:r>
        <w:rPr/>
        <w:t>中国</w:t>
      </w:r>
      <w:r>
        <w:rPr>
          <w:spacing w:val="53"/>
        </w:rPr>
        <w:t> </w:t>
      </w:r>
      <w:r>
        <w:rPr/>
        <w:t>上海</w:t>
        <w:tab/>
        <w:t>二〇一八年四月十一日</w:t>
      </w:r>
    </w:p>
    <w:p>
      <w:pPr>
        <w:spacing w:after="0" w:line="240" w:lineRule="auto"/>
        <w:jc w:val="left"/>
        <w:sectPr>
          <w:pgSz w:w="11910" w:h="16840"/>
          <w:pgMar w:header="877" w:footer="979" w:top="1100" w:bottom="1160" w:left="980" w:right="980"/>
        </w:sectPr>
      </w:pPr>
    </w:p>
    <w:p>
      <w:pPr>
        <w:spacing w:line="240" w:lineRule="auto" w:before="10"/>
        <w:rPr>
          <w:rFonts w:ascii="宋体" w:hAnsi="宋体" w:cs="宋体" w:eastAsia="宋体" w:hint="default"/>
          <w:sz w:val="19"/>
          <w:szCs w:val="19"/>
        </w:rPr>
      </w:pPr>
    </w:p>
    <w:p>
      <w:pPr>
        <w:pStyle w:val="Heading2"/>
        <w:spacing w:line="240" w:lineRule="auto" w:before="26"/>
        <w:ind w:right="153"/>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3"/>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79" w:top="1100" w:bottom="1160" w:left="980" w:right="980"/>
        </w:sectPr>
      </w:pPr>
    </w:p>
    <w:p>
      <w:pPr>
        <w:pStyle w:val="BodyText"/>
        <w:spacing w:line="240" w:lineRule="auto" w:before="44"/>
        <w:ind w:right="-20"/>
        <w:jc w:val="left"/>
      </w:pPr>
      <w:r>
        <w:rPr/>
        <w:t>编制单位：深圳市惠程电气股份有限公司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3" w:equalWidth="0">
            <w:col w:w="3393" w:space="683"/>
            <w:col w:w="1642" w:space="3202"/>
            <w:col w:w="103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081"/>
        <w:gridCol w:w="2421"/>
        <w:gridCol w:w="2057"/>
      </w:tblGrid>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5"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346,559,958.83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67,402,733.52</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52,697,854.32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99,371,765.40</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622,056.20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3,178,756.57</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176,228,380.66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115,088,573.05</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75,875,899.06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248,248.60</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370,327.85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39,874,513.41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16,039,353.71</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62,128,773.68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66,351,928.70</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184,600,062.44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585,168,059.08</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938,957,826.45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952,849,418.63</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67,518,000.00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5081"/>
        <w:gridCol w:w="2421"/>
        <w:gridCol w:w="2057"/>
      </w:tblGrid>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578,483,866.20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684,619,923.83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266,262,100.00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264,912,386.01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100,527,900.22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104,839,944.05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1,315,533.32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903,218.56</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10,126,503.10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10,058,306.57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1,220,600,461.98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359,972.58</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15,240,911.61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582,759.11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26,077,497.42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17,873,752.15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9,018,592.31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5,288,696.97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2,295,171,366.16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1,089,438,959.83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3,234,129,192.61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2,042,288,378.46</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66,481,627.61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53,650,554.82</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67,618,736.38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34,501,968.28</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129,695,806.58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77,570,953.76</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2,250,466.47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3,642,369.56</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15,535,510.46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8,705,411.74</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20,548,789.11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9,839,416.91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94,929.22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68,404.96</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440,343,194.41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481,928,272.19</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5081"/>
        <w:gridCol w:w="2421"/>
        <w:gridCol w:w="2057"/>
      </w:tblGrid>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547,788,574.59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1,290,357,634.83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669,907,352.22</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520,461,455.17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10,980,380.49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1,850,517.87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14,255,705.33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16,179,727.56</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545,697,540.99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18,030,245.43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1,836,055,175.82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687,937,597.65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820,589,768.00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825,744,768.00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483,092,822.69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459,403,700.51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407,519,462.80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463,253,424.80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56,911,858.59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28,285,930.87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77,652,101.58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77,652,101.58</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318,910,068.88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426,517,704.65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1,349,637,156.94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1,354,350,780.81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5102"/>
        <w:gridCol w:w="2410"/>
        <w:gridCol w:w="2057"/>
      </w:tblGrid>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48,436,859.85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1,398,074,016.79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1,354,350,780.81</w:t>
            </w:r>
          </w:p>
        </w:tc>
      </w:tr>
      <w:tr>
        <w:trPr>
          <w:trHeight w:val="403"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3,234,129,192.61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2,042,288,378.46</w:t>
            </w:r>
          </w:p>
        </w:tc>
      </w:tr>
    </w:tbl>
    <w:p>
      <w:pPr>
        <w:spacing w:line="240" w:lineRule="auto" w:before="11"/>
        <w:rPr>
          <w:rFonts w:ascii="Times New Roman" w:hAnsi="Times New Roman" w:cs="Times New Roman" w:eastAsia="Times New Roman" w:hint="default"/>
          <w:sz w:val="22"/>
          <w:szCs w:val="22"/>
        </w:rPr>
      </w:pPr>
    </w:p>
    <w:p>
      <w:pPr>
        <w:pStyle w:val="BodyText"/>
        <w:tabs>
          <w:tab w:pos="3514" w:val="left" w:leader="none"/>
          <w:tab w:pos="7746" w:val="left" w:leader="none"/>
        </w:tabs>
        <w:spacing w:line="240" w:lineRule="auto" w:before="44"/>
        <w:ind w:left="0" w:right="244"/>
        <w:jc w:val="right"/>
      </w:pPr>
      <w:r>
        <w:rPr/>
        <w:t>法定代表人：徐海啸</w:t>
        <w:tab/>
      </w:r>
      <w:r>
        <w:rPr>
          <w:spacing w:val="-1"/>
        </w:rPr>
        <w:t>主管会计工作负责人：徐海啸</w:t>
        <w:tab/>
      </w:r>
      <w:r>
        <w:rPr/>
        <w:t>会计机构负责人：王烨</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081"/>
        <w:gridCol w:w="2421"/>
        <w:gridCol w:w="2057"/>
      </w:tblGrid>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5"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174,388,961.44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65,536,391.17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622,056.20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3,178,756.57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130,814,168.61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115,088,573.05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3,135,624.06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244,398.60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120,994.52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238,742,711.31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189,578,127.90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62,128,773.68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66,351,928.70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178,261,040.63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584,076,822.22</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788,214,330.45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1,024,054,998.21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2,199,154,341.20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921,829,448.83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42,808,800.00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46,903,286.01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92,068,610.99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100,836,258.00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903,218.56</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5081"/>
        <w:gridCol w:w="2421"/>
        <w:gridCol w:w="2057"/>
      </w:tblGrid>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8,184,877.11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10,044,773.25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158,825.31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582,759.11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24,117,801.12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17,475,581.53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9,018,592.31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5,288,696.97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2,375,511,848.04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1,103,864,022.26</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3,163,726,178.49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2,127,919,020.47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66,481,627.61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53,650,554.82</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67,618,736.38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34,501,968.28</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58,177,221.59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77,569,944.26</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2,250,466.47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3,642,369.56</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7,385,636.11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6,471,564.74</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8,131,487.63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9,443,512.75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94,929.22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68,404.96</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609,920,920.69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650,062,907.44</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547,788,574.59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1,367,849,600.29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835,411,226.81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520,461,455.17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5081"/>
        <w:gridCol w:w="2421"/>
        <w:gridCol w:w="2057"/>
      </w:tblGrid>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1,746,483.67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1,850,517.87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5,564,841.30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8,685,802.07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527,772,780.14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10,536,319.94</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1,895,622,380.43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845,947,546.75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820,589,768.00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825,744,768.00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483,207,765.66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459,518,643.48</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407,519,462.80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463,253,424.80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19,928,996.93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18,847,820.68</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77,652,101.58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77,652,101.58</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274,244,628.69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363,461,564.78</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1,268,103,798.06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1,281,971,473.72</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3,163,726,178.49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2,127,919,020.47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5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5109"/>
        <w:gridCol w:w="2423"/>
        <w:gridCol w:w="2153"/>
      </w:tblGrid>
      <w:tr>
        <w:trPr>
          <w:trHeight w:val="403"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373,172,726.25</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288,618,425.48</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373,172,726.25</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288,618,425.48</w:t>
            </w:r>
          </w:p>
        </w:tc>
      </w:tr>
      <w:tr>
        <w:trPr>
          <w:trHeight w:val="403"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450,292,489.08</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357,383,810.11</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235,681,884.16</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176,829,700.04</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20" w:type="dxa"/>
        <w:tblLayout w:type="fixed"/>
        <w:tblCellMar>
          <w:top w:w="0" w:type="dxa"/>
          <w:left w:w="0" w:type="dxa"/>
          <w:bottom w:w="0" w:type="dxa"/>
          <w:right w:w="0" w:type="dxa"/>
        </w:tblCellMar>
        <w:tblLook w:val="01E0"/>
      </w:tblPr>
      <w:tblGrid>
        <w:gridCol w:w="5131"/>
        <w:gridCol w:w="2412"/>
        <w:gridCol w:w="2153"/>
      </w:tblGrid>
      <w:tr>
        <w:trPr>
          <w:trHeight w:val="402" w:hRule="exact"/>
        </w:trPr>
        <w:tc>
          <w:tcPr>
            <w:tcW w:w="5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5,155,815.95</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6,575,903.09</w:t>
            </w:r>
          </w:p>
        </w:tc>
      </w:tr>
      <w:tr>
        <w:trPr>
          <w:trHeight w:val="402" w:hRule="exact"/>
        </w:trPr>
        <w:tc>
          <w:tcPr>
            <w:tcW w:w="5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81,308,181.79</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49,406,002.36</w:t>
            </w:r>
          </w:p>
        </w:tc>
      </w:tr>
      <w:tr>
        <w:trPr>
          <w:trHeight w:val="402" w:hRule="exact"/>
        </w:trPr>
        <w:tc>
          <w:tcPr>
            <w:tcW w:w="5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125,799,273.00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120,675,096.54</w:t>
            </w:r>
          </w:p>
        </w:tc>
      </w:tr>
      <w:tr>
        <w:trPr>
          <w:trHeight w:val="402" w:hRule="exact"/>
        </w:trPr>
        <w:tc>
          <w:tcPr>
            <w:tcW w:w="5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1,409,550.45</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-3,517,421.37</w:t>
            </w:r>
          </w:p>
        </w:tc>
      </w:tr>
      <w:tr>
        <w:trPr>
          <w:trHeight w:val="402" w:hRule="exact"/>
        </w:trPr>
        <w:tc>
          <w:tcPr>
            <w:tcW w:w="5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937,783.73</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7,414,529.45</w:t>
            </w:r>
          </w:p>
        </w:tc>
      </w:tr>
      <w:tr>
        <w:trPr>
          <w:trHeight w:val="402" w:hRule="exact"/>
        </w:trPr>
        <w:tc>
          <w:tcPr>
            <w:tcW w:w="5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-100,772.17</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15,967,586.03</w:t>
            </w:r>
          </w:p>
        </w:tc>
      </w:tr>
      <w:tr>
        <w:trPr>
          <w:trHeight w:val="403" w:hRule="exact"/>
        </w:trPr>
        <w:tc>
          <w:tcPr>
            <w:tcW w:w="5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-44,647,617.63</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120,129,482.72</w:t>
            </w:r>
          </w:p>
        </w:tc>
      </w:tr>
      <w:tr>
        <w:trPr>
          <w:trHeight w:val="402" w:hRule="exact"/>
        </w:trPr>
        <w:tc>
          <w:tcPr>
            <w:tcW w:w="5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-57,936,057.63</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93,820,568.83</w:t>
            </w:r>
          </w:p>
        </w:tc>
      </w:tr>
      <w:tr>
        <w:trPr>
          <w:trHeight w:val="402" w:hRule="exact"/>
        </w:trPr>
        <w:tc>
          <w:tcPr>
            <w:tcW w:w="5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2,560,428.35</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13,588,436.43</w:t>
            </w:r>
          </w:p>
        </w:tc>
      </w:tr>
      <w:tr>
        <w:trPr>
          <w:trHeight w:val="402" w:hRule="exact"/>
        </w:trPr>
        <w:tc>
          <w:tcPr>
            <w:tcW w:w="5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-119,307,724.28</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80,920,120.55</w:t>
            </w:r>
          </w:p>
        </w:tc>
      </w:tr>
      <w:tr>
        <w:trPr>
          <w:trHeight w:val="402" w:hRule="exact"/>
        </w:trPr>
        <w:tc>
          <w:tcPr>
            <w:tcW w:w="5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1,351,681.23</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792,741.35</w:t>
            </w:r>
          </w:p>
        </w:tc>
      </w:tr>
      <w:tr>
        <w:trPr>
          <w:trHeight w:val="402" w:hRule="exact"/>
        </w:trPr>
        <w:tc>
          <w:tcPr>
            <w:tcW w:w="5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102,008.68</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1,224,460.44</w:t>
            </w:r>
          </w:p>
        </w:tc>
      </w:tr>
      <w:tr>
        <w:trPr>
          <w:trHeight w:val="402" w:hRule="exact"/>
        </w:trPr>
        <w:tc>
          <w:tcPr>
            <w:tcW w:w="5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-118,058,051.73</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80,488,401.46</w:t>
            </w:r>
          </w:p>
        </w:tc>
      </w:tr>
      <w:tr>
        <w:trPr>
          <w:trHeight w:val="402" w:hRule="exact"/>
        </w:trPr>
        <w:tc>
          <w:tcPr>
            <w:tcW w:w="5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-11,690,744.52</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4,575,911.25</w:t>
            </w:r>
          </w:p>
        </w:tc>
      </w:tr>
      <w:tr>
        <w:trPr>
          <w:trHeight w:val="402" w:hRule="exact"/>
        </w:trPr>
        <w:tc>
          <w:tcPr>
            <w:tcW w:w="5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-106,367,307.21</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75,912,490.21</w:t>
            </w:r>
          </w:p>
        </w:tc>
      </w:tr>
      <w:tr>
        <w:trPr>
          <w:trHeight w:val="402" w:hRule="exact"/>
        </w:trPr>
        <w:tc>
          <w:tcPr>
            <w:tcW w:w="5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-106,367,307.21</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75,912,490.21</w:t>
            </w:r>
          </w:p>
        </w:tc>
      </w:tr>
      <w:tr>
        <w:trPr>
          <w:trHeight w:val="402" w:hRule="exact"/>
        </w:trPr>
        <w:tc>
          <w:tcPr>
            <w:tcW w:w="5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-107,607,635.77</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75,912,490.21</w:t>
            </w:r>
          </w:p>
        </w:tc>
      </w:tr>
      <w:tr>
        <w:trPr>
          <w:trHeight w:val="402" w:hRule="exact"/>
        </w:trPr>
        <w:tc>
          <w:tcPr>
            <w:tcW w:w="5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1,240,328.56</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28,625,927.72</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16,275,526.39</w:t>
            </w:r>
          </w:p>
        </w:tc>
      </w:tr>
      <w:tr>
        <w:trPr>
          <w:trHeight w:val="403" w:hRule="exact"/>
        </w:trPr>
        <w:tc>
          <w:tcPr>
            <w:tcW w:w="5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28,625,927.72</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16,275,526.39</w:t>
            </w:r>
          </w:p>
        </w:tc>
      </w:tr>
      <w:tr>
        <w:trPr>
          <w:trHeight w:val="402" w:hRule="exact"/>
        </w:trPr>
        <w:tc>
          <w:tcPr>
            <w:tcW w:w="5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5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2" w:right="10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权益法下在被投资单位不能重分类进损益的其他综 合收益中享有的份额</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28,625,927.72</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16,275,526.39</w:t>
            </w:r>
          </w:p>
        </w:tc>
      </w:tr>
      <w:tr>
        <w:trPr>
          <w:trHeight w:val="714" w:hRule="exact"/>
        </w:trPr>
        <w:tc>
          <w:tcPr>
            <w:tcW w:w="5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2" w:right="10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权益法下在被投资单位以后将重分类进损益的其他 综合收益中享有的份额</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10,799,355.00</w:t>
            </w:r>
          </w:p>
        </w:tc>
      </w:tr>
      <w:tr>
        <w:trPr>
          <w:trHeight w:val="402" w:hRule="exact"/>
        </w:trPr>
        <w:tc>
          <w:tcPr>
            <w:tcW w:w="5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27,477,700.71</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31" w:type="dxa"/>
        <w:tblLayout w:type="fixed"/>
        <w:tblCellMar>
          <w:top w:w="0" w:type="dxa"/>
          <w:left w:w="0" w:type="dxa"/>
          <w:bottom w:w="0" w:type="dxa"/>
          <w:right w:w="0" w:type="dxa"/>
        </w:tblCellMar>
        <w:tblLook w:val="01E0"/>
      </w:tblPr>
      <w:tblGrid>
        <w:gridCol w:w="5109"/>
        <w:gridCol w:w="2423"/>
        <w:gridCol w:w="2153"/>
      </w:tblGrid>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67,050.76</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-60,305.48</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1,081,176.25</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5,536,476.87</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-77,741,379.49</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92,188,016.60</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-78,981,708.05</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92,188,016.60</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1,240,328.56</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-0.14</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0.09</w:t>
            </w:r>
          </w:p>
        </w:tc>
      </w:tr>
      <w:tr>
        <w:trPr>
          <w:trHeight w:val="404"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-0.14</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0.09</w:t>
            </w:r>
          </w:p>
        </w:tc>
      </w:tr>
    </w:tbl>
    <w:p>
      <w:pPr>
        <w:pStyle w:val="BodyText"/>
        <w:tabs>
          <w:tab w:pos="3667" w:val="left" w:leader="none"/>
          <w:tab w:pos="7899" w:val="left" w:leader="none"/>
        </w:tabs>
        <w:spacing w:line="595" w:lineRule="auto" w:before="49"/>
        <w:ind w:right="244"/>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 </w:t>
      </w:r>
      <w:r>
        <w:rPr>
          <w:spacing w:val="-3"/>
        </w:rPr>
        <w:t>元。 </w:t>
      </w:r>
      <w:r>
        <w:rPr/>
        <w:t>法定代表人：徐海啸</w:t>
        <w:tab/>
      </w:r>
      <w:r>
        <w:rPr>
          <w:spacing w:val="-1"/>
        </w:rPr>
        <w:t>主管会计工作负责人：徐海啸</w:t>
        <w:tab/>
      </w:r>
      <w:r>
        <w:rPr/>
        <w:t>会计机构负责人：王烨</w:t>
      </w:r>
      <w:r>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5109"/>
        <w:gridCol w:w="2423"/>
        <w:gridCol w:w="2153"/>
      </w:tblGrid>
      <w:tr>
        <w:trPr>
          <w:trHeight w:val="401"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325,082,276.40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288,618,425.48</w:t>
            </w:r>
          </w:p>
        </w:tc>
      </w:tr>
      <w:tr>
        <w:trPr>
          <w:trHeight w:val="401"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228,596,916.42</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176,829,700.04</w:t>
            </w:r>
          </w:p>
        </w:tc>
      </w:tr>
      <w:tr>
        <w:trPr>
          <w:trHeight w:val="403"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3,819,396.90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6,299,326.54</w:t>
            </w:r>
          </w:p>
        </w:tc>
      </w:tr>
      <w:tr>
        <w:trPr>
          <w:trHeight w:val="401"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51,067,063.78</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49,406,002.36</w:t>
            </w:r>
          </w:p>
        </w:tc>
      </w:tr>
      <w:tr>
        <w:trPr>
          <w:trHeight w:val="403"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100,398,191.82</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104,727,120.83</w:t>
            </w:r>
          </w:p>
        </w:tc>
      </w:tr>
      <w:tr>
        <w:trPr>
          <w:trHeight w:val="401"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1,406,984.81</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-3,445,119.24</w:t>
            </w:r>
          </w:p>
        </w:tc>
      </w:tr>
      <w:tr>
        <w:trPr>
          <w:trHeight w:val="403"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625,269.26</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7,460,697.59</w:t>
            </w:r>
          </w:p>
        </w:tc>
      </w:tr>
      <w:tr>
        <w:trPr>
          <w:trHeight w:val="401"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-3,959,873.60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-231,044.39</w:t>
            </w:r>
          </w:p>
        </w:tc>
      </w:tr>
      <w:tr>
        <w:trPr>
          <w:trHeight w:val="403"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-39,247,559.81</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103,762,991.49</w:t>
            </w:r>
          </w:p>
        </w:tc>
      </w:tr>
      <w:tr>
        <w:trPr>
          <w:trHeight w:val="401"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-57,936,057.63</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93,820,568.83</w:t>
            </w:r>
          </w:p>
        </w:tc>
      </w:tr>
      <w:tr>
        <w:trPr>
          <w:trHeight w:val="403"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2,560,428.35</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13,589,418.23</w:t>
            </w:r>
          </w:p>
        </w:tc>
      </w:tr>
      <w:tr>
        <w:trPr>
          <w:trHeight w:val="401"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-101,478,551.65</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64,462,062.69</w:t>
            </w:r>
          </w:p>
        </w:tc>
      </w:tr>
      <w:tr>
        <w:trPr>
          <w:trHeight w:val="401"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1,037,466.86</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778,595.28</w:t>
            </w:r>
          </w:p>
        </w:tc>
      </w:tr>
      <w:tr>
        <w:trPr>
          <w:trHeight w:val="403"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102,008.68</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382,746.20</w:t>
            </w:r>
          </w:p>
        </w:tc>
      </w:tr>
      <w:tr>
        <w:trPr>
          <w:trHeight w:val="401"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-100,543,093.47</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64,857,911.77</w:t>
            </w:r>
          </w:p>
        </w:tc>
      </w:tr>
      <w:tr>
        <w:trPr>
          <w:trHeight w:val="403"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-11,326,157.38</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-3,422,614.39</w:t>
            </w:r>
          </w:p>
        </w:tc>
      </w:tr>
      <w:tr>
        <w:trPr>
          <w:trHeight w:val="401"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-89,216,936.09</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68,280,526.16</w:t>
            </w:r>
          </w:p>
        </w:tc>
      </w:tr>
      <w:tr>
        <w:trPr>
          <w:trHeight w:val="403"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-89,216,936.09</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68,280,526.16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31" w:type="dxa"/>
        <w:tblLayout w:type="fixed"/>
        <w:tblCellMar>
          <w:top w:w="0" w:type="dxa"/>
          <w:left w:w="0" w:type="dxa"/>
          <w:bottom w:w="0" w:type="dxa"/>
          <w:right w:w="0" w:type="dxa"/>
        </w:tblCellMar>
        <w:tblLook w:val="01E0"/>
      </w:tblPr>
      <w:tblGrid>
        <w:gridCol w:w="5109"/>
        <w:gridCol w:w="2423"/>
        <w:gridCol w:w="2153"/>
      </w:tblGrid>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1,081,176.25</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6,748,680.12</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9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权益法下在被投资单位不能重分类进损益的其他综 合收益中享有的份额</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1,081,176.25</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6,748,680.12</w:t>
            </w:r>
          </w:p>
        </w:tc>
      </w:tr>
      <w:tr>
        <w:trPr>
          <w:trHeight w:val="714"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9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权益法下在被投资单位以后将重分类进损益的其他 综合收益中享有的份额</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10,799,355.00</w:t>
            </w:r>
          </w:p>
        </w:tc>
      </w:tr>
      <w:tr>
        <w:trPr>
          <w:trHeight w:val="403"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1,081,176.25</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-4,050,674.88</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-88,135,759.84</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75,029,206.28</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5109"/>
        <w:gridCol w:w="2423"/>
        <w:gridCol w:w="2153"/>
      </w:tblGrid>
      <w:tr>
        <w:trPr>
          <w:trHeight w:val="403"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408,683,971.42</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259,982,658.70</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25"/>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25"/>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处置以公允价值计量且其变动计入当期损益的金融资产净增</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加额</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31" w:type="dxa"/>
        <w:tblLayout w:type="fixed"/>
        <w:tblCellMar>
          <w:top w:w="0" w:type="dxa"/>
          <w:left w:w="0" w:type="dxa"/>
          <w:bottom w:w="0" w:type="dxa"/>
          <w:right w:w="0" w:type="dxa"/>
        </w:tblCellMar>
        <w:tblLook w:val="01E0"/>
      </w:tblPr>
      <w:tblGrid>
        <w:gridCol w:w="5109"/>
        <w:gridCol w:w="2423"/>
        <w:gridCol w:w="2153"/>
      </w:tblGrid>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2,904,400.00</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55,638,892.37</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36,498,309.08</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464,322,863.79</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299,385,367.78</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232,245,802.65</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113,184,150.78</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62,526,779.05</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55,293,496.19</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23,303,013.32</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42,143,286.76</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151,717,815.57</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89,410,644.33</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469,793,410.59</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300,031,578.06</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-5,470,546.80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-646,210.28</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3,964,311,988.50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3,317,470,843.13</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72,155,520.93</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52,867,713.06</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25,832,000.00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36,116,730.25</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4,062,299,509.43</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3,406,455,286.44</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5,488,596.19</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70,096,767.02</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3,572,259,686.44</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4,032,750,456.73</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231,304,532.10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359,972.58</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3,809,052,814.73</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4,103,207,196.33</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253,246,694.70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-696,751,909.89</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18,038,096.29</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326,776,000.00</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66,481,627.61</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53,650,554.82</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20" w:type="dxa"/>
        <w:tblLayout w:type="fixed"/>
        <w:tblCellMar>
          <w:top w:w="0" w:type="dxa"/>
          <w:left w:w="0" w:type="dxa"/>
          <w:bottom w:w="0" w:type="dxa"/>
          <w:right w:w="0" w:type="dxa"/>
        </w:tblCellMar>
        <w:tblLook w:val="01E0"/>
      </w:tblPr>
      <w:tblGrid>
        <w:gridCol w:w="5131"/>
        <w:gridCol w:w="2412"/>
        <w:gridCol w:w="2153"/>
      </w:tblGrid>
      <w:tr>
        <w:trPr>
          <w:trHeight w:val="402" w:hRule="exact"/>
        </w:trPr>
        <w:tc>
          <w:tcPr>
            <w:tcW w:w="5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84,519,723.90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380,426,554.82</w:t>
            </w:r>
          </w:p>
        </w:tc>
      </w:tr>
      <w:tr>
        <w:trPr>
          <w:trHeight w:val="402" w:hRule="exact"/>
        </w:trPr>
        <w:tc>
          <w:tcPr>
            <w:tcW w:w="5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53,650,554.82</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5,069,527.72</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228,806.17</w:t>
            </w:r>
          </w:p>
        </w:tc>
      </w:tr>
      <w:tr>
        <w:trPr>
          <w:trHeight w:val="402" w:hRule="exact"/>
        </w:trPr>
        <w:tc>
          <w:tcPr>
            <w:tcW w:w="5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34,972,414.05</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93,692,496.59</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228,806.17</w:t>
            </w:r>
          </w:p>
        </w:tc>
      </w:tr>
      <w:tr>
        <w:trPr>
          <w:trHeight w:val="402" w:hRule="exact"/>
        </w:trPr>
        <w:tc>
          <w:tcPr>
            <w:tcW w:w="5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-9,172,772.69</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380,197,748.65</w:t>
            </w:r>
          </w:p>
        </w:tc>
      </w:tr>
      <w:tr>
        <w:trPr>
          <w:trHeight w:val="402" w:hRule="exact"/>
        </w:trPr>
        <w:tc>
          <w:tcPr>
            <w:tcW w:w="5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116,626.45</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315,722.83</w:t>
            </w:r>
          </w:p>
        </w:tc>
      </w:tr>
      <w:tr>
        <w:trPr>
          <w:trHeight w:val="403" w:hRule="exact"/>
        </w:trPr>
        <w:tc>
          <w:tcPr>
            <w:tcW w:w="5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238,720,001.66</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-316,884,648.69</w:t>
            </w:r>
          </w:p>
        </w:tc>
      </w:tr>
      <w:tr>
        <w:trPr>
          <w:trHeight w:val="402" w:hRule="exact"/>
        </w:trPr>
        <w:tc>
          <w:tcPr>
            <w:tcW w:w="5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50,592,813.82</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367,477,462.51</w:t>
            </w:r>
          </w:p>
        </w:tc>
      </w:tr>
      <w:tr>
        <w:trPr>
          <w:trHeight w:val="403" w:hRule="exact"/>
        </w:trPr>
        <w:tc>
          <w:tcPr>
            <w:tcW w:w="5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289,312,815.48</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50,592,813.82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5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5105"/>
        <w:gridCol w:w="2428"/>
        <w:gridCol w:w="2153"/>
      </w:tblGrid>
      <w:tr>
        <w:trPr>
          <w:trHeight w:val="402" w:hRule="exact"/>
        </w:trPr>
        <w:tc>
          <w:tcPr>
            <w:tcW w:w="5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4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4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333,911,326.38</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259,982,658.70</w:t>
            </w:r>
          </w:p>
        </w:tc>
      </w:tr>
      <w:tr>
        <w:trPr>
          <w:trHeight w:val="402" w:hRule="exact"/>
        </w:trPr>
        <w:tc>
          <w:tcPr>
            <w:tcW w:w="5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4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4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26,777,687.74</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1,393,337,901.87</w:t>
            </w:r>
          </w:p>
        </w:tc>
      </w:tr>
      <w:tr>
        <w:trPr>
          <w:trHeight w:val="402" w:hRule="exact"/>
        </w:trPr>
        <w:tc>
          <w:tcPr>
            <w:tcW w:w="5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360,689,014.12</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1,653,320,560.57</w:t>
            </w:r>
          </w:p>
        </w:tc>
      </w:tr>
      <w:tr>
        <w:trPr>
          <w:trHeight w:val="402" w:hRule="exact"/>
        </w:trPr>
        <w:tc>
          <w:tcPr>
            <w:tcW w:w="5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4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205,340,496.39</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112,927,255.48</w:t>
            </w:r>
          </w:p>
        </w:tc>
      </w:tr>
      <w:tr>
        <w:trPr>
          <w:trHeight w:val="402" w:hRule="exact"/>
        </w:trPr>
        <w:tc>
          <w:tcPr>
            <w:tcW w:w="5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4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50,078,240.04</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50,402,367.25</w:t>
            </w:r>
          </w:p>
        </w:tc>
      </w:tr>
      <w:tr>
        <w:trPr>
          <w:trHeight w:val="402" w:hRule="exact"/>
        </w:trPr>
        <w:tc>
          <w:tcPr>
            <w:tcW w:w="5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4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21,078,570.92</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23,348,188.53</w:t>
            </w:r>
          </w:p>
        </w:tc>
      </w:tr>
      <w:tr>
        <w:trPr>
          <w:trHeight w:val="402" w:hRule="exact"/>
        </w:trPr>
        <w:tc>
          <w:tcPr>
            <w:tcW w:w="5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4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186,267,661.69</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1,006,866,910.05</w:t>
            </w:r>
          </w:p>
        </w:tc>
      </w:tr>
      <w:tr>
        <w:trPr>
          <w:trHeight w:val="403" w:hRule="exact"/>
        </w:trPr>
        <w:tc>
          <w:tcPr>
            <w:tcW w:w="5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462,764,969.04</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1,193,544,721.31</w:t>
            </w:r>
          </w:p>
        </w:tc>
      </w:tr>
      <w:tr>
        <w:trPr>
          <w:trHeight w:val="402" w:hRule="exact"/>
        </w:trPr>
        <w:tc>
          <w:tcPr>
            <w:tcW w:w="5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-102,075,954.92</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459,775,839.26</w:t>
            </w:r>
          </w:p>
        </w:tc>
      </w:tr>
      <w:tr>
        <w:trPr>
          <w:trHeight w:val="402" w:hRule="exact"/>
        </w:trPr>
        <w:tc>
          <w:tcPr>
            <w:tcW w:w="5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4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4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3,793,156,047.95</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1,284,034,522.44</w:t>
            </w:r>
          </w:p>
        </w:tc>
      </w:tr>
      <w:tr>
        <w:trPr>
          <w:trHeight w:val="402" w:hRule="exact"/>
        </w:trPr>
        <w:tc>
          <w:tcPr>
            <w:tcW w:w="5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4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71,537,045.69</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8,374,764.88</w:t>
            </w:r>
          </w:p>
        </w:tc>
      </w:tr>
      <w:tr>
        <w:trPr>
          <w:trHeight w:val="402" w:hRule="exact"/>
        </w:trPr>
        <w:tc>
          <w:tcPr>
            <w:tcW w:w="5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4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25,832,000.00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39,945,900.28</w:t>
            </w:r>
          </w:p>
        </w:tc>
      </w:tr>
      <w:tr>
        <w:trPr>
          <w:trHeight w:val="402" w:hRule="exact"/>
        </w:trPr>
        <w:tc>
          <w:tcPr>
            <w:tcW w:w="5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4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4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3,890,525,093.64</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1,332,355,187.60</w:t>
            </w:r>
          </w:p>
        </w:tc>
      </w:tr>
      <w:tr>
        <w:trPr>
          <w:trHeight w:val="402" w:hRule="exact"/>
        </w:trPr>
        <w:tc>
          <w:tcPr>
            <w:tcW w:w="5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4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2,862,428.80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6,995,240.26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31" w:type="dxa"/>
        <w:tblLayout w:type="fixed"/>
        <w:tblCellMar>
          <w:top w:w="0" w:type="dxa"/>
          <w:left w:w="0" w:type="dxa"/>
          <w:bottom w:w="0" w:type="dxa"/>
          <w:right w:w="0" w:type="dxa"/>
        </w:tblCellMar>
        <w:tblLook w:val="01E0"/>
      </w:tblPr>
      <w:tblGrid>
        <w:gridCol w:w="5109"/>
        <w:gridCol w:w="2423"/>
        <w:gridCol w:w="2153"/>
      </w:tblGrid>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3,388,666,547.95</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2,253,789,063.97</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319,210,920.24</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3,710,739,896.99</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2,260,784,304.23</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179,785,196.65</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-928,429,116.63</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18,038,096.29</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326,776,000.00</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66,481,627.61</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53,650,554.82</w:t>
            </w:r>
          </w:p>
        </w:tc>
      </w:tr>
      <w:tr>
        <w:trPr>
          <w:trHeight w:val="403"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84,519,723.90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380,426,554.82</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53,650,554.82</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5,069,527.72</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228,806.17</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34,972,414.05</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93,692,496.59</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228,806.17</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-9,172,772.69</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380,197,748.65</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-121,122.42</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314,759.38</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68,415,346.62</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-88,140,769.34</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48,726,471.47</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136,867,240.81</w:t>
            </w:r>
          </w:p>
        </w:tc>
      </w:tr>
      <w:tr>
        <w:trPr>
          <w:trHeight w:val="402" w:hRule="exact"/>
        </w:trPr>
        <w:tc>
          <w:tcPr>
            <w:tcW w:w="5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4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117,141,818.09</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48,726,471.47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2"/>
        <w:rPr>
          <w:rFonts w:ascii="Times New Roman" w:hAnsi="Times New Roman" w:cs="Times New Roman" w:eastAsia="Times New Roman" w:hint="default"/>
          <w:sz w:val="3"/>
          <w:szCs w:val="3"/>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3"/>
        <w:spacing w:line="240" w:lineRule="auto"/>
        <w:ind w:left="140" w:right="148"/>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140" w:right="148"/>
        <w:jc w:val="left"/>
      </w:pPr>
      <w:r>
        <w:rPr/>
        <w:t>本期金额</w:t>
      </w:r>
    </w:p>
    <w:p>
      <w:pPr>
        <w:pStyle w:val="BodyText"/>
        <w:spacing w:line="240" w:lineRule="auto" w:before="117"/>
        <w:ind w:left="0" w:right="155"/>
        <w:jc w:val="right"/>
      </w:pPr>
      <w:r>
        <w:rPr/>
        <w:t>单位：元</w:t>
      </w:r>
    </w:p>
    <w:p>
      <w:pPr>
        <w:spacing w:line="240" w:lineRule="auto" w:before="3"/>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165"/>
        <w:gridCol w:w="1193"/>
        <w:gridCol w:w="425"/>
        <w:gridCol w:w="425"/>
        <w:gridCol w:w="329"/>
        <w:gridCol w:w="1181"/>
        <w:gridCol w:w="1184"/>
        <w:gridCol w:w="1114"/>
        <w:gridCol w:w="518"/>
        <w:gridCol w:w="1092"/>
        <w:gridCol w:w="709"/>
        <w:gridCol w:w="1241"/>
        <w:gridCol w:w="1114"/>
        <w:gridCol w:w="1318"/>
      </w:tblGrid>
      <w:tr>
        <w:trPr>
          <w:trHeight w:val="402" w:hRule="exact"/>
        </w:trPr>
        <w:tc>
          <w:tcPr>
            <w:tcW w:w="2165" w:type="dxa"/>
            <w:vMerge w:val="restart"/>
            <w:tcBorders>
              <w:top w:val="single" w:sz="4" w:space="0" w:color="000000"/>
              <w:left w:val="single" w:sz="4" w:space="0" w:color="000000"/>
              <w:right w:val="single" w:sz="4" w:space="0" w:color="000000"/>
            </w:tcBorders>
            <w:shd w:val="clear" w:color="auto" w:fill="D2D2D2"/>
          </w:tcPr>
          <w:p>
            <w:pPr/>
          </w:p>
        </w:tc>
        <w:tc>
          <w:tcPr>
            <w:tcW w:w="1184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2165" w:type="dxa"/>
            <w:vMerge/>
            <w:tcBorders>
              <w:left w:val="single" w:sz="4" w:space="0" w:color="000000"/>
              <w:bottom w:val="nil" w:sz="6" w:space="0" w:color="auto"/>
              <w:right w:val="single" w:sz="4" w:space="0" w:color="000000"/>
            </w:tcBorders>
            <w:shd w:val="clear" w:color="auto" w:fill="D2D2D2"/>
          </w:tcPr>
          <w:p>
            <w:pPr/>
          </w:p>
        </w:tc>
        <w:tc>
          <w:tcPr>
            <w:tcW w:w="94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8" w:type="dxa"/>
            <w:vMerge w:val="restart"/>
            <w:tcBorders>
              <w:top w:val="single" w:sz="4" w:space="0" w:color="000000"/>
              <w:left w:val="single" w:sz="4" w:space="0" w:color="000000"/>
              <w:right w:val="single" w:sz="4" w:space="0" w:color="000000"/>
            </w:tcBorders>
            <w:shd w:val="clear" w:color="auto" w:fill="D2D2D2"/>
          </w:tcPr>
          <w:p>
            <w:pPr/>
          </w:p>
        </w:tc>
      </w:tr>
      <w:tr>
        <w:trPr>
          <w:trHeight w:val="205" w:hRule="exact"/>
        </w:trPr>
        <w:tc>
          <w:tcPr>
            <w:tcW w:w="21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 w:type="dxa"/>
            <w:vMerge w:val="restart"/>
            <w:tcBorders>
              <w:top w:val="single" w:sz="4" w:space="0" w:color="000000"/>
              <w:left w:val="single" w:sz="4" w:space="0" w:color="000000"/>
              <w:right w:val="single" w:sz="4" w:space="0" w:color="000000"/>
            </w:tcBorders>
            <w:shd w:val="clear" w:color="auto" w:fill="D2D2D2"/>
          </w:tcPr>
          <w:p>
            <w:pPr/>
          </w:p>
        </w:tc>
        <w:tc>
          <w:tcPr>
            <w:tcW w:w="117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
        </w:tc>
        <w:tc>
          <w:tcPr>
            <w:tcW w:w="1114" w:type="dxa"/>
            <w:tcBorders>
              <w:top w:val="single" w:sz="4" w:space="0" w:color="000000"/>
              <w:left w:val="single" w:sz="4" w:space="0" w:color="000000"/>
              <w:bottom w:val="nil" w:sz="6" w:space="0" w:color="auto"/>
              <w:right w:val="single" w:sz="4" w:space="0" w:color="000000"/>
            </w:tcBorders>
            <w:shd w:val="clear" w:color="auto" w:fill="D2D2D2"/>
          </w:tcPr>
          <w:p>
            <w:pPr/>
          </w:p>
        </w:tc>
        <w:tc>
          <w:tcPr>
            <w:tcW w:w="5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2"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41" w:type="dxa"/>
            <w:vMerge w:val="restart"/>
            <w:tcBorders>
              <w:top w:val="single" w:sz="4" w:space="0" w:color="000000"/>
              <w:left w:val="single" w:sz="4" w:space="0" w:color="000000"/>
              <w:right w:val="single" w:sz="4" w:space="0" w:color="000000"/>
            </w:tcBorders>
            <w:shd w:val="clear" w:color="auto" w:fill="D2D2D2"/>
          </w:tcPr>
          <w:p>
            <w:pPr/>
          </w:p>
        </w:tc>
        <w:tc>
          <w:tcPr>
            <w:tcW w:w="111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5"/>
              <w:ind w:left="460" w:right="101"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73" w:hRule="exact"/>
        </w:trPr>
        <w:tc>
          <w:tcPr>
            <w:tcW w:w="2165" w:type="dxa"/>
            <w:vMerge/>
            <w:tcBorders>
              <w:left w:val="single" w:sz="4" w:space="0" w:color="000000"/>
              <w:bottom w:val="nil" w:sz="6" w:space="0" w:color="auto"/>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1179" w:type="dxa"/>
            <w:gridSpan w:val="3"/>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111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460" w:right="101"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51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74" w:right="72"/>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092" w:type="dxa"/>
            <w:vMerge/>
            <w:tcBorders>
              <w:left w:val="single" w:sz="4" w:space="0" w:color="000000"/>
              <w:bottom w:val="nil" w:sz="6" w:space="0" w:color="auto"/>
              <w:right w:val="single" w:sz="4" w:space="0" w:color="000000"/>
            </w:tcBorders>
            <w:shd w:val="clear" w:color="auto" w:fill="D2D2D2"/>
          </w:tcPr>
          <w:p>
            <w:pP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0"/>
              <w:ind w:left="79" w:right="7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241" w:type="dxa"/>
            <w:vMerge/>
            <w:tcBorders>
              <w:left w:val="single" w:sz="4" w:space="0" w:color="000000"/>
              <w:bottom w:val="nil" w:sz="6" w:space="0" w:color="auto"/>
              <w:right w:val="single" w:sz="4" w:space="0" w:color="000000"/>
            </w:tcBorders>
            <w:shd w:val="clear" w:color="auto" w:fill="D2D2D2"/>
          </w:tcPr>
          <w:p>
            <w:pPr/>
          </w:p>
        </w:tc>
        <w:tc>
          <w:tcPr>
            <w:tcW w:w="1114" w:type="dxa"/>
            <w:vMerge/>
            <w:tcBorders>
              <w:left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5" w:hRule="exact"/>
        </w:trPr>
        <w:tc>
          <w:tcPr>
            <w:tcW w:w="2165" w:type="dxa"/>
            <w:vMerge w:val="restart"/>
            <w:tcBorders>
              <w:top w:val="nil" w:sz="6" w:space="0" w:color="auto"/>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7"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15" w:right="2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15" w:right="2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32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67" w:right="71"/>
              <w:jc w:val="left"/>
              <w:rPr>
                <w:rFonts w:ascii="宋体" w:hAnsi="宋体" w:cs="宋体" w:eastAsia="宋体" w:hint="default"/>
                <w:sz w:val="18"/>
                <w:szCs w:val="18"/>
              </w:rPr>
            </w:pPr>
            <w:r>
              <w:rPr>
                <w:rFonts w:ascii="宋体" w:hAnsi="宋体" w:cs="宋体" w:eastAsia="宋体" w:hint="default"/>
                <w:sz w:val="18"/>
                <w:szCs w:val="18"/>
              </w:rPr>
              <w:t>其 他</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3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14" w:type="dxa"/>
            <w:vMerge/>
            <w:tcBorders>
              <w:left w:val="single" w:sz="4" w:space="0" w:color="000000"/>
              <w:right w:val="single" w:sz="4" w:space="0" w:color="000000"/>
            </w:tcBorders>
            <w:shd w:val="clear" w:color="auto" w:fill="D2D2D2"/>
          </w:tcPr>
          <w:p>
            <w:pPr/>
          </w:p>
        </w:tc>
        <w:tc>
          <w:tcPr>
            <w:tcW w:w="518" w:type="dxa"/>
            <w:vMerge/>
            <w:tcBorders>
              <w:left w:val="single" w:sz="4" w:space="0" w:color="000000"/>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09" w:type="dxa"/>
            <w:vMerge/>
            <w:tcBorders>
              <w:left w:val="single" w:sz="4" w:space="0" w:color="000000"/>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14"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90" w:hRule="exact"/>
        </w:trPr>
        <w:tc>
          <w:tcPr>
            <w:tcW w:w="2165"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329"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1114" w:type="dxa"/>
            <w:vMerge/>
            <w:tcBorders>
              <w:left w:val="single" w:sz="4" w:space="0" w:color="000000"/>
              <w:right w:val="single" w:sz="4" w:space="0" w:color="000000"/>
            </w:tcBorders>
            <w:shd w:val="clear" w:color="auto" w:fill="D2D2D2"/>
          </w:tcPr>
          <w:p>
            <w:pPr/>
          </w:p>
        </w:tc>
        <w:tc>
          <w:tcPr>
            <w:tcW w:w="518"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bottom w:val="single" w:sz="18" w:space="0" w:color="FFFFFF"/>
              <w:right w:val="single" w:sz="4" w:space="0" w:color="000000"/>
            </w:tcBorders>
            <w:shd w:val="clear" w:color="auto" w:fill="D2D2D2"/>
          </w:tcPr>
          <w:p>
            <w:pPr/>
          </w:p>
        </w:tc>
        <w:tc>
          <w:tcPr>
            <w:tcW w:w="1114" w:type="dxa"/>
            <w:vMerge/>
            <w:tcBorders>
              <w:left w:val="single" w:sz="4" w:space="0" w:color="000000"/>
              <w:bottom w:val="single" w:sz="18" w:space="0" w:color="FFFFFF"/>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
        </w:tc>
      </w:tr>
      <w:tr>
        <w:trPr>
          <w:trHeight w:val="159" w:hRule="exact"/>
        </w:trPr>
        <w:tc>
          <w:tcPr>
            <w:tcW w:w="2165"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329"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184" w:type="dxa"/>
            <w:vMerge w:val="restart"/>
            <w:tcBorders>
              <w:top w:val="nil" w:sz="6" w:space="0" w:color="auto"/>
              <w:left w:val="single" w:sz="4" w:space="0" w:color="000000"/>
              <w:right w:val="single" w:sz="4" w:space="0" w:color="000000"/>
            </w:tcBorders>
            <w:shd w:val="clear" w:color="auto" w:fill="D2D2D2"/>
          </w:tcPr>
          <w:p>
            <w:pPr/>
          </w:p>
        </w:tc>
        <w:tc>
          <w:tcPr>
            <w:tcW w:w="1114" w:type="dxa"/>
            <w:vMerge/>
            <w:tcBorders>
              <w:left w:val="single" w:sz="4" w:space="0" w:color="000000"/>
              <w:bottom w:val="nil" w:sz="6" w:space="0" w:color="auto"/>
              <w:right w:val="single" w:sz="4" w:space="0" w:color="000000"/>
            </w:tcBorders>
            <w:shd w:val="clear" w:color="auto" w:fill="D2D2D2"/>
          </w:tcPr>
          <w:p>
            <w:pPr/>
          </w:p>
        </w:tc>
        <w:tc>
          <w:tcPr>
            <w:tcW w:w="518" w:type="dxa"/>
            <w:vMerge/>
            <w:tcBorders>
              <w:left w:val="single" w:sz="4" w:space="0" w:color="000000"/>
              <w:bottom w:val="nil" w:sz="6" w:space="0" w:color="auto"/>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1241" w:type="dxa"/>
            <w:vMerge w:val="restart"/>
            <w:tcBorders>
              <w:top w:val="single" w:sz="18" w:space="0" w:color="FFFFFF"/>
              <w:left w:val="single" w:sz="4" w:space="0" w:color="000000"/>
              <w:right w:val="single" w:sz="4" w:space="0" w:color="000000"/>
            </w:tcBorders>
            <w:shd w:val="clear" w:color="auto" w:fill="D2D2D2"/>
          </w:tcPr>
          <w:p>
            <w:pPr/>
          </w:p>
        </w:tc>
        <w:tc>
          <w:tcPr>
            <w:tcW w:w="1114" w:type="dxa"/>
            <w:vMerge w:val="restart"/>
            <w:tcBorders>
              <w:top w:val="single" w:sz="18" w:space="0" w:color="FFFFFF"/>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204" w:hRule="exact"/>
        </w:trPr>
        <w:tc>
          <w:tcPr>
            <w:tcW w:w="2165"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329"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14" w:type="dxa"/>
            <w:tcBorders>
              <w:top w:val="nil" w:sz="6" w:space="0" w:color="auto"/>
              <w:left w:val="single" w:sz="4" w:space="0" w:color="000000"/>
              <w:bottom w:val="single" w:sz="4" w:space="0" w:color="000000"/>
              <w:right w:val="single" w:sz="4" w:space="0" w:color="000000"/>
            </w:tcBorders>
            <w:shd w:val="clear" w:color="auto" w:fill="D2D2D2"/>
          </w:tcPr>
          <w:p>
            <w:pPr/>
          </w:p>
        </w:tc>
        <w:tc>
          <w:tcPr>
            <w:tcW w:w="5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41" w:type="dxa"/>
            <w:vMerge/>
            <w:tcBorders>
              <w:left w:val="single" w:sz="4" w:space="0" w:color="000000"/>
              <w:bottom w:val="single" w:sz="4" w:space="0" w:color="000000"/>
              <w:right w:val="single" w:sz="4" w:space="0" w:color="000000"/>
            </w:tcBorders>
            <w:shd w:val="clear" w:color="auto" w:fill="D2D2D2"/>
          </w:tcPr>
          <w:p>
            <w:pPr/>
          </w:p>
        </w:tc>
        <w:tc>
          <w:tcPr>
            <w:tcW w:w="1114"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825,744,768.00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459,403,700.51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463,253,424.80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28,285,930.87</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77,652,101.58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center"/>
              <w:rPr>
                <w:rFonts w:ascii="Times New Roman" w:hAnsi="Times New Roman" w:cs="Times New Roman" w:eastAsia="Times New Roman" w:hint="default"/>
                <w:sz w:val="18"/>
                <w:szCs w:val="18"/>
              </w:rPr>
            </w:pPr>
            <w:r>
              <w:rPr>
                <w:rFonts w:ascii="Times New Roman"/>
                <w:sz w:val="18"/>
              </w:rPr>
              <w:t>426,517,704.65</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1,354,350,780.81</w:t>
            </w:r>
          </w:p>
        </w:tc>
      </w:tr>
      <w:tr>
        <w:trPr>
          <w:trHeight w:val="401" w:hRule="exact"/>
        </w:trPr>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同一控制下企业</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28"/>
              <w:jc w:val="center"/>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3"/>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825,744,768.00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459,403,700.51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463,253,424.80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28,285,930.87</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77,652,101.58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426,517,704.65</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1,354,350,780.81</w:t>
            </w:r>
          </w:p>
        </w:tc>
      </w:tr>
      <w:tr>
        <w:trPr>
          <w:trHeight w:val="715" w:hRule="exact"/>
        </w:trPr>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10"/>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-5,155,000.00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23,689,122.18</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-55,733,962.00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28,625,927.72</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-107,607,635.77</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48,436,859.85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43,723,235.98</w:t>
            </w:r>
          </w:p>
        </w:tc>
      </w:tr>
      <w:tr>
        <w:trPr>
          <w:trHeight w:val="401" w:hRule="exact"/>
        </w:trPr>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28,625,927.72</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-107,607,635.77</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1,240,328.56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-77,741,379.49</w:t>
            </w:r>
          </w:p>
        </w:tc>
      </w:tr>
      <w:tr>
        <w:trPr>
          <w:trHeight w:val="716" w:hRule="exact"/>
        </w:trPr>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10"/>
              <w:jc w:val="left"/>
              <w:rPr>
                <w:rFonts w:ascii="宋体" w:hAnsi="宋体" w:cs="宋体" w:eastAsia="宋体" w:hint="default"/>
                <w:sz w:val="18"/>
                <w:szCs w:val="18"/>
              </w:rPr>
            </w:pPr>
            <w:r>
              <w:rPr>
                <w:rFonts w:ascii="宋体" w:hAnsi="宋体" w:cs="宋体" w:eastAsia="宋体" w:hint="default"/>
                <w:spacing w:val="-3"/>
                <w:sz w:val="18"/>
                <w:szCs w:val="18"/>
              </w:rPr>
              <w:t>（二）所有者投入和减少资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本</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-5,155,000.00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26,989,336.23</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-55,733,962.00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77,568,298.23</w:t>
            </w:r>
          </w:p>
        </w:tc>
      </w:tr>
      <w:tr>
        <w:trPr>
          <w:trHeight w:val="401" w:hRule="exact"/>
        </w:trPr>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1" w:right="7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 入资本</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1,110,000.00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12,995,503.44</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14,105,503.44</w:t>
            </w:r>
          </w:p>
        </w:tc>
      </w:tr>
      <w:tr>
        <w:trPr>
          <w:trHeight w:val="403" w:hRule="exact"/>
        </w:trPr>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-6,265,000.00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13,993,832.79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-55,733,962.00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63,462,794.79</w:t>
            </w:r>
          </w:p>
        </w:tc>
      </w:tr>
    </w:tbl>
    <w:p>
      <w:pPr>
        <w:spacing w:after="0" w:line="240" w:lineRule="auto"/>
        <w:jc w:val="right"/>
        <w:rPr>
          <w:rFonts w:ascii="Times New Roman" w:hAnsi="Times New Roman" w:cs="Times New Roman" w:eastAsia="Times New Roman" w:hint="default"/>
          <w:sz w:val="18"/>
          <w:szCs w:val="18"/>
        </w:rPr>
        <w:sectPr>
          <w:headerReference w:type="default" r:id="rId31"/>
          <w:footerReference w:type="default" r:id="rId32"/>
          <w:pgSz w:w="16840" w:h="11910" w:orient="landscape"/>
          <w:pgMar w:header="867" w:footer="980" w:top="1060" w:bottom="1160" w:left="1300" w:right="1280"/>
          <w:pgNumType w:start="92"/>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177"/>
        <w:gridCol w:w="1193"/>
        <w:gridCol w:w="425"/>
        <w:gridCol w:w="425"/>
        <w:gridCol w:w="329"/>
        <w:gridCol w:w="1181"/>
        <w:gridCol w:w="1184"/>
        <w:gridCol w:w="1114"/>
        <w:gridCol w:w="518"/>
        <w:gridCol w:w="1092"/>
        <w:gridCol w:w="709"/>
        <w:gridCol w:w="1241"/>
        <w:gridCol w:w="1114"/>
        <w:gridCol w:w="1318"/>
      </w:tblGrid>
      <w:tr>
        <w:trPr>
          <w:trHeight w:val="377" w:hRule="exact"/>
        </w:trPr>
        <w:tc>
          <w:tcPr>
            <w:tcW w:w="217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1193" w:type="dxa"/>
            <w:tcBorders>
              <w:top w:val="single" w:sz="15" w:space="0" w:color="000000"/>
              <w:left w:val="single" w:sz="13" w:space="0" w:color="D2D2D2"/>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329"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184" w:type="dxa"/>
            <w:tcBorders>
              <w:top w:val="single" w:sz="15" w:space="0" w:color="000000"/>
              <w:left w:val="single" w:sz="4" w:space="0" w:color="000000"/>
              <w:bottom w:val="single" w:sz="4" w:space="0" w:color="000000"/>
              <w:right w:val="single" w:sz="4" w:space="0" w:color="000000"/>
            </w:tcBorders>
          </w:tcPr>
          <w:p>
            <w:pPr/>
          </w:p>
        </w:tc>
        <w:tc>
          <w:tcPr>
            <w:tcW w:w="1114" w:type="dxa"/>
            <w:tcBorders>
              <w:top w:val="single" w:sz="15" w:space="0" w:color="000000"/>
              <w:left w:val="single" w:sz="4" w:space="0" w:color="000000"/>
              <w:bottom w:val="single" w:sz="4" w:space="0" w:color="000000"/>
              <w:right w:val="single" w:sz="4" w:space="0" w:color="000000"/>
            </w:tcBorders>
          </w:tcPr>
          <w:p>
            <w:pPr/>
          </w:p>
        </w:tc>
        <w:tc>
          <w:tcPr>
            <w:tcW w:w="518" w:type="dxa"/>
            <w:tcBorders>
              <w:top w:val="single" w:sz="15" w:space="0" w:color="000000"/>
              <w:left w:val="single" w:sz="4" w:space="0" w:color="000000"/>
              <w:bottom w:val="single" w:sz="4" w:space="0" w:color="000000"/>
              <w:right w:val="single" w:sz="4" w:space="0" w:color="000000"/>
            </w:tcBorders>
          </w:tcPr>
          <w:p>
            <w:pPr/>
          </w:p>
        </w:tc>
        <w:tc>
          <w:tcPr>
            <w:tcW w:w="1092"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1241" w:type="dxa"/>
            <w:tcBorders>
              <w:top w:val="single" w:sz="15" w:space="0" w:color="000000"/>
              <w:left w:val="single" w:sz="4" w:space="0" w:color="000000"/>
              <w:bottom w:val="single" w:sz="4" w:space="0" w:color="000000"/>
              <w:right w:val="single" w:sz="4" w:space="0" w:color="000000"/>
            </w:tcBorders>
          </w:tcPr>
          <w:p>
            <w:pPr/>
          </w:p>
        </w:tc>
        <w:tc>
          <w:tcPr>
            <w:tcW w:w="1114"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
        </w:tc>
      </w:tr>
      <w:tr>
        <w:trPr>
          <w:trHeight w:val="403" w:hRule="exact"/>
        </w:trPr>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6" w:hRule="exact"/>
        </w:trPr>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7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 分配</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3"/>
                <w:sz w:val="18"/>
                <w:szCs w:val="18"/>
              </w:rPr>
              <w:t>（四）所有者权益内部结转</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7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 股本）</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7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 股本）</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-3,300,214.05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47,196,531.29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43,896,317.24</w:t>
            </w:r>
          </w:p>
        </w:tc>
      </w:tr>
      <w:tr>
        <w:trPr>
          <w:trHeight w:val="401" w:hRule="exact"/>
        </w:trPr>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820,589,768.00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483,092,822.69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407,519,462.80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56,911,858.59</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6"/>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77,652,101.58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318,910,068.88</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48,436,859.85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1,398,074,016.79</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17"/>
        <w:ind w:left="140" w:right="148"/>
        <w:jc w:val="left"/>
      </w:pPr>
      <w:r>
        <w:rPr/>
        <w:t>上期金额</w:t>
      </w:r>
    </w:p>
    <w:p>
      <w:pPr>
        <w:pStyle w:val="BodyText"/>
        <w:spacing w:line="240" w:lineRule="auto" w:before="117"/>
        <w:ind w:left="0" w:right="157"/>
        <w:jc w:val="right"/>
      </w:pPr>
      <w:r>
        <w:rPr/>
        <w:t>单位：元</w:t>
      </w:r>
    </w:p>
    <w:p>
      <w:pPr>
        <w:spacing w:line="240" w:lineRule="auto" w:before="4"/>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390"/>
        <w:gridCol w:w="1192"/>
        <w:gridCol w:w="451"/>
        <w:gridCol w:w="451"/>
        <w:gridCol w:w="346"/>
        <w:gridCol w:w="1181"/>
        <w:gridCol w:w="1181"/>
        <w:gridCol w:w="1118"/>
        <w:gridCol w:w="559"/>
        <w:gridCol w:w="1090"/>
        <w:gridCol w:w="776"/>
        <w:gridCol w:w="1181"/>
        <w:gridCol w:w="773"/>
        <w:gridCol w:w="1318"/>
      </w:tblGrid>
      <w:tr>
        <w:trPr>
          <w:trHeight w:val="401" w:hRule="exact"/>
        </w:trPr>
        <w:tc>
          <w:tcPr>
            <w:tcW w:w="2390" w:type="dxa"/>
            <w:vMerge w:val="restart"/>
            <w:tcBorders>
              <w:top w:val="single" w:sz="4" w:space="0" w:color="000000"/>
              <w:left w:val="single" w:sz="4" w:space="0" w:color="000000"/>
              <w:right w:val="single" w:sz="4" w:space="0" w:color="000000"/>
            </w:tcBorders>
            <w:shd w:val="clear" w:color="auto" w:fill="D2D2D2"/>
          </w:tcPr>
          <w:p>
            <w:pPr/>
          </w:p>
        </w:tc>
        <w:tc>
          <w:tcPr>
            <w:tcW w:w="11617"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98" w:hRule="exact"/>
        </w:trPr>
        <w:tc>
          <w:tcPr>
            <w:tcW w:w="2390" w:type="dxa"/>
            <w:vMerge/>
            <w:tcBorders>
              <w:left w:val="single" w:sz="4" w:space="0" w:color="000000"/>
              <w:bottom w:val="nil" w:sz="6" w:space="0" w:color="auto"/>
              <w:right w:val="single" w:sz="4" w:space="0" w:color="000000"/>
            </w:tcBorders>
            <w:shd w:val="clear" w:color="auto" w:fill="D2D2D2"/>
          </w:tcPr>
          <w:p>
            <w:pPr/>
          </w:p>
        </w:tc>
        <w:tc>
          <w:tcPr>
            <w:tcW w:w="952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7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8" w:type="dxa"/>
            <w:vMerge w:val="restart"/>
            <w:tcBorders>
              <w:top w:val="single" w:sz="4" w:space="0" w:color="000000"/>
              <w:left w:val="single" w:sz="4" w:space="0" w:color="000000"/>
              <w:right w:val="single" w:sz="4" w:space="0" w:color="000000"/>
            </w:tcBorders>
            <w:shd w:val="clear" w:color="auto" w:fill="D2D2D2"/>
          </w:tcPr>
          <w:p>
            <w:pPr/>
          </w:p>
        </w:tc>
      </w:tr>
      <w:tr>
        <w:trPr>
          <w:trHeight w:val="211" w:hRule="exact"/>
        </w:trPr>
        <w:tc>
          <w:tcPr>
            <w:tcW w:w="23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2" w:type="dxa"/>
            <w:vMerge w:val="restart"/>
            <w:tcBorders>
              <w:top w:val="single" w:sz="4" w:space="0" w:color="000000"/>
              <w:left w:val="single" w:sz="4" w:space="0" w:color="000000"/>
              <w:right w:val="single" w:sz="4" w:space="0" w:color="000000"/>
            </w:tcBorders>
            <w:shd w:val="clear" w:color="auto" w:fill="D2D2D2"/>
          </w:tcPr>
          <w:p>
            <w:pPr/>
          </w:p>
        </w:tc>
        <w:tc>
          <w:tcPr>
            <w:tcW w:w="124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118" w:type="dxa"/>
            <w:tcBorders>
              <w:top w:val="single" w:sz="4" w:space="0" w:color="000000"/>
              <w:left w:val="single" w:sz="4" w:space="0" w:color="000000"/>
              <w:bottom w:val="nil" w:sz="6" w:space="0" w:color="auto"/>
              <w:right w:val="single" w:sz="4" w:space="0" w:color="000000"/>
            </w:tcBorders>
            <w:shd w:val="clear" w:color="auto" w:fill="D2D2D2"/>
          </w:tcPr>
          <w:p>
            <w:pPr/>
          </w:p>
        </w:tc>
        <w:tc>
          <w:tcPr>
            <w:tcW w:w="55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0" w:type="dxa"/>
            <w:vMerge w:val="restart"/>
            <w:tcBorders>
              <w:top w:val="single" w:sz="4" w:space="0" w:color="000000"/>
              <w:left w:val="single" w:sz="4" w:space="0" w:color="000000"/>
              <w:right w:val="single" w:sz="4" w:space="0" w:color="FFFFFF"/>
            </w:tcBorders>
            <w:shd w:val="clear" w:color="auto" w:fill="D2D2D2"/>
          </w:tcPr>
          <w:p>
            <w:pPr/>
          </w:p>
        </w:tc>
        <w:tc>
          <w:tcPr>
            <w:tcW w:w="776" w:type="dxa"/>
            <w:tcBorders>
              <w:top w:val="single" w:sz="4" w:space="0" w:color="000000"/>
              <w:left w:val="single" w:sz="4" w:space="0" w:color="FFFFFF"/>
              <w:bottom w:val="nil" w:sz="6" w:space="0" w:color="auto"/>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77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8"/>
              <w:ind w:left="110" w:right="11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74" w:hRule="exact"/>
        </w:trPr>
        <w:tc>
          <w:tcPr>
            <w:tcW w:w="2390" w:type="dxa"/>
            <w:vMerge/>
            <w:tcBorders>
              <w:left w:val="single" w:sz="4" w:space="0" w:color="000000"/>
              <w:bottom w:val="nil" w:sz="6" w:space="0" w:color="auto"/>
              <w:right w:val="single" w:sz="4" w:space="0" w:color="000000"/>
            </w:tcBorders>
            <w:shd w:val="clear" w:color="auto" w:fill="D2D2D2"/>
          </w:tcPr>
          <w:p>
            <w:pPr/>
          </w:p>
        </w:tc>
        <w:tc>
          <w:tcPr>
            <w:tcW w:w="1192" w:type="dxa"/>
            <w:vMerge/>
            <w:tcBorders>
              <w:left w:val="single" w:sz="4" w:space="0" w:color="000000"/>
              <w:bottom w:val="nil" w:sz="6" w:space="0" w:color="auto"/>
              <w:right w:val="single" w:sz="4" w:space="0" w:color="000000"/>
            </w:tcBorders>
            <w:shd w:val="clear" w:color="auto" w:fill="D2D2D2"/>
          </w:tcPr>
          <w:p>
            <w:pPr/>
          </w:p>
        </w:tc>
        <w:tc>
          <w:tcPr>
            <w:tcW w:w="1248" w:type="dxa"/>
            <w:gridSpan w:val="3"/>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1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463" w:right="103"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559"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93" w:right="9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090" w:type="dxa"/>
            <w:vMerge/>
            <w:tcBorders>
              <w:left w:val="single" w:sz="4" w:space="0" w:color="000000"/>
              <w:bottom w:val="nil" w:sz="6" w:space="0" w:color="auto"/>
              <w:right w:val="single" w:sz="4" w:space="0" w:color="FFFFFF"/>
            </w:tcBorders>
            <w:shd w:val="clear" w:color="auto" w:fill="D2D2D2"/>
          </w:tcPr>
          <w:p>
            <w:pPr/>
          </w:p>
        </w:tc>
        <w:tc>
          <w:tcPr>
            <w:tcW w:w="776" w:type="dxa"/>
            <w:vMerge w:val="restart"/>
            <w:tcBorders>
              <w:top w:val="nil" w:sz="6" w:space="0" w:color="auto"/>
              <w:left w:val="single" w:sz="4" w:space="0" w:color="FFFFFF"/>
              <w:right w:val="single" w:sz="4" w:space="0" w:color="000000"/>
            </w:tcBorders>
            <w:shd w:val="clear" w:color="auto" w:fill="D2D2D2"/>
          </w:tcPr>
          <w:p>
            <w:pPr>
              <w:pStyle w:val="TableParagraph"/>
              <w:spacing w:line="314" w:lineRule="auto" w:before="71"/>
              <w:ind w:left="113" w:right="110"/>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181" w:type="dxa"/>
            <w:vMerge/>
            <w:tcBorders>
              <w:left w:val="single" w:sz="4" w:space="0" w:color="000000"/>
              <w:bottom w:val="nil" w:sz="6" w:space="0" w:color="auto"/>
              <w:right w:val="single" w:sz="4" w:space="0" w:color="000000"/>
            </w:tcBorders>
            <w:shd w:val="clear" w:color="auto" w:fill="D2D2D2"/>
          </w:tcPr>
          <w:p>
            <w:pPr/>
          </w:p>
        </w:tc>
        <w:tc>
          <w:tcPr>
            <w:tcW w:w="773" w:type="dxa"/>
            <w:vMerge/>
            <w:tcBorders>
              <w:left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2" w:hRule="exact"/>
        </w:trPr>
        <w:tc>
          <w:tcPr>
            <w:tcW w:w="2390" w:type="dxa"/>
            <w:vMerge w:val="restart"/>
            <w:tcBorders>
              <w:top w:val="nil" w:sz="6" w:space="0" w:color="auto"/>
              <w:left w:val="single" w:sz="4" w:space="0" w:color="000000"/>
              <w:right w:val="single" w:sz="4" w:space="0" w:color="000000"/>
            </w:tcBorders>
            <w:shd w:val="clear" w:color="auto" w:fill="D2D2D2"/>
          </w:tcPr>
          <w:p>
            <w:pPr/>
          </w:p>
        </w:tc>
        <w:tc>
          <w:tcPr>
            <w:tcW w:w="11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4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131" w:right="3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131" w:right="38"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34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76" w:right="77"/>
              <w:jc w:val="left"/>
              <w:rPr>
                <w:rFonts w:ascii="宋体" w:hAnsi="宋体" w:cs="宋体" w:eastAsia="宋体" w:hint="default"/>
                <w:sz w:val="18"/>
                <w:szCs w:val="18"/>
              </w:rPr>
            </w:pPr>
            <w:r>
              <w:rPr>
                <w:rFonts w:ascii="宋体" w:hAnsi="宋体" w:cs="宋体" w:eastAsia="宋体" w:hint="default"/>
                <w:sz w:val="18"/>
                <w:szCs w:val="18"/>
              </w:rPr>
              <w:t>其 他</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3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18" w:type="dxa"/>
            <w:vMerge/>
            <w:tcBorders>
              <w:left w:val="single" w:sz="4" w:space="0" w:color="000000"/>
              <w:right w:val="single" w:sz="4" w:space="0" w:color="000000"/>
            </w:tcBorders>
            <w:shd w:val="clear" w:color="auto" w:fill="D2D2D2"/>
          </w:tcPr>
          <w:p>
            <w:pPr/>
          </w:p>
        </w:tc>
        <w:tc>
          <w:tcPr>
            <w:tcW w:w="559" w:type="dxa"/>
            <w:vMerge/>
            <w:tcBorders>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1"/>
              <w:ind w:left="1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76" w:type="dxa"/>
            <w:vMerge/>
            <w:tcBorders>
              <w:left w:val="single" w:sz="4" w:space="0" w:color="FFFFFF"/>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73"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90" w:hRule="exact"/>
        </w:trPr>
        <w:tc>
          <w:tcPr>
            <w:tcW w:w="2390" w:type="dxa"/>
            <w:vMerge/>
            <w:tcBorders>
              <w:left w:val="single" w:sz="4" w:space="0" w:color="000000"/>
              <w:right w:val="single" w:sz="4" w:space="0" w:color="000000"/>
            </w:tcBorders>
            <w:shd w:val="clear" w:color="auto" w:fill="D2D2D2"/>
          </w:tcPr>
          <w:p>
            <w:pPr/>
          </w:p>
        </w:tc>
        <w:tc>
          <w:tcPr>
            <w:tcW w:w="1192" w:type="dxa"/>
            <w:vMerge/>
            <w:tcBorders>
              <w:left w:val="single" w:sz="4" w:space="0" w:color="000000"/>
              <w:bottom w:val="nil" w:sz="6" w:space="0" w:color="auto"/>
              <w:right w:val="single" w:sz="4" w:space="0" w:color="000000"/>
            </w:tcBorders>
            <w:shd w:val="clear" w:color="auto" w:fill="D2D2D2"/>
          </w:tcPr>
          <w:p>
            <w:pPr/>
          </w:p>
        </w:tc>
        <w:tc>
          <w:tcPr>
            <w:tcW w:w="451" w:type="dxa"/>
            <w:vMerge/>
            <w:tcBorders>
              <w:left w:val="single" w:sz="4" w:space="0" w:color="000000"/>
              <w:right w:val="single" w:sz="4" w:space="0" w:color="000000"/>
            </w:tcBorders>
            <w:shd w:val="clear" w:color="auto" w:fill="D2D2D2"/>
          </w:tcPr>
          <w:p>
            <w:pPr/>
          </w:p>
        </w:tc>
        <w:tc>
          <w:tcPr>
            <w:tcW w:w="451" w:type="dxa"/>
            <w:vMerge/>
            <w:tcBorders>
              <w:left w:val="single" w:sz="4" w:space="0" w:color="000000"/>
              <w:right w:val="single" w:sz="4" w:space="0" w:color="000000"/>
            </w:tcBorders>
            <w:shd w:val="clear" w:color="auto" w:fill="D2D2D2"/>
          </w:tcPr>
          <w:p>
            <w:pPr/>
          </w:p>
        </w:tc>
        <w:tc>
          <w:tcPr>
            <w:tcW w:w="346"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18" w:type="dxa"/>
            <w:vMerge/>
            <w:tcBorders>
              <w:left w:val="single" w:sz="4" w:space="0" w:color="000000"/>
              <w:right w:val="single" w:sz="4" w:space="0" w:color="000000"/>
            </w:tcBorders>
            <w:shd w:val="clear" w:color="auto" w:fill="D2D2D2"/>
          </w:tcPr>
          <w:p>
            <w:pPr/>
          </w:p>
        </w:tc>
        <w:tc>
          <w:tcPr>
            <w:tcW w:w="559"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FFFFFF"/>
            </w:tcBorders>
            <w:shd w:val="clear" w:color="auto" w:fill="D2D2D2"/>
          </w:tcPr>
          <w:p>
            <w:pPr/>
          </w:p>
        </w:tc>
        <w:tc>
          <w:tcPr>
            <w:tcW w:w="776" w:type="dxa"/>
            <w:vMerge/>
            <w:tcBorders>
              <w:left w:val="single" w:sz="4" w:space="0" w:color="FFFFFF"/>
              <w:right w:val="single" w:sz="4" w:space="0" w:color="000000"/>
            </w:tcBorders>
            <w:shd w:val="clear" w:color="auto" w:fill="D2D2D2"/>
          </w:tcPr>
          <w:p>
            <w:pPr/>
          </w:p>
        </w:tc>
        <w:tc>
          <w:tcPr>
            <w:tcW w:w="1181" w:type="dxa"/>
            <w:vMerge/>
            <w:tcBorders>
              <w:left w:val="single" w:sz="4" w:space="0" w:color="000000"/>
              <w:bottom w:val="single" w:sz="18" w:space="0" w:color="FFFFFF"/>
              <w:right w:val="single" w:sz="4" w:space="0" w:color="000000"/>
            </w:tcBorders>
            <w:shd w:val="clear" w:color="auto" w:fill="D2D2D2"/>
          </w:tcPr>
          <w:p>
            <w:pPr/>
          </w:p>
        </w:tc>
        <w:tc>
          <w:tcPr>
            <w:tcW w:w="773" w:type="dxa"/>
            <w:vMerge/>
            <w:tcBorders>
              <w:left w:val="single" w:sz="4" w:space="0" w:color="000000"/>
              <w:bottom w:val="single" w:sz="18" w:space="0" w:color="FFFFFF"/>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
        </w:tc>
      </w:tr>
      <w:tr>
        <w:trPr>
          <w:trHeight w:val="159" w:hRule="exact"/>
        </w:trPr>
        <w:tc>
          <w:tcPr>
            <w:tcW w:w="2390" w:type="dxa"/>
            <w:vMerge/>
            <w:tcBorders>
              <w:left w:val="single" w:sz="4" w:space="0" w:color="000000"/>
              <w:right w:val="single" w:sz="4" w:space="0" w:color="000000"/>
            </w:tcBorders>
            <w:shd w:val="clear" w:color="auto" w:fill="D2D2D2"/>
          </w:tcPr>
          <w:p>
            <w:pPr/>
          </w:p>
        </w:tc>
        <w:tc>
          <w:tcPr>
            <w:tcW w:w="1192" w:type="dxa"/>
            <w:vMerge w:val="restart"/>
            <w:tcBorders>
              <w:top w:val="nil" w:sz="6" w:space="0" w:color="auto"/>
              <w:left w:val="single" w:sz="4" w:space="0" w:color="000000"/>
              <w:right w:val="single" w:sz="4" w:space="0" w:color="000000"/>
            </w:tcBorders>
            <w:shd w:val="clear" w:color="auto" w:fill="D2D2D2"/>
          </w:tcPr>
          <w:p>
            <w:pPr/>
          </w:p>
        </w:tc>
        <w:tc>
          <w:tcPr>
            <w:tcW w:w="451" w:type="dxa"/>
            <w:vMerge/>
            <w:tcBorders>
              <w:left w:val="single" w:sz="4" w:space="0" w:color="000000"/>
              <w:right w:val="single" w:sz="4" w:space="0" w:color="000000"/>
            </w:tcBorders>
            <w:shd w:val="clear" w:color="auto" w:fill="D2D2D2"/>
          </w:tcPr>
          <w:p>
            <w:pPr/>
          </w:p>
        </w:tc>
        <w:tc>
          <w:tcPr>
            <w:tcW w:w="451" w:type="dxa"/>
            <w:vMerge/>
            <w:tcBorders>
              <w:left w:val="single" w:sz="4" w:space="0" w:color="000000"/>
              <w:right w:val="single" w:sz="4" w:space="0" w:color="000000"/>
            </w:tcBorders>
            <w:shd w:val="clear" w:color="auto" w:fill="D2D2D2"/>
          </w:tcPr>
          <w:p>
            <w:pPr/>
          </w:p>
        </w:tc>
        <w:tc>
          <w:tcPr>
            <w:tcW w:w="346"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118" w:type="dxa"/>
            <w:vMerge/>
            <w:tcBorders>
              <w:left w:val="single" w:sz="4" w:space="0" w:color="000000"/>
              <w:bottom w:val="nil" w:sz="6" w:space="0" w:color="auto"/>
              <w:right w:val="single" w:sz="4" w:space="0" w:color="000000"/>
            </w:tcBorders>
            <w:shd w:val="clear" w:color="auto" w:fill="D2D2D2"/>
          </w:tcPr>
          <w:p>
            <w:pPr/>
          </w:p>
        </w:tc>
        <w:tc>
          <w:tcPr>
            <w:tcW w:w="559" w:type="dxa"/>
            <w:vMerge/>
            <w:tcBorders>
              <w:left w:val="single" w:sz="4" w:space="0" w:color="000000"/>
              <w:bottom w:val="nil" w:sz="6" w:space="0" w:color="auto"/>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FFFFFF"/>
            </w:tcBorders>
            <w:shd w:val="clear" w:color="auto" w:fill="D2D2D2"/>
          </w:tcPr>
          <w:p>
            <w:pPr/>
          </w:p>
        </w:tc>
        <w:tc>
          <w:tcPr>
            <w:tcW w:w="776" w:type="dxa"/>
            <w:vMerge/>
            <w:tcBorders>
              <w:left w:val="single" w:sz="4" w:space="0" w:color="FFFFFF"/>
              <w:bottom w:val="nil" w:sz="6" w:space="0" w:color="auto"/>
              <w:right w:val="single" w:sz="4" w:space="0" w:color="000000"/>
            </w:tcBorders>
            <w:shd w:val="clear" w:color="auto" w:fill="D2D2D2"/>
          </w:tcPr>
          <w:p>
            <w:pPr/>
          </w:p>
        </w:tc>
        <w:tc>
          <w:tcPr>
            <w:tcW w:w="1181" w:type="dxa"/>
            <w:vMerge w:val="restart"/>
            <w:tcBorders>
              <w:top w:val="single" w:sz="18" w:space="0" w:color="FFFFFF"/>
              <w:left w:val="single" w:sz="4" w:space="0" w:color="000000"/>
              <w:right w:val="single" w:sz="4" w:space="0" w:color="000000"/>
            </w:tcBorders>
            <w:shd w:val="clear" w:color="auto" w:fill="D2D2D2"/>
          </w:tcPr>
          <w:p>
            <w:pPr/>
          </w:p>
        </w:tc>
        <w:tc>
          <w:tcPr>
            <w:tcW w:w="773" w:type="dxa"/>
            <w:vMerge w:val="restart"/>
            <w:tcBorders>
              <w:top w:val="single" w:sz="18" w:space="0" w:color="FFFFFF"/>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206" w:hRule="exact"/>
        </w:trPr>
        <w:tc>
          <w:tcPr>
            <w:tcW w:w="2390" w:type="dxa"/>
            <w:vMerge/>
            <w:tcBorders>
              <w:left w:val="single" w:sz="4" w:space="0" w:color="000000"/>
              <w:bottom w:val="single" w:sz="4" w:space="0" w:color="000000"/>
              <w:right w:val="single" w:sz="4" w:space="0" w:color="000000"/>
            </w:tcBorders>
            <w:shd w:val="clear" w:color="auto" w:fill="D2D2D2"/>
          </w:tcPr>
          <w:p>
            <w:pPr/>
          </w:p>
        </w:tc>
        <w:tc>
          <w:tcPr>
            <w:tcW w:w="1192" w:type="dxa"/>
            <w:vMerge/>
            <w:tcBorders>
              <w:left w:val="single" w:sz="4" w:space="0" w:color="000000"/>
              <w:bottom w:val="single" w:sz="4" w:space="0" w:color="000000"/>
              <w:right w:val="single" w:sz="4" w:space="0" w:color="000000"/>
            </w:tcBorders>
            <w:shd w:val="clear" w:color="auto" w:fill="D2D2D2"/>
          </w:tcPr>
          <w:p>
            <w:pPr/>
          </w:p>
        </w:tc>
        <w:tc>
          <w:tcPr>
            <w:tcW w:w="451" w:type="dxa"/>
            <w:vMerge/>
            <w:tcBorders>
              <w:left w:val="single" w:sz="4" w:space="0" w:color="000000"/>
              <w:bottom w:val="single" w:sz="4" w:space="0" w:color="000000"/>
              <w:right w:val="single" w:sz="4" w:space="0" w:color="000000"/>
            </w:tcBorders>
            <w:shd w:val="clear" w:color="auto" w:fill="D2D2D2"/>
          </w:tcPr>
          <w:p>
            <w:pPr/>
          </w:p>
        </w:tc>
        <w:tc>
          <w:tcPr>
            <w:tcW w:w="451" w:type="dxa"/>
            <w:vMerge/>
            <w:tcBorders>
              <w:left w:val="single" w:sz="4" w:space="0" w:color="000000"/>
              <w:bottom w:val="single" w:sz="4" w:space="0" w:color="000000"/>
              <w:right w:val="single" w:sz="4" w:space="0" w:color="000000"/>
            </w:tcBorders>
            <w:shd w:val="clear" w:color="auto" w:fill="D2D2D2"/>
          </w:tcPr>
          <w:p>
            <w:pPr/>
          </w:p>
        </w:tc>
        <w:tc>
          <w:tcPr>
            <w:tcW w:w="346"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18" w:type="dxa"/>
            <w:tcBorders>
              <w:top w:val="nil" w:sz="6" w:space="0" w:color="auto"/>
              <w:left w:val="single" w:sz="4" w:space="0" w:color="000000"/>
              <w:bottom w:val="single" w:sz="4" w:space="0" w:color="000000"/>
              <w:right w:val="single" w:sz="4" w:space="0" w:color="000000"/>
            </w:tcBorders>
            <w:shd w:val="clear" w:color="auto" w:fill="D2D2D2"/>
          </w:tcPr>
          <w:p>
            <w:pPr/>
          </w:p>
        </w:tc>
        <w:tc>
          <w:tcPr>
            <w:tcW w:w="55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FFFFFF"/>
            </w:tcBorders>
            <w:shd w:val="clear" w:color="auto" w:fill="D2D2D2"/>
          </w:tcPr>
          <w:p>
            <w:pPr/>
          </w:p>
        </w:tc>
        <w:tc>
          <w:tcPr>
            <w:tcW w:w="776" w:type="dxa"/>
            <w:tcBorders>
              <w:top w:val="nil" w:sz="6" w:space="0" w:color="auto"/>
              <w:left w:val="single" w:sz="4" w:space="0" w:color="FFFFFF"/>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773"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772,804,768.00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69,317,727.62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81,762,800.00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-88,736.08</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7" w:right="0"/>
              <w:jc w:val="left"/>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70,824,048.96</w:t>
            </w:r>
          </w:p>
        </w:tc>
        <w:tc>
          <w:tcPr>
            <w:tcW w:w="77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329,522,674.41</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1,160,617,682.91</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12,099,140.56</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7" w:right="0"/>
              <w:jc w:val="left"/>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27,910,592.65</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40,009,733.21</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7" w:right="0"/>
              <w:jc w:val="left"/>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7" w:right="0"/>
              <w:jc w:val="left"/>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7" w:right="0"/>
              <w:jc w:val="left"/>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772,804,768.00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69,317,727.62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81,762,800.00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12,010,404.48</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7" w:right="0"/>
              <w:jc w:val="left"/>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70,824,048.96</w:t>
            </w:r>
          </w:p>
        </w:tc>
        <w:tc>
          <w:tcPr>
            <w:tcW w:w="77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357,433,267.06</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1,200,627,416.12</w:t>
            </w:r>
          </w:p>
        </w:tc>
      </w:tr>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27"/>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52,940,000.00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390,085,972.89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381,490,624.80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16,275,526.39</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6,828,052.62</w:t>
            </w:r>
          </w:p>
        </w:tc>
        <w:tc>
          <w:tcPr>
            <w:tcW w:w="77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69,084,437.59</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153,723,364.69</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16,275,526.39</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7" w:right="0"/>
              <w:jc w:val="left"/>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75,912,490.21</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92,188,016.60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52,940,000.00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390,085,972.89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381,490,624.80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7" w:right="0"/>
              <w:jc w:val="left"/>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61,535,348.09</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52,940,000.00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332,774,000.00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7" w:right="0"/>
              <w:jc w:val="left"/>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385,714,000.00</w:t>
            </w:r>
          </w:p>
        </w:tc>
      </w:tr>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1" w:right="9"/>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．其他权益工具持有者投入资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本</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716"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1" w:right="9"/>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．股份支付计入所有者权益的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金额</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57,311,972.89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381,490,624.80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-324,178,651.91</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7" w:right="0"/>
              <w:jc w:val="left"/>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7" w:right="0"/>
              <w:jc w:val="left"/>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6,828,052.62</w:t>
            </w:r>
          </w:p>
        </w:tc>
        <w:tc>
          <w:tcPr>
            <w:tcW w:w="77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-6,828,052.62</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r>
        <w:rPr/>
        <w:pict>
          <v:group style="position:absolute;margin-left:192.619995pt;margin-top:157.700012pt;width:56.35pt;height:39.75pt;mso-position-horizontal-relative:page;mso-position-vertical-relative:page;z-index:-1104352" coordorigin="3852,3154" coordsize="1127,795">
            <v:group style="position:absolute;left:3852;top:3154;width:1127;height:392" coordorigin="3852,3154" coordsize="1127,392">
              <v:shape style="position:absolute;left:3852;top:3154;width:1127;height:392" coordorigin="3852,3154" coordsize="1127,392" path="m3852,3545l4978,3545,4978,3154,3852,3154,3852,3545xe" filled="true" fillcolor="#ffffff" stroked="false">
                <v:path arrowok="t"/>
                <v:fill type="solid"/>
              </v:shape>
            </v:group>
            <v:group style="position:absolute;left:3852;top:3557;width:1127;height:392" coordorigin="3852,3557" coordsize="1127,392">
              <v:shape style="position:absolute;left:3852;top:3557;width:1127;height:392" coordorigin="3852,3557" coordsize="1127,392" path="m3852,3949l4978,3949,4978,3557,3852,3557,3852,3949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2412"/>
        <w:gridCol w:w="1181"/>
        <w:gridCol w:w="451"/>
        <w:gridCol w:w="451"/>
        <w:gridCol w:w="346"/>
        <w:gridCol w:w="1181"/>
        <w:gridCol w:w="1181"/>
        <w:gridCol w:w="1118"/>
        <w:gridCol w:w="559"/>
        <w:gridCol w:w="1090"/>
        <w:gridCol w:w="776"/>
        <w:gridCol w:w="1181"/>
        <w:gridCol w:w="773"/>
        <w:gridCol w:w="1318"/>
      </w:tblGrid>
      <w:tr>
        <w:trPr>
          <w:trHeight w:val="418" w:hRule="exact"/>
        </w:trPr>
        <w:tc>
          <w:tcPr>
            <w:tcW w:w="241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Times New Roman" w:hAnsi="Times New Roman" w:cs="Times New Roman" w:eastAsia="Times New Roman" w:hint="default"/>
                <w:sz w:val="18"/>
                <w:szCs w:val="18"/>
              </w:rPr>
            </w:pPr>
            <w:r>
              <w:rPr>
                <w:rFonts w:ascii="Times New Roman"/>
                <w:sz w:val="18"/>
              </w:rPr>
              <w:t>/</w:t>
            </w:r>
          </w:p>
        </w:tc>
        <w:tc>
          <w:tcPr>
            <w:tcW w:w="45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45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34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c>
          <w:tcPr>
            <w:tcW w:w="11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55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left="247" w:right="0"/>
              <w:jc w:val="left"/>
              <w:rPr>
                <w:rFonts w:ascii="Times New Roman" w:hAnsi="Times New Roman" w:cs="Times New Roman" w:eastAsia="Times New Roman" w:hint="default"/>
                <w:sz w:val="18"/>
                <w:szCs w:val="18"/>
              </w:rPr>
            </w:pPr>
            <w:r>
              <w:rPr>
                <w:rFonts w:ascii="Times New Roman"/>
                <w:sz w:val="18"/>
              </w:rPr>
              <w:t>/</w:t>
            </w:r>
          </w:p>
        </w:tc>
        <w:tc>
          <w:tcPr>
            <w:tcW w:w="109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6,828,052.62</w:t>
            </w:r>
          </w:p>
        </w:tc>
        <w:tc>
          <w:tcPr>
            <w:tcW w:w="7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-6,828,052.62</w:t>
            </w:r>
          </w:p>
        </w:tc>
        <w:tc>
          <w:tcPr>
            <w:tcW w:w="77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7" w:right="0"/>
              <w:jc w:val="left"/>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．对所有者（或股东）的分配</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7" w:right="0"/>
              <w:jc w:val="left"/>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7" w:right="0"/>
              <w:jc w:val="left"/>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7" w:right="0"/>
              <w:jc w:val="left"/>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412"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82"/>
                <w:sz w:val="18"/>
                <w:szCs w:val="18"/>
              </w:rPr>
              <w:t>．</w:t>
            </w:r>
            <w:r>
              <w:rPr>
                <w:rFonts w:ascii="宋体" w:hAnsi="宋体" w:cs="宋体" w:eastAsia="宋体" w:hint="default"/>
                <w:sz w:val="18"/>
                <w:szCs w:val="18"/>
              </w:rPr>
              <w:t>资本公积转增资</w:t>
            </w:r>
            <w:r>
              <w:rPr>
                <w:rFonts w:ascii="宋体" w:hAnsi="宋体" w:cs="宋体" w:eastAsia="宋体" w:hint="default"/>
                <w:spacing w:val="-82"/>
                <w:sz w:val="18"/>
                <w:szCs w:val="18"/>
              </w:rPr>
              <w:t>本</w:t>
            </w:r>
            <w:r>
              <w:rPr>
                <w:rFonts w:ascii="宋体" w:hAnsi="宋体" w:cs="宋体" w:eastAsia="宋体" w:hint="default"/>
                <w:sz w:val="18"/>
                <w:szCs w:val="18"/>
              </w:rPr>
              <w:t>（或股本</w:t>
            </w:r>
          </w:p>
        </w:tc>
        <w:tc>
          <w:tcPr>
            <w:tcW w:w="1181" w:type="dxa"/>
            <w:tcBorders>
              <w:top w:val="single" w:sz="4" w:space="0" w:color="000000"/>
              <w:left w:val="single" w:sz="10" w:space="0" w:color="FFFFFF"/>
              <w:bottom w:val="single" w:sz="4" w:space="0" w:color="000000"/>
              <w:right w:val="single" w:sz="4" w:space="0" w:color="000000"/>
            </w:tcBorders>
          </w:tcPr>
          <w:p>
            <w:pPr>
              <w:pStyle w:val="TableParagraph"/>
              <w:tabs>
                <w:tab w:pos="554" w:val="left" w:leader="none"/>
              </w:tabs>
              <w:spacing w:line="240" w:lineRule="auto" w:before="49"/>
              <w:ind w:left="-1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7" w:right="0"/>
              <w:jc w:val="left"/>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2412"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盈余公积转增资</w:t>
            </w:r>
            <w:r>
              <w:rPr>
                <w:rFonts w:ascii="宋体" w:hAnsi="宋体" w:cs="宋体" w:eastAsia="宋体" w:hint="default"/>
                <w:spacing w:val="-82"/>
                <w:sz w:val="18"/>
                <w:szCs w:val="18"/>
              </w:rPr>
              <w:t>本</w:t>
            </w:r>
            <w:r>
              <w:rPr>
                <w:rFonts w:ascii="宋体" w:hAnsi="宋体" w:cs="宋体" w:eastAsia="宋体" w:hint="default"/>
                <w:sz w:val="18"/>
                <w:szCs w:val="18"/>
              </w:rPr>
              <w:t>（或股本</w:t>
            </w:r>
          </w:p>
        </w:tc>
        <w:tc>
          <w:tcPr>
            <w:tcW w:w="1181" w:type="dxa"/>
            <w:tcBorders>
              <w:top w:val="single" w:sz="4" w:space="0" w:color="000000"/>
              <w:left w:val="single" w:sz="10" w:space="0" w:color="FFFFFF"/>
              <w:bottom w:val="single" w:sz="4" w:space="0" w:color="000000"/>
              <w:right w:val="single" w:sz="4" w:space="0" w:color="000000"/>
            </w:tcBorders>
          </w:tcPr>
          <w:p>
            <w:pPr>
              <w:pStyle w:val="TableParagraph"/>
              <w:tabs>
                <w:tab w:pos="554" w:val="left" w:leader="none"/>
              </w:tabs>
              <w:spacing w:line="240" w:lineRule="auto" w:before="52"/>
              <w:ind w:left="-1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7" w:right="0"/>
              <w:jc w:val="left"/>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7" w:right="0"/>
              <w:jc w:val="left"/>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7" w:right="0"/>
              <w:jc w:val="left"/>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7" w:right="0"/>
              <w:jc w:val="left"/>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7" w:right="0"/>
              <w:jc w:val="left"/>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7" w:right="0"/>
              <w:jc w:val="left"/>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7" w:right="0"/>
              <w:jc w:val="left"/>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825,744,768.00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459,403,700.51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463,253,424.80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28,285,930.87</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7" w:right="0"/>
              <w:jc w:val="left"/>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77,652,101.58</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426,517,704.65</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1,354,350,780.81</w:t>
            </w:r>
          </w:p>
        </w:tc>
      </w:tr>
    </w:tbl>
    <w:p>
      <w:pPr>
        <w:spacing w:after="0" w:line="240" w:lineRule="auto"/>
        <w:jc w:val="center"/>
        <w:rPr>
          <w:rFonts w:ascii="Times New Roman" w:hAnsi="Times New Roman" w:cs="Times New Roman" w:eastAsia="Times New Roman" w:hint="default"/>
          <w:sz w:val="18"/>
          <w:szCs w:val="18"/>
        </w:rPr>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r>
        <w:rPr/>
        <w:pict>
          <v:group style="position:absolute;margin-left:243.619995pt;margin-top:299.026001pt;width:57.4pt;height:20.7pt;mso-position-horizontal-relative:page;mso-position-vertical-relative:page;z-index:-1104304" coordorigin="4872,5981" coordsize="1148,414">
            <v:group style="position:absolute;left:4883;top:5991;width:2;height:392" coordorigin="4883,5991" coordsize="2,392">
              <v:shape style="position:absolute;left:4883;top:5991;width:2;height:392" coordorigin="4883,5991" coordsize="0,392" path="m4883,5991l4883,6383e" filled="false" stroked="true" strokeweight="1.08pt" strokecolor="#ffffff">
                <v:path arrowok="t"/>
              </v:shape>
            </v:group>
            <v:group style="position:absolute;left:4894;top:5991;width:1127;height:392" coordorigin="4894,5991" coordsize="1127,392">
              <v:shape style="position:absolute;left:4894;top:5991;width:1127;height:392" coordorigin="4894,5991" coordsize="1127,392" path="m4894,6383l6020,6383,6020,5991,4894,5991,4894,6383xe" filled="true" fillcolor="#ffffff" stroked="false">
                <v:path arrowok="t"/>
                <v:fill type="solid"/>
              </v:shape>
            </v:group>
            <w10:wrap type="none"/>
          </v:group>
        </w:pict>
      </w: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3"/>
        <w:spacing w:line="240" w:lineRule="auto"/>
        <w:ind w:left="140" w:right="148"/>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140" w:right="148"/>
        <w:jc w:val="left"/>
      </w:pPr>
      <w:r>
        <w:rPr/>
        <w:t>本期金额</w:t>
      </w:r>
    </w:p>
    <w:p>
      <w:pPr>
        <w:pStyle w:val="BodyText"/>
        <w:spacing w:line="240" w:lineRule="auto" w:before="117"/>
        <w:ind w:left="0" w:right="157"/>
        <w:jc w:val="right"/>
      </w:pPr>
      <w:r>
        <w:rPr/>
        <w:t>单位：元</w:t>
      </w:r>
    </w:p>
    <w:p>
      <w:pPr>
        <w:spacing w:line="240" w:lineRule="auto" w:before="3"/>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432"/>
        <w:gridCol w:w="1193"/>
        <w:gridCol w:w="574"/>
        <w:gridCol w:w="574"/>
        <w:gridCol w:w="406"/>
        <w:gridCol w:w="1181"/>
        <w:gridCol w:w="1181"/>
        <w:gridCol w:w="1133"/>
        <w:gridCol w:w="745"/>
        <w:gridCol w:w="1090"/>
        <w:gridCol w:w="1181"/>
        <w:gridCol w:w="1318"/>
      </w:tblGrid>
      <w:tr>
        <w:trPr>
          <w:trHeight w:val="397" w:hRule="exact"/>
        </w:trPr>
        <w:tc>
          <w:tcPr>
            <w:tcW w:w="3432" w:type="dxa"/>
            <w:vMerge w:val="restart"/>
            <w:tcBorders>
              <w:top w:val="single" w:sz="4" w:space="0" w:color="000000"/>
              <w:left w:val="single" w:sz="4" w:space="0" w:color="000000"/>
              <w:right w:val="single" w:sz="4" w:space="0" w:color="000000"/>
            </w:tcBorders>
            <w:shd w:val="clear" w:color="auto" w:fill="D2D2D2"/>
          </w:tcPr>
          <w:p>
            <w:pPr/>
          </w:p>
        </w:tc>
        <w:tc>
          <w:tcPr>
            <w:tcW w:w="1057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188" w:hRule="exact"/>
        </w:trPr>
        <w:tc>
          <w:tcPr>
            <w:tcW w:w="3432" w:type="dxa"/>
            <w:vMerge/>
            <w:tcBorders>
              <w:left w:val="single" w:sz="4" w:space="0" w:color="000000"/>
              <w:bottom w:val="nil" w:sz="6" w:space="0" w:color="auto"/>
              <w:right w:val="single" w:sz="4" w:space="0" w:color="000000"/>
            </w:tcBorders>
            <w:shd w:val="clear" w:color="auto" w:fill="D2D2D2"/>
          </w:tcPr>
          <w:p>
            <w:pPr/>
          </w:p>
        </w:tc>
        <w:tc>
          <w:tcPr>
            <w:tcW w:w="1193" w:type="dxa"/>
            <w:vMerge w:val="restart"/>
            <w:tcBorders>
              <w:top w:val="single" w:sz="4" w:space="0" w:color="000000"/>
              <w:left w:val="single" w:sz="4" w:space="0" w:color="000000"/>
              <w:right w:val="single" w:sz="4" w:space="0" w:color="000000"/>
            </w:tcBorders>
            <w:shd w:val="clear" w:color="auto" w:fill="D2D2D2"/>
          </w:tcPr>
          <w:p>
            <w:pPr/>
          </w:p>
        </w:tc>
        <w:tc>
          <w:tcPr>
            <w:tcW w:w="155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7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0"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318" w:type="dxa"/>
            <w:vMerge w:val="restart"/>
            <w:tcBorders>
              <w:top w:val="single" w:sz="4" w:space="0" w:color="000000"/>
              <w:left w:val="single" w:sz="4" w:space="0" w:color="000000"/>
              <w:right w:val="single" w:sz="4" w:space="0" w:color="000000"/>
            </w:tcBorders>
            <w:shd w:val="clear" w:color="auto" w:fill="D2D2D2"/>
          </w:tcPr>
          <w:p>
            <w:pPr/>
          </w:p>
        </w:tc>
      </w:tr>
      <w:tr>
        <w:trPr>
          <w:trHeight w:val="190" w:hRule="exact"/>
        </w:trPr>
        <w:tc>
          <w:tcPr>
            <w:tcW w:w="34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 w:type="dxa"/>
            <w:vMerge/>
            <w:tcBorders>
              <w:left w:val="single" w:sz="4" w:space="0" w:color="000000"/>
              <w:bottom w:val="nil" w:sz="6" w:space="0" w:color="auto"/>
              <w:right w:val="single" w:sz="4" w:space="0" w:color="000000"/>
            </w:tcBorders>
            <w:shd w:val="clear" w:color="auto" w:fill="D2D2D2"/>
          </w:tcPr>
          <w:p>
            <w:pPr/>
          </w:p>
        </w:tc>
        <w:tc>
          <w:tcPr>
            <w:tcW w:w="1553" w:type="dxa"/>
            <w:gridSpan w:val="3"/>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1"/>
              <w:ind w:left="472" w:right="108"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74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1"/>
              <w:ind w:left="275" w:right="98"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90"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78" w:hRule="exact"/>
        </w:trPr>
        <w:tc>
          <w:tcPr>
            <w:tcW w:w="3432" w:type="dxa"/>
            <w:vMerge/>
            <w:tcBorders>
              <w:left w:val="single" w:sz="4" w:space="0" w:color="000000"/>
              <w:bottom w:val="nil" w:sz="6" w:space="0" w:color="auto"/>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7"/>
              <w:ind w:left="7"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7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8"/>
              <w:ind w:left="189" w:right="101"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8"/>
              <w:ind w:left="189" w:right="101"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0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8"/>
              <w:ind w:left="107" w:right="107"/>
              <w:jc w:val="left"/>
              <w:rPr>
                <w:rFonts w:ascii="宋体" w:hAnsi="宋体" w:cs="宋体" w:eastAsia="宋体" w:hint="default"/>
                <w:sz w:val="18"/>
                <w:szCs w:val="18"/>
              </w:rPr>
            </w:pPr>
            <w:r>
              <w:rPr>
                <w:rFonts w:ascii="宋体" w:hAnsi="宋体" w:cs="宋体" w:eastAsia="宋体" w:hint="default"/>
                <w:sz w:val="18"/>
                <w:szCs w:val="18"/>
              </w:rPr>
              <w:t>其 他</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7"/>
              <w:ind w:left="2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7"/>
              <w:ind w:left="13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33" w:type="dxa"/>
            <w:vMerge/>
            <w:tcBorders>
              <w:left w:val="single" w:sz="4" w:space="0" w:color="000000"/>
              <w:right w:val="single" w:sz="4" w:space="0" w:color="000000"/>
            </w:tcBorders>
            <w:shd w:val="clear" w:color="auto" w:fill="D2D2D2"/>
          </w:tcPr>
          <w:p>
            <w:pPr/>
          </w:p>
        </w:tc>
        <w:tc>
          <w:tcPr>
            <w:tcW w:w="745" w:type="dxa"/>
            <w:vMerge/>
            <w:tcBorders>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7"/>
              <w:ind w:left="1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7"/>
              <w:ind w:left="1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7"/>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2" w:hRule="exact"/>
        </w:trPr>
        <w:tc>
          <w:tcPr>
            <w:tcW w:w="3432" w:type="dxa"/>
            <w:vMerge w:val="restart"/>
            <w:tcBorders>
              <w:top w:val="nil" w:sz="6" w:space="0" w:color="auto"/>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406"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745"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3432"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406"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745" w:type="dxa"/>
            <w:vMerge/>
            <w:tcBorders>
              <w:left w:val="single" w:sz="4" w:space="0" w:color="000000"/>
              <w:bottom w:val="nil" w:sz="6" w:space="0" w:color="auto"/>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
        </w:tc>
      </w:tr>
      <w:tr>
        <w:trPr>
          <w:trHeight w:val="207" w:hRule="exact"/>
        </w:trPr>
        <w:tc>
          <w:tcPr>
            <w:tcW w:w="3432"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406"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7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825,744,768.00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459,518,643.48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463,253,424.80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18,847,820.68</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77,652,101.58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363,461,564.78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1,281,971,473.72</w:t>
            </w:r>
          </w:p>
        </w:tc>
      </w:tr>
      <w:tr>
        <w:trPr>
          <w:trHeight w:val="403"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825,744,768.00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459,518,643.48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463,253,424.80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18,847,820.68</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77,652,101.58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363,461,564.78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1,281,971,473.72</w:t>
            </w:r>
          </w:p>
        </w:tc>
      </w:tr>
      <w:tr>
        <w:trPr>
          <w:trHeight w:val="404"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5"/>
                <w:sz w:val="18"/>
                <w:szCs w:val="18"/>
              </w:rPr>
              <w:t>三、本期增减变动金额（减少以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号填列</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5" w:right="22"/>
              <w:jc w:val="righ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-5,155,000.00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23,689,122.18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center"/>
              <w:rPr>
                <w:rFonts w:ascii="Times New Roman" w:hAnsi="Times New Roman" w:cs="Times New Roman" w:eastAsia="Times New Roman" w:hint="default"/>
                <w:sz w:val="18"/>
                <w:szCs w:val="18"/>
              </w:rPr>
            </w:pPr>
            <w:r>
              <w:rPr>
                <w:rFonts w:ascii="Times New Roman"/>
                <w:sz w:val="18"/>
              </w:rPr>
              <w:t>-55,733,962.00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1,081,176.25</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center"/>
              <w:rPr>
                <w:rFonts w:ascii="Times New Roman" w:hAnsi="Times New Roman" w:cs="Times New Roman" w:eastAsia="Times New Roman" w:hint="default"/>
                <w:sz w:val="18"/>
                <w:szCs w:val="18"/>
              </w:rPr>
            </w:pPr>
            <w:r>
              <w:rPr>
                <w:rFonts w:ascii="Times New Roman"/>
                <w:sz w:val="18"/>
              </w:rPr>
              <w:t>-89,216,936.09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-13,867,675.66</w:t>
            </w:r>
          </w:p>
        </w:tc>
      </w:tr>
      <w:tr>
        <w:trPr>
          <w:trHeight w:val="401"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1,081,176.25</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-89,216,936.09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-88,135,759.84</w:t>
            </w:r>
          </w:p>
        </w:tc>
      </w:tr>
      <w:tr>
        <w:trPr>
          <w:trHeight w:val="403"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-5,155,000.00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26,989,336.23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center"/>
              <w:rPr>
                <w:rFonts w:ascii="Times New Roman" w:hAnsi="Times New Roman" w:cs="Times New Roman" w:eastAsia="Times New Roman" w:hint="default"/>
                <w:sz w:val="18"/>
                <w:szCs w:val="18"/>
              </w:rPr>
            </w:pPr>
            <w:r>
              <w:rPr>
                <w:rFonts w:ascii="Times New Roman"/>
                <w:sz w:val="18"/>
              </w:rPr>
              <w:t>-55,733,962.00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77,568,298.23</w:t>
            </w:r>
          </w:p>
        </w:tc>
      </w:tr>
      <w:tr>
        <w:trPr>
          <w:trHeight w:val="401"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1,110,000.00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12,995,503.44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14,105,503.44</w:t>
            </w:r>
          </w:p>
        </w:tc>
      </w:tr>
      <w:tr>
        <w:trPr>
          <w:trHeight w:val="401"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-6,265,000.00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13,993,832.79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-55,733,962.00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63,462,794.79</w:t>
            </w:r>
          </w:p>
        </w:tc>
      </w:tr>
      <w:tr>
        <w:trPr>
          <w:trHeight w:val="403"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3455"/>
        <w:gridCol w:w="1183"/>
        <w:gridCol w:w="574"/>
        <w:gridCol w:w="574"/>
        <w:gridCol w:w="406"/>
        <w:gridCol w:w="1181"/>
        <w:gridCol w:w="1181"/>
        <w:gridCol w:w="1133"/>
        <w:gridCol w:w="745"/>
        <w:gridCol w:w="1090"/>
        <w:gridCol w:w="1181"/>
        <w:gridCol w:w="1318"/>
      </w:tblGrid>
      <w:tr>
        <w:trPr>
          <w:trHeight w:val="418" w:hRule="exact"/>
        </w:trPr>
        <w:tc>
          <w:tcPr>
            <w:tcW w:w="345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1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3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-3,300,214.05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-3,300,214.05</w:t>
            </w:r>
          </w:p>
        </w:tc>
      </w:tr>
      <w:tr>
        <w:trPr>
          <w:trHeight w:val="403" w:hRule="exact"/>
        </w:trPr>
        <w:tc>
          <w:tcPr>
            <w:tcW w:w="3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820,589,768.00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483,207,765.66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407,519,462.80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19,928,996.93</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77,652,101.58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274,244,628.69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1,268,103,798.06</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r>
        <w:rPr/>
        <w:pict>
          <v:group style="position:absolute;margin-left:243.619995pt;margin-top:268.309998pt;width:57.4pt;height:20.65pt;mso-position-horizontal-relative:page;mso-position-vertical-relative:page;z-index:-1104256" coordorigin="4872,5366" coordsize="1148,413">
            <v:group style="position:absolute;left:4883;top:5377;width:2;height:392" coordorigin="4883,5377" coordsize="2,392">
              <v:shape style="position:absolute;left:4883;top:5377;width:2;height:392" coordorigin="4883,5377" coordsize="0,392" path="m4883,5377l4883,5768e" filled="false" stroked="true" strokeweight="1.08pt" strokecolor="#ffffff">
                <v:path arrowok="t"/>
              </v:shape>
            </v:group>
            <v:group style="position:absolute;left:4894;top:5377;width:1127;height:392" coordorigin="4894,5377" coordsize="1127,392">
              <v:shape style="position:absolute;left:4894;top:5377;width:1127;height:392" coordorigin="4894,5377" coordsize="1127,392" path="m4894,5768l6020,5768,6020,5377,4894,5377,4894,5768xe" filled="true" fillcolor="#ffffff" stroked="false">
                <v:path arrowok="t"/>
                <v:fill type="solid"/>
              </v:shape>
            </v:group>
            <w10:wrap type="none"/>
          </v:group>
        </w:pict>
      </w: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17"/>
        <w:ind w:left="140" w:right="148"/>
        <w:jc w:val="left"/>
      </w:pPr>
      <w:r>
        <w:rPr/>
        <w:t>上期金额</w:t>
      </w:r>
    </w:p>
    <w:p>
      <w:pPr>
        <w:pStyle w:val="BodyText"/>
        <w:spacing w:line="240" w:lineRule="auto" w:before="117"/>
        <w:ind w:left="0" w:right="157"/>
        <w:jc w:val="right"/>
      </w:pPr>
      <w:r>
        <w:rPr/>
        <w:t>单位：元</w:t>
      </w:r>
    </w:p>
    <w:p>
      <w:pPr>
        <w:spacing w:line="240" w:lineRule="auto" w:before="4"/>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432"/>
        <w:gridCol w:w="1193"/>
        <w:gridCol w:w="574"/>
        <w:gridCol w:w="574"/>
        <w:gridCol w:w="406"/>
        <w:gridCol w:w="1181"/>
        <w:gridCol w:w="1181"/>
        <w:gridCol w:w="1133"/>
        <w:gridCol w:w="745"/>
        <w:gridCol w:w="1090"/>
        <w:gridCol w:w="1181"/>
        <w:gridCol w:w="1318"/>
      </w:tblGrid>
      <w:tr>
        <w:trPr>
          <w:trHeight w:val="396" w:hRule="exact"/>
        </w:trPr>
        <w:tc>
          <w:tcPr>
            <w:tcW w:w="3432" w:type="dxa"/>
            <w:vMerge w:val="restart"/>
            <w:tcBorders>
              <w:top w:val="single" w:sz="4" w:space="0" w:color="000000"/>
              <w:left w:val="single" w:sz="4" w:space="0" w:color="000000"/>
              <w:right w:val="single" w:sz="4" w:space="0" w:color="000000"/>
            </w:tcBorders>
            <w:shd w:val="clear" w:color="auto" w:fill="D2D2D2"/>
          </w:tcPr>
          <w:p>
            <w:pPr/>
          </w:p>
        </w:tc>
        <w:tc>
          <w:tcPr>
            <w:tcW w:w="1057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188" w:hRule="exact"/>
        </w:trPr>
        <w:tc>
          <w:tcPr>
            <w:tcW w:w="3432" w:type="dxa"/>
            <w:vMerge/>
            <w:tcBorders>
              <w:left w:val="single" w:sz="4" w:space="0" w:color="000000"/>
              <w:bottom w:val="nil" w:sz="6" w:space="0" w:color="auto"/>
              <w:right w:val="single" w:sz="4" w:space="0" w:color="000000"/>
            </w:tcBorders>
            <w:shd w:val="clear" w:color="auto" w:fill="D2D2D2"/>
          </w:tcPr>
          <w:p>
            <w:pPr/>
          </w:p>
        </w:tc>
        <w:tc>
          <w:tcPr>
            <w:tcW w:w="1193" w:type="dxa"/>
            <w:vMerge w:val="restart"/>
            <w:tcBorders>
              <w:top w:val="single" w:sz="4" w:space="0" w:color="000000"/>
              <w:left w:val="single" w:sz="4" w:space="0" w:color="000000"/>
              <w:right w:val="single" w:sz="4" w:space="0" w:color="000000"/>
            </w:tcBorders>
            <w:shd w:val="clear" w:color="auto" w:fill="D2D2D2"/>
          </w:tcPr>
          <w:p>
            <w:pPr/>
          </w:p>
        </w:tc>
        <w:tc>
          <w:tcPr>
            <w:tcW w:w="155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7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0"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318" w:type="dxa"/>
            <w:vMerge w:val="restart"/>
            <w:tcBorders>
              <w:top w:val="single" w:sz="4" w:space="0" w:color="000000"/>
              <w:left w:val="single" w:sz="4" w:space="0" w:color="000000"/>
              <w:right w:val="single" w:sz="4" w:space="0" w:color="000000"/>
            </w:tcBorders>
            <w:shd w:val="clear" w:color="auto" w:fill="D2D2D2"/>
          </w:tcPr>
          <w:p>
            <w:pPr/>
          </w:p>
        </w:tc>
      </w:tr>
      <w:tr>
        <w:trPr>
          <w:trHeight w:val="188" w:hRule="exact"/>
        </w:trPr>
        <w:tc>
          <w:tcPr>
            <w:tcW w:w="34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 w:type="dxa"/>
            <w:vMerge/>
            <w:tcBorders>
              <w:left w:val="single" w:sz="4" w:space="0" w:color="000000"/>
              <w:bottom w:val="single" w:sz="14" w:space="0" w:color="FFFFFF"/>
              <w:right w:val="single" w:sz="4" w:space="0" w:color="000000"/>
            </w:tcBorders>
            <w:shd w:val="clear" w:color="auto" w:fill="D2D2D2"/>
          </w:tcPr>
          <w:p>
            <w:pPr/>
          </w:p>
        </w:tc>
        <w:tc>
          <w:tcPr>
            <w:tcW w:w="1553" w:type="dxa"/>
            <w:gridSpan w:val="3"/>
            <w:vMerge/>
            <w:tcBorders>
              <w:left w:val="single" w:sz="4" w:space="0" w:color="000000"/>
              <w:bottom w:val="single" w:sz="14" w:space="0" w:color="FFFFFF"/>
              <w:right w:val="single" w:sz="4" w:space="0" w:color="000000"/>
            </w:tcBorders>
            <w:shd w:val="clear" w:color="auto" w:fill="D2D2D2"/>
          </w:tcPr>
          <w:p>
            <w:pPr/>
          </w:p>
        </w:tc>
        <w:tc>
          <w:tcPr>
            <w:tcW w:w="1181" w:type="dxa"/>
            <w:vMerge/>
            <w:tcBorders>
              <w:left w:val="single" w:sz="4" w:space="0" w:color="000000"/>
              <w:bottom w:val="single" w:sz="14" w:space="0" w:color="FFFFFF"/>
              <w:right w:val="single" w:sz="4" w:space="0" w:color="000000"/>
            </w:tcBorders>
            <w:shd w:val="clear" w:color="auto" w:fill="D2D2D2"/>
          </w:tcPr>
          <w:p>
            <w:pPr/>
          </w:p>
        </w:tc>
        <w:tc>
          <w:tcPr>
            <w:tcW w:w="1181" w:type="dxa"/>
            <w:vMerge/>
            <w:tcBorders>
              <w:left w:val="single" w:sz="4" w:space="0" w:color="000000"/>
              <w:bottom w:val="single" w:sz="14" w:space="0" w:color="FFFFFF"/>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472" w:right="108"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74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275" w:right="98"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90"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83" w:hRule="exact"/>
        </w:trPr>
        <w:tc>
          <w:tcPr>
            <w:tcW w:w="3432" w:type="dxa"/>
            <w:vMerge/>
            <w:tcBorders>
              <w:left w:val="single" w:sz="4" w:space="0" w:color="000000"/>
              <w:bottom w:val="nil" w:sz="6" w:space="0" w:color="auto"/>
              <w:right w:val="single" w:sz="4" w:space="0" w:color="000000"/>
            </w:tcBorders>
            <w:shd w:val="clear" w:color="auto" w:fill="D2D2D2"/>
          </w:tcPr>
          <w:p>
            <w:pPr/>
          </w:p>
        </w:tc>
        <w:tc>
          <w:tcPr>
            <w:tcW w:w="1193"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2"/>
              <w:ind w:left="7"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74"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7"/>
              <w:ind w:left="189" w:right="101"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4"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7"/>
              <w:ind w:left="189" w:right="101"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06"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7"/>
              <w:ind w:left="107" w:right="107"/>
              <w:jc w:val="left"/>
              <w:rPr>
                <w:rFonts w:ascii="宋体" w:hAnsi="宋体" w:cs="宋体" w:eastAsia="宋体" w:hint="default"/>
                <w:sz w:val="18"/>
                <w:szCs w:val="18"/>
              </w:rPr>
            </w:pPr>
            <w:r>
              <w:rPr>
                <w:rFonts w:ascii="宋体" w:hAnsi="宋体" w:cs="宋体" w:eastAsia="宋体" w:hint="default"/>
                <w:sz w:val="18"/>
                <w:szCs w:val="18"/>
              </w:rPr>
              <w:t>其 他</w:t>
            </w:r>
          </w:p>
        </w:tc>
        <w:tc>
          <w:tcPr>
            <w:tcW w:w="1181"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2"/>
              <w:ind w:left="2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81"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2"/>
              <w:ind w:left="13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33" w:type="dxa"/>
            <w:vMerge/>
            <w:tcBorders>
              <w:left w:val="single" w:sz="4" w:space="0" w:color="000000"/>
              <w:right w:val="single" w:sz="4" w:space="0" w:color="000000"/>
            </w:tcBorders>
            <w:shd w:val="clear" w:color="auto" w:fill="D2D2D2"/>
          </w:tcPr>
          <w:p>
            <w:pPr/>
          </w:p>
        </w:tc>
        <w:tc>
          <w:tcPr>
            <w:tcW w:w="745" w:type="dxa"/>
            <w:vMerge/>
            <w:tcBorders>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2" w:hRule="exact"/>
        </w:trPr>
        <w:tc>
          <w:tcPr>
            <w:tcW w:w="3432" w:type="dxa"/>
            <w:vMerge w:val="restart"/>
            <w:tcBorders>
              <w:top w:val="nil" w:sz="6" w:space="0" w:color="auto"/>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406"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745"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3432"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406"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745" w:type="dxa"/>
            <w:vMerge/>
            <w:tcBorders>
              <w:left w:val="single" w:sz="4" w:space="0" w:color="000000"/>
              <w:bottom w:val="nil" w:sz="6" w:space="0" w:color="auto"/>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
        </w:tc>
      </w:tr>
      <w:tr>
        <w:trPr>
          <w:trHeight w:val="204" w:hRule="exact"/>
        </w:trPr>
        <w:tc>
          <w:tcPr>
            <w:tcW w:w="3432"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406"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7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772,804,768.00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69,432,670.59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81,762,800.00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70,824,048.96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274,098,498.59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1,105,397,186.14</w:t>
            </w:r>
          </w:p>
        </w:tc>
      </w:tr>
      <w:tr>
        <w:trPr>
          <w:trHeight w:val="401"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12,099,140.56</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27,910,592.65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40,009,733.21</w:t>
            </w:r>
          </w:p>
        </w:tc>
      </w:tr>
      <w:tr>
        <w:trPr>
          <w:trHeight w:val="403"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772,804,768.00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69,432,670.59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81,762,800.00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12,099,140.56</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70,824,048.96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302,009,091.24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1,145,406,919.35</w:t>
            </w:r>
          </w:p>
        </w:tc>
      </w:tr>
      <w:tr>
        <w:trPr>
          <w:trHeight w:val="401"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5"/>
                <w:sz w:val="18"/>
                <w:szCs w:val="18"/>
              </w:rPr>
              <w:t>三、本期增减变动金额（减少以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号填列</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25" w:right="22"/>
              <w:jc w:val="righ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52,940,000.00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390,085,972.89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381,490,624.80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6,748,680.12</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6,828,052.62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61,452,473.54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136,564,554.37</w:t>
            </w:r>
          </w:p>
        </w:tc>
      </w:tr>
      <w:tr>
        <w:trPr>
          <w:trHeight w:val="403"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6,748,680.12</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68,280,526.16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75,029,206.28</w:t>
            </w:r>
          </w:p>
        </w:tc>
      </w:tr>
      <w:tr>
        <w:trPr>
          <w:trHeight w:val="401"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52,940,000.00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390,085,972.89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381,490,624.80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61,535,348.09</w:t>
            </w:r>
          </w:p>
        </w:tc>
      </w:tr>
      <w:tr>
        <w:trPr>
          <w:trHeight w:val="403"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52,940,000.00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332,774,000.00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385,714,000.00</w:t>
            </w:r>
          </w:p>
        </w:tc>
      </w:tr>
      <w:tr>
        <w:trPr>
          <w:trHeight w:val="401"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57,311,972.89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381,490,624.80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-324,178,651.91</w:t>
            </w:r>
          </w:p>
        </w:tc>
      </w:tr>
      <w:tr>
        <w:trPr>
          <w:trHeight w:val="401"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6,828,052.62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center"/>
              <w:rPr>
                <w:rFonts w:ascii="Times New Roman" w:hAnsi="Times New Roman" w:cs="Times New Roman" w:eastAsia="Times New Roman" w:hint="default"/>
                <w:sz w:val="18"/>
                <w:szCs w:val="18"/>
              </w:rPr>
            </w:pPr>
            <w:r>
              <w:rPr>
                <w:rFonts w:ascii="Times New Roman"/>
                <w:sz w:val="18"/>
              </w:rPr>
              <w:t>-6,828,052.62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6,828,052.62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center"/>
              <w:rPr>
                <w:rFonts w:ascii="Times New Roman" w:hAnsi="Times New Roman" w:cs="Times New Roman" w:eastAsia="Times New Roman" w:hint="default"/>
                <w:sz w:val="18"/>
                <w:szCs w:val="18"/>
              </w:rPr>
            </w:pPr>
            <w:r>
              <w:rPr>
                <w:rFonts w:ascii="Times New Roman"/>
                <w:sz w:val="18"/>
              </w:rPr>
              <w:t>-6,828,052.62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3455"/>
        <w:gridCol w:w="1183"/>
        <w:gridCol w:w="574"/>
        <w:gridCol w:w="574"/>
        <w:gridCol w:w="406"/>
        <w:gridCol w:w="1181"/>
        <w:gridCol w:w="1181"/>
        <w:gridCol w:w="1133"/>
        <w:gridCol w:w="745"/>
        <w:gridCol w:w="1090"/>
        <w:gridCol w:w="1181"/>
        <w:gridCol w:w="1318"/>
      </w:tblGrid>
      <w:tr>
        <w:trPr>
          <w:trHeight w:val="418" w:hRule="exact"/>
        </w:trPr>
        <w:tc>
          <w:tcPr>
            <w:tcW w:w="345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1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3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825,744,768.00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459,518,643.48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463,253,424.80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18,847,820.68</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77,652,101.58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363,461,564.78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1,281,971,473.72</w:t>
            </w:r>
          </w:p>
        </w:tc>
      </w:tr>
    </w:tbl>
    <w:p>
      <w:pPr>
        <w:spacing w:after="0" w:line="240" w:lineRule="auto"/>
        <w:jc w:val="center"/>
        <w:rPr>
          <w:rFonts w:ascii="Times New Roman" w:hAnsi="Times New Roman" w:cs="Times New Roman" w:eastAsia="Times New Roman" w:hint="default"/>
          <w:sz w:val="18"/>
          <w:szCs w:val="18"/>
        </w:rPr>
        <w:sectPr>
          <w:pgSz w:w="16840" w:h="11910" w:orient="landscape"/>
          <w:pgMar w:header="867" w:footer="980" w:top="1060" w:bottom="1160" w:left="1300" w:right="128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right="0"/>
        <w:jc w:val="both"/>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97" w:firstLine="288"/>
        <w:jc w:val="left"/>
      </w:pPr>
      <w:r>
        <w:rPr/>
        <w:t>深圳市惠程电气股份有限公司（以下简称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）前身为深圳市惠程电气有限责任公司，系于</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w:t>
      </w:r>
      <w:r>
        <w:rPr/>
        <w:t>日 </w:t>
      </w:r>
      <w:r>
        <w:rPr>
          <w:spacing w:val="-3"/>
        </w:rPr>
        <w:t>经深圳市工商局核准，由吕晓义、邓树坚共同发起设立的有限责任公司。</w:t>
      </w:r>
      <w:r>
        <w:rPr>
          <w:rFonts w:ascii="Times New Roman" w:hAnsi="Times New Roman" w:cs="Times New Roman" w:eastAsia="Times New Roman" w:hint="default"/>
          <w:spacing w:val="-3"/>
        </w:rPr>
        <w:t>2002</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18</w:t>
      </w:r>
      <w:r>
        <w:rPr>
          <w:spacing w:val="-3"/>
        </w:rPr>
        <w:t>日，经深圳市人民政府深府股【</w:t>
      </w:r>
      <w:r>
        <w:rPr>
          <w:rFonts w:ascii="Times New Roman" w:hAnsi="Times New Roman" w:cs="Times New Roman" w:eastAsia="Times New Roman" w:hint="default"/>
          <w:spacing w:val="-3"/>
        </w:rPr>
        <w:t>2002</w:t>
      </w:r>
      <w:r>
        <w:rPr>
          <w:spacing w:val="-3"/>
        </w:rPr>
        <w:t>】</w:t>
      </w:r>
      <w:r>
        <w:rPr>
          <w:spacing w:val="-84"/>
        </w:rPr>
        <w:t> </w:t>
      </w:r>
      <w:r>
        <w:rPr>
          <w:rFonts w:ascii="Times New Roman" w:hAnsi="Times New Roman" w:cs="Times New Roman" w:eastAsia="Times New Roman" w:hint="default"/>
        </w:rPr>
        <w:t>44</w:t>
      </w:r>
      <w:r>
        <w:rPr/>
        <w:t>号</w:t>
      </w:r>
      <w:r>
        <w:rPr>
          <w:rFonts w:ascii="Times New Roman" w:hAnsi="Times New Roman" w:cs="Times New Roman" w:eastAsia="Times New Roman" w:hint="default"/>
        </w:rPr>
        <w:t>“</w:t>
      </w:r>
      <w:r>
        <w:rPr/>
        <w:t>关于以发起方式改组设立深圳市惠程电气股份有限公司的批复</w:t>
      </w:r>
      <w:r>
        <w:rPr>
          <w:rFonts w:ascii="Times New Roman" w:hAnsi="Times New Roman" w:cs="Times New Roman" w:eastAsia="Times New Roman" w:hint="default"/>
        </w:rPr>
        <w:t>”</w:t>
      </w:r>
      <w:r>
        <w:rPr/>
        <w:t>文件批准，并经本公司股东会决议，整体变更为股份有 限公司。公司统一社会信用代码：</w:t>
      </w:r>
      <w:r>
        <w:rPr>
          <w:rFonts w:ascii="Times New Roman" w:hAnsi="Times New Roman" w:cs="Times New Roman" w:eastAsia="Times New Roman" w:hint="default"/>
        </w:rPr>
        <w:t>914403007152119019</w:t>
      </w:r>
      <w:r>
        <w:rPr/>
        <w:t>。</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9</w:t>
      </w:r>
      <w:r>
        <w:rPr/>
        <w:t>月在深圳证券交易所上市。所属行业为输配电及控制设备 制造业。</w:t>
      </w:r>
    </w:p>
    <w:p>
      <w:pPr>
        <w:pStyle w:val="BodyText"/>
        <w:spacing w:line="312" w:lineRule="auto" w:before="31"/>
        <w:ind w:right="94" w:firstLine="288"/>
        <w:jc w:val="left"/>
      </w:pP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日，本公司股本总数为</w:t>
      </w:r>
      <w:r>
        <w:rPr>
          <w:rFonts w:ascii="Times New Roman" w:hAnsi="Times New Roman" w:cs="Times New Roman" w:eastAsia="Times New Roman" w:hint="default"/>
        </w:rPr>
        <w:t>820,589,768.00 </w:t>
      </w:r>
      <w:r>
        <w:rPr/>
        <w:t>股，注册资本为</w:t>
      </w:r>
      <w:r>
        <w:rPr>
          <w:rFonts w:ascii="Times New Roman" w:hAnsi="Times New Roman" w:cs="Times New Roman" w:eastAsia="Times New Roman" w:hint="default"/>
        </w:rPr>
        <w:t>820,589,768.00</w:t>
      </w:r>
      <w:r>
        <w:rPr>
          <w:rFonts w:ascii="Times New Roman" w:hAnsi="Times New Roman" w:cs="Times New Roman" w:eastAsia="Times New Roman" w:hint="default"/>
          <w:spacing w:val="35"/>
        </w:rPr>
        <w:t> </w:t>
      </w:r>
      <w:r>
        <w:rPr>
          <w:spacing w:val="-3"/>
        </w:rPr>
        <w:t>元，注册地：深圳市坪山新区大</w:t>
      </w:r>
      <w:r>
        <w:rPr/>
        <w:t> 工业区兰景路以东、锦绣路以南惠程科技工业厂区。本公司主要经营活动为电气设备的生产销售和证券、股权等相关投资、 </w:t>
      </w:r>
      <w:r>
        <w:rPr>
          <w:spacing w:val="-2"/>
        </w:rPr>
        <w:t>网络技术服务、电脑游戏软件开发、计算机、软件及辅助设备销售、第二类增值电信业务中的信息服务业务（不含固定网电</w:t>
      </w:r>
      <w:r>
        <w:rPr>
          <w:spacing w:val="-67"/>
        </w:rPr>
        <w:t> </w:t>
      </w:r>
      <w:r>
        <w:rPr>
          <w:spacing w:val="-67"/>
        </w:rPr>
      </w:r>
      <w:r>
        <w:rPr/>
        <w:t>话信息服务和互联网信息服务）。本公司的实际控制人为汪超涌先生及李亦非女士。</w:t>
      </w:r>
    </w:p>
    <w:p>
      <w:pPr>
        <w:pStyle w:val="BodyText"/>
        <w:spacing w:line="300" w:lineRule="auto" w:before="23"/>
        <w:ind w:left="441" w:right="185"/>
        <w:jc w:val="left"/>
      </w:pPr>
      <w:r>
        <w:rPr/>
        <w:t>本财务报表业经公司全体董事（董事会）于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04</w:t>
      </w:r>
      <w:r>
        <w:rPr/>
        <w:t>月</w:t>
      </w:r>
      <w:r>
        <w:rPr>
          <w:rFonts w:ascii="Times New Roman" w:hAnsi="Times New Roman" w:cs="Times New Roman" w:eastAsia="Times New Roman" w:hint="default"/>
        </w:rPr>
        <w:t>11</w:t>
      </w:r>
      <w:r>
        <w:rPr/>
        <w:t>日批准报出。 本公司合并财务报表范围包括本公司及喀什中汇联银创业投资有限公司（以下简称</w:t>
      </w:r>
      <w:r>
        <w:rPr>
          <w:rFonts w:ascii="Times New Roman" w:hAnsi="Times New Roman" w:cs="Times New Roman" w:eastAsia="Times New Roman" w:hint="default"/>
        </w:rPr>
        <w:t>“</w:t>
      </w:r>
      <w:r>
        <w:rPr/>
        <w:t>喀什中汇联银</w:t>
      </w:r>
      <w:r>
        <w:rPr>
          <w:rFonts w:ascii="Times New Roman" w:hAnsi="Times New Roman" w:cs="Times New Roman" w:eastAsia="Times New Roman" w:hint="default"/>
        </w:rPr>
        <w:t>”</w:t>
      </w:r>
      <w:r>
        <w:rPr/>
        <w:t>）、深圳市惠程智能</w:t>
      </w:r>
    </w:p>
    <w:p>
      <w:pPr>
        <w:pStyle w:val="BodyText"/>
        <w:spacing w:line="300" w:lineRule="auto" w:before="13"/>
        <w:ind w:right="189"/>
        <w:jc w:val="both"/>
      </w:pPr>
      <w:r>
        <w:rPr>
          <w:spacing w:val="-1"/>
        </w:rPr>
        <w:t>电力设备有限公司（以下简称</w:t>
      </w:r>
      <w:r>
        <w:rPr>
          <w:rFonts w:ascii="Times New Roman" w:hAnsi="Times New Roman" w:cs="Times New Roman" w:eastAsia="Times New Roman" w:hint="default"/>
          <w:spacing w:val="-1"/>
        </w:rPr>
        <w:t>“</w:t>
      </w:r>
      <w:r>
        <w:rPr>
          <w:spacing w:val="-1"/>
        </w:rPr>
        <w:t>惠程智能</w:t>
      </w:r>
      <w:r>
        <w:rPr>
          <w:rFonts w:ascii="Times New Roman" w:hAnsi="Times New Roman" w:cs="Times New Roman" w:eastAsia="Times New Roman" w:hint="default"/>
          <w:spacing w:val="-1"/>
        </w:rPr>
        <w:t>”</w:t>
      </w:r>
      <w:r>
        <w:rPr>
          <w:spacing w:val="-1"/>
        </w:rPr>
        <w:t>）、香港惠程有限公司（以下简称</w:t>
      </w:r>
      <w:r>
        <w:rPr>
          <w:rFonts w:ascii="Times New Roman" w:hAnsi="Times New Roman" w:cs="Times New Roman" w:eastAsia="Times New Roman" w:hint="default"/>
          <w:spacing w:val="-1"/>
        </w:rPr>
        <w:t>“</w:t>
      </w:r>
      <w:r>
        <w:rPr>
          <w:spacing w:val="-1"/>
        </w:rPr>
        <w:t>香港惠程</w:t>
      </w:r>
      <w:r>
        <w:rPr>
          <w:rFonts w:ascii="Times New Roman" w:hAnsi="Times New Roman" w:cs="Times New Roman" w:eastAsia="Times New Roman" w:hint="default"/>
          <w:spacing w:val="-1"/>
        </w:rPr>
        <w:t>”</w:t>
      </w:r>
      <w:r>
        <w:rPr>
          <w:spacing w:val="-1"/>
        </w:rPr>
        <w:t>）、中汇联银投资管理（北京）有限</w:t>
      </w:r>
      <w:r>
        <w:rPr>
          <w:spacing w:val="-78"/>
        </w:rPr>
        <w:t> </w:t>
      </w:r>
      <w:r>
        <w:rPr>
          <w:spacing w:val="-78"/>
        </w:rPr>
      </w:r>
      <w:r>
        <w:rPr>
          <w:spacing w:val="-1"/>
        </w:rPr>
        <w:t>公司（以下简称</w:t>
      </w:r>
      <w:r>
        <w:rPr>
          <w:rFonts w:ascii="Times New Roman" w:hAnsi="Times New Roman" w:cs="Times New Roman" w:eastAsia="Times New Roman" w:hint="default"/>
          <w:spacing w:val="-1"/>
        </w:rPr>
        <w:t>“</w:t>
      </w:r>
      <w:r>
        <w:rPr>
          <w:spacing w:val="-1"/>
        </w:rPr>
        <w:t>北京中汇联银</w:t>
      </w:r>
      <w:r>
        <w:rPr>
          <w:rFonts w:ascii="Times New Roman" w:hAnsi="Times New Roman" w:cs="Times New Roman" w:eastAsia="Times New Roman" w:hint="default"/>
          <w:spacing w:val="-1"/>
        </w:rPr>
        <w:t>”</w:t>
      </w:r>
      <w:r>
        <w:rPr>
          <w:spacing w:val="-1"/>
        </w:rPr>
        <w:t>）、中行置盛投资（北京）有限公司（以下简称</w:t>
      </w:r>
      <w:r>
        <w:rPr>
          <w:rFonts w:ascii="Times New Roman" w:hAnsi="Times New Roman" w:cs="Times New Roman" w:eastAsia="Times New Roman" w:hint="default"/>
          <w:spacing w:val="-1"/>
        </w:rPr>
        <w:t>“</w:t>
      </w:r>
      <w:r>
        <w:rPr>
          <w:spacing w:val="-1"/>
        </w:rPr>
        <w:t>中行置盛</w:t>
      </w:r>
      <w:r>
        <w:rPr>
          <w:rFonts w:ascii="Times New Roman" w:hAnsi="Times New Roman" w:cs="Times New Roman" w:eastAsia="Times New Roman" w:hint="default"/>
          <w:spacing w:val="-1"/>
        </w:rPr>
        <w:t>”</w:t>
      </w:r>
      <w:r>
        <w:rPr>
          <w:spacing w:val="-1"/>
        </w:rPr>
        <w:t>）、中融建银投资（北京）有限</w:t>
      </w:r>
      <w:r>
        <w:rPr>
          <w:spacing w:val="-79"/>
        </w:rPr>
        <w:t> </w:t>
      </w:r>
      <w:r>
        <w:rPr>
          <w:spacing w:val="-79"/>
        </w:rPr>
      </w:r>
      <w:r>
        <w:rPr>
          <w:spacing w:val="-1"/>
        </w:rPr>
        <w:t>公司（以下简称</w:t>
      </w:r>
      <w:r>
        <w:rPr>
          <w:rFonts w:ascii="Times New Roman" w:hAnsi="Times New Roman" w:cs="Times New Roman" w:eastAsia="Times New Roman" w:hint="default"/>
          <w:spacing w:val="-1"/>
        </w:rPr>
        <w:t>“</w:t>
      </w:r>
      <w:r>
        <w:rPr>
          <w:spacing w:val="-1"/>
        </w:rPr>
        <w:t>中融建银</w:t>
      </w:r>
      <w:r>
        <w:rPr>
          <w:rFonts w:ascii="Times New Roman" w:hAnsi="Times New Roman" w:cs="Times New Roman" w:eastAsia="Times New Roman" w:hint="default"/>
          <w:spacing w:val="-1"/>
        </w:rPr>
        <w:t>”</w:t>
      </w:r>
      <w:r>
        <w:rPr>
          <w:spacing w:val="-1"/>
        </w:rPr>
        <w:t>）、中汇联鑫股权投资管理（深圳）合伙企业（有限合伙）（以下简称</w:t>
      </w:r>
      <w:r>
        <w:rPr>
          <w:rFonts w:ascii="Times New Roman" w:hAnsi="Times New Roman" w:cs="Times New Roman" w:eastAsia="Times New Roman" w:hint="default"/>
          <w:spacing w:val="-1"/>
        </w:rPr>
        <w:t>“</w:t>
      </w:r>
      <w:r>
        <w:rPr>
          <w:spacing w:val="-1"/>
        </w:rPr>
        <w:t>中汇联鑫</w:t>
      </w:r>
      <w:r>
        <w:rPr>
          <w:rFonts w:ascii="Times New Roman" w:hAnsi="Times New Roman" w:cs="Times New Roman" w:eastAsia="Times New Roman" w:hint="default"/>
          <w:spacing w:val="-1"/>
        </w:rPr>
        <w:t>”</w:t>
      </w:r>
      <w:r>
        <w:rPr>
          <w:spacing w:val="-1"/>
        </w:rPr>
        <w:t>）、豪琛投资</w:t>
      </w:r>
      <w:r>
        <w:rPr>
          <w:spacing w:val="-79"/>
        </w:rPr>
        <w:t> </w:t>
      </w:r>
      <w:r>
        <w:rPr>
          <w:spacing w:val="-79"/>
        </w:rPr>
      </w:r>
      <w:r>
        <w:rPr>
          <w:spacing w:val="-1"/>
        </w:rPr>
        <w:t>管理（上海）有限公司（以下简称</w:t>
      </w:r>
      <w:r>
        <w:rPr>
          <w:rFonts w:ascii="Times New Roman" w:hAnsi="Times New Roman" w:cs="Times New Roman" w:eastAsia="Times New Roman" w:hint="default"/>
          <w:spacing w:val="-1"/>
        </w:rPr>
        <w:t>“</w:t>
      </w:r>
      <w:r>
        <w:rPr>
          <w:spacing w:val="-1"/>
        </w:rPr>
        <w:t>豪琛投资</w:t>
      </w:r>
      <w:r>
        <w:rPr>
          <w:rFonts w:ascii="Times New Roman" w:hAnsi="Times New Roman" w:cs="Times New Roman" w:eastAsia="Times New Roman" w:hint="default"/>
          <w:spacing w:val="-1"/>
        </w:rPr>
        <w:t>”</w:t>
      </w:r>
      <w:r>
        <w:rPr>
          <w:spacing w:val="-1"/>
        </w:rPr>
        <w:t>）、鹏胤投资管理（上海）有限公司（以下简称</w:t>
      </w:r>
      <w:r>
        <w:rPr>
          <w:rFonts w:ascii="Times New Roman" w:hAnsi="Times New Roman" w:cs="Times New Roman" w:eastAsia="Times New Roman" w:hint="default"/>
          <w:spacing w:val="-1"/>
        </w:rPr>
        <w:t>“</w:t>
      </w:r>
      <w:r>
        <w:rPr>
          <w:spacing w:val="-1"/>
        </w:rPr>
        <w:t>鹏胤投资</w:t>
      </w:r>
      <w:r>
        <w:rPr>
          <w:rFonts w:ascii="Times New Roman" w:hAnsi="Times New Roman" w:cs="Times New Roman" w:eastAsia="Times New Roman" w:hint="default"/>
          <w:spacing w:val="-1"/>
        </w:rPr>
        <w:t>”</w:t>
      </w:r>
      <w:r>
        <w:rPr>
          <w:spacing w:val="-1"/>
        </w:rPr>
        <w:t>）、北京中汇同盈</w:t>
      </w:r>
      <w:r>
        <w:rPr>
          <w:spacing w:val="-78"/>
        </w:rPr>
        <w:t> </w:t>
      </w:r>
      <w:r>
        <w:rPr>
          <w:spacing w:val="-78"/>
        </w:rPr>
      </w:r>
      <w:r>
        <w:rPr>
          <w:spacing w:val="-1"/>
        </w:rPr>
        <w:t>咨询服务有限公司（以下简称</w:t>
      </w:r>
      <w:r>
        <w:rPr>
          <w:rFonts w:ascii="Times New Roman" w:hAnsi="Times New Roman" w:cs="Times New Roman" w:eastAsia="Times New Roman" w:hint="default"/>
          <w:spacing w:val="-1"/>
        </w:rPr>
        <w:t>“</w:t>
      </w:r>
      <w:r>
        <w:rPr>
          <w:spacing w:val="-1"/>
        </w:rPr>
        <w:t>中汇同盈</w:t>
      </w:r>
      <w:r>
        <w:rPr>
          <w:rFonts w:ascii="Times New Roman" w:hAnsi="Times New Roman" w:cs="Times New Roman" w:eastAsia="Times New Roman" w:hint="default"/>
          <w:spacing w:val="-1"/>
        </w:rPr>
        <w:t>”</w:t>
      </w:r>
      <w:r>
        <w:rPr>
          <w:spacing w:val="-1"/>
        </w:rPr>
        <w:t>）、成都哆可梦网络科技有限公司（以下简称</w:t>
      </w:r>
      <w:r>
        <w:rPr>
          <w:rFonts w:ascii="Times New Roman" w:hAnsi="Times New Roman" w:cs="Times New Roman" w:eastAsia="Times New Roman" w:hint="default"/>
          <w:spacing w:val="-1"/>
        </w:rPr>
        <w:t>“</w:t>
      </w:r>
      <w:r>
        <w:rPr>
          <w:spacing w:val="-1"/>
        </w:rPr>
        <w:t>哆可梦</w:t>
      </w:r>
      <w:r>
        <w:rPr>
          <w:rFonts w:ascii="Times New Roman" w:hAnsi="Times New Roman" w:cs="Times New Roman" w:eastAsia="Times New Roman" w:hint="default"/>
          <w:spacing w:val="-1"/>
        </w:rPr>
        <w:t>”</w:t>
      </w:r>
      <w:r>
        <w:rPr>
          <w:spacing w:val="-1"/>
        </w:rPr>
        <w:t>）、成都吉乾网络科技有限</w:t>
      </w:r>
      <w:r>
        <w:rPr>
          <w:spacing w:val="-84"/>
        </w:rPr>
        <w:t> </w:t>
      </w:r>
      <w:r>
        <w:rPr>
          <w:spacing w:val="-84"/>
        </w:rPr>
      </w:r>
      <w:r>
        <w:rPr>
          <w:spacing w:val="-1"/>
        </w:rPr>
        <w:t>公司（以下简称</w:t>
      </w:r>
      <w:r>
        <w:rPr>
          <w:rFonts w:ascii="Times New Roman" w:hAnsi="Times New Roman" w:cs="Times New Roman" w:eastAsia="Times New Roman" w:hint="default"/>
          <w:spacing w:val="-1"/>
        </w:rPr>
        <w:t>“</w:t>
      </w:r>
      <w:r>
        <w:rPr>
          <w:spacing w:val="-1"/>
        </w:rPr>
        <w:t>吉乾科技</w:t>
      </w:r>
      <w:r>
        <w:rPr>
          <w:rFonts w:ascii="Times New Roman" w:hAnsi="Times New Roman" w:cs="Times New Roman" w:eastAsia="Times New Roman" w:hint="default"/>
          <w:spacing w:val="-1"/>
        </w:rPr>
        <w:t>”</w:t>
      </w:r>
      <w:r>
        <w:rPr>
          <w:spacing w:val="-1"/>
        </w:rPr>
        <w:t>）、上海旭梅网络科技有限公司（以下简称</w:t>
      </w:r>
      <w:r>
        <w:rPr>
          <w:rFonts w:ascii="Times New Roman" w:hAnsi="Times New Roman" w:cs="Times New Roman" w:eastAsia="Times New Roman" w:hint="default"/>
          <w:spacing w:val="-1"/>
        </w:rPr>
        <w:t>“</w:t>
      </w:r>
      <w:r>
        <w:rPr>
          <w:spacing w:val="-1"/>
        </w:rPr>
        <w:t>旭梅网络</w:t>
      </w:r>
      <w:r>
        <w:rPr>
          <w:rFonts w:ascii="Times New Roman" w:hAnsi="Times New Roman" w:cs="Times New Roman" w:eastAsia="Times New Roman" w:hint="default"/>
          <w:spacing w:val="-1"/>
        </w:rPr>
        <w:t>”</w:t>
      </w:r>
      <w:r>
        <w:rPr>
          <w:spacing w:val="-1"/>
        </w:rPr>
        <w:t>）、上海游湛网络科技有限公司（以下简</w:t>
      </w:r>
      <w:r>
        <w:rPr>
          <w:spacing w:val="-75"/>
        </w:rPr>
        <w:t> </w:t>
      </w:r>
      <w:r>
        <w:rPr>
          <w:spacing w:val="-75"/>
        </w:rPr>
      </w:r>
      <w:r>
        <w:rPr/>
        <w:t>称</w:t>
      </w:r>
      <w:r>
        <w:rPr>
          <w:rFonts w:ascii="Times New Roman" w:hAnsi="Times New Roman" w:cs="Times New Roman" w:eastAsia="Times New Roman" w:hint="default"/>
        </w:rPr>
        <w:t>“</w:t>
      </w:r>
      <w:r>
        <w:rPr/>
        <w:t>游湛网络</w:t>
      </w:r>
      <w:r>
        <w:rPr>
          <w:rFonts w:ascii="Times New Roman" w:hAnsi="Times New Roman" w:cs="Times New Roman" w:eastAsia="Times New Roman" w:hint="default"/>
        </w:rPr>
        <w:t>”</w:t>
      </w:r>
      <w:r>
        <w:rPr/>
        <w:t>）、上海华向文化传播有限公司（以下简称</w:t>
      </w:r>
      <w:r>
        <w:rPr>
          <w:rFonts w:ascii="Times New Roman" w:hAnsi="Times New Roman" w:cs="Times New Roman" w:eastAsia="Times New Roman" w:hint="default"/>
        </w:rPr>
        <w:t>“</w:t>
      </w:r>
      <w:r>
        <w:rPr/>
        <w:t>华向文化</w:t>
      </w:r>
      <w:r>
        <w:rPr>
          <w:rFonts w:ascii="Times New Roman" w:hAnsi="Times New Roman" w:cs="Times New Roman" w:eastAsia="Times New Roman" w:hint="default"/>
        </w:rPr>
        <w:t>”</w:t>
      </w:r>
      <w:r>
        <w:rPr/>
        <w:t>）、霍尔果斯乐珩网络科技有限公司（以下简称</w:t>
      </w:r>
      <w:r>
        <w:rPr>
          <w:rFonts w:ascii="Times New Roman" w:hAnsi="Times New Roman" w:cs="Times New Roman" w:eastAsia="Times New Roman" w:hint="default"/>
        </w:rPr>
        <w:t>“</w:t>
      </w:r>
      <w:r>
        <w:rPr/>
        <w:t>乐珩 网络</w:t>
      </w:r>
      <w:r>
        <w:rPr>
          <w:rFonts w:ascii="Times New Roman" w:hAnsi="Times New Roman" w:cs="Times New Roman" w:eastAsia="Times New Roman" w:hint="default"/>
        </w:rPr>
        <w:t>”</w:t>
      </w:r>
      <w:r>
        <w:rPr/>
        <w:t>）、霍尔果斯璿游网络科技有限公司（以下简称</w:t>
      </w:r>
      <w:r>
        <w:rPr>
          <w:rFonts w:ascii="Times New Roman" w:hAnsi="Times New Roman" w:cs="Times New Roman" w:eastAsia="Times New Roman" w:hint="default"/>
        </w:rPr>
        <w:t>“</w:t>
      </w:r>
      <w:r>
        <w:rPr/>
        <w:t>璿游网络</w:t>
      </w:r>
      <w:r>
        <w:rPr>
          <w:rFonts w:ascii="Times New Roman" w:hAnsi="Times New Roman" w:cs="Times New Roman" w:eastAsia="Times New Roman" w:hint="default"/>
        </w:rPr>
        <w:t>”</w:t>
      </w:r>
      <w:r>
        <w:rPr/>
        <w:t>）。</w:t>
      </w:r>
    </w:p>
    <w:p>
      <w:pPr>
        <w:pStyle w:val="BodyText"/>
        <w:spacing w:line="300" w:lineRule="auto" w:before="13"/>
        <w:ind w:left="441" w:right="94"/>
        <w:jc w:val="left"/>
      </w:pPr>
      <w:r>
        <w:rPr>
          <w:rFonts w:ascii="Times New Roman" w:hAnsi="Times New Roman" w:cs="Times New Roman" w:eastAsia="Times New Roman" w:hint="default"/>
          <w:spacing w:val="-8"/>
          <w:w w:val="100"/>
        </w:rPr>
        <w:t>2017</w:t>
      </w:r>
      <w:r>
        <w:rPr>
          <w:spacing w:val="-8"/>
          <w:w w:val="100"/>
        </w:rPr>
        <w:t>年合并范围相比上年，增加哆可梦及其下属</w:t>
      </w:r>
      <w:r>
        <w:rPr>
          <w:rFonts w:ascii="Times New Roman" w:hAnsi="Times New Roman" w:cs="Times New Roman" w:eastAsia="Times New Roman" w:hint="default"/>
          <w:spacing w:val="-8"/>
          <w:w w:val="100"/>
        </w:rPr>
        <w:t>6</w:t>
      </w:r>
      <w:r>
        <w:rPr>
          <w:spacing w:val="-8"/>
          <w:w w:val="100"/>
        </w:rPr>
        <w:t>家子公司；减少宁波永耀惠程电力科技有限公司（以下简称</w:t>
      </w:r>
      <w:r>
        <w:rPr>
          <w:rFonts w:ascii="Times New Roman" w:hAnsi="Times New Roman" w:cs="Times New Roman" w:eastAsia="Times New Roman" w:hint="default"/>
          <w:spacing w:val="-8"/>
          <w:w w:val="100"/>
        </w:rPr>
        <w:t>“</w:t>
      </w:r>
      <w:r>
        <w:rPr>
          <w:spacing w:val="-8"/>
          <w:w w:val="100"/>
        </w:rPr>
        <w:t>永耀惠程</w:t>
      </w:r>
      <w:r>
        <w:rPr>
          <w:rFonts w:ascii="Times New Roman" w:hAnsi="Times New Roman" w:cs="Times New Roman" w:eastAsia="Times New Roman" w:hint="default"/>
          <w:spacing w:val="-8"/>
          <w:w w:val="100"/>
        </w:rPr>
        <w:t>”</w:t>
      </w:r>
      <w:r>
        <w:rPr>
          <w:spacing w:val="-8"/>
          <w:w w:val="100"/>
        </w:rPr>
        <w:t>）。</w:t>
      </w:r>
      <w:r>
        <w:rPr>
          <w:spacing w:val="-89"/>
          <w:w w:val="100"/>
        </w:rPr>
        <w:t> </w:t>
      </w:r>
      <w:r>
        <w:rPr/>
        <w:t>详见本附注</w:t>
      </w:r>
      <w:r>
        <w:rPr>
          <w:rFonts w:ascii="Times New Roman" w:hAnsi="Times New Roman" w:cs="Times New Roman" w:eastAsia="Times New Roman" w:hint="default"/>
        </w:rPr>
        <w:t>“</w:t>
      </w:r>
      <w:r>
        <w:rPr/>
        <w:t>七、合并范围的变更</w:t>
      </w:r>
      <w:r>
        <w:rPr>
          <w:rFonts w:ascii="Times New Roman" w:hAnsi="Times New Roman" w:cs="Times New Roman" w:eastAsia="Times New Roman" w:hint="default"/>
        </w:rPr>
        <w:t>”</w:t>
      </w:r>
      <w:r>
        <w:rPr/>
        <w:t>及本附注</w:t>
      </w:r>
      <w:r>
        <w:rPr>
          <w:rFonts w:ascii="Times New Roman" w:hAnsi="Times New Roman" w:cs="Times New Roman" w:eastAsia="Times New Roman" w:hint="default"/>
        </w:rPr>
        <w:t>“</w:t>
      </w:r>
      <w:r>
        <w:rPr/>
        <w:t>八、在其他主体中的权益</w:t>
      </w:r>
      <w:r>
        <w:rPr>
          <w:rFonts w:ascii="Times New Roman" w:hAnsi="Times New Roman" w:cs="Times New Roman" w:eastAsia="Times New Roman" w:hint="default"/>
        </w:rPr>
        <w:t>”</w:t>
      </w:r>
      <w:r>
        <w:rPr/>
        <w:t>相关内容。</w:t>
      </w:r>
    </w:p>
    <w:p>
      <w:pPr>
        <w:spacing w:line="240" w:lineRule="auto" w:before="5"/>
        <w:rPr>
          <w:rFonts w:ascii="宋体" w:hAnsi="宋体" w:cs="宋体" w:eastAsia="宋体" w:hint="default"/>
          <w:sz w:val="20"/>
          <w:szCs w:val="20"/>
        </w:rPr>
      </w:pPr>
    </w:p>
    <w:p>
      <w:pPr>
        <w:pStyle w:val="Heading2"/>
        <w:spacing w:line="240" w:lineRule="auto"/>
        <w:ind w:right="0"/>
        <w:jc w:val="both"/>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79" w:firstLine="360"/>
        <w:jc w:val="left"/>
      </w:pPr>
      <w:r>
        <w:rPr>
          <w:spacing w:val="-5"/>
        </w:rPr>
        <w:t>公司以持续经营为财务报表的编制基础，以权责发生制为记账基础。根据实际发生的交易和事项，按照财政部颁布的《企</w:t>
      </w:r>
      <w:r>
        <w:rPr/>
        <w:t> 业会计准则》及相关规定，并基于本附注</w:t>
      </w:r>
      <w:r>
        <w:rPr>
          <w:rFonts w:ascii="Times New Roman" w:hAnsi="Times New Roman" w:cs="Times New Roman" w:eastAsia="Times New Roman" w:hint="default"/>
        </w:rPr>
        <w:t>“</w:t>
      </w:r>
      <w:r>
        <w:rPr/>
        <w:t>四、重要会计政策及会计估计</w:t>
      </w:r>
      <w:r>
        <w:rPr>
          <w:rFonts w:ascii="Times New Roman" w:hAnsi="Times New Roman" w:cs="Times New Roman" w:eastAsia="Times New Roman" w:hint="default"/>
        </w:rPr>
        <w:t>”</w:t>
      </w:r>
      <w:r>
        <w:rPr/>
        <w:t>所述会计政策和会计估计编制。</w:t>
      </w:r>
    </w:p>
    <w:p>
      <w:pPr>
        <w:spacing w:line="240" w:lineRule="auto" w:before="4"/>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83" w:firstLine="271"/>
        <w:jc w:val="left"/>
      </w:pPr>
      <w:r>
        <w:rPr/>
        <w:t>本公司对自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日起</w:t>
      </w:r>
      <w:r>
        <w:rPr>
          <w:rFonts w:ascii="Times New Roman" w:hAnsi="Times New Roman" w:cs="Times New Roman" w:eastAsia="Times New Roman" w:hint="default"/>
        </w:rPr>
        <w:t>12</w:t>
      </w:r>
      <w:r>
        <w:rPr/>
        <w:t>个月的持续经营能力进行了评价，未发现对持续经营能力产生重大怀疑的事项和情况。 因此，本财务报表系在持续经营假设的基础上编制。</w:t>
      </w:r>
    </w:p>
    <w:p>
      <w:pPr>
        <w:spacing w:line="240" w:lineRule="auto" w:before="11"/>
        <w:rPr>
          <w:rFonts w:ascii="宋体" w:hAnsi="宋体" w:cs="宋体" w:eastAsia="宋体" w:hint="default"/>
          <w:sz w:val="21"/>
          <w:szCs w:val="21"/>
        </w:rPr>
      </w:pPr>
    </w:p>
    <w:p>
      <w:pPr>
        <w:pStyle w:val="Heading2"/>
        <w:spacing w:line="240" w:lineRule="auto"/>
        <w:ind w:right="0"/>
        <w:jc w:val="both"/>
        <w:rPr>
          <w:b w:val="0"/>
          <w:bCs w:val="0"/>
        </w:rPr>
      </w:pPr>
      <w:r>
        <w:rPr/>
        <w:t>五、重要会计政策及会计估计</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6754"/>
        <w:jc w:val="left"/>
      </w:pPr>
      <w:r>
        <w:rPr/>
        <w:t>公司是否需要遵守特殊行业的披露要求 否</w:t>
      </w:r>
    </w:p>
    <w:p>
      <w:pPr>
        <w:pStyle w:val="BodyText"/>
        <w:spacing w:line="360" w:lineRule="auto" w:before="29"/>
        <w:ind w:right="7294"/>
        <w:jc w:val="left"/>
      </w:pPr>
      <w:r>
        <w:rPr/>
        <w:t>具体会计政策和会计估计提示： 详见以下内容。</w:t>
      </w:r>
    </w:p>
    <w:p>
      <w:pPr>
        <w:spacing w:after="0" w:line="360" w:lineRule="auto"/>
        <w:jc w:val="left"/>
        <w:sectPr>
          <w:headerReference w:type="default" r:id="rId33"/>
          <w:footerReference w:type="default" r:id="rId34"/>
          <w:pgSz w:w="11910" w:h="16840"/>
          <w:pgMar w:header="877" w:footer="979" w:top="1100" w:bottom="1160" w:left="980" w:right="940"/>
          <w:pgNumType w:start="100"/>
        </w:sectPr>
      </w:pPr>
    </w:p>
    <w:p>
      <w:pPr>
        <w:spacing w:line="240" w:lineRule="auto" w:before="12"/>
        <w:rPr>
          <w:rFonts w:ascii="宋体" w:hAnsi="宋体" w:cs="宋体" w:eastAsia="宋体" w:hint="default"/>
          <w:sz w:val="20"/>
          <w:szCs w:val="20"/>
        </w:rPr>
      </w:pPr>
    </w:p>
    <w:p>
      <w:pPr>
        <w:pStyle w:val="Heading3"/>
        <w:spacing w:line="240" w:lineRule="auto" w:before="36"/>
        <w:ind w:right="153"/>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30" w:firstLine="288"/>
        <w:jc w:val="both"/>
      </w:pPr>
      <w:r>
        <w:rPr/>
        <w:t>公司财务报表及附注系按财政部颁布的《企业会计准则》、应用指南、企业会计准则解释、中国证券监督管理委员会发 布的《公开发行证券的公司信息披露编报规则第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w:t>
      </w:r>
      <w:r>
        <w:rPr>
          <w:rFonts w:ascii="Times New Roman" w:hAnsi="Times New Roman" w:cs="Times New Roman" w:eastAsia="Times New Roman" w:hint="default"/>
        </w:rPr>
        <w:t>]</w:t>
      </w:r>
      <w:r>
        <w:rPr/>
        <w:t>》以及相关补充规定的要求编制， 真实、完整地反映了公司的财务状况、经营成果和现金流量等有关信息。</w:t>
      </w:r>
    </w:p>
    <w:p>
      <w:pPr>
        <w:spacing w:line="240" w:lineRule="auto" w:before="3"/>
        <w:rPr>
          <w:rFonts w:ascii="宋体" w:hAnsi="宋体" w:cs="宋体" w:eastAsia="宋体" w:hint="default"/>
          <w:sz w:val="23"/>
          <w:szCs w:val="23"/>
        </w:rPr>
      </w:pPr>
    </w:p>
    <w:p>
      <w:pPr>
        <w:pStyle w:val="Heading3"/>
        <w:spacing w:line="240" w:lineRule="auto"/>
        <w:ind w:right="153"/>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53"/>
        <w:jc w:val="left"/>
      </w:pPr>
      <w:r>
        <w:rPr/>
        <w:t>会计年度自公历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153"/>
        <w:jc w:val="left"/>
      </w:pPr>
      <w:r>
        <w:rPr/>
        <w:t>本公司以</w:t>
      </w:r>
      <w:r>
        <w:rPr>
          <w:rFonts w:ascii="Times New Roman" w:hAnsi="Times New Roman" w:cs="Times New Roman" w:eastAsia="Times New Roman" w:hint="default"/>
        </w:rPr>
        <w:t>12</w:t>
      </w:r>
      <w:r>
        <w:rPr/>
        <w:t>个月作为一个营业周期，并以其作为资产和负债的流动性划分标准。</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53"/>
        <w:jc w:val="left"/>
      </w:pPr>
      <w:r>
        <w:rPr/>
        <w:t>本公司以人民币为记账本位币。</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1" w:firstLine="360"/>
        <w:jc w:val="both"/>
      </w:pPr>
      <w:r>
        <w:rPr>
          <w:rFonts w:ascii="Times New Roman" w:hAnsi="Times New Roman" w:cs="Times New Roman" w:eastAsia="Times New Roman" w:hint="default"/>
        </w:rPr>
        <w:t>(1)</w:t>
      </w:r>
      <w:r>
        <w:rPr/>
        <w:t>在同一控制下的企业合并中，公司作为购买方取得对其他参与合并企业的控制权，如以支付现金、转让非现金资产</w:t>
      </w:r>
      <w:r>
        <w:rPr>
          <w:w w:val="99"/>
        </w:rPr>
        <w:t> </w:t>
      </w:r>
      <w:r>
        <w:rPr>
          <w:spacing w:val="-2"/>
          <w:w w:val="99"/>
        </w:rPr>
        <w:t>或承担债务方式作为合并对价的，在合并日按照被合并方所有者权益在最终控制方合并财务报表中的账面价值的份额作为长</w:t>
      </w:r>
      <w:r>
        <w:rPr>
          <w:spacing w:val="-64"/>
          <w:w w:val="99"/>
        </w:rPr>
        <w:t> </w:t>
      </w:r>
      <w:r>
        <w:rPr>
          <w:spacing w:val="-64"/>
          <w:w w:val="99"/>
        </w:rPr>
      </w:r>
      <w:r>
        <w:rPr>
          <w:spacing w:val="-2"/>
        </w:rPr>
        <w:t>期股权投资的初始投资成本，长期股权投资初始投资成本与支付的现金、转让的非现金资产以及所承担债务账面价值之间的</w:t>
      </w:r>
      <w:r>
        <w:rPr>
          <w:spacing w:val="-65"/>
        </w:rPr>
        <w:t> </w:t>
      </w:r>
      <w:r>
        <w:rPr>
          <w:spacing w:val="-65"/>
        </w:rPr>
      </w:r>
      <w:r>
        <w:rPr>
          <w:spacing w:val="-2"/>
        </w:rPr>
        <w:t>差额，调整资本公积；资本公积不足冲减的，调整留存收益；如以发行权益性证券作为合并对价的，在合并日按照被合并方</w:t>
      </w:r>
      <w:r>
        <w:rPr>
          <w:spacing w:val="-67"/>
        </w:rPr>
        <w:t> </w:t>
      </w:r>
      <w:r>
        <w:rPr>
          <w:spacing w:val="-67"/>
        </w:rPr>
      </w:r>
      <w:r>
        <w:rPr>
          <w:spacing w:val="-2"/>
          <w:w w:val="99"/>
        </w:rPr>
        <w:t>所有者权益在最终控制方合并财务报表中的账面价值的份额作为长期股权投资的初始投资成本，按照发行股份的面值总额作</w:t>
      </w:r>
      <w:r>
        <w:rPr>
          <w:spacing w:val="-64"/>
          <w:w w:val="99"/>
        </w:rPr>
        <w:t> </w:t>
      </w:r>
      <w:r>
        <w:rPr>
          <w:spacing w:val="-64"/>
          <w:w w:val="99"/>
        </w:rPr>
      </w:r>
      <w:r>
        <w:rPr>
          <w:spacing w:val="-2"/>
        </w:rPr>
        <w:t>为股本，长期股权投资初始投资成本与所发行股份面值总额之间的差额，调整资本公积，资本公积不足冲减的，调整留存收</w:t>
      </w:r>
      <w:r>
        <w:rPr>
          <w:spacing w:val="-65"/>
        </w:rPr>
        <w:t> </w:t>
      </w:r>
      <w:r>
        <w:rPr>
          <w:spacing w:val="-65"/>
        </w:rPr>
      </w:r>
      <w:r>
        <w:rPr>
          <w:spacing w:val="-2"/>
        </w:rPr>
        <w:t>益。为进行企业合并发生的审计、法律服务、评估咨询等中介费用以及其他相关管理费用，于发生时计入当期损益。为企业</w:t>
      </w:r>
      <w:r>
        <w:rPr>
          <w:spacing w:val="-68"/>
        </w:rPr>
        <w:t> </w:t>
      </w:r>
      <w:r>
        <w:rPr>
          <w:spacing w:val="-68"/>
        </w:rPr>
      </w:r>
      <w:r>
        <w:rPr>
          <w:spacing w:val="-2"/>
        </w:rPr>
        <w:t>合并发行的债券或承担其他债务支付的手续费、佣金等，应当计入所发行债券及其他债务的初始计量金额。企业合并中发行</w:t>
      </w:r>
      <w:r>
        <w:rPr>
          <w:spacing w:val="-67"/>
        </w:rPr>
        <w:t> </w:t>
      </w:r>
      <w:r>
        <w:rPr>
          <w:spacing w:val="-67"/>
        </w:rPr>
      </w:r>
      <w:r>
        <w:rPr/>
        <w:t>权益性证券发生的手续费、佣金等费用，应当抵减权益性证券溢价收入，溢价收入不足冲减的，冲减留存收益。</w:t>
      </w:r>
    </w:p>
    <w:p>
      <w:pPr>
        <w:pStyle w:val="BodyText"/>
        <w:spacing w:line="240" w:lineRule="auto" w:before="19"/>
        <w:ind w:left="513" w:right="153"/>
        <w:jc w:val="left"/>
      </w:pPr>
      <w:r>
        <w:rPr>
          <w:rFonts w:ascii="Times New Roman" w:hAnsi="Times New Roman" w:cs="Times New Roman" w:eastAsia="Times New Roman" w:hint="default"/>
        </w:rPr>
        <w:t>(2)</w:t>
      </w:r>
      <w:r>
        <w:rPr/>
        <w:t>公司对外合并如属非同一控制下的企业合并，按下列情况确定长期股权投资的初始投资成本：</w:t>
      </w:r>
    </w:p>
    <w:p>
      <w:pPr>
        <w:pStyle w:val="BodyText"/>
        <w:spacing w:line="316" w:lineRule="auto" w:before="63"/>
        <w:ind w:right="0" w:firstLine="360"/>
        <w:jc w:val="left"/>
      </w:pPr>
      <w:r>
        <w:rPr>
          <w:spacing w:val="-2"/>
        </w:rPr>
        <w:t>①一次交换交易实现的企业合并，长期股权投资的初始投资成本为购买方在购买日为取得对被购买方的控制权而付出的</w:t>
      </w:r>
      <w:r>
        <w:rPr/>
        <w:t> 资产、发生或承担的负债以及发行的权益性证券的公允价值；</w:t>
      </w:r>
    </w:p>
    <w:p>
      <w:pPr>
        <w:pStyle w:val="BodyText"/>
        <w:spacing w:line="240" w:lineRule="auto" w:before="19"/>
        <w:ind w:left="513" w:right="153"/>
        <w:jc w:val="left"/>
      </w:pPr>
      <w:r>
        <w:rPr/>
        <w:t>②通过多次交换交易分步实现的企业合并，长期股权投资的初始投资成本为每一单项交易成本之和；</w:t>
      </w:r>
    </w:p>
    <w:p>
      <w:pPr>
        <w:pStyle w:val="BodyText"/>
        <w:spacing w:line="316" w:lineRule="auto" w:before="76"/>
        <w:ind w:right="152" w:firstLine="360"/>
        <w:jc w:val="left"/>
      </w:pPr>
      <w:r>
        <w:rPr>
          <w:spacing w:val="-2"/>
        </w:rPr>
        <w:t>③为进行企业合并发生的审计、法律服务、评估咨询等中介费用以及其他相关管理费用，于发生时计入当期损益；作为</w:t>
      </w:r>
      <w:r>
        <w:rPr/>
        <w:t> 合并对价发行的权益性证券或债务性证券的交易费用，计入权益性证券或债务性证券的初始确认金额；</w:t>
      </w:r>
    </w:p>
    <w:p>
      <w:pPr>
        <w:pStyle w:val="BodyText"/>
        <w:spacing w:line="316" w:lineRule="auto" w:before="19"/>
        <w:ind w:right="0" w:firstLine="360"/>
        <w:jc w:val="left"/>
      </w:pPr>
      <w:r>
        <w:rPr>
          <w:spacing w:val="-2"/>
        </w:rPr>
        <w:t>④在合并合同或协议中对可能影响合并成本的未来事项作出约定的，在购买日如果估计未来事项很可能发生并且对合并</w:t>
      </w:r>
      <w:r>
        <w:rPr/>
        <w:t> 成本的影响金额能够可靠计量的，将其计入长期股权投资的初始投资成本。</w:t>
      </w:r>
    </w:p>
    <w:p>
      <w:pPr>
        <w:pStyle w:val="BodyText"/>
        <w:spacing w:line="300" w:lineRule="auto" w:before="19"/>
        <w:ind w:right="153" w:firstLine="360"/>
        <w:jc w:val="left"/>
      </w:pPr>
      <w:r>
        <w:rPr>
          <w:rFonts w:ascii="Times New Roman" w:hAnsi="Times New Roman" w:cs="Times New Roman" w:eastAsia="Times New Roman" w:hint="default"/>
        </w:rPr>
        <w:t>(3)</w:t>
      </w:r>
      <w:r>
        <w:rPr/>
        <w:t>公司对外合并如属非同一控制下的企业合并，对长期股权投资的初始投资成本大于合并中取得的被购买方可辨认净</w:t>
      </w:r>
      <w:r>
        <w:rPr>
          <w:w w:val="99"/>
        </w:rPr>
        <w:t> </w:t>
      </w:r>
      <w:r>
        <w:rPr/>
        <w:t>资产公允价值份额的差额，确认为商誉。</w:t>
      </w:r>
    </w:p>
    <w:p>
      <w:pPr>
        <w:pStyle w:val="BodyText"/>
        <w:spacing w:line="240" w:lineRule="auto" w:before="31"/>
        <w:ind w:left="513" w:right="153"/>
        <w:jc w:val="left"/>
      </w:pPr>
      <w:r>
        <w:rPr/>
        <w:t>对长期股权投资的初始投资成本小于合并中取得的被购买方可辨认净资产公允价值份额的差额，按照下列方法处理：</w:t>
      </w:r>
    </w:p>
    <w:p>
      <w:pPr>
        <w:pStyle w:val="BodyText"/>
        <w:spacing w:line="240" w:lineRule="auto" w:before="76"/>
        <w:ind w:left="513" w:right="153"/>
        <w:jc w:val="left"/>
      </w:pPr>
      <w:r>
        <w:rPr/>
        <w:t>①对取得的被购买方各项可辨认资产、负债及或有负债的公允价值以及合并成本的计量进行复核；</w:t>
      </w:r>
    </w:p>
    <w:p>
      <w:pPr>
        <w:pStyle w:val="BodyText"/>
        <w:spacing w:line="240" w:lineRule="auto" w:before="76"/>
        <w:ind w:left="513" w:right="153"/>
        <w:jc w:val="left"/>
      </w:pPr>
      <w:r>
        <w:rPr/>
        <w:t>②经复核后合并成本仍小于合并中取得的被购买方可辨认净资产公允价值份额的，其差额应当计入当期损益。</w:t>
      </w:r>
    </w:p>
    <w:p>
      <w:pPr>
        <w:spacing w:after="0" w:line="240" w:lineRule="auto"/>
        <w:jc w:val="left"/>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153"/>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51" w:firstLine="288"/>
        <w:jc w:val="both"/>
      </w:pPr>
      <w:r>
        <w:rPr>
          <w:spacing w:val="-2"/>
        </w:rPr>
        <w:t>合并财务报表的合并范围以控制为基础予以确定。控制，是指投资方拥有对被投资方的权力</w:t>
      </w:r>
      <w:r>
        <w:rPr>
          <w:rFonts w:ascii="Times New Roman" w:hAnsi="Times New Roman" w:cs="Times New Roman" w:eastAsia="Times New Roman" w:hint="default"/>
          <w:spacing w:val="-2"/>
        </w:rPr>
        <w:t>,</w:t>
      </w:r>
      <w:r>
        <w:rPr>
          <w:spacing w:val="-2"/>
        </w:rPr>
        <w:t>通过参与被投资方的相关活</w:t>
      </w:r>
      <w:r>
        <w:rPr/>
        <w:t> 动而享有可变回报，并且有能力运用对被投资方的权力影响其回报金额。</w:t>
      </w:r>
    </w:p>
    <w:p>
      <w:pPr>
        <w:pStyle w:val="BodyText"/>
        <w:spacing w:line="300" w:lineRule="auto" w:before="31"/>
        <w:ind w:right="154" w:firstLine="288"/>
        <w:jc w:val="both"/>
      </w:pPr>
      <w:r>
        <w:rPr>
          <w:spacing w:val="-2"/>
        </w:rPr>
        <w:t>母公司应当将其全部子公司纳入合并财务报表的合并范围。子公司，是指被公司控制的主体</w:t>
      </w:r>
      <w:r>
        <w:rPr>
          <w:rFonts w:ascii="Times New Roman" w:hAnsi="Times New Roman" w:cs="Times New Roman" w:eastAsia="Times New Roman" w:hint="default"/>
          <w:spacing w:val="-2"/>
        </w:rPr>
        <w:t>(</w:t>
      </w:r>
      <w:r>
        <w:rPr>
          <w:spacing w:val="-2"/>
        </w:rPr>
        <w:t>含企业、被投资单位中可分</w:t>
      </w:r>
      <w:r>
        <w:rPr/>
        <w:t> 割的部分，以及企业所控制的结构化主体等</w:t>
      </w:r>
      <w:r>
        <w:rPr>
          <w:rFonts w:ascii="Times New Roman" w:hAnsi="Times New Roman" w:cs="Times New Roman" w:eastAsia="Times New Roman" w:hint="default"/>
        </w:rPr>
        <w:t>)</w:t>
      </w:r>
      <w:r>
        <w:rPr/>
        <w:t>。</w:t>
      </w:r>
    </w:p>
    <w:p>
      <w:pPr>
        <w:pStyle w:val="BodyText"/>
        <w:spacing w:line="309" w:lineRule="auto" w:before="13"/>
        <w:ind w:right="150" w:firstLine="288"/>
        <w:jc w:val="both"/>
      </w:pPr>
      <w:r>
        <w:rPr/>
        <w:t>如果母公司是投资性主体，则母公司应当仅将为其投资活动提供相关服务的子公司</w:t>
      </w:r>
      <w:r>
        <w:rPr>
          <w:rFonts w:ascii="Times New Roman" w:hAnsi="Times New Roman" w:cs="Times New Roman" w:eastAsia="Times New Roman" w:hint="default"/>
        </w:rPr>
        <w:t>(</w:t>
      </w:r>
      <w:r>
        <w:rPr/>
        <w:t>如有</w:t>
      </w:r>
      <w:r>
        <w:rPr>
          <w:rFonts w:ascii="Times New Roman" w:hAnsi="Times New Roman" w:cs="Times New Roman" w:eastAsia="Times New Roman" w:hint="default"/>
        </w:rPr>
        <w:t>)</w:t>
      </w:r>
      <w:r>
        <w:rPr/>
        <w:t>纳入合并范围并编制合并财务 </w:t>
      </w:r>
      <w:r>
        <w:rPr>
          <w:spacing w:val="-2"/>
        </w:rPr>
        <w:t>报表；其他子公司不应当予以合并，母公司对其他子公司的投资应当按照公允价值计量且其变动计入当期损益。当母公司同</w:t>
      </w:r>
      <w:r>
        <w:rPr>
          <w:spacing w:val="-63"/>
        </w:rPr>
        <w:t> </w:t>
      </w:r>
      <w:r>
        <w:rPr>
          <w:spacing w:val="-63"/>
        </w:rPr>
      </w:r>
      <w:r>
        <w:rPr/>
        <w:t>时满足下列条件时，该母公司属于投资性主体：</w:t>
      </w:r>
    </w:p>
    <w:p>
      <w:pPr>
        <w:pStyle w:val="BodyText"/>
        <w:spacing w:line="300" w:lineRule="auto" w:before="24"/>
        <w:ind w:left="441" w:right="125" w:firstLine="72"/>
        <w:jc w:val="left"/>
      </w:pPr>
      <w:r>
        <w:rPr>
          <w:rFonts w:ascii="Times New Roman" w:hAnsi="Times New Roman" w:cs="Times New Roman" w:eastAsia="Times New Roman" w:hint="default"/>
        </w:rPr>
        <w:t>(1)</w:t>
      </w:r>
      <w:r>
        <w:rPr/>
        <w:t>该母公司是以向投资者提供投资管理服务为目的，从一个或多个投资者处获取资金；</w:t>
      </w:r>
      <w:r>
        <w:rPr>
          <w:w w:val="99"/>
        </w:rPr>
        <w:t> </w:t>
      </w:r>
      <w:r>
        <w:rPr>
          <w:rFonts w:ascii="Times New Roman" w:hAnsi="Times New Roman" w:cs="Times New Roman" w:eastAsia="Times New Roman" w:hint="default"/>
        </w:rPr>
        <w:t>(2)</w:t>
      </w:r>
      <w:r>
        <w:rPr/>
        <w:t>该母公司的唯一经营目的，是通过资本增值、投资收益或两者兼有而让投资者获得回报；</w:t>
      </w:r>
      <w:r>
        <w:rPr>
          <w:w w:val="99"/>
        </w:rPr>
        <w:t> </w:t>
      </w:r>
      <w:r>
        <w:rPr>
          <w:rFonts w:ascii="Times New Roman" w:hAnsi="Times New Roman" w:cs="Times New Roman" w:eastAsia="Times New Roman" w:hint="default"/>
        </w:rPr>
        <w:t>(3)</w:t>
      </w:r>
      <w:r>
        <w:rPr/>
        <w:t>该母公司按照公允价值对几乎所有投资的业绩进行考量和评价。</w:t>
      </w:r>
      <w:r>
        <w:rPr>
          <w:w w:val="99"/>
        </w:rPr>
        <w:t> </w:t>
      </w:r>
      <w:r>
        <w:rPr/>
        <w:t>编制合并报表时，公司与被合并子公司采用统一的会计政策和期间。合并财务报表以公司和子公司的财务报表为基础，</w:t>
      </w:r>
    </w:p>
    <w:p>
      <w:pPr>
        <w:pStyle w:val="BodyText"/>
        <w:spacing w:line="316" w:lineRule="auto" w:before="31"/>
        <w:ind w:right="150"/>
        <w:jc w:val="both"/>
      </w:pPr>
      <w:r>
        <w:rPr>
          <w:spacing w:val="-2"/>
        </w:rPr>
        <w:t>在抵销公司与子公司、子公司相互之间发生的内部交易对合并财务报表的影响后，由公司合并编制。公司在报告期内因同一</w:t>
      </w:r>
      <w:r>
        <w:rPr>
          <w:spacing w:val="-63"/>
        </w:rPr>
        <w:t> </w:t>
      </w:r>
      <w:r>
        <w:rPr>
          <w:spacing w:val="-63"/>
        </w:rPr>
      </w:r>
      <w:r>
        <w:rPr>
          <w:spacing w:val="-2"/>
        </w:rPr>
        <w:t>控制下企业合并增加的子公司，编制合并资产负债表时，调整合并资产负债表的年初数。因非同一控制下企业合并增加的子</w:t>
      </w:r>
      <w:r>
        <w:rPr>
          <w:spacing w:val="-66"/>
        </w:rPr>
        <w:t> </w:t>
      </w:r>
      <w:r>
        <w:rPr>
          <w:spacing w:val="-66"/>
        </w:rPr>
      </w:r>
      <w:r>
        <w:rPr>
          <w:spacing w:val="-2"/>
        </w:rPr>
        <w:t>公司，编制合并资产负债表时，不调整合并资产负债表的年初数。公司在报告期内因同一控制下企业合并增加的子公司，将</w:t>
      </w:r>
      <w:r>
        <w:rPr>
          <w:spacing w:val="-64"/>
        </w:rPr>
        <w:t> </w:t>
      </w:r>
      <w:r>
        <w:rPr>
          <w:spacing w:val="-64"/>
        </w:rPr>
      </w:r>
      <w:r>
        <w:rPr>
          <w:spacing w:val="-2"/>
        </w:rPr>
        <w:t>该子公司合并当期年初至报告期末的收入、费用、利润及现金流量纳入合并利润表及现金流量表。因非同一控制下企业合并</w:t>
      </w:r>
      <w:r>
        <w:rPr>
          <w:spacing w:val="-65"/>
        </w:rPr>
        <w:t> </w:t>
      </w:r>
      <w:r>
        <w:rPr>
          <w:spacing w:val="-65"/>
        </w:rPr>
      </w:r>
      <w:r>
        <w:rPr>
          <w:spacing w:val="-2"/>
        </w:rPr>
        <w:t>增加的子公司，将该子公司购买日至报告期末的收入、费用、利润及现金流量纳入合并利润表及现金流量表。公司在报告期</w:t>
      </w:r>
      <w:r>
        <w:rPr>
          <w:spacing w:val="-65"/>
        </w:rPr>
        <w:t> </w:t>
      </w:r>
      <w:r>
        <w:rPr>
          <w:spacing w:val="-65"/>
        </w:rPr>
      </w:r>
      <w:r>
        <w:rPr/>
        <w:t>内处置子公司，将该子公司年初至处置日的收入、费用、利润及现金流量纳入合并利润表及现金流量表。</w:t>
      </w:r>
    </w:p>
    <w:p>
      <w:pPr>
        <w:pStyle w:val="BodyText"/>
        <w:spacing w:line="307" w:lineRule="auto" w:before="19"/>
        <w:ind w:right="0" w:firstLine="288"/>
        <w:jc w:val="left"/>
      </w:pPr>
      <w:r>
        <w:rPr>
          <w:spacing w:val="-1"/>
        </w:rPr>
        <w:t>母公司购买子公司少数股东拥有的子公司股权，在合并财务报表中，因购买少数股权新取得的长期股权投资与按照新增</w:t>
      </w:r>
      <w:r>
        <w:rPr/>
        <w:t> 持股比例计算应享有子公司自购买日或合并日开始持续计算的净资产份额之间的差额，应当调整资本公积</w:t>
      </w:r>
      <w:r>
        <w:rPr>
          <w:rFonts w:ascii="Times New Roman" w:hAnsi="Times New Roman" w:cs="Times New Roman" w:eastAsia="Times New Roman" w:hint="default"/>
        </w:rPr>
        <w:t>(</w:t>
      </w:r>
      <w:r>
        <w:rPr/>
        <w:t>资本溢价或股本</w:t>
      </w:r>
      <w:r>
        <w:rPr>
          <w:spacing w:val="-54"/>
        </w:rPr>
        <w:t> </w:t>
      </w:r>
      <w:r>
        <w:rPr>
          <w:spacing w:val="-54"/>
        </w:rPr>
      </w:r>
      <w:r>
        <w:rPr/>
        <w:t>溢价</w:t>
      </w:r>
      <w:r>
        <w:rPr>
          <w:rFonts w:ascii="Times New Roman" w:hAnsi="Times New Roman" w:cs="Times New Roman" w:eastAsia="Times New Roman" w:hint="default"/>
        </w:rPr>
        <w:t>)</w:t>
      </w:r>
      <w:r>
        <w:rPr/>
        <w:t>，资本公积不足冲减的，调整留存收益。 </w:t>
      </w:r>
      <w:r>
        <w:rPr>
          <w:spacing w:val="-2"/>
        </w:rPr>
        <w:t>母公司在不丧失控制权的情况下部分处置对子公司的长期股权投资，在合并财务报表中，处置价款与处置长期股权投资相对</w:t>
      </w:r>
      <w:r>
        <w:rPr>
          <w:spacing w:val="-64"/>
        </w:rPr>
        <w:t> </w:t>
      </w:r>
      <w:r>
        <w:rPr>
          <w:spacing w:val="-64"/>
        </w:rPr>
      </w:r>
      <w:r>
        <w:rPr>
          <w:spacing w:val="-1"/>
        </w:rPr>
        <w:t>应享有子公司自购买日或合并日开始持续计算的净资产份额之间的差额，应当调整资本公积</w:t>
      </w:r>
      <w:r>
        <w:rPr>
          <w:rFonts w:ascii="Times New Roman" w:hAnsi="Times New Roman" w:cs="Times New Roman" w:eastAsia="Times New Roman" w:hint="default"/>
          <w:spacing w:val="-1"/>
        </w:rPr>
        <w:t>(</w:t>
      </w:r>
      <w:r>
        <w:rPr>
          <w:spacing w:val="-1"/>
        </w:rPr>
        <w:t>资本溢价或股本溢价</w:t>
      </w:r>
      <w:r>
        <w:rPr>
          <w:rFonts w:ascii="Times New Roman" w:hAnsi="Times New Roman" w:cs="Times New Roman" w:eastAsia="Times New Roman" w:hint="default"/>
          <w:spacing w:val="-1"/>
        </w:rPr>
        <w:t>)</w:t>
      </w:r>
      <w:r>
        <w:rPr>
          <w:spacing w:val="-1"/>
        </w:rPr>
        <w:t>，资本公</w:t>
      </w:r>
      <w:r>
        <w:rPr>
          <w:spacing w:val="-58"/>
        </w:rPr>
        <w:t> </w:t>
      </w:r>
      <w:r>
        <w:rPr>
          <w:spacing w:val="-58"/>
        </w:rPr>
      </w:r>
      <w:r>
        <w:rPr/>
        <w:t>积不足冲减的，调整留存收益。</w:t>
      </w:r>
    </w:p>
    <w:p>
      <w:pPr>
        <w:pStyle w:val="BodyText"/>
        <w:spacing w:line="316" w:lineRule="auto" w:before="26"/>
        <w:ind w:right="151" w:firstLine="288"/>
        <w:jc w:val="both"/>
      </w:pPr>
      <w:r>
        <w:rPr>
          <w:spacing w:val="-1"/>
        </w:rPr>
        <w:t>企业因处置部分股权投资等原因丧失了对被投资方的控制权的，在编制合并财务报表时，对于剩余股权，应当按照其在</w:t>
      </w:r>
      <w:r>
        <w:rPr/>
        <w:t> </w:t>
      </w:r>
      <w:r>
        <w:rPr>
          <w:spacing w:val="-2"/>
        </w:rPr>
        <w:t>丧失控制权日的公允价值进行重新计量。处置股权取得的对价与剩余股权公允价值之和，减去按原持股比例计算应享有原有</w:t>
      </w:r>
      <w:r>
        <w:rPr>
          <w:spacing w:val="-64"/>
        </w:rPr>
        <w:t> </w:t>
      </w:r>
      <w:r>
        <w:rPr>
          <w:spacing w:val="-64"/>
        </w:rPr>
      </w:r>
      <w:r>
        <w:rPr>
          <w:spacing w:val="-2"/>
        </w:rPr>
        <w:t>子公司自购买日或合并日开始持续计算的净资产的份额之间的差额，计入丧失控制权当期的投资收益，同时冲减商誉。与原</w:t>
      </w:r>
      <w:r>
        <w:rPr>
          <w:spacing w:val="-64"/>
        </w:rPr>
        <w:t> </w:t>
      </w:r>
      <w:r>
        <w:rPr>
          <w:spacing w:val="-64"/>
        </w:rPr>
      </w:r>
      <w:r>
        <w:rPr>
          <w:spacing w:val="-2"/>
        </w:rPr>
        <w:t>有子公司股权投资相关的其他综合收益等，应当在丧失控制权时转为当期投资收益，由于被投资方重新计量设定受益计划净</w:t>
      </w:r>
      <w:r>
        <w:rPr>
          <w:spacing w:val="-64"/>
        </w:rPr>
        <w:t> </w:t>
      </w:r>
      <w:r>
        <w:rPr>
          <w:spacing w:val="-64"/>
        </w:rPr>
      </w:r>
      <w:r>
        <w:rPr/>
        <w:t>负债或净资产变动而产生的其他综合收益除外。</w:t>
      </w:r>
    </w:p>
    <w:p>
      <w:pPr>
        <w:spacing w:line="240" w:lineRule="auto" w:before="10"/>
        <w:rPr>
          <w:rFonts w:ascii="宋体" w:hAnsi="宋体" w:cs="宋体" w:eastAsia="宋体" w:hint="default"/>
          <w:sz w:val="22"/>
          <w:szCs w:val="22"/>
        </w:rPr>
      </w:pPr>
    </w:p>
    <w:p>
      <w:pPr>
        <w:pStyle w:val="Heading3"/>
        <w:spacing w:line="240" w:lineRule="auto"/>
        <w:ind w:right="153"/>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3" w:right="0"/>
        <w:jc w:val="left"/>
      </w:pPr>
      <w:r>
        <w:rPr/>
        <w:t>合营安排分为共同经营和合营企业。 </w:t>
      </w:r>
      <w:r>
        <w:rPr>
          <w:spacing w:val="-2"/>
        </w:rPr>
        <w:t>共同经营，是指合营方享有该安排相关资产且承担该安排相关负债的合营安排。公司确认其与共同经营中利益份额相关</w:t>
      </w:r>
    </w:p>
    <w:p>
      <w:pPr>
        <w:pStyle w:val="BodyText"/>
        <w:spacing w:line="304" w:lineRule="auto" w:before="19"/>
        <w:ind w:left="513" w:right="3983" w:hanging="361"/>
        <w:jc w:val="left"/>
      </w:pPr>
      <w:r>
        <w:rPr/>
        <w:t>的下列项目，并按照相关企业会计准则的规定进行会计处理： </w:t>
      </w:r>
      <w:r>
        <w:rPr>
          <w:rFonts w:ascii="Times New Roman" w:hAnsi="Times New Roman" w:cs="Times New Roman" w:eastAsia="Times New Roman" w:hint="default"/>
        </w:rPr>
        <w:t>(1)</w:t>
      </w:r>
      <w:r>
        <w:rPr/>
        <w:t>确认单独所持有的资产，以及按其份额确认共同持有的资产； </w:t>
      </w:r>
      <w:r>
        <w:rPr>
          <w:rFonts w:ascii="Times New Roman" w:hAnsi="Times New Roman" w:cs="Times New Roman" w:eastAsia="Times New Roman" w:hint="default"/>
        </w:rPr>
        <w:t>(2)</w:t>
      </w:r>
      <w:r>
        <w:rPr/>
        <w:t>确认单独所承担的负债，以及按其份额确认共同承担的负债； </w:t>
      </w:r>
      <w:r>
        <w:rPr>
          <w:rFonts w:ascii="Times New Roman" w:hAnsi="Times New Roman" w:cs="Times New Roman" w:eastAsia="Times New Roman" w:hint="default"/>
        </w:rPr>
        <w:t>(3)</w:t>
      </w:r>
      <w:r>
        <w:rPr/>
        <w:t>确认出售其享有的共同经营产出份额所产生的收入； </w:t>
      </w:r>
      <w:r>
        <w:rPr>
          <w:rFonts w:ascii="Times New Roman" w:hAnsi="Times New Roman" w:cs="Times New Roman" w:eastAsia="Times New Roman" w:hint="default"/>
        </w:rPr>
        <w:t>(4)</w:t>
      </w:r>
      <w:r>
        <w:rPr/>
        <w:t>按其份额确认共同经营因出售产出所产生的收入； </w:t>
      </w:r>
      <w:r>
        <w:rPr>
          <w:rFonts w:ascii="Times New Roman" w:hAnsi="Times New Roman" w:cs="Times New Roman" w:eastAsia="Times New Roman" w:hint="default"/>
        </w:rPr>
        <w:t>(5)</w:t>
      </w:r>
      <w:r>
        <w:rPr/>
        <w:t>确认单独所发生的费用，以及按其份额确认共同经营发生的费用。</w:t>
      </w:r>
    </w:p>
    <w:p>
      <w:pPr>
        <w:pStyle w:val="BodyText"/>
        <w:spacing w:line="240" w:lineRule="auto" w:before="9"/>
        <w:ind w:left="513" w:right="153"/>
        <w:jc w:val="left"/>
      </w:pPr>
      <w:r>
        <w:rPr/>
        <w:t>合营企业，是指合营方仅对该安排的净资产享有权利的合营安排。公司按照权益法对合营企业的投资进行会计处理。</w:t>
      </w:r>
    </w:p>
    <w:p>
      <w:pPr>
        <w:spacing w:after="0" w:line="240" w:lineRule="auto"/>
        <w:jc w:val="left"/>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153"/>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53"/>
        <w:jc w:val="left"/>
      </w:pPr>
      <w:r>
        <w:rPr/>
        <w:t>现金及现金等价物是指公司持有的期限短、流动性强、易于转换为已知金额现金、价值变动风险很小的投资。</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513" w:right="153"/>
        <w:jc w:val="left"/>
      </w:pPr>
      <w:r>
        <w:rPr>
          <w:rFonts w:ascii="Times New Roman" w:hAnsi="Times New Roman" w:cs="Times New Roman" w:eastAsia="Times New Roman" w:hint="default"/>
        </w:rPr>
        <w:t>(1)</w:t>
      </w:r>
      <w:r>
        <w:rPr/>
        <w:t>外币交易在初始确认时，采用交易发生当日中国人民银行公布的人民币外汇牌价中间价将外币金额折算为人民币金</w:t>
      </w:r>
    </w:p>
    <w:p>
      <w:pPr>
        <w:pStyle w:val="BodyText"/>
        <w:spacing w:line="240" w:lineRule="auto" w:before="63"/>
        <w:ind w:right="153"/>
        <w:jc w:val="left"/>
      </w:pPr>
      <w:r>
        <w:rPr/>
        <w:t>额。</w:t>
      </w:r>
    </w:p>
    <w:p>
      <w:pPr>
        <w:pStyle w:val="BodyText"/>
        <w:spacing w:line="240" w:lineRule="auto" w:before="76"/>
        <w:ind w:left="513" w:right="153"/>
        <w:jc w:val="left"/>
      </w:pPr>
      <w:r>
        <w:rPr>
          <w:rFonts w:ascii="Times New Roman" w:hAnsi="Times New Roman" w:cs="Times New Roman" w:eastAsia="Times New Roman" w:hint="default"/>
        </w:rPr>
        <w:t>(2)</w:t>
      </w:r>
      <w:r>
        <w:rPr/>
        <w:t>于资产负债表日，按照下列方法对外币货币性项目和外币非货币性项目进行处理：</w:t>
      </w:r>
    </w:p>
    <w:p>
      <w:pPr>
        <w:pStyle w:val="BodyText"/>
        <w:spacing w:line="240" w:lineRule="auto" w:before="63"/>
        <w:ind w:left="513" w:right="0"/>
        <w:jc w:val="left"/>
      </w:pPr>
      <w:r>
        <w:rPr/>
        <w:t>①外币货币性项目，采用资产负债表日中国人民银行公布的人民币外汇牌价中间价折算。因资产负债表日即期汇率与初</w:t>
      </w:r>
    </w:p>
    <w:p>
      <w:pPr>
        <w:pStyle w:val="BodyText"/>
        <w:spacing w:line="240" w:lineRule="auto" w:before="76"/>
        <w:ind w:right="153"/>
        <w:jc w:val="left"/>
      </w:pPr>
      <w:r>
        <w:rPr/>
        <w:t>始确认时或者前一资产负债表日即期汇率不同而产生的汇兑差额，计入当期损益。</w:t>
      </w:r>
    </w:p>
    <w:p>
      <w:pPr>
        <w:pStyle w:val="BodyText"/>
        <w:spacing w:line="316" w:lineRule="auto" w:before="77"/>
        <w:ind w:right="149" w:firstLine="360"/>
        <w:jc w:val="both"/>
      </w:pPr>
      <w:r>
        <w:rPr>
          <w:spacing w:val="-2"/>
        </w:rPr>
        <w:t>②以历史成本计量的外币非货币性项目，仍采用交易发生日的即期汇率折算，不改变其记账本位币金额；以公允价值计</w:t>
      </w:r>
      <w:r>
        <w:rPr/>
        <w:t> </w:t>
      </w:r>
      <w:r>
        <w:rPr>
          <w:spacing w:val="-2"/>
        </w:rPr>
        <w:t>量的外币非货币性项目，采用公允价值确定日的即期汇率折算，折算后的记账本位币金额与原记账本位币金额的差额，作为</w:t>
      </w:r>
      <w:r>
        <w:rPr>
          <w:spacing w:val="-62"/>
        </w:rPr>
        <w:t> </w:t>
      </w:r>
      <w:r>
        <w:rPr>
          <w:spacing w:val="-62"/>
        </w:rPr>
      </w:r>
      <w:r>
        <w:rPr/>
        <w:t>公允价值变动</w:t>
      </w:r>
      <w:r>
        <w:rPr>
          <w:rFonts w:ascii="Times New Roman" w:hAnsi="Times New Roman" w:cs="Times New Roman" w:eastAsia="Times New Roman" w:hint="default"/>
        </w:rPr>
        <w:t>(</w:t>
      </w:r>
      <w:r>
        <w:rPr/>
        <w:t>含汇率变动</w:t>
      </w:r>
      <w:r>
        <w:rPr>
          <w:rFonts w:ascii="Times New Roman" w:hAnsi="Times New Roman" w:cs="Times New Roman" w:eastAsia="Times New Roman" w:hint="default"/>
        </w:rPr>
        <w:t>)</w:t>
      </w:r>
      <w:r>
        <w:rPr/>
        <w:t>处理，</w:t>
      </w:r>
      <w:r>
        <w:rPr>
          <w:spacing w:val="-18"/>
        </w:rPr>
        <w:t> </w:t>
      </w:r>
      <w:r>
        <w:rPr/>
        <w:t>并根据非货币性项目的性质计入当期损益或其他综合收益。</w:t>
      </w:r>
    </w:p>
    <w:p>
      <w:pPr>
        <w:pStyle w:val="BodyText"/>
        <w:spacing w:line="316" w:lineRule="auto"/>
        <w:ind w:left="513" w:right="1853"/>
        <w:jc w:val="left"/>
      </w:pPr>
      <w:r>
        <w:rPr/>
        <w:t>货币性项目，是指公司持有的货币资金和将以固定或可确定的金额收取的资产或者偿付的负债。 非货币性项目，是指货币性项目以外的项目。</w:t>
      </w:r>
    </w:p>
    <w:p>
      <w:pPr>
        <w:pStyle w:val="BodyText"/>
        <w:spacing w:line="240" w:lineRule="auto" w:before="19"/>
        <w:ind w:left="513" w:right="153"/>
        <w:jc w:val="left"/>
      </w:pPr>
      <w:r>
        <w:rPr>
          <w:rFonts w:ascii="Times New Roman" w:hAnsi="Times New Roman" w:cs="Times New Roman" w:eastAsia="Times New Roman" w:hint="default"/>
        </w:rPr>
        <w:t>(3)</w:t>
      </w:r>
      <w:r>
        <w:rPr/>
        <w:t>境外经营实体的外币财务报表的折算方法：</w:t>
      </w:r>
    </w:p>
    <w:p>
      <w:pPr>
        <w:pStyle w:val="BodyText"/>
        <w:spacing w:line="300" w:lineRule="auto" w:before="63"/>
        <w:ind w:right="153" w:firstLine="360"/>
        <w:jc w:val="left"/>
      </w:pPr>
      <w:r>
        <w:rPr>
          <w:spacing w:val="-2"/>
        </w:rPr>
        <w:t>①资产负债表中的资产和负债项目，采用资产负债表日的即期汇率折算，所有者权益项目除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w:t>
      </w:r>
      <w:r>
        <w:rPr/>
        <w:t> 项目采用发生时的即期汇率折算；</w:t>
      </w:r>
    </w:p>
    <w:p>
      <w:pPr>
        <w:pStyle w:val="BodyText"/>
        <w:spacing w:line="300" w:lineRule="auto" w:before="31"/>
        <w:ind w:right="153" w:firstLine="360"/>
        <w:jc w:val="left"/>
      </w:pPr>
      <w:r>
        <w:rPr/>
        <w:t>②利润表中的收入和费用项目，采用交易发生日的即期汇率折算</w:t>
      </w:r>
      <w:r>
        <w:rPr>
          <w:rFonts w:ascii="Times New Roman" w:hAnsi="Times New Roman" w:cs="Times New Roman" w:eastAsia="Times New Roman" w:hint="default"/>
        </w:rPr>
        <w:t>(</w:t>
      </w:r>
      <w:r>
        <w:rPr/>
        <w:t>或采用按照系统合理的方法确定的、与交易发生日即 期汇率近似的汇率折算</w:t>
      </w:r>
      <w:r>
        <w:rPr>
          <w:rFonts w:ascii="Times New Roman" w:hAnsi="Times New Roman" w:cs="Times New Roman" w:eastAsia="Times New Roman" w:hint="default"/>
        </w:rPr>
        <w:t>)</w:t>
      </w:r>
      <w:r>
        <w:rPr/>
        <w:t>；</w:t>
      </w:r>
    </w:p>
    <w:p>
      <w:pPr>
        <w:pStyle w:val="BodyText"/>
        <w:spacing w:line="309" w:lineRule="auto" w:before="13"/>
        <w:ind w:left="513" w:right="0"/>
        <w:jc w:val="left"/>
      </w:pPr>
      <w:r>
        <w:rPr/>
        <w:t>③按照上述①、②折算产生的外币财务报表折算差额，在资产负债表中所有者权益项目下单独列示。 </w:t>
      </w:r>
      <w:r>
        <w:rPr>
          <w:rFonts w:ascii="Times New Roman" w:hAnsi="Times New Roman" w:cs="Times New Roman" w:eastAsia="Times New Roman" w:hint="default"/>
        </w:rPr>
        <w:t>(4)</w:t>
      </w:r>
      <w:r>
        <w:rPr/>
        <w:t>公司对处于恶性通货膨胀经济中的境外经营的财务报表，按照下列方法进行折算： </w:t>
      </w:r>
      <w:r>
        <w:rPr>
          <w:spacing w:val="-2"/>
        </w:rPr>
        <w:t>对资产负债表项目运用一般物价指数予以重述，对利润表项目运用一般物价指数变动予以重述，再按照最近资产负债表</w:t>
      </w:r>
    </w:p>
    <w:p>
      <w:pPr>
        <w:pStyle w:val="BodyText"/>
        <w:spacing w:line="316" w:lineRule="auto" w:before="24"/>
        <w:ind w:left="513" w:right="153" w:hanging="361"/>
        <w:jc w:val="left"/>
      </w:pPr>
      <w:r>
        <w:rPr/>
        <w:t>日的即期汇率进行折算。 在境外经营不再处于恶性通货膨胀经济中时，停止重述，按照停止之日的价格水平重述的财务报表进行折算。 </w:t>
      </w:r>
      <w:r>
        <w:rPr>
          <w:rFonts w:ascii="Times New Roman" w:hAnsi="Times New Roman" w:cs="Times New Roman" w:eastAsia="Times New Roman" w:hint="default"/>
        </w:rPr>
        <w:t>(5)</w:t>
      </w:r>
      <w:r>
        <w:rPr/>
        <w:t>公司在处置境外经营时，将资产负债表中所有者权益项目下列示的、与该境外经营相关的外币财务报表折算差额，</w:t>
      </w:r>
    </w:p>
    <w:p>
      <w:pPr>
        <w:pStyle w:val="BodyText"/>
        <w:spacing w:line="316" w:lineRule="auto"/>
        <w:ind w:right="0"/>
        <w:jc w:val="left"/>
      </w:pPr>
      <w:r>
        <w:rPr>
          <w:spacing w:val="-2"/>
        </w:rPr>
        <w:t>自所有者权益项目转入处置当期损益；部分处置境外经营的，按处置的比例计算处置部分的外币财务报表折算差额，转入处</w:t>
      </w:r>
      <w:r>
        <w:rPr>
          <w:spacing w:val="-63"/>
        </w:rPr>
        <w:t> </w:t>
      </w:r>
      <w:r>
        <w:rPr>
          <w:spacing w:val="-63"/>
        </w:rPr>
      </w:r>
      <w:r>
        <w:rPr/>
        <w:t>置当期损益。</w:t>
      </w:r>
    </w:p>
    <w:p>
      <w:pPr>
        <w:spacing w:line="240" w:lineRule="auto" w:before="10"/>
        <w:rPr>
          <w:rFonts w:ascii="宋体" w:hAnsi="宋体" w:cs="宋体" w:eastAsia="宋体" w:hint="default"/>
          <w:sz w:val="22"/>
          <w:szCs w:val="22"/>
        </w:rPr>
      </w:pPr>
    </w:p>
    <w:p>
      <w:pPr>
        <w:pStyle w:val="Heading3"/>
        <w:spacing w:line="240" w:lineRule="auto"/>
        <w:ind w:right="153"/>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153"/>
        <w:jc w:val="left"/>
      </w:pPr>
      <w:r>
        <w:rPr>
          <w:rFonts w:ascii="Times New Roman" w:hAnsi="Times New Roman" w:cs="Times New Roman" w:eastAsia="Times New Roman" w:hint="default"/>
        </w:rPr>
        <w:t>(1)</w:t>
      </w:r>
      <w:r>
        <w:rPr/>
        <w:t>金融工具的分类、确认依据和计量方法</w:t>
      </w:r>
    </w:p>
    <w:p>
      <w:pPr>
        <w:pStyle w:val="BodyText"/>
        <w:spacing w:line="240" w:lineRule="auto" w:before="63"/>
        <w:ind w:left="513" w:right="153"/>
        <w:jc w:val="left"/>
      </w:pPr>
      <w:r>
        <w:rPr/>
        <w:t>①金融资产在初始确认时划分为下列四类：</w:t>
      </w:r>
    </w:p>
    <w:p>
      <w:pPr>
        <w:pStyle w:val="BodyText"/>
        <w:spacing w:line="300" w:lineRule="auto" w:before="76"/>
        <w:ind w:right="153" w:firstLine="36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t>以公允价值计量且其变动计入当期损益的金融资产，包括交易性金融资产和指定为以公允价值计量且其变动计入当 期损益的金融资产；</w:t>
      </w:r>
    </w:p>
    <w:p>
      <w:pPr>
        <w:pStyle w:val="BodyText"/>
        <w:spacing w:line="240" w:lineRule="auto" w:before="31"/>
        <w:ind w:left="513" w:right="15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持有至到期投资；</w:t>
      </w:r>
    </w:p>
    <w:p>
      <w:pPr>
        <w:pStyle w:val="BodyText"/>
        <w:spacing w:line="240" w:lineRule="auto" w:before="63"/>
        <w:ind w:left="513" w:right="15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应收款项；</w:t>
      </w:r>
    </w:p>
    <w:p>
      <w:pPr>
        <w:pStyle w:val="BodyText"/>
        <w:spacing w:line="240" w:lineRule="auto" w:before="63"/>
        <w:ind w:left="513" w:right="153"/>
        <w:jc w:val="left"/>
      </w:pPr>
      <w:r>
        <w:rPr>
          <w:rFonts w:ascii="Times New Roman" w:hAnsi="Times New Roman" w:cs="Times New Roman" w:eastAsia="Times New Roman" w:hint="default"/>
        </w:rPr>
        <w:t>4)</w:t>
      </w:r>
      <w:r>
        <w:rPr/>
        <w:t>可供出售金融资产。</w:t>
      </w:r>
    </w:p>
    <w:p>
      <w:pPr>
        <w:pStyle w:val="BodyText"/>
        <w:spacing w:line="240" w:lineRule="auto" w:before="63"/>
        <w:ind w:left="513" w:right="153"/>
        <w:jc w:val="left"/>
      </w:pPr>
      <w:r>
        <w:rPr/>
        <w:t>②金融负债在初始确认时划分为下列两类：</w:t>
      </w:r>
    </w:p>
    <w:p>
      <w:pPr>
        <w:pStyle w:val="BodyText"/>
        <w:spacing w:line="300" w:lineRule="auto" w:before="76"/>
        <w:ind w:right="137" w:firstLine="360"/>
        <w:jc w:val="left"/>
      </w:pPr>
      <w:r>
        <w:rPr>
          <w:rFonts w:ascii="Times New Roman" w:hAnsi="Times New Roman" w:cs="Times New Roman" w:eastAsia="Times New Roman" w:hint="default"/>
          <w:spacing w:val="-1"/>
        </w:rPr>
        <w:t>1)</w:t>
      </w:r>
      <w:r>
        <w:rPr>
          <w:spacing w:val="-1"/>
        </w:rPr>
        <w:t>以公允价值计量且其变动计入当期损益的金融负债，包括交易性金融负债和指定为以公允价值计量且其变动计入当期</w:t>
      </w:r>
      <w:r>
        <w:rPr>
          <w:w w:val="99"/>
        </w:rPr>
        <w:t> </w:t>
      </w:r>
      <w:r>
        <w:rPr/>
        <w:t>损益的金融负债；</w:t>
      </w:r>
    </w:p>
    <w:p>
      <w:pPr>
        <w:pStyle w:val="BodyText"/>
        <w:spacing w:line="240" w:lineRule="auto" w:before="31"/>
        <w:ind w:left="513" w:right="153"/>
        <w:jc w:val="left"/>
      </w:pPr>
      <w:r>
        <w:rPr>
          <w:rFonts w:ascii="Times New Roman" w:hAnsi="Times New Roman" w:cs="Times New Roman" w:eastAsia="Times New Roman" w:hint="default"/>
        </w:rPr>
        <w:t>2)</w:t>
      </w:r>
      <w:r>
        <w:rPr/>
        <w:t>其他金融负债。</w:t>
      </w:r>
    </w:p>
    <w:p>
      <w:pPr>
        <w:pStyle w:val="BodyText"/>
        <w:spacing w:line="316" w:lineRule="auto" w:before="63"/>
        <w:ind w:left="513" w:right="153"/>
        <w:jc w:val="left"/>
      </w:pPr>
      <w:r>
        <w:rPr/>
        <w:t>③以公允价值计量且其变动计入当期损益的金融资产或金融负债 此类金融资产或金融负债进一步分为交易性金融资产或金融负债和直接指定为以公允价值计量且其变动计入当期损益</w:t>
      </w:r>
    </w:p>
    <w:p>
      <w:pPr>
        <w:spacing w:after="0" w:line="316" w:lineRule="auto"/>
        <w:jc w:val="left"/>
        <w:sectPr>
          <w:pgSz w:w="11910" w:h="16840"/>
          <w:pgMar w:header="877" w:footer="979" w:top="1100" w:bottom="1160" w:left="980" w:right="980"/>
        </w:sectPr>
      </w:pPr>
    </w:p>
    <w:p>
      <w:pPr>
        <w:spacing w:line="240" w:lineRule="auto" w:before="11"/>
        <w:rPr>
          <w:rFonts w:ascii="宋体" w:hAnsi="宋体" w:cs="宋体" w:eastAsia="宋体" w:hint="default"/>
          <w:sz w:val="21"/>
          <w:szCs w:val="21"/>
        </w:rPr>
      </w:pPr>
    </w:p>
    <w:p>
      <w:pPr>
        <w:pStyle w:val="BodyText"/>
        <w:spacing w:line="316" w:lineRule="auto" w:before="44"/>
        <w:ind w:left="513" w:right="94" w:hanging="361"/>
        <w:jc w:val="left"/>
      </w:pPr>
      <w:r>
        <w:rPr/>
        <w:t>的金融资产或金融负债。 交易性金融资产或金融负债，主要是指公司为了近期内出售而持有的金融资产或近期内回购而承担的金融负债。 </w:t>
      </w:r>
      <w:r>
        <w:rPr>
          <w:spacing w:val="-2"/>
        </w:rPr>
        <w:t>直接指定为以公允价值计量且其变动计入当期损益的金融资产或金融负债，主要是指公司基于风险管理、战略投资需要</w:t>
      </w:r>
    </w:p>
    <w:p>
      <w:pPr>
        <w:pStyle w:val="BodyText"/>
        <w:spacing w:line="316" w:lineRule="auto" w:before="19"/>
        <w:ind w:left="513" w:right="94" w:hanging="361"/>
        <w:jc w:val="left"/>
      </w:pPr>
      <w:r>
        <w:rPr/>
        <w:t>等所作的指定。 </w:t>
      </w:r>
      <w:r>
        <w:rPr>
          <w:spacing w:val="-2"/>
        </w:rPr>
        <w:t>以公允价值计量且其变动计入当期损益的金融资产按照取得时的公允价值作为初始确认金额，相关的交易费用在发生时</w:t>
      </w:r>
    </w:p>
    <w:p>
      <w:pPr>
        <w:pStyle w:val="BodyText"/>
        <w:spacing w:line="316" w:lineRule="auto" w:before="19"/>
        <w:ind w:left="513" w:right="87" w:hanging="361"/>
        <w:jc w:val="left"/>
      </w:pPr>
      <w:r>
        <w:rPr/>
        <w:t>计入当期损益</w:t>
      </w:r>
      <w:r>
        <w:rPr>
          <w:spacing w:val="-87"/>
        </w:rPr>
        <w:t>。</w:t>
      </w:r>
      <w:r>
        <w:rPr/>
        <w:t>支付的价款中包含已宣告但尚未发放的现金股利或已到付息期但尚未领取的债券利息</w:t>
      </w:r>
      <w:r>
        <w:rPr>
          <w:spacing w:val="-87"/>
        </w:rPr>
        <w:t>，</w:t>
      </w:r>
      <w:r>
        <w:rPr/>
        <w:t>单独确认为应收项目。</w:t>
      </w:r>
      <w:r>
        <w:rPr/>
        <w:t> 在持有以公允价值计量且其变动计入当期损益的金融资产期间取得的利息或现金股利</w:t>
      </w:r>
      <w:r>
        <w:rPr>
          <w:spacing w:val="-87"/>
        </w:rPr>
        <w:t>，</w:t>
      </w:r>
      <w:r>
        <w:rPr/>
        <w:t>确认为投资收益</w:t>
      </w:r>
      <w:r>
        <w:rPr>
          <w:spacing w:val="-87"/>
        </w:rPr>
        <w:t>。</w:t>
      </w:r>
      <w:r>
        <w:rPr/>
        <w:t>资产负债表日，</w:t>
      </w:r>
    </w:p>
    <w:p>
      <w:pPr>
        <w:pStyle w:val="BodyText"/>
        <w:spacing w:line="316" w:lineRule="auto" w:before="19"/>
        <w:ind w:left="513" w:right="94" w:hanging="361"/>
        <w:jc w:val="left"/>
      </w:pPr>
      <w:r>
        <w:rPr/>
        <w:t>将以公允价值计量且其变动计入当期损益的金融资产或金融负债的公允价值变动计入当期损益。 </w:t>
      </w:r>
      <w:r>
        <w:rPr>
          <w:spacing w:val="-2"/>
        </w:rPr>
        <w:t>处置以公允价值计量且其变动计入当期损益的金融资产或金融负债时，其公允价值与初始入账金额之间的差额确认为投</w:t>
      </w:r>
    </w:p>
    <w:p>
      <w:pPr>
        <w:pStyle w:val="BodyText"/>
        <w:spacing w:line="240" w:lineRule="auto" w:before="19"/>
        <w:ind w:right="94"/>
        <w:jc w:val="left"/>
      </w:pPr>
      <w:r>
        <w:rPr/>
        <w:t>资收益，同时调整公允价值变动损益。</w:t>
      </w:r>
    </w:p>
    <w:p>
      <w:pPr>
        <w:pStyle w:val="BodyText"/>
        <w:spacing w:line="319" w:lineRule="auto" w:before="76"/>
        <w:ind w:left="513" w:right="94"/>
        <w:jc w:val="left"/>
      </w:pPr>
      <w:r>
        <w:rPr/>
        <w:t>④持有至到期投资 此类金融资产是指到期日固定、回收金额固定或可确定，且公司有明确意图和能力持有至到期的非衍生金融资产 </w:t>
      </w:r>
      <w:r>
        <w:rPr>
          <w:spacing w:val="-2"/>
        </w:rPr>
        <w:t>持有至到期投资按取得时的公允价值和相关交易费用之和作为初始确认金额。支付的价款中包含的已到付息期但尚未领</w:t>
      </w:r>
    </w:p>
    <w:p>
      <w:pPr>
        <w:pStyle w:val="BodyText"/>
        <w:spacing w:line="316" w:lineRule="auto" w:before="17"/>
        <w:ind w:left="513" w:right="94" w:hanging="361"/>
        <w:jc w:val="left"/>
      </w:pPr>
      <w:r>
        <w:rPr/>
        <w:t>取的债券利息，应单独确认为应收项目。 </w:t>
      </w:r>
      <w:r>
        <w:rPr>
          <w:spacing w:val="-2"/>
        </w:rPr>
        <w:t>持有至到期投资在持有期间按照摊余成本和实际利率计算确认利息收入，计入投资收益。实际利率应当在取得持有至到</w:t>
      </w:r>
    </w:p>
    <w:p>
      <w:pPr>
        <w:pStyle w:val="BodyText"/>
        <w:spacing w:line="300" w:lineRule="auto" w:before="19"/>
        <w:ind w:right="94"/>
        <w:jc w:val="left"/>
        <w:rPr>
          <w:rFonts w:ascii="Times New Roman" w:hAnsi="Times New Roman" w:cs="Times New Roman" w:eastAsia="Times New Roman" w:hint="default"/>
        </w:rPr>
      </w:pPr>
      <w:r>
        <w:rPr/>
        <w:t>期投资时确定，在该持有至到期投资预期存续期间或适用的更短期间内保持不变。</w:t>
      </w:r>
      <w:r>
        <w:rPr>
          <w:rFonts w:ascii="Times New Roman" w:hAnsi="Times New Roman" w:cs="Times New Roman" w:eastAsia="Times New Roman" w:hint="default"/>
        </w:rPr>
        <w:t>(</w:t>
      </w:r>
      <w:r>
        <w:rPr/>
        <w:t>实际利率与票面利率差别较小的，也可</w:t>
      </w:r>
      <w:r>
        <w:rPr>
          <w:spacing w:val="-55"/>
        </w:rPr>
        <w:t> </w:t>
      </w:r>
      <w:r>
        <w:rPr>
          <w:spacing w:val="-55"/>
        </w:rPr>
      </w:r>
      <w:r>
        <w:rPr/>
        <w:t>按票面利率计算利息收入，计入投资收益。</w:t>
      </w:r>
      <w:r>
        <w:rPr>
          <w:rFonts w:ascii="Times New Roman" w:hAnsi="Times New Roman" w:cs="Times New Roman" w:eastAsia="Times New Roman" w:hint="default"/>
        </w:rPr>
        <w:t>)</w:t>
      </w:r>
    </w:p>
    <w:p>
      <w:pPr>
        <w:pStyle w:val="BodyText"/>
        <w:spacing w:line="240" w:lineRule="auto" w:before="13"/>
        <w:ind w:left="513" w:right="94"/>
        <w:jc w:val="left"/>
      </w:pPr>
      <w:r>
        <w:rPr/>
        <w:t>处置持有至到期投资时，应将所取得价款与该投资账面价值之间的差额计入投资收益。</w:t>
      </w:r>
    </w:p>
    <w:p>
      <w:pPr>
        <w:pStyle w:val="BodyText"/>
        <w:spacing w:line="316" w:lineRule="auto" w:before="76"/>
        <w:ind w:left="513" w:right="94"/>
        <w:jc w:val="left"/>
      </w:pPr>
      <w:r>
        <w:rPr/>
        <w:t>⑤应收款项 </w:t>
      </w:r>
      <w:r>
        <w:rPr>
          <w:spacing w:val="-2"/>
        </w:rPr>
        <w:t>应收款项主要是指公司销售商品或提供劳务形成的应收款项等债权，通常应按从购货方应收的合同或协议价款作为初始</w:t>
      </w:r>
    </w:p>
    <w:p>
      <w:pPr>
        <w:pStyle w:val="BodyText"/>
        <w:spacing w:line="240" w:lineRule="auto" w:before="19"/>
        <w:ind w:right="94"/>
        <w:jc w:val="left"/>
      </w:pPr>
      <w:r>
        <w:rPr/>
        <w:t>确认金额。收回或处置贷款和应收款项时，应将取得的价款与该贷款和应收款项账面价值之间的差额计入当期损益。</w:t>
      </w:r>
    </w:p>
    <w:p>
      <w:pPr>
        <w:pStyle w:val="BodyText"/>
        <w:spacing w:line="316" w:lineRule="auto" w:before="77"/>
        <w:ind w:left="513" w:right="94"/>
        <w:jc w:val="left"/>
      </w:pPr>
      <w:r>
        <w:rPr/>
        <w:t>⑥可供出售金融资产 </w:t>
      </w:r>
      <w:r>
        <w:rPr>
          <w:spacing w:val="-2"/>
        </w:rPr>
        <w:t>可供出售金融资产通常是指企业没有划分为以公允价值计量且其变动计入当期损益的金融资产、持有至到期投资、贷款</w:t>
      </w:r>
    </w:p>
    <w:p>
      <w:pPr>
        <w:pStyle w:val="BodyText"/>
        <w:spacing w:line="316" w:lineRule="auto" w:before="19"/>
        <w:ind w:left="513" w:right="94" w:hanging="361"/>
        <w:jc w:val="left"/>
      </w:pPr>
      <w:r>
        <w:rPr/>
        <w:t>和应收款项的金融资产。 </w:t>
      </w:r>
      <w:r>
        <w:rPr>
          <w:spacing w:val="-2"/>
        </w:rPr>
        <w:t>可供出售金融资产按取得该金融资产的公允价值和相关交易费用之和作为初始确认金额。支付的价款中包含的已到付息</w:t>
      </w:r>
    </w:p>
    <w:p>
      <w:pPr>
        <w:pStyle w:val="BodyText"/>
        <w:spacing w:line="316" w:lineRule="auto" w:before="19"/>
        <w:ind w:left="513" w:right="94" w:hanging="361"/>
        <w:jc w:val="left"/>
      </w:pPr>
      <w:r>
        <w:rPr/>
        <w:t>期但尚未领取的债券利息或已宣告但尚未发放的现金股利，应单独确认为应收项目。 </w:t>
      </w:r>
      <w:r>
        <w:rPr>
          <w:spacing w:val="-2"/>
        </w:rPr>
        <w:t>可供出售金融资产持有期间取得的利息或现金股利，应当计入投资收益。资产负债表日，可供出售金融资产应当以公允</w:t>
      </w:r>
    </w:p>
    <w:p>
      <w:pPr>
        <w:pStyle w:val="BodyText"/>
        <w:spacing w:line="300" w:lineRule="auto" w:before="19"/>
        <w:ind w:left="513" w:right="94" w:hanging="361"/>
        <w:jc w:val="left"/>
      </w:pPr>
      <w:r>
        <w:rPr/>
        <w:t>价值计量，且公允价值变动计入资本公积</w:t>
      </w: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rPr>
        <w:t>)</w:t>
      </w:r>
      <w:r>
        <w:rPr/>
        <w:t>。 </w:t>
      </w:r>
      <w:r>
        <w:rPr>
          <w:spacing w:val="-2"/>
        </w:rPr>
        <w:t>处置可供出售金融资产时，应将取得的价款与该金融资产账面价值之间的差额，计入投资损益；同时，将原直接计入所</w:t>
      </w:r>
    </w:p>
    <w:p>
      <w:pPr>
        <w:pStyle w:val="BodyText"/>
        <w:spacing w:line="240" w:lineRule="auto" w:before="31"/>
        <w:ind w:right="94"/>
        <w:jc w:val="left"/>
      </w:pPr>
      <w:r>
        <w:rPr/>
        <w:t>有者权益的公允价值变动累计额对应处置部分的金额转出，计入投资损益。</w:t>
      </w:r>
    </w:p>
    <w:p>
      <w:pPr>
        <w:pStyle w:val="BodyText"/>
        <w:spacing w:line="316" w:lineRule="auto" w:before="76"/>
        <w:ind w:left="513" w:right="94"/>
        <w:jc w:val="left"/>
      </w:pPr>
      <w:r>
        <w:rPr/>
        <w:t>⑦其他金融负债 </w:t>
      </w:r>
      <w:r>
        <w:rPr>
          <w:spacing w:val="-4"/>
        </w:rPr>
        <w:t>其他金融负债是指除以公允价值计量且其变动计入当期损益的金融负债以外的金融负债。通常情况下，公司发行的债券、</w:t>
      </w:r>
    </w:p>
    <w:p>
      <w:pPr>
        <w:pStyle w:val="BodyText"/>
        <w:spacing w:line="316" w:lineRule="auto" w:before="19"/>
        <w:ind w:left="513" w:right="94" w:hanging="361"/>
        <w:jc w:val="left"/>
      </w:pPr>
      <w:r>
        <w:rPr/>
        <w:t>因购买商品产生的应付账款、长期应付款等，应当划分为其他金融负债。 其他金融负债应当按其公允价值和相关交易费用之和作为初始确认金额。其他金融负债通常采用摊余成本进行后续计</w:t>
      </w:r>
    </w:p>
    <w:p>
      <w:pPr>
        <w:pStyle w:val="BodyText"/>
        <w:spacing w:line="240" w:lineRule="auto" w:before="19"/>
        <w:ind w:right="94"/>
        <w:jc w:val="left"/>
      </w:pPr>
      <w:r>
        <w:rPr/>
        <w:t>量。</w:t>
      </w:r>
    </w:p>
    <w:p>
      <w:pPr>
        <w:pStyle w:val="BodyText"/>
        <w:spacing w:line="300" w:lineRule="auto" w:before="76"/>
        <w:ind w:left="513" w:right="94" w:firstLine="72"/>
        <w:jc w:val="left"/>
      </w:pPr>
      <w:r>
        <w:rPr>
          <w:rFonts w:ascii="Times New Roman" w:hAnsi="Times New Roman" w:cs="Times New Roman" w:eastAsia="Times New Roman" w:hint="default"/>
        </w:rPr>
        <w:t>(2)</w:t>
      </w:r>
      <w:r>
        <w:rPr/>
        <w:t>金融资产转移的确认依据和计量方法</w:t>
      </w:r>
      <w:r>
        <w:rPr>
          <w:w w:val="99"/>
        </w:rPr>
        <w:t> </w:t>
      </w:r>
      <w:r>
        <w:rPr>
          <w:spacing w:val="-2"/>
        </w:rPr>
        <w:t>公司已将金融资产所有权上几乎所有的风险和报酬转移给转入方的，终止确认该金融资产；保留了金融资产所有权上几</w:t>
      </w:r>
    </w:p>
    <w:p>
      <w:pPr>
        <w:pStyle w:val="BodyText"/>
        <w:spacing w:line="316" w:lineRule="auto" w:before="31"/>
        <w:ind w:right="178"/>
        <w:jc w:val="left"/>
      </w:pPr>
      <w:r>
        <w:rPr/>
        <w:t>乎所有的风险和报酬的，不终止确认该金融资产。</w:t>
      </w:r>
      <w:r>
        <w:rPr>
          <w:spacing w:val="6"/>
        </w:rPr>
        <w:t> </w:t>
      </w:r>
      <w:r>
        <w:rPr/>
        <w:t>终止确认，是指将金融资产或金融负债从公司的账户和资产负债表内予</w:t>
      </w:r>
      <w:r>
        <w:rPr>
          <w:spacing w:val="-88"/>
        </w:rPr>
        <w:t> </w:t>
      </w:r>
      <w:r>
        <w:rPr>
          <w:spacing w:val="-88"/>
        </w:rPr>
      </w:r>
      <w:r>
        <w:rPr/>
        <w:t>以转销。金融资产整体转移满足终止确认条件的，应当将下列两项金额的差额计入当期损益：</w:t>
      </w:r>
    </w:p>
    <w:p>
      <w:pPr>
        <w:pStyle w:val="BodyText"/>
        <w:spacing w:line="240" w:lineRule="auto" w:before="19"/>
        <w:ind w:left="513" w:right="94"/>
        <w:jc w:val="left"/>
      </w:pPr>
      <w:r>
        <w:rPr/>
        <w:t>①所转移金融资产的账面价值；</w:t>
      </w:r>
    </w:p>
    <w:p>
      <w:pPr>
        <w:pStyle w:val="BodyText"/>
        <w:spacing w:line="300" w:lineRule="auto" w:before="76"/>
        <w:ind w:right="94" w:firstLine="360"/>
        <w:jc w:val="left"/>
      </w:pPr>
      <w:r>
        <w:rPr/>
        <w:t>②因转移而收到的对价，与原直接计入所有者权益的公允价值变动累计额</w:t>
      </w:r>
      <w:r>
        <w:rPr>
          <w:rFonts w:ascii="Times New Roman" w:hAnsi="Times New Roman" w:cs="Times New Roman" w:eastAsia="Times New Roman" w:hint="default"/>
        </w:rPr>
        <w:t>(</w:t>
      </w:r>
      <w:r>
        <w:rPr/>
        <w:t>涉及转移的金融资产为可供出售金融资产的 情形</w:t>
      </w:r>
      <w:r>
        <w:rPr>
          <w:rFonts w:ascii="Times New Roman" w:hAnsi="Times New Roman" w:cs="Times New Roman" w:eastAsia="Times New Roman" w:hint="default"/>
        </w:rPr>
        <w:t>)</w:t>
      </w:r>
      <w:r>
        <w:rPr/>
        <w:t>之和。</w:t>
      </w:r>
    </w:p>
    <w:p>
      <w:pPr>
        <w:pStyle w:val="BodyText"/>
        <w:spacing w:line="300" w:lineRule="auto" w:before="13"/>
        <w:ind w:right="94" w:firstLine="360"/>
        <w:jc w:val="left"/>
      </w:pPr>
      <w:r>
        <w:rPr/>
        <w:t>金融资产部分转移满足终止确认条件的，将所转移金融资产整体的账面价值，在终止确认部分和未终止确认部分</w:t>
      </w:r>
      <w:r>
        <w:rPr>
          <w:rFonts w:ascii="Times New Roman" w:hAnsi="Times New Roman" w:cs="Times New Roman" w:eastAsia="Times New Roman" w:hint="default"/>
        </w:rPr>
        <w:t>(</w:t>
      </w:r>
      <w:r>
        <w:rPr/>
        <w:t>在此 种情况下，所保留的服务资产应当视同未终止确认金融资产的一部分</w:t>
      </w:r>
      <w:r>
        <w:rPr>
          <w:rFonts w:ascii="Times New Roman" w:hAnsi="Times New Roman" w:cs="Times New Roman" w:eastAsia="Times New Roman" w:hint="default"/>
        </w:rPr>
        <w:t>)</w:t>
      </w:r>
      <w:r>
        <w:rPr/>
        <w:t>之间，按照各自的相对公允价值进行分摊，并将下列</w:t>
      </w:r>
    </w:p>
    <w:p>
      <w:pPr>
        <w:spacing w:after="0" w:line="300"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240" w:lineRule="auto" w:before="44"/>
        <w:ind w:right="153"/>
        <w:jc w:val="left"/>
      </w:pPr>
      <w:r>
        <w:rPr/>
        <w:t>两项金额的差额计入当期损益：</w:t>
      </w:r>
    </w:p>
    <w:p>
      <w:pPr>
        <w:pStyle w:val="BodyText"/>
        <w:spacing w:line="240" w:lineRule="auto" w:before="76"/>
        <w:ind w:left="513" w:right="153"/>
        <w:jc w:val="left"/>
      </w:pPr>
      <w:r>
        <w:rPr>
          <w:rFonts w:ascii="Times New Roman" w:hAnsi="Times New Roman" w:cs="Times New Roman" w:eastAsia="Times New Roman" w:hint="default"/>
        </w:rPr>
        <w:t>1)</w:t>
      </w:r>
      <w:r>
        <w:rPr/>
        <w:t>终止确认部分的账面价值；</w:t>
      </w:r>
    </w:p>
    <w:p>
      <w:pPr>
        <w:pStyle w:val="BodyText"/>
        <w:spacing w:line="300" w:lineRule="auto" w:before="63"/>
        <w:ind w:right="149" w:firstLine="360"/>
        <w:jc w:val="both"/>
      </w:pPr>
      <w:r>
        <w:rPr>
          <w:rFonts w:ascii="Times New Roman" w:hAnsi="Times New Roman" w:cs="Times New Roman" w:eastAsia="Times New Roman" w:hint="default"/>
        </w:rPr>
        <w:t>2)</w:t>
      </w:r>
      <w:r>
        <w:rPr/>
        <w:t>终止确认部分的对价，与原直接计入所有者权益的公允价值变动累计额中对应终止确认部分的金额</w:t>
      </w:r>
      <w:r>
        <w:rPr>
          <w:rFonts w:ascii="Times New Roman" w:hAnsi="Times New Roman" w:cs="Times New Roman" w:eastAsia="Times New Roman" w:hint="default"/>
        </w:rPr>
        <w:t>(</w:t>
      </w:r>
      <w:r>
        <w:rPr/>
        <w:t>涉及转移的金融</w:t>
      </w:r>
      <w:r>
        <w:rPr>
          <w:w w:val="99"/>
        </w:rPr>
        <w:t> </w:t>
      </w:r>
      <w:r>
        <w:rPr/>
        <w:t>资产为可供出售金融资产的情形</w:t>
      </w:r>
      <w:r>
        <w:rPr>
          <w:rFonts w:ascii="Times New Roman" w:hAnsi="Times New Roman" w:cs="Times New Roman" w:eastAsia="Times New Roman" w:hint="default"/>
        </w:rPr>
        <w:t>)</w:t>
      </w:r>
      <w:r>
        <w:rPr/>
        <w:t>之和。</w:t>
      </w:r>
    </w:p>
    <w:p>
      <w:pPr>
        <w:pStyle w:val="BodyText"/>
        <w:spacing w:line="316" w:lineRule="auto" w:before="13"/>
        <w:ind w:right="152" w:firstLine="360"/>
        <w:jc w:val="both"/>
      </w:pPr>
      <w:r>
        <w:rPr>
          <w:spacing w:val="-2"/>
        </w:rPr>
        <w:t>公司仍保留与所转移金融资产所有权上几乎所有的风险和报酬的，则继续确认所转移金融资产整体，并将收到的对价确</w:t>
      </w:r>
      <w:r>
        <w:rPr/>
        <w:t> 认为一项金融负债。</w:t>
      </w:r>
    </w:p>
    <w:p>
      <w:pPr>
        <w:pStyle w:val="BodyText"/>
        <w:spacing w:line="309" w:lineRule="auto" w:before="19"/>
        <w:ind w:left="513" w:right="2753" w:firstLine="72"/>
        <w:jc w:val="left"/>
      </w:pPr>
      <w:r>
        <w:rPr>
          <w:rFonts w:ascii="Times New Roman" w:hAnsi="Times New Roman" w:cs="Times New Roman" w:eastAsia="Times New Roman" w:hint="default"/>
        </w:rPr>
        <w:t>(3)</w:t>
      </w:r>
      <w:r>
        <w:rPr/>
        <w:t>金融负债终止确认条件</w:t>
      </w:r>
      <w:r>
        <w:rPr>
          <w:w w:val="99"/>
        </w:rPr>
        <w:t> </w:t>
      </w:r>
      <w:r>
        <w:rPr/>
        <w:t>金融负债的现时义务全部或部分已经解除的，则应终止确认该金融负债或其一部分。</w:t>
      </w:r>
      <w:r>
        <w:rPr>
          <w:w w:val="99"/>
        </w:rPr>
        <w:t> </w:t>
      </w: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金融资产和金融负债的公允价值确定方法</w:t>
      </w:r>
    </w:p>
    <w:p>
      <w:pPr>
        <w:pStyle w:val="BodyText"/>
        <w:spacing w:line="319" w:lineRule="auto" w:before="5"/>
        <w:ind w:right="149" w:firstLine="360"/>
        <w:jc w:val="both"/>
      </w:pPr>
      <w:r>
        <w:rPr>
          <w:spacing w:val="-2"/>
        </w:rPr>
        <w:t>公允价值，是指市场参与者在计量日发生的有序交易中，出售一项资产所能收到或者转移一项负债所需支付的价格。公</w:t>
      </w:r>
      <w:r>
        <w:rPr/>
        <w:t> </w:t>
      </w:r>
      <w:r>
        <w:rPr>
          <w:spacing w:val="-2"/>
        </w:rPr>
        <w:t>司将公允价值计量所使用的输入值划分为三个层次，并首先使用第一层次输入值，其次使用第二层次输入值，最后使用第三</w:t>
      </w:r>
      <w:r>
        <w:rPr>
          <w:spacing w:val="-63"/>
        </w:rPr>
        <w:t> </w:t>
      </w:r>
      <w:r>
        <w:rPr>
          <w:spacing w:val="-63"/>
        </w:rPr>
      </w:r>
      <w:r>
        <w:rPr/>
        <w:t>层次输入值。</w:t>
      </w:r>
    </w:p>
    <w:p>
      <w:pPr>
        <w:pStyle w:val="BodyText"/>
        <w:spacing w:line="316" w:lineRule="auto" w:before="17"/>
        <w:ind w:right="152" w:firstLine="360"/>
        <w:jc w:val="both"/>
      </w:pPr>
      <w:r>
        <w:rPr>
          <w:spacing w:val="-2"/>
        </w:rPr>
        <w:t>第一层次输入值是在计量日能够取得的相同资产或负债在活跃市场上未经调整的报价。活跃市场，是指相关资产或负债</w:t>
      </w:r>
      <w:r>
        <w:rPr/>
        <w:t> 的交易量和交易频率足以持续提供定价信息的市场。</w:t>
      </w:r>
    </w:p>
    <w:p>
      <w:pPr>
        <w:pStyle w:val="BodyText"/>
        <w:spacing w:line="316" w:lineRule="auto" w:before="19"/>
        <w:ind w:left="513" w:right="2753"/>
        <w:jc w:val="left"/>
      </w:pPr>
      <w:r>
        <w:rPr/>
        <w:t>第二层次输入值是除第一层次输入值外相关资产或负债直接或间接可观察的输入值。 第三层次输入值是相关资产或负债的不可观察输入值。 </w:t>
      </w:r>
      <w:r>
        <w:rPr>
          <w:rFonts w:ascii="Times New Roman" w:hAnsi="Times New Roman" w:cs="Times New Roman" w:eastAsia="Times New Roman" w:hint="default"/>
        </w:rPr>
        <w:t>(5)</w:t>
      </w:r>
      <w:r>
        <w:rPr/>
        <w:t>金融资产</w:t>
      </w:r>
      <w:r>
        <w:rPr>
          <w:rFonts w:ascii="Times New Roman" w:hAnsi="Times New Roman" w:cs="Times New Roman" w:eastAsia="Times New Roman" w:hint="default"/>
        </w:rPr>
        <w:t>(</w:t>
      </w:r>
      <w:r>
        <w:rPr/>
        <w:t>此处不含应收款项</w:t>
      </w:r>
      <w:r>
        <w:rPr>
          <w:rFonts w:ascii="Times New Roman" w:hAnsi="Times New Roman" w:cs="Times New Roman" w:eastAsia="Times New Roman" w:hint="default"/>
        </w:rPr>
        <w:t>)</w:t>
      </w:r>
      <w:r>
        <w:rPr/>
        <w:t>减值测试方法、减值准备计提方法</w:t>
      </w:r>
    </w:p>
    <w:p>
      <w:pPr>
        <w:pStyle w:val="BodyText"/>
        <w:spacing w:line="316" w:lineRule="auto"/>
        <w:ind w:right="152" w:firstLine="360"/>
        <w:jc w:val="both"/>
      </w:pPr>
      <w:r>
        <w:rPr>
          <w:spacing w:val="-2"/>
        </w:rPr>
        <w:t>①对于持有至到期投资和贷款，有客观证据表明其发生了减值的，应当根据其账面价值与预计未来现金流量现值之间的</w:t>
      </w:r>
      <w:r>
        <w:rPr/>
        <w:t> 差额计算确认减值损失。</w:t>
      </w:r>
    </w:p>
    <w:p>
      <w:pPr>
        <w:pStyle w:val="BodyText"/>
        <w:spacing w:line="319" w:lineRule="auto" w:before="19"/>
        <w:ind w:right="150" w:firstLine="360"/>
        <w:jc w:val="both"/>
      </w:pPr>
      <w:r>
        <w:rPr>
          <w:spacing w:val="-2"/>
        </w:rPr>
        <w:t>②通常情况下，如果可供出售金融资产的公允价值发生较大幅度下降，或在综合考虑各种相关因素后，预期这种下降趋</w:t>
      </w:r>
      <w:r>
        <w:rPr/>
        <w:t> </w:t>
      </w:r>
      <w:r>
        <w:rPr>
          <w:spacing w:val="-2"/>
        </w:rPr>
        <w:t>势属于非暂时性的，可以认定该可供出售金融资产已发生减值，应当确认减值损失。可供出售金融资产发生减值的，在确认</w:t>
      </w:r>
      <w:r>
        <w:rPr>
          <w:spacing w:val="-64"/>
        </w:rPr>
        <w:t> </w:t>
      </w:r>
      <w:r>
        <w:rPr>
          <w:spacing w:val="-64"/>
        </w:rPr>
      </w:r>
      <w:r>
        <w:rPr/>
        <w:t>减值损失时，将原直接计入所有者权益的公允价值下降形成的累计损失一并转出，计入减值损失。</w:t>
      </w:r>
    </w:p>
    <w:p>
      <w:pPr>
        <w:spacing w:line="240" w:lineRule="auto" w:before="9"/>
        <w:rPr>
          <w:rFonts w:ascii="宋体" w:hAnsi="宋体" w:cs="宋体" w:eastAsia="宋体" w:hint="default"/>
          <w:sz w:val="22"/>
          <w:szCs w:val="22"/>
        </w:rPr>
      </w:pPr>
    </w:p>
    <w:p>
      <w:pPr>
        <w:pStyle w:val="Heading3"/>
        <w:spacing w:line="240" w:lineRule="auto"/>
        <w:ind w:right="153"/>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686"/>
        <w:gridCol w:w="5883"/>
      </w:tblGrid>
      <w:tr>
        <w:trPr>
          <w:trHeight w:val="715"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应收账款余额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，其他应收款余额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713"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87"/>
              <w:jc w:val="left"/>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单独进行减值测试，按预计未来现金流量现值低于其账面价值的差额计提 坏账准备，计入当期损益。</w:t>
            </w:r>
          </w:p>
        </w:tc>
      </w:tr>
    </w:tbl>
    <w:p>
      <w:pPr>
        <w:spacing w:line="240" w:lineRule="auto" w:before="3"/>
        <w:rPr>
          <w:rFonts w:ascii="宋体" w:hAnsi="宋体" w:cs="宋体" w:eastAsia="宋体" w:hint="default"/>
          <w:b/>
          <w:bCs/>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业务费组合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广告费保证金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49"/>
        <w:ind w:right="153"/>
        <w:jc w:val="left"/>
      </w:pPr>
      <w:r>
        <w:rPr/>
        <w:t>组合中，采用账龄分析法计提坏账准备的：</w:t>
      </w:r>
    </w:p>
    <w:p>
      <w:pPr>
        <w:pStyle w:val="BodyText"/>
        <w:spacing w:line="240" w:lineRule="auto" w:before="117"/>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1938"/>
        <w:gridCol w:w="3879"/>
        <w:gridCol w:w="3867"/>
      </w:tblGrid>
      <w:tr>
        <w:trPr>
          <w:trHeight w:val="402" w:hRule="exact"/>
        </w:trPr>
        <w:tc>
          <w:tcPr>
            <w:tcW w:w="1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14"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25"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1938"/>
        <w:gridCol w:w="1940"/>
        <w:gridCol w:w="1940"/>
        <w:gridCol w:w="1939"/>
        <w:gridCol w:w="1940"/>
      </w:tblGrid>
      <w:tr>
        <w:trPr>
          <w:trHeight w:val="401" w:hRule="exact"/>
        </w:trPr>
        <w:tc>
          <w:tcPr>
            <w:tcW w:w="1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游戏行业</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15" w:right="0"/>
              <w:jc w:val="left"/>
              <w:rPr>
                <w:rFonts w:ascii="宋体" w:hAnsi="宋体" w:cs="宋体" w:eastAsia="宋体" w:hint="default"/>
                <w:sz w:val="18"/>
                <w:szCs w:val="18"/>
              </w:rPr>
            </w:pPr>
            <w:r>
              <w:rPr>
                <w:rFonts w:ascii="宋体" w:hAnsi="宋体" w:cs="宋体" w:eastAsia="宋体" w:hint="default"/>
                <w:sz w:val="18"/>
                <w:szCs w:val="18"/>
              </w:rPr>
              <w:t>电气及其他</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游戏行业</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16" w:right="0"/>
              <w:jc w:val="left"/>
              <w:rPr>
                <w:rFonts w:ascii="宋体" w:hAnsi="宋体" w:cs="宋体" w:eastAsia="宋体" w:hint="default"/>
                <w:sz w:val="18"/>
                <w:szCs w:val="18"/>
              </w:rPr>
            </w:pPr>
            <w:r>
              <w:rPr>
                <w:rFonts w:ascii="宋体" w:hAnsi="宋体" w:cs="宋体" w:eastAsia="宋体" w:hint="default"/>
                <w:sz w:val="18"/>
                <w:szCs w:val="18"/>
              </w:rPr>
              <w:t>电气及其他</w:t>
            </w:r>
          </w:p>
        </w:tc>
      </w:tr>
      <w:tr>
        <w:trPr>
          <w:trHeight w:val="403" w:hRule="exact"/>
        </w:trPr>
        <w:tc>
          <w:tcPr>
            <w:tcW w:w="1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940"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1939"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1940"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5%</w:t>
            </w:r>
          </w:p>
        </w:tc>
        <w:tc>
          <w:tcPr>
            <w:tcW w:w="1940" w:type="dxa"/>
            <w:vMerge/>
            <w:tcBorders>
              <w:left w:val="single" w:sz="4" w:space="0" w:color="000000"/>
              <w:bottom w:val="single" w:sz="4" w:space="0" w:color="000000"/>
              <w:right w:val="single" w:sz="4" w:space="0" w:color="000000"/>
            </w:tcBorders>
          </w:tcPr>
          <w:p>
            <w:pPr/>
          </w:p>
        </w:tc>
        <w:tc>
          <w:tcPr>
            <w:tcW w:w="1939" w:type="dxa"/>
            <w:vMerge/>
            <w:tcBorders>
              <w:left w:val="single" w:sz="4" w:space="0" w:color="000000"/>
              <w:bottom w:val="single" w:sz="4" w:space="0" w:color="000000"/>
              <w:right w:val="single" w:sz="4" w:space="0" w:color="000000"/>
            </w:tcBorders>
          </w:tcPr>
          <w:p>
            <w:pPr/>
          </w:p>
        </w:tc>
        <w:tc>
          <w:tcPr>
            <w:tcW w:w="1940" w:type="dxa"/>
            <w:vMerge/>
            <w:tcBorders>
              <w:left w:val="single" w:sz="4" w:space="0" w:color="000000"/>
              <w:bottom w:val="single" w:sz="4" w:space="0" w:color="000000"/>
              <w:right w:val="single" w:sz="4" w:space="0" w:color="000000"/>
            </w:tcBorders>
          </w:tcPr>
          <w:p>
            <w:pPr/>
          </w:p>
        </w:tc>
      </w:tr>
      <w:tr>
        <w:trPr>
          <w:trHeight w:val="401" w:hRule="exact"/>
        </w:trPr>
        <w:tc>
          <w:tcPr>
            <w:tcW w:w="1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1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1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30%</w:t>
            </w:r>
          </w:p>
        </w:tc>
      </w:tr>
      <w:tr>
        <w:trPr>
          <w:trHeight w:val="403" w:hRule="exact"/>
        </w:trPr>
        <w:tc>
          <w:tcPr>
            <w:tcW w:w="1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40%</w:t>
            </w:r>
          </w:p>
        </w:tc>
      </w:tr>
      <w:tr>
        <w:trPr>
          <w:trHeight w:val="404" w:hRule="exact"/>
        </w:trPr>
        <w:tc>
          <w:tcPr>
            <w:tcW w:w="1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49"/>
        <w:ind w:right="94"/>
        <w:jc w:val="left"/>
      </w:pPr>
      <w:r>
        <w:rPr/>
        <w:t>组合中，采用余额百分比法计提坏账准备的：</w:t>
      </w:r>
    </w:p>
    <w:p>
      <w:pPr>
        <w:pStyle w:val="BodyText"/>
        <w:spacing w:line="340" w:lineRule="auto" w:before="115"/>
        <w:ind w:right="65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39"/>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业务费组合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广告费保证金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94"/>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before="44"/>
        <w:ind w:left="0" w:right="101"/>
        <w:jc w:val="right"/>
      </w:pPr>
      <w:r>
        <w:rPr/>
        <w:pict>
          <v:shape style="position:absolute;margin-left:55.02pt;margin-top:-.728251pt;width:485.6pt;height:71.9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6"/>
                    <w:gridCol w:w="8421"/>
                  </w:tblGrid>
                  <w:tr>
                    <w:trPr>
                      <w:trHeight w:val="71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61"/>
                          <w:jc w:val="left"/>
                          <w:rPr>
                            <w:rFonts w:ascii="宋体" w:hAnsi="宋体" w:cs="宋体" w:eastAsia="宋体" w:hint="default"/>
                            <w:sz w:val="18"/>
                            <w:szCs w:val="18"/>
                          </w:rPr>
                        </w:pPr>
                        <w:r>
                          <w:rPr>
                            <w:rFonts w:ascii="宋体" w:hAnsi="宋体" w:cs="宋体" w:eastAsia="宋体" w:hint="default"/>
                            <w:sz w:val="18"/>
                            <w:szCs w:val="18"/>
                          </w:rPr>
                          <w:t>单项计提坏账 准备的理由</w:t>
                        </w:r>
                      </w:p>
                    </w:tc>
                    <w:tc>
                      <w:tcPr>
                        <w:tcW w:w="84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2"/>
                          <w:jc w:val="left"/>
                          <w:rPr>
                            <w:rFonts w:ascii="宋体" w:hAnsi="宋体" w:cs="宋体" w:eastAsia="宋体" w:hint="default"/>
                            <w:sz w:val="18"/>
                            <w:szCs w:val="18"/>
                          </w:rPr>
                        </w:pPr>
                        <w:r>
                          <w:rPr>
                            <w:rFonts w:ascii="宋体" w:hAnsi="宋体" w:cs="宋体" w:eastAsia="宋体" w:hint="default"/>
                            <w:sz w:val="18"/>
                            <w:szCs w:val="18"/>
                          </w:rPr>
                          <w:t>有客观证据表明可能发生减值，如债务人出现撤销、破产或死亡，以其破产财产或遗产清偿后仍不能收回 现金流量严重不足等情况的。</w:t>
                        </w:r>
                      </w:p>
                    </w:tc>
                  </w:tr>
                  <w:tr>
                    <w:trPr>
                      <w:trHeight w:val="715"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61"/>
                          <w:jc w:val="left"/>
                          <w:rPr>
                            <w:rFonts w:ascii="宋体" w:hAnsi="宋体" w:cs="宋体" w:eastAsia="宋体" w:hint="default"/>
                            <w:sz w:val="18"/>
                            <w:szCs w:val="18"/>
                          </w:rPr>
                        </w:pPr>
                        <w:r>
                          <w:rPr>
                            <w:rFonts w:ascii="宋体" w:hAnsi="宋体" w:cs="宋体" w:eastAsia="宋体" w:hint="default"/>
                            <w:sz w:val="18"/>
                            <w:szCs w:val="18"/>
                          </w:rPr>
                          <w:t>坏账准备的计 提方法</w:t>
                        </w:r>
                      </w:p>
                    </w:tc>
                    <w:tc>
                      <w:tcPr>
                        <w:tcW w:w="84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3"/>
                          <w:jc w:val="left"/>
                          <w:rPr>
                            <w:rFonts w:ascii="宋体" w:hAnsi="宋体" w:cs="宋体" w:eastAsia="宋体" w:hint="default"/>
                            <w:sz w:val="18"/>
                            <w:szCs w:val="18"/>
                          </w:rPr>
                        </w:pPr>
                        <w:r>
                          <w:rPr>
                            <w:rFonts w:ascii="宋体" w:hAnsi="宋体" w:cs="宋体" w:eastAsia="宋体" w:hint="default"/>
                            <w:sz w:val="18"/>
                            <w:szCs w:val="18"/>
                          </w:rPr>
                          <w:t>对有客观证据表明可能发生了减值的应收款项，将其从相关组合中分离出来，单独进行减值测试，根据其 未来现金流量现值低于其账面价值的差额，确认减值损失，计提坏账准备。</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Heading3"/>
        <w:spacing w:line="240" w:lineRule="auto" w:before="36"/>
        <w:ind w:right="94"/>
        <w:jc w:val="left"/>
        <w:rPr>
          <w:b w:val="0"/>
          <w:bCs w:val="0"/>
        </w:rPr>
      </w:pPr>
      <w:r>
        <w:rPr/>
        <w:t>（</w:t>
      </w:r>
      <w:r>
        <w:rPr>
          <w:rFonts w:ascii="Times New Roman" w:hAnsi="Times New Roman" w:cs="Times New Roman" w:eastAsia="Times New Roman" w:hint="default"/>
        </w:rPr>
        <w:t>4</w:t>
      </w:r>
      <w:r>
        <w:rPr/>
        <w:t>） 对于其他应收款项的坏账准备计提方法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4" w:firstLine="360"/>
        <w:jc w:val="left"/>
      </w:pPr>
      <w:r>
        <w:rPr>
          <w:spacing w:val="-2"/>
        </w:rPr>
        <w:t>对于应收票据、预付款项、应收利息、应收股利、长期应收款应当按个别认定法进行减值测试。有客观证据表明其发生</w:t>
      </w:r>
      <w:r>
        <w:rPr/>
        <w:t> 了减值的，根据其未来现金流量现值低于其账面价值的差额，确认减值损失，计提坏账准备。</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pStyle w:val="BodyText"/>
        <w:spacing w:line="309" w:lineRule="auto" w:before="25"/>
        <w:ind w:left="513" w:right="225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存货的分类</w:t>
      </w:r>
      <w:r>
        <w:rPr>
          <w:w w:val="99"/>
        </w:rPr>
        <w:t> </w:t>
      </w:r>
      <w:r>
        <w:rPr/>
        <w:t>存货包括原材料、低值易耗品、在产品、自制半成品、库存商品、包装物以及发出商品等。</w:t>
      </w:r>
      <w:r>
        <w:rPr>
          <w:w w:val="99"/>
        </w:rPr>
        <w:t> </w:t>
      </w: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发出存货的计价方法</w:t>
      </w:r>
    </w:p>
    <w:p>
      <w:pPr>
        <w:pStyle w:val="BodyText"/>
        <w:spacing w:line="240" w:lineRule="auto" w:before="5"/>
        <w:ind w:left="513" w:right="94"/>
        <w:jc w:val="left"/>
      </w:pPr>
      <w:r>
        <w:rPr/>
        <w:t>发出存货时按加权平均法计价。</w:t>
      </w:r>
    </w:p>
    <w:p>
      <w:pPr>
        <w:pStyle w:val="BodyText"/>
        <w:spacing w:line="240" w:lineRule="auto" w:before="76"/>
        <w:ind w:left="585" w:right="94"/>
        <w:jc w:val="left"/>
      </w:pPr>
      <w:r>
        <w:rPr>
          <w:rFonts w:ascii="Times New Roman" w:hAnsi="Times New Roman" w:cs="Times New Roman" w:eastAsia="Times New Roman" w:hint="default"/>
        </w:rPr>
        <w:t>(3)</w:t>
      </w:r>
      <w:r>
        <w:rPr/>
        <w:t>存货可变现净值的确定依据及存货跌价准备的计提方法</w:t>
      </w:r>
    </w:p>
    <w:p>
      <w:pPr>
        <w:spacing w:after="0" w:line="240"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316" w:lineRule="auto" w:before="44"/>
        <w:ind w:right="191" w:firstLine="360"/>
        <w:jc w:val="both"/>
      </w:pPr>
      <w:r>
        <w:rPr>
          <w:spacing w:val="-2"/>
        </w:rPr>
        <w:t>于资产负债表日，存货按照成本与可变现净值孰低计量，存货成本高于其可变现净值的，应当计提存货跌价准备，计入</w:t>
      </w:r>
      <w:r>
        <w:rPr/>
        <w:t> </w:t>
      </w:r>
      <w:r>
        <w:rPr>
          <w:spacing w:val="-2"/>
        </w:rPr>
        <w:t>当期损益。可变现净值，是指在日常活动中，存货的估计售价减去至完工时估计将要发生的成本、估计的销售费用以及相关</w:t>
      </w:r>
      <w:r>
        <w:rPr>
          <w:spacing w:val="-64"/>
        </w:rPr>
        <w:t> </w:t>
      </w:r>
      <w:r>
        <w:rPr>
          <w:spacing w:val="-64"/>
        </w:rPr>
      </w:r>
      <w:r>
        <w:rPr/>
        <w:t>税费后的金额。</w:t>
      </w:r>
    </w:p>
    <w:p>
      <w:pPr>
        <w:pStyle w:val="BodyText"/>
        <w:spacing w:line="240" w:lineRule="auto" w:before="19"/>
        <w:ind w:left="513" w:right="94"/>
        <w:jc w:val="left"/>
      </w:pPr>
      <w:r>
        <w:rPr/>
        <w:t>各类存货可变现净值的确定依据如下：</w:t>
      </w:r>
    </w:p>
    <w:p>
      <w:pPr>
        <w:pStyle w:val="BodyText"/>
        <w:spacing w:line="316" w:lineRule="auto" w:before="76"/>
        <w:ind w:right="192" w:firstLine="360"/>
        <w:jc w:val="both"/>
      </w:pPr>
      <w:r>
        <w:rPr>
          <w:spacing w:val="-2"/>
        </w:rPr>
        <w:t>①产成品、商品和用于出售的材料等直接用于出售的商品存货，在正常生产经营过程中，以该存货的估计售价减去估计</w:t>
      </w:r>
      <w:r>
        <w:rPr/>
        <w:t> 的销售费用和相关税费后的金额，确定其可变现净值。</w:t>
      </w:r>
    </w:p>
    <w:p>
      <w:pPr>
        <w:pStyle w:val="BodyText"/>
        <w:spacing w:line="316" w:lineRule="auto" w:before="19"/>
        <w:ind w:right="105" w:firstLine="360"/>
        <w:jc w:val="both"/>
      </w:pPr>
      <w:r>
        <w:rPr>
          <w:spacing w:val="-4"/>
        </w:rPr>
        <w:t>②需要经过加工的材料存货，在正常生产经营过程中，以所生产的产成品的估计售价减去至完工时估计将要发生的成本、</w:t>
      </w:r>
      <w:r>
        <w:rPr/>
        <w:t> 估计的销售费用和相关税费后的金额，确定其可变现净值。</w:t>
      </w:r>
    </w:p>
    <w:p>
      <w:pPr>
        <w:pStyle w:val="BodyText"/>
        <w:spacing w:line="316" w:lineRule="auto" w:before="19"/>
        <w:ind w:right="193" w:firstLine="360"/>
        <w:jc w:val="both"/>
      </w:pPr>
      <w:r>
        <w:rPr>
          <w:spacing w:val="-2"/>
        </w:rPr>
        <w:t>③资产负债表日，同一项存货中一部分有合同价格约定、其他部分不存在合同价格的，应当分别确定其可变现净值，并</w:t>
      </w:r>
      <w:r>
        <w:rPr/>
        <w:t> 与其相对应的成本进行比较，分别确定存货跌价准备的计提或转回的金额。</w:t>
      </w:r>
    </w:p>
    <w:p>
      <w:pPr>
        <w:pStyle w:val="BodyText"/>
        <w:spacing w:line="300" w:lineRule="auto" w:before="19"/>
        <w:ind w:right="194" w:firstLine="360"/>
        <w:jc w:val="both"/>
      </w:pPr>
      <w:r>
        <w:rPr>
          <w:spacing w:val="-1"/>
        </w:rPr>
        <w:t>存货跌价准备按单个存货项目</w:t>
      </w:r>
      <w:r>
        <w:rPr>
          <w:rFonts w:ascii="Times New Roman" w:hAnsi="Times New Roman" w:cs="Times New Roman" w:eastAsia="Times New Roman" w:hint="default"/>
          <w:spacing w:val="-1"/>
        </w:rPr>
        <w:t>(</w:t>
      </w:r>
      <w:r>
        <w:rPr>
          <w:spacing w:val="-1"/>
        </w:rPr>
        <w:t>或存货类别</w:t>
      </w:r>
      <w:r>
        <w:rPr>
          <w:rFonts w:ascii="Times New Roman" w:hAnsi="Times New Roman" w:cs="Times New Roman" w:eastAsia="Times New Roman" w:hint="default"/>
          <w:spacing w:val="-1"/>
        </w:rPr>
        <w:t>)</w:t>
      </w:r>
      <w:r>
        <w:rPr>
          <w:spacing w:val="-1"/>
        </w:rPr>
        <w:t>计提，与在同一地区生产和销售的产品系列相关、具有相同或类似最终用途</w:t>
      </w:r>
      <w:r>
        <w:rPr/>
        <w:t> 或目的，且难以与其他项目分开计量的存货，合并计提存货跌价准备。</w:t>
      </w:r>
    </w:p>
    <w:p>
      <w:pPr>
        <w:pStyle w:val="BodyText"/>
        <w:spacing w:line="309" w:lineRule="auto" w:before="31"/>
        <w:ind w:left="513" w:right="6213" w:firstLine="72"/>
        <w:jc w:val="left"/>
      </w:pPr>
      <w:r>
        <w:rPr>
          <w:rFonts w:ascii="Times New Roman" w:hAnsi="Times New Roman" w:cs="Times New Roman" w:eastAsia="Times New Roman" w:hint="default"/>
        </w:rPr>
        <w:t>(4)</w:t>
      </w:r>
      <w:r>
        <w:rPr/>
        <w:t>存货的盘存制度</w:t>
      </w:r>
      <w:r>
        <w:rPr>
          <w:w w:val="99"/>
        </w:rPr>
        <w:t> </w:t>
      </w:r>
      <w:r>
        <w:rPr/>
        <w:t>存货的盘存制度采用永续盘存制。</w:t>
      </w:r>
      <w:r>
        <w:rPr>
          <w:w w:val="99"/>
        </w:rPr>
        <w:t> </w:t>
      </w:r>
      <w:r>
        <w:rPr>
          <w:rFonts w:ascii="Times New Roman" w:hAnsi="Times New Roman" w:cs="Times New Roman" w:eastAsia="Times New Roman" w:hint="default"/>
        </w:rPr>
        <w:t>(5)</w:t>
      </w:r>
      <w:r>
        <w:rPr/>
        <w:t>低值易耗品和包装物的摊销方法</w:t>
      </w:r>
      <w:r>
        <w:rPr>
          <w:w w:val="99"/>
        </w:rPr>
        <w:t> </w:t>
      </w:r>
      <w:r>
        <w:rPr/>
        <w:t>对低值易耗品采用分次转销法进行摊销。</w:t>
      </w:r>
      <w:r>
        <w:rPr>
          <w:w w:val="99"/>
        </w:rPr>
        <w:t> </w:t>
      </w:r>
      <w:r>
        <w:rPr/>
        <w:t>对包装物采用一次转销法。</w:t>
      </w:r>
    </w:p>
    <w:p>
      <w:pPr>
        <w:spacing w:line="240" w:lineRule="auto" w:before="3"/>
        <w:rPr>
          <w:rFonts w:ascii="宋体" w:hAnsi="宋体" w:cs="宋体" w:eastAsia="宋体" w:hint="default"/>
          <w:sz w:val="23"/>
          <w:szCs w:val="23"/>
        </w:rPr>
      </w:pPr>
    </w:p>
    <w:p>
      <w:pPr>
        <w:pStyle w:val="Heading3"/>
        <w:spacing w:line="240" w:lineRule="auto"/>
        <w:ind w:right="94"/>
        <w:jc w:val="left"/>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3" w:right="94"/>
        <w:jc w:val="left"/>
      </w:pPr>
      <w:r>
        <w:rPr/>
        <w:t>（</w:t>
      </w:r>
      <w:r>
        <w:rPr>
          <w:rFonts w:ascii="Times New Roman" w:hAnsi="Times New Roman" w:cs="Times New Roman" w:eastAsia="Times New Roman" w:hint="default"/>
        </w:rPr>
        <w:t>1</w:t>
      </w:r>
      <w:r>
        <w:rPr/>
        <w:t>）持有待售资产确认标准 </w:t>
      </w:r>
      <w:r>
        <w:rPr>
          <w:spacing w:val="-2"/>
        </w:rPr>
        <w:t>公司若主要通过出售（包括具有商业实质的非货币性资产交换，下同）而非持续使用一项非流动资产或处置组收回其账</w:t>
      </w:r>
    </w:p>
    <w:p>
      <w:pPr>
        <w:pStyle w:val="BodyText"/>
        <w:spacing w:line="304" w:lineRule="auto" w:before="31"/>
        <w:ind w:right="94"/>
        <w:jc w:val="left"/>
      </w:pPr>
      <w:r>
        <w:rPr>
          <w:spacing w:val="-2"/>
        </w:rPr>
        <w:t>面价值的，则将其划分为持有待售类别。具体标准为同时满足以下条件：</w:t>
      </w:r>
      <w:r>
        <w:rPr>
          <w:rFonts w:ascii="Times New Roman" w:hAnsi="Times New Roman" w:cs="Times New Roman" w:eastAsia="Times New Roman" w:hint="default"/>
          <w:spacing w:val="-2"/>
        </w:rPr>
        <w:t>1</w:t>
      </w:r>
      <w:r>
        <w:rPr>
          <w:spacing w:val="-2"/>
        </w:rPr>
        <w:t>）根据类似交易中出售此类资产或处置组的惯例，</w:t>
      </w:r>
      <w:r>
        <w:rPr>
          <w:spacing w:val="-61"/>
        </w:rPr>
        <w:t> </w:t>
      </w:r>
      <w:r>
        <w:rPr>
          <w:spacing w:val="-61"/>
        </w:rPr>
      </w:r>
      <w:r>
        <w:rPr/>
        <w:t>在当前状况下即可立即出售；</w:t>
      </w:r>
      <w:r>
        <w:rPr>
          <w:rFonts w:ascii="Times New Roman" w:hAnsi="Times New Roman" w:cs="Times New Roman" w:eastAsia="Times New Roman" w:hint="default"/>
        </w:rPr>
        <w:t>2</w:t>
      </w:r>
      <w:r>
        <w:rPr/>
        <w:t>）出售极可能发生，即企业已经就一项出售计划作出决议且获得确定的购买承诺，预计出售</w:t>
      </w:r>
      <w:r>
        <w:rPr>
          <w:spacing w:val="-84"/>
        </w:rPr>
        <w:t> </w:t>
      </w:r>
      <w:r>
        <w:rPr>
          <w:spacing w:val="-84"/>
        </w:rPr>
      </w:r>
      <w:r>
        <w:rPr>
          <w:spacing w:val="-2"/>
        </w:rPr>
        <w:t>将在一年内完成。其中，处置组是指在一项交易中作为整体通过出售或其他方式一并处置的一组资产，以及在该交易中转让</w:t>
      </w:r>
      <w:r>
        <w:rPr>
          <w:spacing w:val="-66"/>
        </w:rPr>
        <w:t> </w:t>
      </w:r>
      <w:r>
        <w:rPr>
          <w:spacing w:val="-66"/>
        </w:rPr>
      </w:r>
      <w:r>
        <w:rPr/>
        <w:t>的与这些资产直接相关的负债。处置组所属的资产组或资产组组合按照《企业会计准则第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资产减值》分摊了企业合</w:t>
      </w:r>
      <w:r>
        <w:rPr>
          <w:spacing w:val="-83"/>
        </w:rPr>
        <w:t> </w:t>
      </w:r>
      <w:r>
        <w:rPr>
          <w:spacing w:val="-83"/>
        </w:rPr>
      </w:r>
      <w:r>
        <w:rPr/>
        <w:t>并中取得的商誉的，该处置组应当包含分摊至处置组的商誉。</w:t>
      </w:r>
    </w:p>
    <w:p>
      <w:pPr>
        <w:pStyle w:val="BodyText"/>
        <w:spacing w:line="300" w:lineRule="auto" w:before="28"/>
        <w:ind w:left="513" w:right="94"/>
        <w:jc w:val="left"/>
      </w:pPr>
      <w:r>
        <w:rPr/>
        <w:t>（</w:t>
      </w:r>
      <w:r>
        <w:rPr>
          <w:rFonts w:ascii="Times New Roman" w:hAnsi="Times New Roman" w:cs="Times New Roman" w:eastAsia="Times New Roman" w:hint="default"/>
        </w:rPr>
        <w:t>2</w:t>
      </w:r>
      <w:r>
        <w:rPr/>
        <w:t>）持有待售资产的会计处理方法 </w:t>
      </w:r>
      <w:r>
        <w:rPr>
          <w:spacing w:val="-2"/>
        </w:rPr>
        <w:t>初始计量或在资产负债表日重新计量划分为持有待售的非流动资产和处置组时，其账面价值高于公允价值减去出售费用</w:t>
      </w:r>
    </w:p>
    <w:p>
      <w:pPr>
        <w:pStyle w:val="BodyText"/>
        <w:spacing w:line="314" w:lineRule="auto" w:before="31"/>
        <w:ind w:right="190"/>
        <w:jc w:val="both"/>
      </w:pPr>
      <w:r>
        <w:rPr>
          <w:spacing w:val="-2"/>
        </w:rPr>
        <w:t>后的净额的，将账面价值减记至公允价值减去出售费用后的净额，减记的金额确认为资产减值损失，计入当期损益，同时计</w:t>
      </w:r>
      <w:r>
        <w:rPr>
          <w:spacing w:val="-64"/>
        </w:rPr>
        <w:t> </w:t>
      </w:r>
      <w:r>
        <w:rPr>
          <w:spacing w:val="-64"/>
        </w:rPr>
      </w:r>
      <w:r>
        <w:rPr>
          <w:spacing w:val="-2"/>
        </w:rPr>
        <w:t>提持有待售资产减值准备。对于处置组，所确认的资产减值损失先抵减处置组中商誉的账面价值，再按比例抵减该处置组内</w:t>
      </w:r>
      <w:r>
        <w:rPr>
          <w:spacing w:val="-63"/>
        </w:rPr>
        <w:t> </w:t>
      </w:r>
      <w:r>
        <w:rPr>
          <w:spacing w:val="-63"/>
        </w:rPr>
      </w:r>
      <w:r>
        <w:rPr>
          <w:spacing w:val="-2"/>
        </w:rPr>
        <w:t>适用《企业会计准则第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持有待售的非流动资产、处置组和终止经营》（以下简称</w:t>
      </w:r>
      <w:r>
        <w:rPr>
          <w:rFonts w:ascii="Times New Roman" w:hAnsi="Times New Roman" w:cs="Times New Roman" w:eastAsia="Times New Roman" w:hint="default"/>
          <w:spacing w:val="-2"/>
        </w:rPr>
        <w:t>“</w:t>
      </w:r>
      <w:r>
        <w:rPr>
          <w:spacing w:val="-2"/>
        </w:rPr>
        <w:t>持有待售准则</w:t>
      </w:r>
      <w:r>
        <w:rPr>
          <w:rFonts w:ascii="Times New Roman" w:hAnsi="Times New Roman" w:cs="Times New Roman" w:eastAsia="Times New Roman" w:hint="default"/>
          <w:spacing w:val="-2"/>
        </w:rPr>
        <w:t>”</w:t>
      </w:r>
      <w:r>
        <w:rPr>
          <w:spacing w:val="-2"/>
        </w:rPr>
        <w:t>）的计量规定的各</w:t>
      </w:r>
      <w:r>
        <w:rPr>
          <w:spacing w:val="-43"/>
        </w:rPr>
        <w:t> </w:t>
      </w:r>
      <w:r>
        <w:rPr>
          <w:spacing w:val="-43"/>
        </w:rPr>
      </w:r>
      <w:r>
        <w:rPr>
          <w:spacing w:val="-2"/>
        </w:rPr>
        <w:t>项非流动资产的账面价值。后续资产负债表日持有待售的处置组公允价值减去出售费用后的净额增加的，以前减记的金额应</w:t>
      </w:r>
      <w:r>
        <w:rPr>
          <w:spacing w:val="-64"/>
        </w:rPr>
        <w:t> </w:t>
      </w:r>
      <w:r>
        <w:rPr>
          <w:spacing w:val="-64"/>
        </w:rPr>
      </w:r>
      <w:r>
        <w:rPr>
          <w:spacing w:val="-2"/>
        </w:rPr>
        <w:t>当予以恢复，并在划分为持有待售类别后适用持有待售准则计量规定的非流动资产确认的资产减值损失金额内转回，转回金</w:t>
      </w:r>
      <w:r>
        <w:rPr>
          <w:spacing w:val="-64"/>
        </w:rPr>
        <w:t> </w:t>
      </w:r>
      <w:r>
        <w:rPr>
          <w:spacing w:val="-64"/>
        </w:rPr>
      </w:r>
      <w:r>
        <w:rPr>
          <w:spacing w:val="-2"/>
        </w:rPr>
        <w:t>额计入当期损益，并根据处置组中除商誉外适用持有待售准则计量规定的各项非流动资产账面价值所占比重按比例增加其账</w:t>
      </w:r>
      <w:r>
        <w:rPr>
          <w:spacing w:val="-63"/>
        </w:rPr>
        <w:t> </w:t>
      </w:r>
      <w:r>
        <w:rPr>
          <w:spacing w:val="-63"/>
        </w:rPr>
      </w:r>
      <w:r>
        <w:rPr>
          <w:spacing w:val="-2"/>
        </w:rPr>
        <w:t>面价值；已抵减的商誉账面价值，以及适用持有待售准则计量规定的非流动资产在划分为持有待售类别前确认的资产减值损</w:t>
      </w:r>
      <w:r>
        <w:rPr>
          <w:spacing w:val="-64"/>
        </w:rPr>
        <w:t> </w:t>
      </w:r>
      <w:r>
        <w:rPr>
          <w:spacing w:val="-64"/>
        </w:rPr>
      </w:r>
      <w:r>
        <w:rPr/>
        <w:t>失不得转回。</w:t>
      </w:r>
    </w:p>
    <w:p>
      <w:pPr>
        <w:pStyle w:val="BodyText"/>
        <w:spacing w:line="316" w:lineRule="auto" w:before="20"/>
        <w:ind w:right="192" w:firstLine="360"/>
        <w:jc w:val="both"/>
      </w:pPr>
      <w:r>
        <w:rPr>
          <w:spacing w:val="-2"/>
        </w:rPr>
        <w:t>持有待售的非流动资产或处置组中的非流动资产不计提折旧或摊销，持有待售的处置组中负债的利息和其他费用继续予</w:t>
      </w:r>
      <w:r>
        <w:rPr/>
        <w:t> 以确认。</w:t>
      </w:r>
    </w:p>
    <w:p>
      <w:pPr>
        <w:pStyle w:val="BodyText"/>
        <w:spacing w:line="309" w:lineRule="auto" w:before="19"/>
        <w:ind w:right="192" w:firstLine="360"/>
        <w:jc w:val="both"/>
      </w:pPr>
      <w:r>
        <w:rPr>
          <w:spacing w:val="-2"/>
        </w:rPr>
        <w:t>非流动资产或处置组不再满足持有待售类别的划分条件时，不再将其继续划分为持有待售类别或将非流动资产从持有待</w:t>
      </w:r>
      <w:r>
        <w:rPr/>
        <w:t> 售的处置组中移除，并按照以下两者孰低计量：</w:t>
      </w:r>
      <w:r>
        <w:rPr>
          <w:rFonts w:ascii="Times New Roman" w:hAnsi="Times New Roman" w:cs="Times New Roman" w:eastAsia="Times New Roman" w:hint="default"/>
        </w:rPr>
        <w:t>1</w:t>
      </w:r>
      <w:r>
        <w:rPr/>
        <w:t>）划分为持有待售类别前的账面价值，按照假定不划分为持有待售类别情</w:t>
      </w:r>
      <w:r>
        <w:rPr>
          <w:spacing w:val="-83"/>
        </w:rPr>
        <w:t> </w:t>
      </w:r>
      <w:r>
        <w:rPr>
          <w:spacing w:val="-83"/>
        </w:rPr>
      </w:r>
      <w:r>
        <w:rPr/>
        <w:t>况下本应确认的折旧、摊销或减值等进行调整后的金额；</w:t>
      </w:r>
      <w:r>
        <w:rPr>
          <w:rFonts w:ascii="Times New Roman" w:hAnsi="Times New Roman" w:cs="Times New Roman" w:eastAsia="Times New Roman" w:hint="default"/>
        </w:rPr>
        <w:t>2</w:t>
      </w:r>
      <w:r>
        <w:rPr/>
        <w:t>）可收回金额。</w:t>
      </w:r>
    </w:p>
    <w:p>
      <w:pPr>
        <w:spacing w:after="0" w:line="309" w:lineRule="auto"/>
        <w:jc w:val="both"/>
        <w:sectPr>
          <w:pgSz w:w="11910" w:h="16840"/>
          <w:pgMar w:header="877" w:footer="979" w:top="1100" w:bottom="1160" w:left="980" w:right="940"/>
        </w:sectPr>
      </w:pPr>
    </w:p>
    <w:p>
      <w:pPr>
        <w:spacing w:line="240" w:lineRule="auto" w:before="12"/>
        <w:rPr>
          <w:rFonts w:ascii="宋体" w:hAnsi="宋体" w:cs="宋体" w:eastAsia="宋体" w:hint="default"/>
          <w:sz w:val="20"/>
          <w:szCs w:val="20"/>
        </w:rPr>
      </w:pPr>
    </w:p>
    <w:p>
      <w:pPr>
        <w:pStyle w:val="Heading3"/>
        <w:spacing w:line="240" w:lineRule="auto" w:before="36"/>
        <w:ind w:right="0"/>
        <w:jc w:val="both"/>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53"/>
        <w:jc w:val="left"/>
      </w:pPr>
      <w:r>
        <w:rPr/>
        <w:t>长期股权投资是指公司对被投资单位实施控制、重大影响的权益性投资，以及对其合营企业的投资。</w:t>
      </w:r>
    </w:p>
    <w:p>
      <w:pPr>
        <w:pStyle w:val="BodyText"/>
        <w:spacing w:line="300" w:lineRule="auto" w:before="76"/>
        <w:ind w:left="513" w:right="953"/>
        <w:jc w:val="left"/>
      </w:pPr>
      <w:r>
        <w:rPr/>
        <w:t>（</w:t>
      </w:r>
      <w:r>
        <w:rPr>
          <w:rFonts w:ascii="Times New Roman" w:hAnsi="Times New Roman" w:cs="Times New Roman" w:eastAsia="Times New Roman" w:hint="default"/>
        </w:rPr>
        <w:t>1</w:t>
      </w:r>
      <w:r>
        <w:rPr/>
        <w:t>）投资成本确定 除对外合并形成的长期股权投资以外，其他方式取得的长期股权投资，按照下列规定确定其初始投资成本：</w:t>
      </w:r>
    </w:p>
    <w:p>
      <w:pPr>
        <w:pStyle w:val="BodyText"/>
        <w:spacing w:line="316" w:lineRule="auto" w:before="31"/>
        <w:ind w:right="152" w:firstLine="360"/>
        <w:jc w:val="both"/>
      </w:pPr>
      <w:r>
        <w:rPr>
          <w:spacing w:val="-2"/>
        </w:rPr>
        <w:t>①以支付现金取得的长期股权投资，按照实际支付的购买价款作为初始投资成本。初始投资成本包括与取得长期股权投</w:t>
      </w:r>
      <w:r>
        <w:rPr/>
        <w:t> 资直接相关的费用、税金及其他必要支出；</w:t>
      </w:r>
    </w:p>
    <w:p>
      <w:pPr>
        <w:pStyle w:val="BodyText"/>
        <w:spacing w:line="240" w:lineRule="auto" w:before="19"/>
        <w:ind w:left="513" w:right="153"/>
        <w:jc w:val="left"/>
      </w:pPr>
      <w:r>
        <w:rPr/>
        <w:t>②以发行权益性证券取得的长期股权投资，按照发行权益性证券的公允价值作为初始投资成本；</w:t>
      </w:r>
    </w:p>
    <w:p>
      <w:pPr>
        <w:pStyle w:val="BodyText"/>
        <w:spacing w:line="300" w:lineRule="auto" w:before="76"/>
        <w:ind w:right="151" w:firstLine="360"/>
        <w:jc w:val="both"/>
      </w:pPr>
      <w:r>
        <w:rPr/>
        <w:t>③通过非货币性资产交换取得的长期股权投资，其初始投资成本应当按照《企业会计准则第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 确定；</w:t>
      </w:r>
    </w:p>
    <w:p>
      <w:pPr>
        <w:pStyle w:val="BodyText"/>
        <w:spacing w:line="240" w:lineRule="auto" w:before="31"/>
        <w:ind w:left="513" w:right="153"/>
        <w:jc w:val="left"/>
      </w:pPr>
      <w:r>
        <w:rPr/>
        <w:t>④通过债务重组取得的长期股权投资，其初始投资成本应当按照《企业会计准则第</w:t>
      </w:r>
      <w:r>
        <w:rPr>
          <w:rFonts w:ascii="Times New Roman" w:hAnsi="Times New Roman" w:cs="Times New Roman" w:eastAsia="Times New Roman" w:hint="default"/>
        </w:rPr>
        <w:t>12</w:t>
      </w:r>
      <w:r>
        <w:rPr/>
        <w:t>号</w:t>
      </w:r>
      <w:r>
        <w:rPr>
          <w:rFonts w:ascii="Times New Roman" w:hAnsi="Times New Roman" w:cs="Times New Roman" w:eastAsia="Times New Roman" w:hint="default"/>
        </w:rPr>
        <w:t>—</w:t>
      </w:r>
      <w:r>
        <w:rPr/>
        <w:t>债务重组》确定。</w:t>
      </w:r>
    </w:p>
    <w:p>
      <w:pPr>
        <w:pStyle w:val="BodyText"/>
        <w:spacing w:line="240" w:lineRule="auto" w:before="63"/>
        <w:ind w:left="513" w:right="153"/>
        <w:jc w:val="left"/>
      </w:pPr>
      <w:r>
        <w:rPr/>
        <w:t>（</w:t>
      </w:r>
      <w:r>
        <w:rPr>
          <w:rFonts w:ascii="Times New Roman" w:hAnsi="Times New Roman" w:cs="Times New Roman" w:eastAsia="Times New Roman" w:hint="default"/>
        </w:rPr>
        <w:t>2</w:t>
      </w:r>
      <w:r>
        <w:rPr/>
        <w:t>）后续计量及损益确认方法</w:t>
      </w:r>
    </w:p>
    <w:p>
      <w:pPr>
        <w:pStyle w:val="BodyText"/>
        <w:spacing w:line="316" w:lineRule="auto" w:before="63"/>
        <w:ind w:left="513" w:right="5453"/>
        <w:jc w:val="left"/>
      </w:pPr>
      <w:r>
        <w:rPr/>
        <w:t>①下列长期股权投资采用成本法核算： 公司能够对被投资单位实施控制的长期股权投资。</w:t>
      </w:r>
    </w:p>
    <w:p>
      <w:pPr>
        <w:pStyle w:val="BodyText"/>
        <w:spacing w:line="316" w:lineRule="auto" w:before="19"/>
        <w:ind w:right="152" w:firstLine="360"/>
        <w:jc w:val="both"/>
      </w:pPr>
      <w:r>
        <w:rPr>
          <w:spacing w:val="-2"/>
        </w:rPr>
        <w:t>采用成本法核算的长期股权投资按照初始投资成本计价。追加或收回投资应当调整长期股权投资的成本。被投资单位宣</w:t>
      </w:r>
      <w:r>
        <w:rPr/>
        <w:t> 告分派的现金股利或利润，确认为当期投资收益。</w:t>
      </w:r>
    </w:p>
    <w:p>
      <w:pPr>
        <w:pStyle w:val="BodyText"/>
        <w:spacing w:line="300" w:lineRule="auto" w:before="19"/>
        <w:ind w:left="513" w:right="0"/>
        <w:jc w:val="left"/>
      </w:pPr>
      <w:r>
        <w:rPr/>
        <w:t>②对被投资单位具有共同控制</w:t>
      </w:r>
      <w:r>
        <w:rPr>
          <w:rFonts w:ascii="Times New Roman" w:hAnsi="Times New Roman" w:cs="Times New Roman" w:eastAsia="Times New Roman" w:hint="default"/>
        </w:rPr>
        <w:t>(</w:t>
      </w:r>
      <w:r>
        <w:rPr/>
        <w:t>指合营企业</w:t>
      </w:r>
      <w:r>
        <w:rPr>
          <w:rFonts w:ascii="Times New Roman" w:hAnsi="Times New Roman" w:cs="Times New Roman" w:eastAsia="Times New Roman" w:hint="default"/>
        </w:rPr>
        <w:t>)</w:t>
      </w:r>
      <w:r>
        <w:rPr/>
        <w:t>或重大影响的长期股权投资，按照采用权益法核算。 </w:t>
      </w:r>
      <w:r>
        <w:rPr>
          <w:spacing w:val="-2"/>
        </w:rPr>
        <w:t>长期股权投资采用权益法核算时，对长期股权投资的投资成本大于投资时应享有被投资单位可辨认净资产公允价值份额</w:t>
      </w:r>
    </w:p>
    <w:p>
      <w:pPr>
        <w:pStyle w:val="BodyText"/>
        <w:spacing w:line="316" w:lineRule="auto" w:before="31"/>
        <w:ind w:right="153"/>
        <w:jc w:val="both"/>
      </w:pPr>
      <w:r>
        <w:rPr>
          <w:spacing w:val="-2"/>
        </w:rPr>
        <w:t>的，不调整长期股权投资的投资成本；对长期股权投资的投资成本小于投资时应享有被投资单位可辨认净资产公允价值份额</w:t>
      </w:r>
      <w:r>
        <w:rPr>
          <w:spacing w:val="-64"/>
        </w:rPr>
        <w:t> </w:t>
      </w:r>
      <w:r>
        <w:rPr>
          <w:spacing w:val="-64"/>
        </w:rPr>
      </w:r>
      <w:r>
        <w:rPr/>
        <w:t>的，对长期股权投资的账面价值进行调整，差额计入投资当期的损益。</w:t>
      </w:r>
    </w:p>
    <w:p>
      <w:pPr>
        <w:pStyle w:val="BodyText"/>
        <w:spacing w:line="319" w:lineRule="auto" w:before="19"/>
        <w:ind w:right="150" w:firstLine="360"/>
        <w:jc w:val="both"/>
      </w:pPr>
      <w:r>
        <w:rPr>
          <w:spacing w:val="-2"/>
        </w:rPr>
        <w:t>在权益法核算时，当取得长期股权投资后，按照应享有或应分担的被投资单位实现的净损益和其他综合收益的份额，分</w:t>
      </w:r>
      <w:r>
        <w:rPr/>
        <w:t> </w:t>
      </w:r>
      <w:r>
        <w:rPr>
          <w:spacing w:val="-2"/>
        </w:rPr>
        <w:t>别确认投资损益和其他综合收益，并调整长期股权投资的账面价值。投资企业按照被投资单位宣告分派的利润或现金股利计</w:t>
      </w:r>
      <w:r>
        <w:rPr>
          <w:spacing w:val="-64"/>
        </w:rPr>
        <w:t> </w:t>
      </w:r>
      <w:r>
        <w:rPr>
          <w:spacing w:val="-64"/>
        </w:rPr>
      </w:r>
      <w:r>
        <w:rPr>
          <w:spacing w:val="-2"/>
        </w:rPr>
        <w:t>算应分得的部分，相应减少长期股权投资的账面价值。投资方对于被投资单位除净损益、其他综合收益和利润分配以外所有</w:t>
      </w:r>
      <w:r>
        <w:rPr>
          <w:spacing w:val="-63"/>
        </w:rPr>
        <w:t> </w:t>
      </w:r>
      <w:r>
        <w:rPr>
          <w:spacing w:val="-63"/>
        </w:rPr>
      </w:r>
      <w:r>
        <w:rPr/>
        <w:t>者权益的其他变动，应当调整长期股权投资的账面价值并计入所有者权益。</w:t>
      </w:r>
    </w:p>
    <w:p>
      <w:pPr>
        <w:pStyle w:val="BodyText"/>
        <w:spacing w:line="316" w:lineRule="auto" w:before="17"/>
        <w:ind w:right="150" w:firstLine="360"/>
        <w:jc w:val="both"/>
      </w:pPr>
      <w:r>
        <w:rPr>
          <w:spacing w:val="-2"/>
        </w:rPr>
        <w:t>确认被投资单位发生的净亏损，以长期股权投资的账面价值以及其他实质上构成对被投资单位净投资的长期权益减记至</w:t>
      </w:r>
      <w:r>
        <w:rPr/>
        <w:t> </w:t>
      </w:r>
      <w:r>
        <w:rPr>
          <w:spacing w:val="-2"/>
        </w:rPr>
        <w:t>零为限，公司对被投资企业负有承担额外损失义务的除外。被投资单位以后实现净利润的，投资企业在其收益分享额弥补未</w:t>
      </w:r>
      <w:r>
        <w:rPr>
          <w:spacing w:val="-63"/>
        </w:rPr>
        <w:t> </w:t>
      </w:r>
      <w:r>
        <w:rPr>
          <w:spacing w:val="-63"/>
        </w:rPr>
      </w:r>
      <w:r>
        <w:rPr/>
        <w:t>确认的亏损分担额后，恢复确认收益分享额。</w:t>
      </w:r>
    </w:p>
    <w:p>
      <w:pPr>
        <w:pStyle w:val="BodyText"/>
        <w:spacing w:line="316" w:lineRule="auto" w:before="19"/>
        <w:ind w:right="151" w:firstLine="360"/>
        <w:jc w:val="both"/>
      </w:pPr>
      <w:r>
        <w:rPr>
          <w:spacing w:val="-2"/>
        </w:rPr>
        <w:t>对于被投资单位除净损益、其他综合收益和利润分配以外所有者权益的其他变动，调整长期股权投资的账面价值并计入</w:t>
      </w:r>
      <w:r>
        <w:rPr/>
        <w:t> 所有者权益。</w:t>
      </w:r>
    </w:p>
    <w:p>
      <w:pPr>
        <w:pStyle w:val="BodyText"/>
        <w:spacing w:line="316" w:lineRule="auto" w:before="19"/>
        <w:ind w:right="152" w:firstLine="360"/>
        <w:jc w:val="both"/>
      </w:pPr>
      <w:r>
        <w:rPr>
          <w:spacing w:val="-2"/>
        </w:rPr>
        <w:t>长期股权投资按照权益法核算在确认投资损益时，先对被投资单位的净利润进行取得投资时被投资单位各项可辨认资产</w:t>
      </w:r>
      <w:r>
        <w:rPr/>
        <w:t> 等的公允价值、会计政策和会计期间方面的调整，再按应享有或应分担的被投资单位的净损益份额确认当期投资损益。</w:t>
      </w:r>
    </w:p>
    <w:p>
      <w:pPr>
        <w:pStyle w:val="BodyText"/>
        <w:spacing w:line="319" w:lineRule="auto" w:before="19"/>
        <w:ind w:right="152" w:firstLine="360"/>
        <w:jc w:val="both"/>
      </w:pPr>
      <w:r>
        <w:rPr>
          <w:spacing w:val="-2"/>
        </w:rPr>
        <w:t>与联营企业及合营企业之间发生的未实现内部交易损益按照持股比例计算归属于本公司的部分，在抵销基础上确认投资</w:t>
      </w:r>
      <w:r>
        <w:rPr/>
        <w:t> 损益。</w:t>
      </w:r>
    </w:p>
    <w:p>
      <w:pPr>
        <w:pStyle w:val="BodyText"/>
        <w:spacing w:line="300" w:lineRule="auto" w:before="17"/>
        <w:ind w:left="513" w:right="0"/>
        <w:jc w:val="left"/>
      </w:pPr>
      <w:r>
        <w:rPr/>
        <w:t>（</w:t>
      </w:r>
      <w:r>
        <w:rPr>
          <w:rFonts w:ascii="Times New Roman" w:hAnsi="Times New Roman" w:cs="Times New Roman" w:eastAsia="Times New Roman" w:hint="default"/>
        </w:rPr>
        <w:t>3</w:t>
      </w:r>
      <w:r>
        <w:rPr/>
        <w:t>）确定对被投资单位具有共同控制、重大影响的依据 </w:t>
      </w:r>
      <w:r>
        <w:rPr>
          <w:spacing w:val="-2"/>
        </w:rPr>
        <w:t>共同控制，是指按照相关约定对某项安排所共有的控制，并且该安排的相关活动必须经过分享控制权的参与方一致同意</w:t>
      </w:r>
    </w:p>
    <w:p>
      <w:pPr>
        <w:pStyle w:val="BodyText"/>
        <w:spacing w:line="316" w:lineRule="auto" w:before="29"/>
        <w:ind w:right="150"/>
        <w:jc w:val="both"/>
      </w:pPr>
      <w:r>
        <w:rPr>
          <w:spacing w:val="-2"/>
        </w:rPr>
        <w:t>后才能决策。在判断是否存在共同控制时，首先判断所有参与方或参与方组合是否集体控制该安排，如果所有参与方或一组</w:t>
      </w:r>
      <w:r>
        <w:rPr>
          <w:spacing w:val="-63"/>
        </w:rPr>
        <w:t> </w:t>
      </w:r>
      <w:r>
        <w:rPr>
          <w:spacing w:val="-63"/>
        </w:rPr>
      </w:r>
      <w:r>
        <w:rPr>
          <w:spacing w:val="-2"/>
        </w:rPr>
        <w:t>参与方必须一致行动才能决定某项安排的相关活动，则认为所有参与方或一组参与方集体控制该安排。其次再判断该安排相</w:t>
      </w:r>
      <w:r>
        <w:rPr>
          <w:spacing w:val="-64"/>
        </w:rPr>
        <w:t> </w:t>
      </w:r>
      <w:r>
        <w:rPr>
          <w:spacing w:val="-64"/>
        </w:rPr>
      </w:r>
      <w:r>
        <w:rPr>
          <w:spacing w:val="-2"/>
        </w:rPr>
        <w:t>关活动的决策是否必须经过这些集体控制该安排的参与方一致同意。如果存在两个或两个以上的参与方组合能够集体控制某</w:t>
      </w:r>
      <w:r>
        <w:rPr>
          <w:spacing w:val="-64"/>
        </w:rPr>
        <w:t> </w:t>
      </w:r>
      <w:r>
        <w:rPr>
          <w:spacing w:val="-64"/>
        </w:rPr>
      </w:r>
      <w:r>
        <w:rPr/>
        <w:t>项安排的，不构成共同控制。判断是否存在共同控制时，不考虑享有的保护性权利。</w:t>
      </w:r>
    </w:p>
    <w:p>
      <w:pPr>
        <w:pStyle w:val="BodyText"/>
        <w:spacing w:line="319" w:lineRule="auto" w:before="19"/>
        <w:ind w:right="152" w:firstLine="360"/>
        <w:jc w:val="both"/>
      </w:pPr>
      <w:r>
        <w:rPr>
          <w:spacing w:val="-2"/>
        </w:rPr>
        <w:t>重大影响，是指对一个企业的财务和经营政策有参与决策的权力，但并不能够控制或者与其他方一起共同控制这些政策</w:t>
      </w:r>
      <w:r>
        <w:rPr/>
        <w:t> </w:t>
      </w:r>
      <w:r>
        <w:rPr>
          <w:spacing w:val="-2"/>
        </w:rPr>
        <w:t>的制定。在确定能否对被投资单位施加重大影响时，考虑投资方直接或间接持有被投资单位的表决权股份以及投资方及其他</w:t>
      </w:r>
      <w:r>
        <w:rPr>
          <w:spacing w:val="-64"/>
        </w:rPr>
        <w:t> </w:t>
      </w:r>
      <w:r>
        <w:rPr>
          <w:spacing w:val="-64"/>
        </w:rPr>
      </w:r>
      <w:r>
        <w:rPr>
          <w:spacing w:val="-2"/>
        </w:rPr>
        <w:t>方持有的当期可执行潜在表决权在假定转换为对被投资方单位的股权后产生的影响，包括被投资单位发行的当期可转换的认</w:t>
      </w:r>
      <w:r>
        <w:rPr>
          <w:spacing w:val="-64"/>
        </w:rPr>
        <w:t> </w:t>
      </w:r>
      <w:r>
        <w:rPr>
          <w:spacing w:val="-64"/>
        </w:rPr>
      </w:r>
      <w:r>
        <w:rPr/>
        <w:t>股权证、股份期权及可转换公司债券等的影响。</w:t>
      </w:r>
    </w:p>
    <w:p>
      <w:pPr>
        <w:spacing w:after="0" w:line="319" w:lineRule="auto"/>
        <w:jc w:val="both"/>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94"/>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834"/>
        <w:jc w:val="left"/>
      </w:pPr>
      <w:r>
        <w:rPr/>
        <w:t>投资性房地产计量模式 公允价值计量 选择公允价值计量的依据</w:t>
      </w:r>
    </w:p>
    <w:p>
      <w:pPr>
        <w:pStyle w:val="BodyText"/>
        <w:spacing w:line="316" w:lineRule="auto" w:before="29"/>
        <w:ind w:right="189" w:firstLine="360"/>
        <w:jc w:val="both"/>
      </w:pPr>
      <w:r>
        <w:rPr>
          <w:spacing w:val="-2"/>
        </w:rPr>
        <w:t>投资性房地产是指为赚取租金或资本增值，或两者兼有而持有的房地产，包括已出租的土地使用权、持有并准备增值后</w:t>
      </w:r>
      <w:r>
        <w:rPr/>
        <w:t> </w:t>
      </w:r>
      <w:r>
        <w:rPr>
          <w:spacing w:val="-2"/>
        </w:rPr>
        <w:t>转让的土地使用权、已出租的建筑物。投资性房地产应当按照成本进行初始计量，公司在资产负债表日采用公允价值模式进</w:t>
      </w:r>
      <w:r>
        <w:rPr>
          <w:spacing w:val="-62"/>
        </w:rPr>
        <w:t> </w:t>
      </w:r>
      <w:r>
        <w:rPr>
          <w:spacing w:val="-62"/>
        </w:rPr>
      </w:r>
      <w:r>
        <w:rPr/>
        <w:t>行后续计量。</w:t>
      </w:r>
    </w:p>
    <w:p>
      <w:pPr>
        <w:pStyle w:val="BodyText"/>
        <w:spacing w:line="240" w:lineRule="auto" w:before="19"/>
        <w:ind w:left="513" w:right="94"/>
        <w:jc w:val="left"/>
      </w:pPr>
      <w:r>
        <w:rPr/>
        <w:t>本公司采用公允价值模式对投资性房地产进行后续计量，会计政策选择的依据为：</w:t>
      </w:r>
    </w:p>
    <w:p>
      <w:pPr>
        <w:pStyle w:val="BodyText"/>
        <w:spacing w:line="240" w:lineRule="auto" w:before="76"/>
        <w:ind w:left="513" w:right="94"/>
        <w:jc w:val="left"/>
      </w:pPr>
      <w:r>
        <w:rPr/>
        <w:t>①</w:t>
      </w:r>
      <w:r>
        <w:rPr>
          <w:spacing w:val="-18"/>
        </w:rPr>
        <w:t> </w:t>
      </w:r>
      <w:r>
        <w:rPr/>
        <w:t>投资性房地产所在地有活跃的房地产交易市场。</w:t>
      </w:r>
    </w:p>
    <w:p>
      <w:pPr>
        <w:pStyle w:val="BodyText"/>
        <w:spacing w:line="319" w:lineRule="auto" w:before="76"/>
        <w:ind w:right="192" w:firstLine="360"/>
        <w:jc w:val="both"/>
      </w:pPr>
      <w:r>
        <w:rPr>
          <w:spacing w:val="-2"/>
        </w:rPr>
        <w:t>②本公司能够从房地产交易市场上取得同类或类似房地产的市场价格及其他相关信息，从而对投资性房地产的公允价值</w:t>
      </w:r>
      <w:r>
        <w:rPr/>
        <w:t> 作出合理的估计。</w:t>
      </w:r>
    </w:p>
    <w:p>
      <w:pPr>
        <w:pStyle w:val="BodyText"/>
        <w:spacing w:line="316" w:lineRule="auto" w:before="17"/>
        <w:ind w:right="192" w:firstLine="360"/>
        <w:jc w:val="both"/>
      </w:pPr>
      <w:r>
        <w:rPr>
          <w:spacing w:val="-2"/>
        </w:rPr>
        <w:t>本公司不对投资性房地产计提折旧或进行摊销，以资产负债表日投资性房地产的公允价值为基础调整其账面价值，公允</w:t>
      </w:r>
      <w:r>
        <w:rPr/>
        <w:t> 价值与原账面价值之间的差额计入当期损益。</w:t>
      </w:r>
    </w:p>
    <w:p>
      <w:pPr>
        <w:pStyle w:val="BodyText"/>
        <w:spacing w:line="316" w:lineRule="auto" w:before="19"/>
        <w:ind w:right="191" w:firstLine="360"/>
        <w:jc w:val="both"/>
      </w:pPr>
      <w:r>
        <w:rPr>
          <w:spacing w:val="-2"/>
        </w:rPr>
        <w:t>确定投资性房地产的公允价值时，参照活跃市场上同类或类似房地产的现行市场价格；无法取得同类或类似房地产的现</w:t>
      </w:r>
      <w:r>
        <w:rPr/>
        <w:t> </w:t>
      </w:r>
      <w:r>
        <w:rPr>
          <w:spacing w:val="-2"/>
        </w:rPr>
        <w:t>行市场价格的，参照活跃市场上同类或类似房地产的最近交易价格，并考虑交易情况、交易日期、所在区域等因素，从而对</w:t>
      </w:r>
      <w:r>
        <w:rPr>
          <w:spacing w:val="-67"/>
        </w:rPr>
        <w:t> </w:t>
      </w:r>
      <w:r>
        <w:rPr>
          <w:spacing w:val="-67"/>
        </w:rPr>
      </w:r>
      <w:r>
        <w:rPr/>
        <w:t>投资性房地产的公允价值作出合理的估计；或基于预计未来获得的租金收益和有关现金流量的现值确定其公允价值。</w:t>
      </w:r>
    </w:p>
    <w:p>
      <w:pPr>
        <w:pStyle w:val="BodyText"/>
        <w:spacing w:line="316" w:lineRule="auto" w:before="19"/>
        <w:ind w:right="190" w:firstLine="360"/>
        <w:jc w:val="both"/>
      </w:pPr>
      <w:r>
        <w:rPr>
          <w:spacing w:val="-2"/>
        </w:rPr>
        <w:t>自用房地产或存货转换为投资性房地产时，按照转换当日的公允价值计价，转换当日的公允价值小于原账面价值的，其</w:t>
      </w:r>
      <w:r>
        <w:rPr/>
        <w:t> </w:t>
      </w:r>
      <w:r>
        <w:rPr>
          <w:spacing w:val="-2"/>
        </w:rPr>
        <w:t>差额计入当期损益；转换当日的公允价值大于原账面价值的，其差额确认为其他综合收益。投资性房地产转换为自用房地产</w:t>
      </w:r>
      <w:r>
        <w:rPr>
          <w:spacing w:val="-63"/>
        </w:rPr>
        <w:t> </w:t>
      </w:r>
      <w:r>
        <w:rPr>
          <w:spacing w:val="-63"/>
        </w:rPr>
      </w:r>
      <w:r>
        <w:rPr/>
        <w:t>时，以转换当日的公允价值作为自用房地产的账面价值，公允价值与原账面价值的差额计入当期损益。</w:t>
      </w:r>
    </w:p>
    <w:p>
      <w:pPr>
        <w:pStyle w:val="BodyText"/>
        <w:spacing w:line="319" w:lineRule="auto" w:before="19"/>
        <w:ind w:right="192" w:firstLine="360"/>
        <w:jc w:val="both"/>
      </w:pPr>
      <w:r>
        <w:rPr>
          <w:spacing w:val="-2"/>
        </w:rPr>
        <w:t>投资性房地产的用途改变为自用时，自改变之日起，将该投资性房地产转换为固定资产或无形资产。自用房地产的用途</w:t>
      </w:r>
      <w:r>
        <w:rPr/>
        <w:t> </w:t>
      </w:r>
      <w:r>
        <w:rPr>
          <w:spacing w:val="-2"/>
        </w:rPr>
        <w:t>改变为赚取租金或资本增值时，自改变之日起，将固定资产或无形资产转换为投资性房地产。发生转换时，以转换日的公允</w:t>
      </w:r>
      <w:r>
        <w:rPr>
          <w:spacing w:val="-66"/>
        </w:rPr>
        <w:t> </w:t>
      </w:r>
      <w:r>
        <w:rPr>
          <w:spacing w:val="-66"/>
        </w:rPr>
      </w:r>
      <w:r>
        <w:rPr/>
        <w:t>价值作为转换后的入账价值。</w:t>
      </w:r>
    </w:p>
    <w:p>
      <w:pPr>
        <w:pStyle w:val="BodyText"/>
        <w:spacing w:line="316" w:lineRule="auto" w:before="17"/>
        <w:ind w:right="190" w:firstLine="360"/>
        <w:jc w:val="both"/>
      </w:pPr>
      <w:r>
        <w:rPr>
          <w:spacing w:val="-2"/>
        </w:rPr>
        <w:t>当投资性房地产被处置、或者永久退出使用且预计不能从其处置中取得经济利益时，终止确认该项投资性房地产。投资</w:t>
      </w:r>
      <w:r>
        <w:rPr/>
        <w:t> 性房地产出售、转让、报废或毁损的处置收入扣除其账面价值和相关税费后计入当期损益。</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4" w:firstLine="360"/>
        <w:jc w:val="both"/>
      </w:pPr>
      <w:r>
        <w:rPr>
          <w:spacing w:val="-2"/>
        </w:rPr>
        <w:t>固定资产指为生产商品、提供劳务、出租或经营管理而持有，并且使用寿命超过一个会计年度的有形资产。固定资产同</w:t>
      </w:r>
      <w:r>
        <w:rPr/>
        <w:t> </w:t>
      </w:r>
      <w:r>
        <w:rPr>
          <w:spacing w:val="-4"/>
        </w:rPr>
        <w:t>时满足下列条件的，才能予以确认：①与该固定资产有关的经济利益很可能流入企业；②该固定资产的成本能够可靠地计量。</w:t>
      </w:r>
    </w:p>
    <w:p>
      <w:pPr>
        <w:spacing w:line="240" w:lineRule="auto" w:before="11"/>
        <w:rPr>
          <w:rFonts w:ascii="宋体" w:hAnsi="宋体" w:cs="宋体" w:eastAsia="宋体" w:hint="default"/>
          <w:sz w:val="22"/>
          <w:szCs w:val="22"/>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5.00%</w:t>
            </w:r>
            <w:r>
              <w:rPr>
                <w:rFonts w:ascii="宋体" w:hAnsi="宋体" w:cs="宋体" w:eastAsia="宋体" w:hint="default"/>
                <w:sz w:val="18"/>
                <w:szCs w:val="18"/>
              </w:rPr>
              <w:t>、</w:t>
            </w:r>
            <w:r>
              <w:rPr>
                <w:rFonts w:ascii="Times New Roman" w:hAnsi="Times New Roman" w:cs="Times New Roman" w:eastAsia="Times New Roman" w:hint="default"/>
                <w:sz w:val="18"/>
                <w:szCs w:val="18"/>
              </w:rPr>
              <w:t>10.00%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4.50%</w:t>
            </w:r>
            <w:r>
              <w:rPr>
                <w:rFonts w:ascii="宋体" w:hAnsi="宋体" w:cs="宋体" w:eastAsia="宋体" w:hint="default"/>
                <w:sz w:val="18"/>
                <w:szCs w:val="18"/>
              </w:rPr>
              <w:t>、</w:t>
            </w:r>
            <w:r>
              <w:rPr>
                <w:rFonts w:ascii="Times New Roman" w:hAnsi="Times New Roman" w:cs="Times New Roman" w:eastAsia="Times New Roman" w:hint="default"/>
                <w:sz w:val="18"/>
                <w:szCs w:val="18"/>
              </w:rPr>
              <w:t>4.75%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5.00%</w:t>
            </w:r>
            <w:r>
              <w:rPr>
                <w:rFonts w:ascii="宋体" w:hAnsi="宋体" w:cs="宋体" w:eastAsia="宋体" w:hint="default"/>
                <w:sz w:val="18"/>
                <w:szCs w:val="18"/>
              </w:rPr>
              <w:t>、</w:t>
            </w:r>
            <w:r>
              <w:rPr>
                <w:rFonts w:ascii="Times New Roman" w:hAnsi="Times New Roman" w:cs="Times New Roman" w:eastAsia="Times New Roman" w:hint="default"/>
                <w:sz w:val="18"/>
                <w:szCs w:val="18"/>
              </w:rPr>
              <w:t>10.00%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18.00%</w:t>
            </w:r>
            <w:r>
              <w:rPr>
                <w:rFonts w:ascii="宋体" w:hAnsi="宋体" w:cs="宋体" w:eastAsia="宋体" w:hint="default"/>
                <w:sz w:val="18"/>
                <w:szCs w:val="18"/>
              </w:rPr>
              <w:t>、</w:t>
            </w:r>
            <w:r>
              <w:rPr>
                <w:rFonts w:ascii="Times New Roman" w:hAnsi="Times New Roman" w:cs="Times New Roman" w:eastAsia="Times New Roman" w:hint="default"/>
                <w:sz w:val="18"/>
                <w:szCs w:val="18"/>
              </w:rPr>
              <w:t>19.00%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5.00%</w:t>
            </w:r>
            <w:r>
              <w:rPr>
                <w:rFonts w:ascii="宋体" w:hAnsi="宋体" w:cs="宋体" w:eastAsia="宋体" w:hint="default"/>
                <w:sz w:val="18"/>
                <w:szCs w:val="18"/>
              </w:rPr>
              <w:t>、</w:t>
            </w:r>
            <w:r>
              <w:rPr>
                <w:rFonts w:ascii="Times New Roman" w:hAnsi="Times New Roman" w:cs="Times New Roman" w:eastAsia="Times New Roman" w:hint="default"/>
                <w:sz w:val="18"/>
                <w:szCs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19.00%-31.66%</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bl>
    <w:p>
      <w:pPr>
        <w:pStyle w:val="BodyText"/>
        <w:spacing w:line="240" w:lineRule="auto" w:before="8"/>
        <w:ind w:left="513" w:right="0"/>
        <w:jc w:val="left"/>
      </w:pPr>
      <w:r>
        <w:rPr/>
        <w:t>固定资产折旧采用年限平均法分类计提，根据固定资产类别、预计使用寿命和预计净残值率确定折旧率。如固定资产各</w:t>
      </w:r>
    </w:p>
    <w:p>
      <w:pPr>
        <w:spacing w:after="0" w:line="240"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240" w:lineRule="auto" w:before="44"/>
        <w:ind w:right="94"/>
        <w:jc w:val="left"/>
      </w:pPr>
      <w:r>
        <w:rPr/>
        <w:t>组成部分的使用寿命不同或者以不同方式为企业提供经济利益，则选择不同折旧率或折旧方法，分别计提折旧。</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6754"/>
        <w:jc w:val="left"/>
      </w:pPr>
      <w:r>
        <w:rPr/>
        <w:t>公司是否需要遵守特殊行业的披露要求 否</w:t>
      </w:r>
    </w:p>
    <w:p>
      <w:pPr>
        <w:pStyle w:val="BodyText"/>
        <w:spacing w:line="316" w:lineRule="auto" w:before="29"/>
        <w:ind w:right="191" w:firstLine="288"/>
        <w:jc w:val="both"/>
      </w:pPr>
      <w:r>
        <w:rPr>
          <w:spacing w:val="-1"/>
        </w:rPr>
        <w:t>在建工程项目按建造该项资产达到预定可使用状态前所发生的必要支出，作为固定资产的入账价值。所建造的固定资产</w:t>
      </w:r>
      <w:r>
        <w:rPr/>
        <w:t> </w:t>
      </w:r>
      <w:r>
        <w:rPr>
          <w:spacing w:val="-2"/>
        </w:rPr>
        <w:t>在建工程已达到预定可使用状态，但尚未办理竣工决算的，自达到预定可使用状态之日起，根据工程预算、造价或者工程实</w:t>
      </w:r>
      <w:r>
        <w:rPr>
          <w:spacing w:val="-65"/>
        </w:rPr>
        <w:t> </w:t>
      </w:r>
      <w:r>
        <w:rPr>
          <w:spacing w:val="-65"/>
        </w:rPr>
      </w:r>
      <w:r>
        <w:rPr>
          <w:spacing w:val="-2"/>
        </w:rPr>
        <w:t>际成本等，按估计的价值转入固定资产，并按本公司固定资产折旧政策计提固定资产的折旧，待办理竣工决算后，再按实际</w:t>
      </w:r>
      <w:r>
        <w:rPr>
          <w:spacing w:val="-64"/>
        </w:rPr>
        <w:t> </w:t>
      </w:r>
      <w:r>
        <w:rPr>
          <w:spacing w:val="-64"/>
        </w:rPr>
      </w:r>
      <w:r>
        <w:rPr/>
        <w:t>成本调整原来的暂估价值，但不调整原已计提的折旧额。</w:t>
      </w:r>
    </w:p>
    <w:p>
      <w:pPr>
        <w:spacing w:line="240" w:lineRule="auto" w:before="11"/>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2"/>
        <w:rPr>
          <w:rFonts w:ascii="宋体" w:hAnsi="宋体" w:cs="宋体" w:eastAsia="宋体" w:hint="default"/>
          <w:b/>
          <w:bCs/>
          <w:sz w:val="26"/>
          <w:szCs w:val="26"/>
        </w:rPr>
      </w:pPr>
    </w:p>
    <w:p>
      <w:pPr>
        <w:pStyle w:val="BodyText"/>
        <w:spacing w:line="307" w:lineRule="auto"/>
        <w:ind w:right="94" w:firstLine="360"/>
        <w:jc w:val="left"/>
      </w:pPr>
      <w:r>
        <w:rPr>
          <w:rFonts w:ascii="Times New Roman" w:hAnsi="Times New Roman" w:cs="Times New Roman" w:eastAsia="Times New Roman" w:hint="default"/>
        </w:rPr>
        <w:t>(1)</w:t>
      </w:r>
      <w:r>
        <w:rPr/>
        <w:t>公司发生的借款费用，可直接归属于符合资本化条件的资产的购建或者生产的，予以资本化，计入相关资产成本。</w:t>
      </w:r>
      <w:r>
        <w:rPr>
          <w:w w:val="99"/>
        </w:rPr>
        <w:t> </w:t>
      </w:r>
      <w:r>
        <w:rPr/>
        <w:t>符合资本化条件的资产，是指需要经过相当长的时间的</w:t>
      </w:r>
      <w:r>
        <w:rPr>
          <w:rFonts w:ascii="Times New Roman" w:hAnsi="Times New Roman" w:cs="Times New Roman" w:eastAsia="Times New Roman" w:hint="default"/>
        </w:rPr>
        <w:t>(</w:t>
      </w:r>
      <w:r>
        <w:rPr/>
        <w:t>通常是指</w:t>
      </w:r>
      <w:r>
        <w:rPr>
          <w:rFonts w:ascii="Times New Roman" w:hAnsi="Times New Roman" w:cs="Times New Roman" w:eastAsia="Times New Roman" w:hint="default"/>
        </w:rPr>
        <w:t>1</w:t>
      </w:r>
      <w:r>
        <w:rPr/>
        <w:t>年及</w:t>
      </w:r>
      <w:r>
        <w:rPr>
          <w:rFonts w:ascii="Times New Roman" w:hAnsi="Times New Roman" w:cs="Times New Roman" w:eastAsia="Times New Roman" w:hint="default"/>
        </w:rPr>
        <w:t>1</w:t>
      </w:r>
      <w:r>
        <w:rPr/>
        <w:t>年以上</w:t>
      </w:r>
      <w:r>
        <w:rPr>
          <w:rFonts w:ascii="Times New Roman" w:hAnsi="Times New Roman" w:cs="Times New Roman" w:eastAsia="Times New Roman" w:hint="default"/>
        </w:rPr>
        <w:t>)</w:t>
      </w:r>
      <w:r>
        <w:rPr/>
        <w:t>购建或者生产活动才能达到预定可使用可销</w:t>
      </w:r>
      <w:r>
        <w:rPr>
          <w:w w:val="99"/>
        </w:rPr>
        <w:t> </w:t>
      </w:r>
      <w:r>
        <w:rPr/>
        <w:t>售状态的固定资产、投资性房地产和存货等资产。其他借款费用，应当在发生时根据其发生额确认为费用，计入当期损益。</w:t>
      </w:r>
      <w:r>
        <w:rPr>
          <w:w w:val="99"/>
        </w:rPr>
        <w:t> </w:t>
      </w:r>
      <w:r>
        <w:rPr/>
        <w:t>借款费用包括借款利息、折价或者溢价的摊销、辅助费用以及因外币借款而发生的汇兑差额等。</w:t>
      </w:r>
    </w:p>
    <w:p>
      <w:pPr>
        <w:pStyle w:val="BodyText"/>
        <w:spacing w:line="240" w:lineRule="auto" w:before="26"/>
        <w:ind w:left="585" w:right="9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借款费用同时满足下列条件的，开始资本化：</w:t>
      </w:r>
    </w:p>
    <w:p>
      <w:pPr>
        <w:pStyle w:val="BodyText"/>
        <w:spacing w:line="316" w:lineRule="auto" w:before="63"/>
        <w:ind w:right="192" w:firstLine="360"/>
        <w:jc w:val="both"/>
      </w:pPr>
      <w:r>
        <w:rPr>
          <w:spacing w:val="-2"/>
        </w:rPr>
        <w:t>①资产支出已发生，资产支出包括为购建或者生产符合资本化条件的资产而支付的现金、转移非现金资产或者承担带息</w:t>
      </w:r>
      <w:r>
        <w:rPr/>
        <w:t> 债务形式发生的支出；</w:t>
      </w:r>
    </w:p>
    <w:p>
      <w:pPr>
        <w:pStyle w:val="BodyText"/>
        <w:spacing w:line="240" w:lineRule="auto" w:before="19"/>
        <w:ind w:left="513" w:right="94"/>
        <w:jc w:val="left"/>
      </w:pPr>
      <w:r>
        <w:rPr/>
        <w:t>②借款费用已经发生；</w:t>
      </w:r>
    </w:p>
    <w:p>
      <w:pPr>
        <w:pStyle w:val="BodyText"/>
        <w:spacing w:line="316" w:lineRule="auto" w:before="77"/>
        <w:ind w:left="513" w:right="94"/>
        <w:jc w:val="left"/>
      </w:pPr>
      <w:r>
        <w:rPr/>
        <w:t>③为使资产达到预定可使用或者可销售状态所必要的购建或者生产活动已经开始。 购建或者生产符合资本化条件的资产达到预定可使用或者可销售状态时，借款费用停止资本化。 </w:t>
      </w:r>
      <w:r>
        <w:rPr>
          <w:spacing w:val="-2"/>
        </w:rPr>
        <w:t>符合资本化条件的资产在购建或者生产过程中发生非正常中断，且中断时间连续超过</w:t>
      </w:r>
      <w:r>
        <w:rPr>
          <w:rFonts w:ascii="Times New Roman" w:hAnsi="Times New Roman" w:cs="Times New Roman" w:eastAsia="Times New Roman" w:hint="default"/>
          <w:spacing w:val="-2"/>
        </w:rPr>
        <w:t>3</w:t>
      </w:r>
      <w:r>
        <w:rPr>
          <w:spacing w:val="-2"/>
        </w:rPr>
        <w:t>个月的，暂停借款费用的资本化。</w:t>
      </w:r>
    </w:p>
    <w:p>
      <w:pPr>
        <w:pStyle w:val="BodyText"/>
        <w:spacing w:line="316" w:lineRule="auto"/>
        <w:ind w:right="94"/>
        <w:jc w:val="left"/>
      </w:pPr>
      <w:r>
        <w:rPr>
          <w:spacing w:val="-2"/>
        </w:rPr>
        <w:t>在中断期间发生的借款费用确认为费用，计入当期损益，直至资产的购建或者生产活动重新开始。如果中断是所购建或者生</w:t>
      </w:r>
      <w:r>
        <w:rPr>
          <w:spacing w:val="-66"/>
        </w:rPr>
        <w:t> </w:t>
      </w:r>
      <w:r>
        <w:rPr>
          <w:spacing w:val="-66"/>
        </w:rPr>
      </w:r>
      <w:r>
        <w:rPr/>
        <w:t>产的符合资本化条件的资产达到预定可使用或可销售状态必要的程序，借款费用的资本化则继续进行。</w:t>
      </w:r>
    </w:p>
    <w:p>
      <w:pPr>
        <w:pStyle w:val="BodyText"/>
        <w:spacing w:line="240" w:lineRule="auto" w:before="19"/>
        <w:ind w:left="585" w:right="94"/>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在资本化期间内，每一会计期间的利息</w:t>
      </w:r>
      <w:r>
        <w:rPr>
          <w:rFonts w:ascii="Times New Roman" w:hAnsi="Times New Roman" w:cs="Times New Roman" w:eastAsia="Times New Roman" w:hint="default"/>
        </w:rPr>
        <w:t>(</w:t>
      </w:r>
      <w:r>
        <w:rPr/>
        <w:t>包括折价或溢价的摊销</w:t>
      </w:r>
      <w:r>
        <w:rPr>
          <w:rFonts w:ascii="Times New Roman" w:hAnsi="Times New Roman" w:cs="Times New Roman" w:eastAsia="Times New Roman" w:hint="default"/>
        </w:rPr>
        <w:t>)</w:t>
      </w:r>
      <w:r>
        <w:rPr/>
        <w:t>资本化金额，按照下列规定确定：</w:t>
      </w:r>
    </w:p>
    <w:p>
      <w:pPr>
        <w:pStyle w:val="BodyText"/>
        <w:spacing w:line="316" w:lineRule="auto" w:before="63"/>
        <w:ind w:right="192" w:firstLine="360"/>
        <w:jc w:val="both"/>
      </w:pPr>
      <w:r>
        <w:rPr>
          <w:spacing w:val="-2"/>
        </w:rPr>
        <w:t>①为购建或者生产符合资本化条件的资产而借入专门借款的，以专门借款当期实际发生的利息费用，减去尚未动用的借</w:t>
      </w:r>
      <w:r>
        <w:rPr/>
        <w:t> 款资金存入银行取得的利息收入或进行暂时性投资取得的投资收益后的金额确定。</w:t>
      </w:r>
    </w:p>
    <w:p>
      <w:pPr>
        <w:pStyle w:val="BodyText"/>
        <w:spacing w:line="316" w:lineRule="auto" w:before="19"/>
        <w:ind w:right="192" w:firstLine="360"/>
        <w:jc w:val="both"/>
      </w:pPr>
      <w:r>
        <w:rPr>
          <w:spacing w:val="-2"/>
        </w:rPr>
        <w:t>②为购建或者生产符合资本化条件的资产而占用了一般借款的，根据累计资产支出超过专门借款部分的资产支出加权平</w:t>
      </w:r>
      <w:r>
        <w:rPr/>
        <w:t> </w:t>
      </w:r>
      <w:r>
        <w:rPr>
          <w:spacing w:val="-2"/>
        </w:rPr>
        <w:t>均数乘以所占用的一般借款的资本化率，计算确定一般借款应予资本化的利息金额。资本化率根据一般借款加权平均利率确</w:t>
      </w:r>
      <w:r>
        <w:rPr>
          <w:spacing w:val="-64"/>
        </w:rPr>
        <w:t> </w:t>
      </w:r>
      <w:r>
        <w:rPr>
          <w:spacing w:val="-64"/>
        </w:rPr>
      </w:r>
      <w:r>
        <w:rPr/>
        <w:t>定。</w:t>
      </w:r>
    </w:p>
    <w:p>
      <w:pPr>
        <w:pStyle w:val="BodyText"/>
        <w:spacing w:line="316" w:lineRule="auto" w:before="19"/>
        <w:ind w:right="454" w:firstLine="360"/>
        <w:jc w:val="left"/>
      </w:pPr>
      <w:r>
        <w:rPr/>
        <w:t>借款存在折价或溢价的，按照实际利率法确定每一会计期间相应摊销的折价或者溢价的金额，调整每期利息金额。 在资本化期间内，每一会计期间的利息资本化金额，不超过当期相关借款实际发生的利息金额。</w:t>
      </w:r>
    </w:p>
    <w:p>
      <w:pPr>
        <w:pStyle w:val="BodyText"/>
        <w:spacing w:line="312" w:lineRule="auto" w:before="19"/>
        <w:ind w:right="94" w:firstLine="360"/>
        <w:jc w:val="left"/>
      </w:pPr>
      <w:r>
        <w:rPr>
          <w:rFonts w:ascii="Times New Roman" w:hAnsi="Times New Roman" w:cs="Times New Roman" w:eastAsia="Times New Roman" w:hint="default"/>
          <w:spacing w:val="-1"/>
        </w:rPr>
        <w:t>(4)</w:t>
      </w:r>
      <w:r>
        <w:rPr>
          <w:spacing w:val="-1"/>
        </w:rPr>
        <w:t>专门借款发生的辅助费用，在所购建或者生产的符合资本化条件的资产达到预定可使用或者可销售状态之前发生的，</w:t>
      </w:r>
      <w:r>
        <w:rPr>
          <w:w w:val="99"/>
        </w:rPr>
        <w:t> </w:t>
      </w:r>
      <w:r>
        <w:rPr>
          <w:spacing w:val="-2"/>
        </w:rPr>
        <w:t>在发生时根据其发生额予以资本化，计入符合资本化条件的资产的成本；在所购建或者生产的符合资本化条件的资产达到预</w:t>
      </w:r>
      <w:r>
        <w:rPr>
          <w:spacing w:val="-65"/>
        </w:rPr>
        <w:t> </w:t>
      </w:r>
      <w:r>
        <w:rPr>
          <w:spacing w:val="-65"/>
        </w:rPr>
      </w:r>
      <w:r>
        <w:rPr>
          <w:spacing w:val="-2"/>
        </w:rPr>
        <w:t>定可使用或者可销售状态之后发生的，在发生时根据其发生额确认为费用，计入当期损益。一般借款发生的辅助费用，在发</w:t>
      </w:r>
      <w:r>
        <w:rPr>
          <w:spacing w:val="-65"/>
        </w:rPr>
        <w:t> </w:t>
      </w:r>
      <w:r>
        <w:rPr>
          <w:spacing w:val="-65"/>
        </w:rPr>
      </w:r>
      <w:r>
        <w:rPr/>
        <w:t>生时根据其发生额确认为费用，计入当期损益。</w:t>
      </w:r>
    </w:p>
    <w:p>
      <w:pPr>
        <w:spacing w:line="240" w:lineRule="auto" w:before="1"/>
        <w:rPr>
          <w:rFonts w:ascii="宋体" w:hAnsi="宋体" w:cs="宋体" w:eastAsia="宋体" w:hint="default"/>
          <w:sz w:val="23"/>
          <w:szCs w:val="23"/>
        </w:rPr>
      </w:pPr>
    </w:p>
    <w:p>
      <w:pPr>
        <w:pStyle w:val="Heading3"/>
        <w:spacing w:line="240" w:lineRule="auto"/>
        <w:ind w:right="94"/>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0"/>
        <w:jc w:val="left"/>
      </w:pPr>
      <w:r>
        <w:rPr/>
        <w:t>①无形资产，是指企业拥有或者控制的没有实物形态的可辨认非货币性资产。无形资产按照成本进行初始计量。于取得</w:t>
      </w:r>
    </w:p>
    <w:p>
      <w:pPr>
        <w:spacing w:after="0" w:line="240" w:lineRule="auto"/>
        <w:jc w:val="left"/>
        <w:sectPr>
          <w:footerReference w:type="default" r:id="rId35"/>
          <w:pgSz w:w="11910" w:h="16840"/>
          <w:pgMar w:footer="979" w:header="877" w:top="1100" w:bottom="1160" w:left="980" w:right="940"/>
          <w:pgNumType w:start="110"/>
        </w:sectPr>
      </w:pPr>
    </w:p>
    <w:p>
      <w:pPr>
        <w:spacing w:line="240" w:lineRule="auto" w:before="11"/>
        <w:rPr>
          <w:rFonts w:ascii="宋体" w:hAnsi="宋体" w:cs="宋体" w:eastAsia="宋体" w:hint="default"/>
          <w:sz w:val="21"/>
          <w:szCs w:val="21"/>
        </w:rPr>
      </w:pPr>
    </w:p>
    <w:p>
      <w:pPr>
        <w:pStyle w:val="BodyText"/>
        <w:spacing w:line="240" w:lineRule="auto" w:before="44"/>
        <w:ind w:right="94"/>
        <w:jc w:val="left"/>
      </w:pPr>
      <w:r>
        <w:rPr/>
        <w:t>无形资产时分析判断其使用寿命。</w:t>
      </w:r>
    </w:p>
    <w:p>
      <w:pPr>
        <w:pStyle w:val="BodyText"/>
        <w:spacing w:line="240" w:lineRule="auto" w:before="76"/>
        <w:ind w:left="513" w:right="94"/>
        <w:jc w:val="left"/>
      </w:pPr>
      <w:r>
        <w:rPr/>
        <w:t>②公司确定无形资产使用寿命通常考虑的因素：</w:t>
      </w:r>
    </w:p>
    <w:p>
      <w:pPr>
        <w:pStyle w:val="BodyText"/>
        <w:spacing w:line="240" w:lineRule="auto" w:before="76"/>
        <w:ind w:left="513" w:right="94"/>
        <w:jc w:val="left"/>
      </w:pPr>
      <w:r>
        <w:rPr>
          <w:rFonts w:ascii="Times New Roman" w:hAnsi="Times New Roman" w:cs="Times New Roman" w:eastAsia="Times New Roman" w:hint="default"/>
        </w:rPr>
        <w:t>1</w:t>
      </w:r>
      <w:r>
        <w:rPr/>
        <w:t>）运用该资产生产的产品通常的寿命周期、可获得的类似资产使用寿命的信息；</w:t>
      </w:r>
    </w:p>
    <w:p>
      <w:pPr>
        <w:pStyle w:val="BodyText"/>
        <w:spacing w:line="240" w:lineRule="auto" w:before="63"/>
        <w:ind w:left="513" w:right="94"/>
        <w:jc w:val="left"/>
      </w:pPr>
      <w:r>
        <w:rPr>
          <w:rFonts w:ascii="Times New Roman" w:hAnsi="Times New Roman" w:cs="Times New Roman" w:eastAsia="Times New Roman" w:hint="default"/>
        </w:rPr>
        <w:t>2</w:t>
      </w:r>
      <w:r>
        <w:rPr/>
        <w:t>）技术、工艺等方面的现阶段情况及对未来发展趋势的估计；</w:t>
      </w:r>
    </w:p>
    <w:p>
      <w:pPr>
        <w:pStyle w:val="BodyText"/>
        <w:spacing w:line="240" w:lineRule="auto" w:before="63"/>
        <w:ind w:left="513" w:right="94"/>
        <w:jc w:val="left"/>
      </w:pPr>
      <w:r>
        <w:rPr>
          <w:rFonts w:ascii="Times New Roman" w:hAnsi="Times New Roman" w:cs="Times New Roman" w:eastAsia="Times New Roman" w:hint="default"/>
        </w:rPr>
        <w:t>3</w:t>
      </w:r>
      <w:r>
        <w:rPr/>
        <w:t>）以该资产生产的产品或提供服务的市场需求情况；</w:t>
      </w:r>
    </w:p>
    <w:p>
      <w:pPr>
        <w:pStyle w:val="BodyText"/>
        <w:spacing w:line="240" w:lineRule="auto" w:before="63"/>
        <w:ind w:left="513" w:right="94"/>
        <w:jc w:val="left"/>
      </w:pPr>
      <w:r>
        <w:rPr>
          <w:rFonts w:ascii="Times New Roman" w:hAnsi="Times New Roman" w:cs="Times New Roman" w:eastAsia="Times New Roman" w:hint="default"/>
        </w:rPr>
        <w:t>4</w:t>
      </w:r>
      <w:r>
        <w:rPr/>
        <w:t>）现在或潜在的竞争者预期采取的行动；</w:t>
      </w:r>
    </w:p>
    <w:p>
      <w:pPr>
        <w:pStyle w:val="BodyText"/>
        <w:spacing w:line="240" w:lineRule="auto" w:before="63"/>
        <w:ind w:left="513" w:right="94"/>
        <w:jc w:val="left"/>
      </w:pPr>
      <w:r>
        <w:rPr>
          <w:rFonts w:ascii="Times New Roman" w:hAnsi="Times New Roman" w:cs="Times New Roman" w:eastAsia="Times New Roman" w:hint="default"/>
        </w:rPr>
        <w:t>5</w:t>
      </w:r>
      <w:r>
        <w:rPr/>
        <w:t>）为维持该资产带来经济利益能力的预期维护支出，以及公司预计支付有关支出的能力；</w:t>
      </w:r>
    </w:p>
    <w:p>
      <w:pPr>
        <w:pStyle w:val="BodyText"/>
        <w:spacing w:line="240" w:lineRule="auto" w:before="63"/>
        <w:ind w:left="513" w:right="94"/>
        <w:jc w:val="left"/>
      </w:pPr>
      <w:r>
        <w:rPr>
          <w:rFonts w:ascii="Times New Roman" w:hAnsi="Times New Roman" w:cs="Times New Roman" w:eastAsia="Times New Roman" w:hint="default"/>
        </w:rPr>
        <w:t>6</w:t>
      </w:r>
      <w:r>
        <w:rPr/>
        <w:t>）对该资产控制期限的相关法律规定或类似限制，如特许使用期、租赁期等；</w:t>
      </w:r>
    </w:p>
    <w:p>
      <w:pPr>
        <w:pStyle w:val="BodyText"/>
        <w:spacing w:line="300" w:lineRule="auto" w:before="63"/>
        <w:ind w:left="513" w:right="2973"/>
        <w:jc w:val="left"/>
      </w:pPr>
      <w:r>
        <w:rPr>
          <w:rFonts w:ascii="Times New Roman" w:hAnsi="Times New Roman" w:cs="Times New Roman" w:eastAsia="Times New Roman" w:hint="default"/>
        </w:rPr>
        <w:t>7</w:t>
      </w:r>
      <w:r>
        <w:rPr/>
        <w:t>）与企业持有其他资产使用寿命的关联性等。 无法预见无形资产为公司带来经济利益期限的，视为使用寿命不确定的无形资产。</w:t>
      </w:r>
    </w:p>
    <w:p>
      <w:pPr>
        <w:pStyle w:val="BodyText"/>
        <w:spacing w:line="300" w:lineRule="auto" w:before="31"/>
        <w:ind w:right="94" w:firstLine="360"/>
        <w:jc w:val="left"/>
      </w:pPr>
      <w:r>
        <w:rPr/>
        <w:t>③对于使用寿命有限的无形资产，在使用寿命内系统合理</w:t>
      </w:r>
      <w:r>
        <w:rPr>
          <w:rFonts w:ascii="Times New Roman" w:hAnsi="Times New Roman" w:cs="Times New Roman" w:eastAsia="Times New Roman" w:hint="default"/>
        </w:rPr>
        <w:t>(</w:t>
      </w:r>
      <w:r>
        <w:rPr/>
        <w:t>或者直线法</w:t>
      </w:r>
      <w:r>
        <w:rPr>
          <w:rFonts w:ascii="Times New Roman" w:hAnsi="Times New Roman" w:cs="Times New Roman" w:eastAsia="Times New Roman" w:hint="default"/>
        </w:rPr>
        <w:t>)</w:t>
      </w:r>
      <w:r>
        <w:rPr/>
        <w:t>摊销。公司于每年年度终了，对使用寿命有限的 </w:t>
      </w:r>
      <w:r>
        <w:rPr>
          <w:spacing w:val="-4"/>
        </w:rPr>
        <w:t>无形资产的使用寿命及摊销方法进行复核。无形资产的使用寿命及摊销方法与以前估计不同的，将改变摊销期限和摊销方法。</w:t>
      </w:r>
    </w:p>
    <w:p>
      <w:pPr>
        <w:pStyle w:val="BodyText"/>
        <w:spacing w:line="240" w:lineRule="auto" w:before="31"/>
        <w:ind w:left="513" w:right="94"/>
        <w:jc w:val="left"/>
        <w:rPr>
          <w:rFonts w:ascii="Times New Roman" w:hAnsi="Times New Roman" w:cs="Times New Roman" w:eastAsia="Times New Roman" w:hint="default"/>
        </w:rPr>
      </w:pPr>
      <w:r>
        <w:rPr/>
        <w:t>对于使用寿命有限的无形资产，在采用直线法计算摊销额时，各项无形资产的使用寿命、预计净残值率如下</w:t>
      </w:r>
      <w:r>
        <w:rPr>
          <w:rFonts w:ascii="Times New Roman" w:hAnsi="Times New Roman" w:cs="Times New Roman" w:eastAsia="Times New Roman" w:hint="default"/>
        </w:rPr>
        <w:t>:</w:t>
      </w:r>
    </w:p>
    <w:p>
      <w:pPr>
        <w:spacing w:line="240" w:lineRule="auto" w:before="9"/>
        <w:rPr>
          <w:rFonts w:ascii="Times New Roman" w:hAnsi="Times New Roman" w:cs="Times New Roman" w:eastAsia="Times New Roman" w:hint="default"/>
          <w:sz w:val="4"/>
          <w:szCs w:val="4"/>
        </w:rPr>
      </w:pPr>
    </w:p>
    <w:tbl>
      <w:tblPr>
        <w:tblW w:w="0" w:type="auto"/>
        <w:jc w:val="left"/>
        <w:tblInd w:w="136" w:type="dxa"/>
        <w:tblLayout w:type="fixed"/>
        <w:tblCellMar>
          <w:top w:w="0" w:type="dxa"/>
          <w:left w:w="0" w:type="dxa"/>
          <w:bottom w:w="0" w:type="dxa"/>
          <w:right w:w="0" w:type="dxa"/>
        </w:tblCellMar>
        <w:tblLook w:val="01E0"/>
      </w:tblPr>
      <w:tblGrid>
        <w:gridCol w:w="1848"/>
        <w:gridCol w:w="1541"/>
        <w:gridCol w:w="2009"/>
        <w:gridCol w:w="4261"/>
      </w:tblGrid>
      <w:tr>
        <w:trPr>
          <w:trHeight w:val="348" w:hRule="exact"/>
        </w:trPr>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使用年限</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预计净残值率</w:t>
            </w:r>
          </w:p>
        </w:tc>
        <w:tc>
          <w:tcPr>
            <w:tcW w:w="4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46" w:hRule="exact"/>
        </w:trPr>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3-10</w:t>
            </w:r>
            <w:r>
              <w:rPr>
                <w:rFonts w:ascii="宋体" w:hAnsi="宋体" w:cs="宋体" w:eastAsia="宋体" w:hint="default"/>
                <w:sz w:val="18"/>
                <w:szCs w:val="18"/>
              </w:rPr>
              <w:t>年</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合同权利并预计给企业带来经济利益的期限</w:t>
            </w:r>
          </w:p>
        </w:tc>
      </w:tr>
      <w:tr>
        <w:trPr>
          <w:trHeight w:val="348" w:hRule="exact"/>
        </w:trPr>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合同期限以及预计给企业带来经济利息的期限孰短</w:t>
            </w:r>
          </w:p>
        </w:tc>
      </w:tr>
      <w:tr>
        <w:trPr>
          <w:trHeight w:val="346" w:hRule="exact"/>
        </w:trPr>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合同权利</w:t>
            </w:r>
          </w:p>
        </w:tc>
      </w:tr>
      <w:tr>
        <w:trPr>
          <w:trHeight w:val="348" w:hRule="exact"/>
        </w:trPr>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年</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预计给企业带来经济利益的期限</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94"/>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94"/>
        <w:jc w:val="left"/>
      </w:pPr>
      <w:r>
        <w:rPr/>
        <w:t>①内部研究开发项目的支出，包括研究阶段支出与开发阶段支出，其中：</w:t>
      </w:r>
    </w:p>
    <w:p>
      <w:pPr>
        <w:pStyle w:val="BodyText"/>
        <w:spacing w:line="240" w:lineRule="auto" w:before="76"/>
        <w:ind w:left="513" w:right="94"/>
        <w:jc w:val="left"/>
      </w:pPr>
      <w:r>
        <w:rPr>
          <w:rFonts w:ascii="Times New Roman" w:hAnsi="Times New Roman" w:cs="Times New Roman" w:eastAsia="Times New Roman" w:hint="default"/>
        </w:rPr>
        <w:t>1</w:t>
      </w:r>
      <w:r>
        <w:rPr/>
        <w:t>）研究是指为获取并理解新的科学或技术知识而进行的独创性的有计划调查。</w:t>
      </w:r>
    </w:p>
    <w:p>
      <w:pPr>
        <w:pStyle w:val="BodyText"/>
        <w:spacing w:line="300" w:lineRule="auto" w:before="63"/>
        <w:ind w:right="184" w:firstLine="360"/>
        <w:jc w:val="left"/>
      </w:pPr>
      <w:r>
        <w:rPr>
          <w:rFonts w:ascii="Times New Roman" w:hAnsi="Times New Roman" w:cs="Times New Roman" w:eastAsia="Times New Roman" w:hint="default"/>
        </w:rPr>
        <w:t>2</w:t>
      </w:r>
      <w:r>
        <w:rPr/>
        <w:t>）开发是指在进行商业性生产或使用前，将研究成果或其他知识应用于某项计划或设计，以生产出新的或具有实质性 改进的材料、装置、产品等。</w:t>
      </w:r>
    </w:p>
    <w:p>
      <w:pPr>
        <w:pStyle w:val="BodyText"/>
        <w:spacing w:line="240" w:lineRule="auto" w:before="31"/>
        <w:ind w:left="513" w:right="0"/>
        <w:jc w:val="left"/>
      </w:pPr>
      <w:r>
        <w:rPr/>
        <w:t>②内部研究开发项目在研究阶段的支出于发生时计入当期损益；开发阶段的支出，同时满足下列条件的，确认为无形资</w:t>
      </w:r>
    </w:p>
    <w:p>
      <w:pPr>
        <w:pStyle w:val="BodyText"/>
        <w:spacing w:line="240" w:lineRule="auto" w:before="76"/>
        <w:ind w:right="94"/>
        <w:jc w:val="left"/>
      </w:pPr>
      <w:r>
        <w:rPr/>
        <w:t>产：</w:t>
      </w:r>
    </w:p>
    <w:p>
      <w:pPr>
        <w:pStyle w:val="BodyText"/>
        <w:spacing w:line="240" w:lineRule="auto" w:before="76"/>
        <w:ind w:left="513" w:right="94"/>
        <w:jc w:val="left"/>
      </w:pPr>
      <w:r>
        <w:rPr>
          <w:rFonts w:ascii="Times New Roman" w:hAnsi="Times New Roman" w:cs="Times New Roman" w:eastAsia="Times New Roman" w:hint="default"/>
        </w:rPr>
        <w:t>1</w:t>
      </w:r>
      <w:r>
        <w:rPr/>
        <w:t>）公司对该项目方案所采用技术的分析，从技术的角度讲是完全能够生产出产品的，且公司已经对该项目方案所需采</w:t>
      </w:r>
    </w:p>
    <w:p>
      <w:pPr>
        <w:pStyle w:val="BodyText"/>
        <w:spacing w:line="240" w:lineRule="auto" w:before="63"/>
        <w:ind w:right="94"/>
        <w:jc w:val="left"/>
      </w:pPr>
      <w:r>
        <w:rPr/>
        <w:t>用的技术进行了充分的分析论证和测试，即该项目从技术的角度来讲完全是可行的；</w:t>
      </w:r>
    </w:p>
    <w:p>
      <w:pPr>
        <w:pStyle w:val="BodyText"/>
        <w:spacing w:line="309" w:lineRule="auto" w:before="76"/>
        <w:ind w:right="94" w:firstLine="360"/>
        <w:jc w:val="left"/>
      </w:pPr>
      <w:r>
        <w:rPr>
          <w:rFonts w:ascii="Times New Roman" w:hAnsi="Times New Roman" w:cs="Times New Roman" w:eastAsia="Times New Roman" w:hint="default"/>
        </w:rPr>
        <w:t>2</w:t>
      </w:r>
      <w:r>
        <w:rPr/>
        <w:t>）公司在完成项目方案的开发，取得技术成功并形成样品后交由部分下游客户试用，能够带来稳定的经济效益。对于 </w:t>
      </w:r>
      <w:r>
        <w:rPr>
          <w:spacing w:val="-4"/>
        </w:rPr>
        <w:t>经济效益的评价，公司在确认直接经济效益达到或超过项目投入（包括项目研发阶段和项目市场化开发阶段）的所有成本时，</w:t>
      </w:r>
      <w:r>
        <w:rPr>
          <w:spacing w:val="-44"/>
        </w:rPr>
        <w:t> </w:t>
      </w:r>
      <w:r>
        <w:rPr>
          <w:spacing w:val="-44"/>
        </w:rPr>
      </w:r>
      <w:r>
        <w:rPr/>
        <w:t>认为该项目的市场化开发达到预定的经济效益；</w:t>
      </w:r>
    </w:p>
    <w:p>
      <w:pPr>
        <w:pStyle w:val="BodyText"/>
        <w:spacing w:line="240" w:lineRule="auto" w:before="24"/>
        <w:ind w:left="513" w:right="94"/>
        <w:jc w:val="left"/>
      </w:pPr>
      <w:r>
        <w:rPr>
          <w:rFonts w:ascii="Times New Roman" w:hAnsi="Times New Roman" w:cs="Times New Roman" w:eastAsia="Times New Roman" w:hint="default"/>
        </w:rPr>
        <w:t>3</w:t>
      </w:r>
      <w:r>
        <w:rPr/>
        <w:t>）本公司市场部通过市场调研，确认该项目方案进入市场化开发阶段后三年内，能够持续为本公司带来稳定的收益；</w:t>
      </w:r>
    </w:p>
    <w:p>
      <w:pPr>
        <w:pStyle w:val="BodyText"/>
        <w:spacing w:line="300" w:lineRule="auto" w:before="63"/>
        <w:ind w:right="184" w:firstLine="360"/>
        <w:jc w:val="left"/>
      </w:pPr>
      <w:r>
        <w:rPr>
          <w:rFonts w:ascii="Times New Roman" w:hAnsi="Times New Roman" w:cs="Times New Roman" w:eastAsia="Times New Roman" w:hint="default"/>
        </w:rPr>
        <w:t>4</w:t>
      </w:r>
      <w:r>
        <w:rPr/>
        <w:t>）本公司研发中心、市场部配备专业人员来完成开发和推广，同时本公司财务部门在年度的预算中也为项目技术方案 开发及市场化开发阶段提供了资金预算，从人、财、物上保证项目的顺利开发；</w:t>
      </w:r>
    </w:p>
    <w:p>
      <w:pPr>
        <w:pStyle w:val="BodyText"/>
        <w:spacing w:line="307" w:lineRule="auto" w:before="72"/>
        <w:ind w:right="94" w:firstLine="360"/>
        <w:jc w:val="left"/>
      </w:pPr>
      <w:r>
        <w:rPr>
          <w:rFonts w:ascii="Times New Roman" w:hAnsi="Times New Roman" w:cs="Times New Roman" w:eastAsia="Times New Roman" w:hint="default"/>
        </w:rPr>
        <w:t>5</w:t>
      </w:r>
      <w:r>
        <w:rPr/>
        <w:t>）本公司对各个研发项目方案，已经按照直接人工、直接材料投入、设计费、试制费、折旧摊销、调试费等费用明细 进行归集，在核算过程中，如果发生的某笔费用系为多个项目而发生，能够按照一定比例分摊的，分摊后归集到该项目中， 不能够按照一定比例分摊的，则直接计入当期管理费用。</w:t>
      </w:r>
    </w:p>
    <w:p>
      <w:pPr>
        <w:pStyle w:val="BodyText"/>
        <w:spacing w:line="240" w:lineRule="auto" w:before="67"/>
        <w:ind w:left="513" w:right="94"/>
        <w:jc w:val="left"/>
      </w:pPr>
      <w:r>
        <w:rPr/>
        <w:t>只有同时符合以上五个条件，公司才将开发阶段的支出资本化，不满足上述条件的开发支出，计入当期损益。</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r>
        <w:rPr>
          <w:rFonts w:ascii="Times New Roman" w:hAnsi="Times New Roman" w:cs="Times New Roman" w:eastAsia="Times New Roman" w:hint="default"/>
        </w:rPr>
        <w:t>20</w:t>
      </w:r>
      <w:r>
        <w:rPr/>
        <w:t>、长期资产减值</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94" w:firstLine="288"/>
        <w:jc w:val="left"/>
      </w:pPr>
      <w:r>
        <w:rPr>
          <w:spacing w:val="-1"/>
        </w:rPr>
        <w:t>对于固定资产、在建工程、使用寿命有限的无形资产、以成本模式计量的投资性房地产及对子公司、合营企业、联营企</w:t>
      </w:r>
      <w:r>
        <w:rPr/>
        <w:t> </w:t>
      </w:r>
      <w:r>
        <w:rPr>
          <w:spacing w:val="-2"/>
        </w:rPr>
        <w:t>业的长期股权投资等非流动非金融资产，公司于资产负债表日判断是否存在减值迹象。如存在减值迹象的，则估计其可收回</w:t>
      </w:r>
    </w:p>
    <w:p>
      <w:pPr>
        <w:spacing w:after="0" w:line="316" w:lineRule="auto"/>
        <w:jc w:val="left"/>
        <w:sectPr>
          <w:footerReference w:type="default" r:id="rId36"/>
          <w:pgSz w:w="11910" w:h="16840"/>
          <w:pgMar w:footer="979" w:header="877" w:top="1100" w:bottom="1160" w:left="980" w:right="940"/>
          <w:pgNumType w:start="111"/>
        </w:sectPr>
      </w:pPr>
    </w:p>
    <w:p>
      <w:pPr>
        <w:spacing w:line="240" w:lineRule="auto" w:before="11"/>
        <w:rPr>
          <w:rFonts w:ascii="宋体" w:hAnsi="宋体" w:cs="宋体" w:eastAsia="宋体" w:hint="default"/>
          <w:sz w:val="21"/>
          <w:szCs w:val="21"/>
        </w:rPr>
      </w:pPr>
    </w:p>
    <w:p>
      <w:pPr>
        <w:pStyle w:val="BodyText"/>
        <w:spacing w:line="316" w:lineRule="auto" w:before="44"/>
        <w:ind w:right="94"/>
        <w:jc w:val="left"/>
      </w:pPr>
      <w:r>
        <w:rPr>
          <w:spacing w:val="-2"/>
        </w:rPr>
        <w:t>金额，进行减值测试。商誉、使用寿命不确定的无形资产和尚未达到可使用状态的无形资产，无论是否存在减值迹象，每年</w:t>
      </w:r>
      <w:r>
        <w:rPr>
          <w:spacing w:val="-65"/>
        </w:rPr>
        <w:t> </w:t>
      </w:r>
      <w:r>
        <w:rPr>
          <w:spacing w:val="-65"/>
        </w:rPr>
      </w:r>
      <w:r>
        <w:rPr/>
        <w:t>均进行减值测试。</w:t>
      </w:r>
    </w:p>
    <w:p>
      <w:pPr>
        <w:pStyle w:val="BodyText"/>
        <w:spacing w:line="316" w:lineRule="auto" w:before="19"/>
        <w:ind w:right="94" w:firstLine="288"/>
        <w:jc w:val="left"/>
      </w:pPr>
      <w:r>
        <w:rPr/>
        <w:t>减值测试结果表明资产的可收回金额低于其账面价值的，按其差额计提减值准备并计入减值损失。可收回金额为资产的 </w:t>
      </w:r>
      <w:r>
        <w:rPr>
          <w:spacing w:val="-2"/>
        </w:rPr>
        <w:t>公允价值减去处置费用后的净额与资产预计未来现金流量的现值两者之间的较高者。资产的公允价值根据公平交易中销售协</w:t>
      </w:r>
      <w:r>
        <w:rPr>
          <w:spacing w:val="-64"/>
        </w:rPr>
        <w:t> </w:t>
      </w:r>
      <w:r>
        <w:rPr>
          <w:spacing w:val="-64"/>
        </w:rPr>
      </w:r>
      <w:r>
        <w:rPr>
          <w:spacing w:val="-2"/>
        </w:rPr>
        <w:t>议价格确定；不存在销售协议但存在资产活跃市场的，公允价值按照该资产的买方出价确定；不存在销售协议和资产活跃市</w:t>
      </w:r>
      <w:r>
        <w:rPr>
          <w:spacing w:val="-63"/>
        </w:rPr>
        <w:t> </w:t>
      </w:r>
      <w:r>
        <w:rPr>
          <w:spacing w:val="-63"/>
        </w:rPr>
      </w:r>
      <w:r>
        <w:rPr>
          <w:spacing w:val="-2"/>
        </w:rPr>
        <w:t>场的，则以可获取的最佳信息为基础估计资产的公允价值。处置费用包括与资产处置有关的法律费用、相关税费、搬运费以</w:t>
      </w:r>
      <w:r>
        <w:rPr>
          <w:spacing w:val="-64"/>
        </w:rPr>
        <w:t> </w:t>
      </w:r>
      <w:r>
        <w:rPr>
          <w:spacing w:val="-64"/>
        </w:rPr>
      </w:r>
      <w:r>
        <w:rPr>
          <w:spacing w:val="-2"/>
        </w:rPr>
        <w:t>及为使资产达到可销售状态所发生的直接费用。资产预计未来现金流量的现值，按照资产在持续使用过程中和最终处置时所</w:t>
      </w:r>
      <w:r>
        <w:rPr>
          <w:spacing w:val="-64"/>
        </w:rPr>
        <w:t> </w:t>
      </w:r>
      <w:r>
        <w:rPr>
          <w:spacing w:val="-64"/>
        </w:rPr>
      </w:r>
      <w:r>
        <w:rPr>
          <w:spacing w:val="-4"/>
        </w:rPr>
        <w:t>产生的预计未来现金流量，选择恰当的折现率对其进行折现后的金额加以确定。资产减值准备按单项资产为基础计算并确认，</w:t>
      </w:r>
      <w:r>
        <w:rPr>
          <w:spacing w:val="-43"/>
        </w:rPr>
        <w:t> </w:t>
      </w:r>
      <w:r>
        <w:rPr>
          <w:spacing w:val="-43"/>
        </w:rPr>
      </w:r>
      <w:r>
        <w:rPr>
          <w:spacing w:val="-2"/>
        </w:rPr>
        <w:t>如果难以对单项资产的可收回金额进行估计的，以该资产所属的资产组确定资产组的可收回金额。资产组是能够独立产生现</w:t>
      </w:r>
      <w:r>
        <w:rPr>
          <w:spacing w:val="-64"/>
        </w:rPr>
        <w:t> </w:t>
      </w:r>
      <w:r>
        <w:rPr>
          <w:spacing w:val="-64"/>
        </w:rPr>
      </w:r>
      <w:r>
        <w:rPr/>
        <w:t>金流入的最小资产组合。</w:t>
      </w:r>
    </w:p>
    <w:p>
      <w:pPr>
        <w:pStyle w:val="BodyText"/>
        <w:spacing w:line="319" w:lineRule="auto" w:before="19"/>
        <w:ind w:right="191" w:firstLine="288"/>
        <w:jc w:val="both"/>
      </w:pPr>
      <w:r>
        <w:rPr>
          <w:spacing w:val="-1"/>
        </w:rPr>
        <w:t>在财务报表中单独列示的商誉，在进行减值测试时，将商誉的账面价值分摊至预期从企业合并的协同效应中受益的资产</w:t>
      </w:r>
      <w:r>
        <w:rPr/>
        <w:t> </w:t>
      </w:r>
      <w:r>
        <w:rPr>
          <w:spacing w:val="-2"/>
        </w:rPr>
        <w:t>组或资产组组合。测试结果表明包含分摊的商誉的资产组或资产组组合的可收回金额低于其账面价值的，确认相应的减值损</w:t>
      </w:r>
      <w:r>
        <w:rPr>
          <w:spacing w:val="-64"/>
        </w:rPr>
        <w:t> </w:t>
      </w:r>
      <w:r>
        <w:rPr>
          <w:spacing w:val="-64"/>
        </w:rPr>
      </w:r>
      <w:r>
        <w:rPr>
          <w:spacing w:val="-2"/>
        </w:rPr>
        <w:t>失。减值损失金额先抵减分摊至该资产组或资产组组合的商誉的账面价值，再根据资产组或资产组组合中除商誉以外的其他</w:t>
      </w:r>
      <w:r>
        <w:rPr>
          <w:spacing w:val="-62"/>
        </w:rPr>
        <w:t> </w:t>
      </w:r>
      <w:r>
        <w:rPr>
          <w:spacing w:val="-62"/>
        </w:rPr>
      </w:r>
      <w:r>
        <w:rPr/>
        <w:t>各项资产的账面价值所占比重，按比例抵减其他各项资产的账面价值。</w:t>
      </w:r>
    </w:p>
    <w:p>
      <w:pPr>
        <w:pStyle w:val="BodyText"/>
        <w:spacing w:line="240" w:lineRule="auto" w:before="17"/>
        <w:ind w:left="513" w:right="94"/>
        <w:jc w:val="left"/>
      </w:pPr>
      <w:r>
        <w:rPr/>
        <w:t>上述资产减值损失一经确认，以后期间不予转回价值得以恢复的部分。</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r>
        <w:rPr>
          <w:rFonts w:ascii="Times New Roman" w:hAnsi="Times New Roman" w:cs="Times New Roman" w:eastAsia="Times New Roman" w:hint="default"/>
        </w:rPr>
        <w:t>21</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94" w:firstLine="288"/>
        <w:jc w:val="left"/>
      </w:pPr>
      <w:r>
        <w:rPr/>
        <w:t>长期待摊费用是公司已经发生但应由本期和以后各期负担的分摊期限在</w:t>
      </w:r>
      <w:r>
        <w:rPr>
          <w:rFonts w:ascii="Times New Roman" w:hAnsi="Times New Roman" w:cs="Times New Roman" w:eastAsia="Times New Roman" w:hint="default"/>
        </w:rPr>
        <w:t>1</w:t>
      </w:r>
      <w:r>
        <w:rPr/>
        <w:t>年以上</w:t>
      </w:r>
      <w:r>
        <w:rPr>
          <w:rFonts w:ascii="Times New Roman" w:hAnsi="Times New Roman" w:cs="Times New Roman" w:eastAsia="Times New Roman" w:hint="default"/>
        </w:rPr>
        <w:t>(</w:t>
      </w:r>
      <w:r>
        <w:rPr/>
        <w:t>不含</w:t>
      </w:r>
      <w:r>
        <w:rPr>
          <w:rFonts w:ascii="Times New Roman" w:hAnsi="Times New Roman" w:cs="Times New Roman" w:eastAsia="Times New Roman" w:hint="default"/>
        </w:rPr>
        <w:t>1</w:t>
      </w:r>
      <w:r>
        <w:rPr/>
        <w:t>年</w:t>
      </w:r>
      <w:r>
        <w:rPr>
          <w:rFonts w:ascii="Times New Roman" w:hAnsi="Times New Roman" w:cs="Times New Roman" w:eastAsia="Times New Roman" w:hint="default"/>
        </w:rPr>
        <w:t>)</w:t>
      </w:r>
      <w:r>
        <w:rPr/>
        <w:t>的各项费用。长期待摊费用在 受益期内平均摊销，如果长期待摊费用项目不能使以后会计期间受益的，则将其尚未摊销的摊余价值全部转入当期损益。</w:t>
      </w:r>
    </w:p>
    <w:p>
      <w:pPr>
        <w:spacing w:line="240" w:lineRule="auto" w:before="10"/>
        <w:rPr>
          <w:rFonts w:ascii="宋体" w:hAnsi="宋体" w:cs="宋体" w:eastAsia="宋体" w:hint="default"/>
          <w:sz w:val="23"/>
          <w:szCs w:val="23"/>
        </w:rPr>
      </w:pPr>
    </w:p>
    <w:p>
      <w:pPr>
        <w:pStyle w:val="Heading3"/>
        <w:spacing w:line="240" w:lineRule="auto"/>
        <w:ind w:right="94"/>
        <w:jc w:val="left"/>
        <w:rPr>
          <w:b w:val="0"/>
          <w:bCs w:val="0"/>
        </w:rPr>
      </w:pPr>
      <w:r>
        <w:rPr>
          <w:rFonts w:ascii="Times New Roman" w:hAnsi="Times New Roman" w:cs="Times New Roman" w:eastAsia="Times New Roman" w:hint="default"/>
        </w:rPr>
        <w:t>22</w:t>
      </w:r>
      <w:r>
        <w:rPr/>
        <w:t>、职工薪酬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94"/>
        <w:jc w:val="left"/>
      </w:pPr>
      <w:r>
        <w:rPr/>
        <w:t>短期薪酬是指公司在职工提供相关服务的年度报告期间结束后十二个月内需要全部予以支付的职工薪酬。 </w:t>
      </w:r>
      <w:r>
        <w:rPr>
          <w:spacing w:val="-2"/>
        </w:rPr>
        <w:t>短期薪酬包括职工工资、奖金、津贴和补贴，职工福利费、医疗保险费、工伤保险费和生育保险费等社会保险费，住房</w:t>
      </w:r>
    </w:p>
    <w:p>
      <w:pPr>
        <w:pStyle w:val="BodyText"/>
        <w:spacing w:line="316" w:lineRule="auto" w:before="19"/>
        <w:ind w:left="513" w:right="273" w:hanging="361"/>
        <w:jc w:val="left"/>
      </w:pPr>
      <w:r>
        <w:rPr/>
        <w:t>公积金、工会经费和职工教育经费，短期带薪缺勤、短期利润分享计划，非货币性福利以及其他短期薪酬。 短期薪酬在职工为公司提供服务的会计期间，将实际发生的短期薪酬确认为负债，并计入当期损益或相关资产成本。</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4" w:firstLine="360"/>
        <w:jc w:val="left"/>
      </w:pPr>
      <w:r>
        <w:rPr>
          <w:spacing w:val="-2"/>
        </w:rPr>
        <w:t>离职后福利是指公司为获得员工提供的服务而在职工退休或与公司解除劳动关系后，提供的各种形式的报酬和福利，短</w:t>
      </w:r>
      <w:r>
        <w:rPr/>
        <w:t> 期薪酬和辞退福利除外。</w:t>
      </w:r>
    </w:p>
    <w:p>
      <w:pPr>
        <w:pStyle w:val="BodyText"/>
        <w:spacing w:line="316" w:lineRule="auto" w:before="19"/>
        <w:ind w:right="94" w:firstLine="360"/>
        <w:jc w:val="left"/>
      </w:pPr>
      <w:r>
        <w:rPr>
          <w:spacing w:val="-2"/>
        </w:rPr>
        <w:t>离职后福利计划包括设定提存计划和设定受益计划。其中，设定提存计划，是指向独立的基金缴存固定费用后，公司不</w:t>
      </w:r>
      <w:r>
        <w:rPr/>
        <w:t> 再承担进一步支付义务的离职后福利计划；设定受益计划，是指除设定提存计划以外的离职后福利计划。</w:t>
      </w:r>
    </w:p>
    <w:p>
      <w:pPr>
        <w:pStyle w:val="BodyText"/>
        <w:spacing w:line="316" w:lineRule="auto" w:before="19"/>
        <w:ind w:right="94" w:firstLine="360"/>
        <w:jc w:val="left"/>
      </w:pPr>
      <w:r>
        <w:rPr>
          <w:spacing w:val="-2"/>
        </w:rPr>
        <w:t>设定提存计划包括基本养老保险、失业保险等。在职工提供服务的会计期间，根据设定提存计划计算的应缴存金额确认</w:t>
      </w:r>
      <w:r>
        <w:rPr/>
        <w:t> 为负债，并计入当期损益或相关资产成本。</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93"/>
        <w:jc w:val="left"/>
      </w:pPr>
      <w:r>
        <w:rPr/>
        <w:t>辞退福利是指公司在职工劳动合同到期之前解除与职工的劳动关系，或者为鼓励职工自愿接受裁减而给予职工的补偿。 </w:t>
      </w:r>
      <w:r>
        <w:rPr>
          <w:spacing w:val="-2"/>
        </w:rPr>
        <w:t>公司向职工提供辞退福利的，在下列两者孰早日确认辞退福利产生的职工薪酬负债，并计入当期损益：公司不能单方面</w:t>
      </w:r>
    </w:p>
    <w:p>
      <w:pPr>
        <w:pStyle w:val="BodyText"/>
        <w:spacing w:line="240" w:lineRule="auto" w:before="19"/>
        <w:ind w:right="94"/>
        <w:jc w:val="left"/>
      </w:pPr>
      <w:r>
        <w:rPr/>
        <w:t>撤回因解除劳动关系计划或裁减建议所提供的辞退福利时；公司确认与涉及支付辞退福利的重组相关的成本或费用时。</w:t>
      </w:r>
    </w:p>
    <w:p>
      <w:pPr>
        <w:spacing w:after="0" w:line="240" w:lineRule="auto"/>
        <w:jc w:val="left"/>
        <w:sectPr>
          <w:pgSz w:w="11910" w:h="16840"/>
          <w:pgMar w:header="877" w:footer="979" w:top="1100" w:bottom="1160" w:left="980" w:right="940"/>
        </w:sectPr>
      </w:pPr>
    </w:p>
    <w:p>
      <w:pPr>
        <w:spacing w:line="240" w:lineRule="auto" w:before="12"/>
        <w:rPr>
          <w:rFonts w:ascii="宋体" w:hAnsi="宋体" w:cs="宋体" w:eastAsia="宋体" w:hint="default"/>
          <w:sz w:val="20"/>
          <w:szCs w:val="20"/>
        </w:rPr>
      </w:pPr>
    </w:p>
    <w:p>
      <w:pPr>
        <w:pStyle w:val="Heading3"/>
        <w:spacing w:line="240" w:lineRule="auto" w:before="36"/>
        <w:ind w:right="0"/>
        <w:jc w:val="both"/>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firstLine="360"/>
        <w:jc w:val="left"/>
      </w:pPr>
      <w:r>
        <w:rPr/>
        <w:t>其他长期职工福利是指除短期薪酬、离职后福利、辞退福利之外所有的职工薪酬，包括长期带薪缺勤、长期残疾福利、 长期利润分享计划等。</w:t>
      </w:r>
    </w:p>
    <w:p>
      <w:pPr>
        <w:pStyle w:val="BodyText"/>
        <w:spacing w:line="240" w:lineRule="auto" w:before="19"/>
        <w:ind w:left="513" w:right="94"/>
        <w:jc w:val="left"/>
      </w:pPr>
      <w:r>
        <w:rPr/>
        <w:t>企业向职工提供的其他长期职工福利，符合设定提存计划条件的，适用于上述设定提存计划的有关规定进行处理。</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23</w:t>
      </w:r>
      <w:r>
        <w:rPr/>
        <w:t>、预计负债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94"/>
        <w:jc w:val="left"/>
      </w:pPr>
      <w:r>
        <w:rPr/>
        <w:t>与或有事项相关的义务同时满足下列条件的，确认为预计负债：</w:t>
      </w:r>
    </w:p>
    <w:p>
      <w:pPr>
        <w:pStyle w:val="BodyText"/>
        <w:spacing w:line="240" w:lineRule="auto" w:before="76"/>
        <w:ind w:left="513" w:right="94"/>
        <w:jc w:val="left"/>
      </w:pPr>
      <w:r>
        <w:rPr/>
        <w:t>（</w:t>
      </w:r>
      <w:r>
        <w:rPr>
          <w:rFonts w:ascii="宋体" w:hAnsi="宋体" w:cs="宋体" w:eastAsia="宋体" w:hint="default"/>
        </w:rPr>
        <w:t>1</w:t>
      </w:r>
      <w:r>
        <w:rPr/>
        <w:t>）该义务是企业承担的现时义务；</w:t>
      </w:r>
    </w:p>
    <w:p>
      <w:pPr>
        <w:pStyle w:val="BodyText"/>
        <w:spacing w:line="240" w:lineRule="auto" w:before="76"/>
        <w:ind w:left="513" w:right="94"/>
        <w:jc w:val="left"/>
      </w:pPr>
      <w:r>
        <w:rPr/>
        <w:t>（</w:t>
      </w:r>
      <w:r>
        <w:rPr>
          <w:rFonts w:ascii="宋体" w:hAnsi="宋体" w:cs="宋体" w:eastAsia="宋体" w:hint="default"/>
        </w:rPr>
        <w:t>2</w:t>
      </w:r>
      <w:r>
        <w:rPr/>
        <w:t>）履行该义务很可能导致经济利益流出企业；</w:t>
      </w:r>
    </w:p>
    <w:p>
      <w:pPr>
        <w:pStyle w:val="BodyText"/>
        <w:spacing w:line="316" w:lineRule="auto" w:before="77"/>
        <w:ind w:left="513" w:right="3513"/>
        <w:jc w:val="left"/>
      </w:pPr>
      <w:r>
        <w:rPr/>
        <w:t>（</w:t>
      </w:r>
      <w:r>
        <w:rPr>
          <w:rFonts w:ascii="宋体" w:hAnsi="宋体" w:cs="宋体" w:eastAsia="宋体" w:hint="default"/>
        </w:rPr>
        <w:t>3</w:t>
      </w:r>
      <w:r>
        <w:rPr/>
        <w:t>）该义务的金额能够可靠地计量。 预计负债应当按照履行相关现时义务所需支出的最佳估计数进行初始计量。</w:t>
      </w:r>
    </w:p>
    <w:p>
      <w:pPr>
        <w:pStyle w:val="BodyText"/>
        <w:spacing w:line="316" w:lineRule="auto" w:before="19"/>
        <w:ind w:right="94" w:firstLine="360"/>
        <w:jc w:val="left"/>
      </w:pPr>
      <w:r>
        <w:rPr>
          <w:spacing w:val="-2"/>
        </w:rPr>
        <w:t>本公司在确定最佳估计数时，综合考虑与或有事项有关的风险、不确定性和货币时间价值等因素对于货币时间价值影响</w:t>
      </w:r>
      <w:r>
        <w:rPr/>
        <w:t> 重大的，通过对相关未来现金流出进行折现后确定最佳估计数。</w:t>
      </w:r>
    </w:p>
    <w:p>
      <w:pPr>
        <w:pStyle w:val="BodyText"/>
        <w:spacing w:line="316" w:lineRule="auto" w:before="19"/>
        <w:ind w:left="513" w:right="94"/>
        <w:jc w:val="left"/>
      </w:pPr>
      <w:r>
        <w:rPr/>
        <w:t>最佳估计数分别以下情况处理： </w:t>
      </w:r>
      <w:r>
        <w:rPr>
          <w:spacing w:val="-2"/>
        </w:rPr>
        <w:t>所需支出存在一个连续范围（或区间），且该范围内各种结果发生的可能性相同的，则最佳估计数按照该范围的中间值</w:t>
      </w:r>
    </w:p>
    <w:p>
      <w:pPr>
        <w:pStyle w:val="BodyText"/>
        <w:spacing w:line="316" w:lineRule="auto" w:before="19"/>
        <w:ind w:right="191"/>
        <w:jc w:val="both"/>
      </w:pPr>
      <w:r>
        <w:rPr>
          <w:spacing w:val="-2"/>
        </w:rPr>
        <w:t>即上下限金额的平均数确定。所需支出不存在一个连续范围（或区间），或虽然存在一个连续范围但该范围内各种结果发生</w:t>
      </w:r>
      <w:r>
        <w:rPr>
          <w:spacing w:val="-65"/>
        </w:rPr>
        <w:t> </w:t>
      </w:r>
      <w:r>
        <w:rPr>
          <w:spacing w:val="-65"/>
        </w:rPr>
      </w:r>
      <w:r>
        <w:rPr>
          <w:spacing w:val="-2"/>
        </w:rPr>
        <w:t>的可能性不相同的，如或有事项涉及单个项目的，则最佳估计数按照最可能发生金额确定；如或有事项涉及多个项目的，则</w:t>
      </w:r>
      <w:r>
        <w:rPr>
          <w:spacing w:val="-64"/>
        </w:rPr>
        <w:t> </w:t>
      </w:r>
      <w:r>
        <w:rPr>
          <w:spacing w:val="-64"/>
        </w:rPr>
      </w:r>
      <w:r>
        <w:rPr/>
        <w:t>最佳估计数按各种可能结果及相关概率计算确定。</w:t>
      </w:r>
    </w:p>
    <w:p>
      <w:pPr>
        <w:pStyle w:val="BodyText"/>
        <w:spacing w:line="319" w:lineRule="auto" w:before="19"/>
        <w:ind w:right="94" w:firstLine="360"/>
        <w:jc w:val="left"/>
      </w:pPr>
      <w:r>
        <w:rPr/>
        <w:t>本公司清偿预计负债所需支出全部或部分预期由第三方补偿的，补偿金额在基本确定能够收到时，作为资产单独确认， 确认的补偿金额不超过预计负债的账面价值。</w:t>
      </w:r>
    </w:p>
    <w:p>
      <w:pPr>
        <w:spacing w:line="240" w:lineRule="auto" w:before="9"/>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24</w:t>
      </w:r>
      <w:r>
        <w:rPr/>
        <w:t>、股份支付</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firstLine="360"/>
        <w:jc w:val="left"/>
      </w:pPr>
      <w:r>
        <w:rPr>
          <w:spacing w:val="-2"/>
        </w:rPr>
        <w:t>本公司的股份支付是为了获取职工提供服务而授予权益工具或者承担以权益工具为基础确定的负债的交易。本公司的股</w:t>
      </w:r>
      <w:r>
        <w:rPr/>
        <w:t> 份支付为以权益结算的股份支付。</w:t>
      </w:r>
    </w:p>
    <w:p>
      <w:pPr>
        <w:pStyle w:val="BodyText"/>
        <w:spacing w:line="316" w:lineRule="auto" w:before="19"/>
        <w:ind w:left="513" w:right="94"/>
        <w:jc w:val="left"/>
      </w:pPr>
      <w:r>
        <w:rPr/>
        <w:t>（</w:t>
      </w:r>
      <w:r>
        <w:rPr>
          <w:rFonts w:ascii="宋体" w:hAnsi="宋体" w:cs="宋体" w:eastAsia="宋体" w:hint="default"/>
        </w:rPr>
        <w:t>1</w:t>
      </w:r>
      <w:r>
        <w:rPr/>
        <w:t>）权益工具公允价值的确定方法 </w:t>
      </w:r>
      <w:r>
        <w:rPr>
          <w:spacing w:val="-2"/>
        </w:rPr>
        <w:t>以权益结算的股份支付换取职工提供服务的，以授予职工权益工具的公允价值计量。授予后立即可行权的，在授予日按</w:t>
      </w:r>
    </w:p>
    <w:p>
      <w:pPr>
        <w:pStyle w:val="BodyText"/>
        <w:spacing w:line="319" w:lineRule="auto" w:before="19"/>
        <w:ind w:right="193"/>
        <w:jc w:val="both"/>
      </w:pPr>
      <w:r>
        <w:rPr>
          <w:spacing w:val="-2"/>
        </w:rPr>
        <w:t>照公允价值计入相关成本或费用，相应增加资本公积；完成等待期内的服务或达到规定业绩条件才可行权的，在等待期内每</w:t>
      </w:r>
      <w:r>
        <w:rPr>
          <w:spacing w:val="-66"/>
        </w:rPr>
        <w:t> </w:t>
      </w:r>
      <w:r>
        <w:rPr>
          <w:spacing w:val="-66"/>
        </w:rPr>
      </w:r>
      <w:r>
        <w:rPr>
          <w:spacing w:val="-2"/>
        </w:rPr>
        <w:t>个资产负债表日，本公司根据最新取得的可行权职工人数变动、是否达到规定业绩条件等后续信息对可行权权益工具数量作</w:t>
      </w:r>
      <w:r>
        <w:rPr>
          <w:spacing w:val="-64"/>
        </w:rPr>
        <w:t> </w:t>
      </w:r>
      <w:r>
        <w:rPr>
          <w:spacing w:val="-64"/>
        </w:rPr>
      </w:r>
      <w:r>
        <w:rPr>
          <w:spacing w:val="-2"/>
        </w:rPr>
        <w:t>出最佳估计，以此为基础，按照授予日的公允价值，将当期取得的服务计入相关成本或费用，相应计入资本公积。权益工具</w:t>
      </w:r>
      <w:r>
        <w:rPr>
          <w:spacing w:val="-67"/>
        </w:rPr>
        <w:t> </w:t>
      </w:r>
      <w:r>
        <w:rPr>
          <w:spacing w:val="-67"/>
        </w:rPr>
      </w:r>
      <w:r>
        <w:rPr/>
        <w:t>的公允价值采用</w:t>
      </w:r>
      <w:r>
        <w:rPr>
          <w:rFonts w:ascii="宋体" w:hAnsi="宋体" w:cs="宋体" w:eastAsia="宋体" w:hint="default"/>
        </w:rPr>
        <w:t>Black-Scholes</w:t>
      </w:r>
      <w:r>
        <w:rPr>
          <w:rFonts w:ascii="宋体" w:hAnsi="宋体" w:cs="宋体" w:eastAsia="宋体" w:hint="default"/>
          <w:spacing w:val="-2"/>
        </w:rPr>
        <w:t> </w:t>
      </w:r>
      <w:r>
        <w:rPr/>
        <w:t>模型确定。</w:t>
      </w:r>
    </w:p>
    <w:p>
      <w:pPr>
        <w:pStyle w:val="BodyText"/>
        <w:spacing w:line="316" w:lineRule="auto" w:before="17"/>
        <w:ind w:left="513" w:right="94"/>
        <w:jc w:val="left"/>
      </w:pPr>
      <w:r>
        <w:rPr/>
        <w:t>（</w:t>
      </w:r>
      <w:r>
        <w:rPr>
          <w:rFonts w:ascii="宋体" w:hAnsi="宋体" w:cs="宋体" w:eastAsia="宋体" w:hint="default"/>
        </w:rPr>
        <w:t>2</w:t>
      </w:r>
      <w:r>
        <w:rPr/>
        <w:t>）确认可行权权益工具最佳估计的依据 </w:t>
      </w:r>
      <w:r>
        <w:rPr>
          <w:spacing w:val="-2"/>
        </w:rPr>
        <w:t>在满足业绩条件或服务期限条件的期间，应确认以权益结算的股份支付的成本或费用，并相应增加资本公积。可行权日</w:t>
      </w:r>
    </w:p>
    <w:p>
      <w:pPr>
        <w:pStyle w:val="BodyText"/>
        <w:spacing w:line="316" w:lineRule="auto" w:before="19"/>
        <w:ind w:right="193"/>
        <w:jc w:val="both"/>
      </w:pPr>
      <w:r>
        <w:rPr>
          <w:spacing w:val="-2"/>
        </w:rPr>
        <w:t>之前，于每个资产负债表日为以权益结算的股份支付确认的累计金额反映了等待期已届满的部分以及本公司对最终可行权的</w:t>
      </w:r>
      <w:r>
        <w:rPr>
          <w:spacing w:val="-64"/>
        </w:rPr>
        <w:t> </w:t>
      </w:r>
      <w:r>
        <w:rPr>
          <w:spacing w:val="-64"/>
        </w:rPr>
      </w:r>
      <w:r>
        <w:rPr/>
        <w:t>权益工具数量的最佳估计。</w:t>
      </w:r>
    </w:p>
    <w:p>
      <w:pPr>
        <w:pStyle w:val="BodyText"/>
        <w:spacing w:line="316" w:lineRule="auto" w:before="19"/>
        <w:ind w:left="513" w:right="94"/>
        <w:jc w:val="left"/>
      </w:pPr>
      <w:r>
        <w:rPr/>
        <w:t>（</w:t>
      </w:r>
      <w:r>
        <w:rPr>
          <w:rFonts w:ascii="宋体" w:hAnsi="宋体" w:cs="宋体" w:eastAsia="宋体" w:hint="default"/>
        </w:rPr>
        <w:t>3</w:t>
      </w:r>
      <w:r>
        <w:rPr/>
        <w:t>）实施、修改、终止股份支付计划的相关会计处理 </w:t>
      </w:r>
      <w:r>
        <w:rPr>
          <w:spacing w:val="-2"/>
        </w:rPr>
        <w:t>对于最终未能行权的股份支付，不确认成本或费用，除非行权条件是市场条件或非可行权条件，此时无论是否满足市场</w:t>
      </w:r>
    </w:p>
    <w:p>
      <w:pPr>
        <w:pStyle w:val="BodyText"/>
        <w:spacing w:line="316" w:lineRule="auto" w:before="19"/>
        <w:ind w:left="513" w:right="94" w:hanging="361"/>
        <w:jc w:val="left"/>
      </w:pPr>
      <w:r>
        <w:rPr/>
        <w:t>条件或非可行权条件，只要满足所有可行权条件中的非市场条件，即视为可行权。 </w:t>
      </w:r>
      <w:r>
        <w:rPr>
          <w:spacing w:val="-2"/>
        </w:rPr>
        <w:t>如果修改了以权益结算的股份支付的条款，至少按照未修改条款的情况确认取得的服务。此外，任何增加所授予权益工</w:t>
      </w:r>
    </w:p>
    <w:p>
      <w:pPr>
        <w:pStyle w:val="BodyText"/>
        <w:spacing w:line="316" w:lineRule="auto" w:before="19"/>
        <w:ind w:left="513" w:right="94" w:hanging="361"/>
        <w:jc w:val="left"/>
      </w:pPr>
      <w:r>
        <w:rPr/>
        <w:t>具公允价值的修改，或在修改日对职工有利的变更，均确认取得服务的增加。 </w:t>
      </w:r>
      <w:r>
        <w:rPr>
          <w:spacing w:val="-2"/>
        </w:rPr>
        <w:t>如果取消了以权益结算的股份支付，则于取消日作为加速行权处理，立即确认尚未确认的金额。职工或其他方能够选择</w:t>
      </w:r>
    </w:p>
    <w:p>
      <w:pPr>
        <w:pStyle w:val="BodyText"/>
        <w:spacing w:line="316" w:lineRule="auto" w:before="19"/>
        <w:ind w:right="191"/>
        <w:jc w:val="both"/>
      </w:pPr>
      <w:r>
        <w:rPr>
          <w:spacing w:val="-2"/>
        </w:rPr>
        <w:t>满足非可行权条件但在等待期内未满足的，作为取消以权益结算的股份支付处理。但是，如果授予新的权益工具，并在新权</w:t>
      </w:r>
      <w:r>
        <w:rPr>
          <w:spacing w:val="-64"/>
        </w:rPr>
        <w:t> </w:t>
      </w:r>
      <w:r>
        <w:rPr>
          <w:spacing w:val="-64"/>
        </w:rPr>
      </w:r>
      <w:r>
        <w:rPr/>
        <w:t>益工具授予日认定所授予的新权益工具是用于替代被取消的权益工具的，则以与处理原权益工具条款和条件修改相同的方</w:t>
      </w:r>
    </w:p>
    <w:p>
      <w:pPr>
        <w:spacing w:after="0" w:line="316" w:lineRule="auto"/>
        <w:jc w:val="both"/>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240" w:lineRule="auto" w:before="44"/>
        <w:ind w:right="94"/>
        <w:jc w:val="left"/>
      </w:pPr>
      <w:r>
        <w:rPr/>
        <w:t>式，对所授予的替代权益工具进行处理。</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r>
        <w:rPr>
          <w:rFonts w:ascii="Times New Roman" w:hAnsi="Times New Roman" w:cs="Times New Roman" w:eastAsia="Times New Roman" w:hint="default"/>
        </w:rPr>
        <w:t>25</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6754"/>
        <w:jc w:val="left"/>
      </w:pPr>
      <w:r>
        <w:rPr/>
        <w:t>公司是否需要遵守特殊行业的披露要求 否</w:t>
      </w:r>
    </w:p>
    <w:p>
      <w:pPr>
        <w:pStyle w:val="BodyText"/>
        <w:spacing w:line="240" w:lineRule="auto" w:before="29"/>
        <w:ind w:left="513" w:right="94"/>
        <w:jc w:val="left"/>
      </w:pPr>
      <w:r>
        <w:rPr>
          <w:rFonts w:ascii="宋体" w:hAnsi="宋体" w:cs="宋体" w:eastAsia="宋体" w:hint="default"/>
        </w:rPr>
        <w:t>(1)</w:t>
      </w:r>
      <w:r>
        <w:rPr>
          <w:rFonts w:ascii="宋体" w:hAnsi="宋体" w:cs="宋体" w:eastAsia="宋体" w:hint="default"/>
          <w:spacing w:val="-1"/>
        </w:rPr>
        <w:t> </w:t>
      </w:r>
      <w:r>
        <w:rPr/>
        <w:t>营业收入包括销售商品收入、提供劳务收入以及让渡资产使用权收入。</w:t>
      </w:r>
    </w:p>
    <w:p>
      <w:pPr>
        <w:pStyle w:val="BodyText"/>
        <w:spacing w:line="316" w:lineRule="auto" w:before="76"/>
        <w:ind w:left="513" w:right="5673" w:firstLine="91"/>
        <w:jc w:val="left"/>
      </w:pPr>
      <w:r>
        <w:rPr>
          <w:rFonts w:ascii="宋体" w:hAnsi="宋体" w:cs="宋体" w:eastAsia="宋体" w:hint="default"/>
        </w:rPr>
        <w:t>(2)</w:t>
      </w:r>
      <w:r>
        <w:rPr>
          <w:rFonts w:ascii="宋体" w:hAnsi="宋体" w:cs="宋体" w:eastAsia="宋体" w:hint="default"/>
          <w:spacing w:val="1"/>
        </w:rPr>
        <w:t> </w:t>
      </w:r>
      <w:r>
        <w:rPr/>
        <w:t>销售商品收入的确认 销售商品收入同时满足下列条件的，予以确认：</w:t>
      </w:r>
    </w:p>
    <w:p>
      <w:pPr>
        <w:pStyle w:val="BodyText"/>
        <w:spacing w:line="240" w:lineRule="auto" w:before="19"/>
        <w:ind w:left="513" w:right="94"/>
        <w:jc w:val="left"/>
      </w:pPr>
      <w:r>
        <w:rPr/>
        <w:t>①</w:t>
      </w:r>
      <w:r>
        <w:rPr>
          <w:spacing w:val="1"/>
        </w:rPr>
        <w:t> </w:t>
      </w:r>
      <w:r>
        <w:rPr/>
        <w:t>企业已将商品所有权上的主要风险和报酬转移给购货方；</w:t>
      </w:r>
    </w:p>
    <w:p>
      <w:pPr>
        <w:pStyle w:val="BodyText"/>
        <w:spacing w:line="240" w:lineRule="auto" w:before="76"/>
        <w:ind w:left="513" w:right="94"/>
        <w:jc w:val="left"/>
      </w:pPr>
      <w:r>
        <w:rPr/>
        <w:t>②</w:t>
      </w:r>
      <w:r>
        <w:rPr>
          <w:spacing w:val="1"/>
        </w:rPr>
        <w:t> </w:t>
      </w:r>
      <w:r>
        <w:rPr/>
        <w:t>企业既没有保留通常与所有权相联系的继续管理权，也没有对已售出的商品实施有效控制；</w:t>
      </w:r>
    </w:p>
    <w:p>
      <w:pPr>
        <w:pStyle w:val="BodyText"/>
        <w:spacing w:line="240" w:lineRule="auto" w:before="77"/>
        <w:ind w:left="513" w:right="94"/>
        <w:jc w:val="left"/>
      </w:pPr>
      <w:r>
        <w:rPr/>
        <w:t>③</w:t>
      </w:r>
      <w:r>
        <w:rPr>
          <w:spacing w:val="1"/>
        </w:rPr>
        <w:t> </w:t>
      </w:r>
      <w:r>
        <w:rPr/>
        <w:t>收入的金额能够可靠地计量；</w:t>
      </w:r>
    </w:p>
    <w:p>
      <w:pPr>
        <w:pStyle w:val="BodyText"/>
        <w:spacing w:line="240" w:lineRule="auto" w:before="76"/>
        <w:ind w:left="513" w:right="94"/>
        <w:jc w:val="left"/>
      </w:pPr>
      <w:r>
        <w:rPr/>
        <w:t>④</w:t>
      </w:r>
      <w:r>
        <w:rPr>
          <w:spacing w:val="1"/>
        </w:rPr>
        <w:t> </w:t>
      </w:r>
      <w:r>
        <w:rPr/>
        <w:t>相关的经济利益很可能流入企业；</w:t>
      </w:r>
    </w:p>
    <w:p>
      <w:pPr>
        <w:pStyle w:val="BodyText"/>
        <w:spacing w:line="316" w:lineRule="auto" w:before="76"/>
        <w:ind w:left="604" w:right="5403" w:hanging="92"/>
        <w:jc w:val="left"/>
      </w:pPr>
      <w:r>
        <w:rPr/>
        <w:t>⑤</w:t>
      </w:r>
      <w:r>
        <w:rPr>
          <w:spacing w:val="1"/>
        </w:rPr>
        <w:t> </w:t>
      </w:r>
      <w:r>
        <w:rPr/>
        <w:t>相关的已发生或将发生的成本能够可靠地计量。</w:t>
      </w:r>
      <w:r>
        <w:rPr/>
        <w:t> </w:t>
      </w:r>
      <w:r>
        <w:rPr>
          <w:rFonts w:ascii="宋体" w:hAnsi="宋体" w:cs="宋体" w:eastAsia="宋体" w:hint="default"/>
        </w:rPr>
        <w:t>(3)</w:t>
      </w:r>
      <w:r>
        <w:rPr>
          <w:rFonts w:ascii="宋体" w:hAnsi="宋体" w:cs="宋体" w:eastAsia="宋体" w:hint="default"/>
          <w:spacing w:val="1"/>
        </w:rPr>
        <w:t> </w:t>
      </w:r>
      <w:r>
        <w:rPr/>
        <w:t>提供劳务收入的确认</w:t>
      </w:r>
    </w:p>
    <w:p>
      <w:pPr>
        <w:pStyle w:val="BodyText"/>
        <w:spacing w:line="316" w:lineRule="auto" w:before="19"/>
        <w:ind w:left="513" w:right="2073"/>
        <w:jc w:val="left"/>
      </w:pPr>
      <w:r>
        <w:rPr/>
        <w:t>在资产负债表日提供劳务交易的结果能够可靠估计的，采用完工百分比法确认提供劳务收入。 提供劳务交易的结果能够可靠估计，是指同时满足下列条件：</w:t>
      </w:r>
    </w:p>
    <w:p>
      <w:pPr>
        <w:pStyle w:val="BodyText"/>
        <w:spacing w:line="240" w:lineRule="auto" w:before="19"/>
        <w:ind w:left="513" w:right="94"/>
        <w:jc w:val="left"/>
      </w:pPr>
      <w:r>
        <w:rPr/>
        <w:t>①</w:t>
      </w:r>
      <w:r>
        <w:rPr>
          <w:spacing w:val="1"/>
        </w:rPr>
        <w:t> </w:t>
      </w:r>
      <w:r>
        <w:rPr/>
        <w:t>收入的金额能够可靠地计量；</w:t>
      </w:r>
    </w:p>
    <w:p>
      <w:pPr>
        <w:pStyle w:val="BodyText"/>
        <w:spacing w:line="240" w:lineRule="auto" w:before="76"/>
        <w:ind w:left="513" w:right="94"/>
        <w:jc w:val="left"/>
      </w:pPr>
      <w:r>
        <w:rPr/>
        <w:t>②</w:t>
      </w:r>
      <w:r>
        <w:rPr>
          <w:spacing w:val="1"/>
        </w:rPr>
        <w:t> </w:t>
      </w:r>
      <w:r>
        <w:rPr/>
        <w:t>相关的经济利益很可能流入企业；</w:t>
      </w:r>
    </w:p>
    <w:p>
      <w:pPr>
        <w:pStyle w:val="BodyText"/>
        <w:spacing w:line="240" w:lineRule="auto" w:before="76"/>
        <w:ind w:left="513" w:right="94"/>
        <w:jc w:val="left"/>
      </w:pPr>
      <w:r>
        <w:rPr/>
        <w:t>③</w:t>
      </w:r>
      <w:r>
        <w:rPr>
          <w:spacing w:val="1"/>
        </w:rPr>
        <w:t> </w:t>
      </w:r>
      <w:r>
        <w:rPr/>
        <w:t>交易的完工进度能够可靠地确定；</w:t>
      </w:r>
    </w:p>
    <w:p>
      <w:pPr>
        <w:pStyle w:val="BodyText"/>
        <w:spacing w:line="319" w:lineRule="auto" w:before="76"/>
        <w:ind w:left="513" w:right="5402"/>
        <w:jc w:val="left"/>
      </w:pPr>
      <w:r>
        <w:rPr/>
        <w:t>④</w:t>
      </w:r>
      <w:r>
        <w:rPr>
          <w:spacing w:val="1"/>
        </w:rPr>
        <w:t> </w:t>
      </w:r>
      <w:r>
        <w:rPr/>
        <w:t>交易中已发生和将发生的成本能够可靠地计量。</w:t>
      </w:r>
      <w:r>
        <w:rPr/>
        <w:t> 确定提供劳务交易的完工进度，选用下列方法：</w:t>
      </w:r>
    </w:p>
    <w:p>
      <w:pPr>
        <w:pStyle w:val="BodyText"/>
        <w:spacing w:line="240" w:lineRule="auto" w:before="17"/>
        <w:ind w:left="513" w:right="94"/>
        <w:jc w:val="left"/>
      </w:pPr>
      <w:r>
        <w:rPr>
          <w:rFonts w:ascii="宋体" w:hAnsi="宋体" w:cs="宋体" w:eastAsia="宋体" w:hint="default"/>
        </w:rPr>
        <w:t>1)</w:t>
      </w:r>
      <w:r>
        <w:rPr>
          <w:rFonts w:ascii="宋体" w:hAnsi="宋体" w:cs="宋体" w:eastAsia="宋体" w:hint="default"/>
          <w:spacing w:val="3"/>
        </w:rPr>
        <w:t> </w:t>
      </w:r>
      <w:r>
        <w:rPr/>
        <w:t>已完工作的测量；</w:t>
      </w:r>
    </w:p>
    <w:p>
      <w:pPr>
        <w:pStyle w:val="BodyText"/>
        <w:spacing w:line="240" w:lineRule="auto" w:before="76"/>
        <w:ind w:left="513" w:right="94"/>
        <w:jc w:val="left"/>
      </w:pPr>
      <w:r>
        <w:rPr>
          <w:rFonts w:ascii="宋体" w:hAnsi="宋体" w:cs="宋体" w:eastAsia="宋体" w:hint="default"/>
        </w:rPr>
        <w:t>2) </w:t>
      </w:r>
      <w:r>
        <w:rPr/>
        <w:t>已经提供的劳务占应提供劳务总量的比例；</w:t>
      </w:r>
    </w:p>
    <w:p>
      <w:pPr>
        <w:pStyle w:val="BodyText"/>
        <w:spacing w:line="316" w:lineRule="auto" w:before="76"/>
        <w:ind w:left="513" w:right="94"/>
        <w:jc w:val="left"/>
      </w:pPr>
      <w:r>
        <w:rPr>
          <w:rFonts w:ascii="宋体" w:hAnsi="宋体" w:cs="宋体" w:eastAsia="宋体" w:hint="default"/>
        </w:rPr>
        <w:t>3)</w:t>
      </w:r>
      <w:r>
        <w:rPr>
          <w:rFonts w:ascii="宋体" w:hAnsi="宋体" w:cs="宋体" w:eastAsia="宋体" w:hint="default"/>
          <w:spacing w:val="1"/>
        </w:rPr>
        <w:t> </w:t>
      </w:r>
      <w:r>
        <w:rPr/>
        <w:t>已经发生的成本占估计总成本的比例。 </w:t>
      </w:r>
      <w:r>
        <w:rPr>
          <w:spacing w:val="-2"/>
        </w:rPr>
        <w:t>在资产负债表日按照提供劳务收入总额乘以完工进度扣除以前会计期间累计已确认提供劳务收入后的金额，确认当期提</w:t>
      </w:r>
    </w:p>
    <w:p>
      <w:pPr>
        <w:pStyle w:val="BodyText"/>
        <w:spacing w:line="316" w:lineRule="auto" w:before="19"/>
        <w:ind w:right="94"/>
        <w:jc w:val="left"/>
      </w:pPr>
      <w:r>
        <w:rPr>
          <w:spacing w:val="-2"/>
        </w:rPr>
        <w:t>供劳务收入；同时，按照提供劳务估计总成本乘以完工进度扣除以前会计期间累计已确认劳务成本后的金额，结转当期劳务</w:t>
      </w:r>
      <w:r>
        <w:rPr>
          <w:spacing w:val="-66"/>
        </w:rPr>
        <w:t> </w:t>
      </w:r>
      <w:r>
        <w:rPr>
          <w:spacing w:val="-66"/>
        </w:rPr>
      </w:r>
      <w:r>
        <w:rPr/>
        <w:t>成本。</w:t>
      </w:r>
    </w:p>
    <w:p>
      <w:pPr>
        <w:pStyle w:val="BodyText"/>
        <w:spacing w:line="240" w:lineRule="auto" w:before="19"/>
        <w:ind w:left="513" w:right="94"/>
        <w:jc w:val="left"/>
      </w:pPr>
      <w:r>
        <w:rPr/>
        <w:t>在资产负债表日提供劳务交易结果不能够可靠估计的，分别下列情况处理：</w:t>
      </w:r>
    </w:p>
    <w:p>
      <w:pPr>
        <w:pStyle w:val="BodyText"/>
        <w:spacing w:line="316" w:lineRule="auto" w:before="76"/>
        <w:ind w:right="181" w:firstLine="360"/>
        <w:jc w:val="left"/>
      </w:pPr>
      <w:r>
        <w:rPr>
          <w:rFonts w:ascii="宋体" w:hAnsi="宋体" w:cs="宋体" w:eastAsia="宋体" w:hint="default"/>
        </w:rPr>
        <w:t>1&gt;</w:t>
      </w:r>
      <w:r>
        <w:rPr>
          <w:rFonts w:ascii="宋体" w:hAnsi="宋体" w:cs="宋体" w:eastAsia="宋体" w:hint="default"/>
          <w:spacing w:val="3"/>
        </w:rPr>
        <w:t> </w:t>
      </w:r>
      <w:r>
        <w:rPr/>
        <w:t>已经发生的劳务成本预计能够得到补偿的，按照已经发生的劳务成本金额确认提供劳务收入，并按相同金额结转劳 务成本；</w:t>
      </w:r>
    </w:p>
    <w:p>
      <w:pPr>
        <w:pStyle w:val="BodyText"/>
        <w:spacing w:line="319" w:lineRule="auto" w:before="19"/>
        <w:ind w:left="513" w:right="363"/>
        <w:jc w:val="left"/>
      </w:pPr>
      <w:r>
        <w:rPr>
          <w:rFonts w:ascii="宋体" w:hAnsi="宋体" w:cs="宋体" w:eastAsia="宋体" w:hint="default"/>
        </w:rPr>
        <w:t>2&gt; </w:t>
      </w:r>
      <w:r>
        <w:rPr/>
        <w:t>已经发生的劳务成本预计不能够得到补偿的，应当将已经发生的劳务成本计入当期损益，不确认提供劳务收入。 提供劳务收入确认条件的具体应用：</w:t>
      </w:r>
    </w:p>
    <w:p>
      <w:pPr>
        <w:pStyle w:val="BodyText"/>
        <w:spacing w:line="316" w:lineRule="auto" w:before="17"/>
        <w:ind w:right="181" w:firstLine="360"/>
        <w:jc w:val="left"/>
      </w:pPr>
      <w:r>
        <w:rPr>
          <w:rFonts w:ascii="宋体" w:hAnsi="宋体" w:cs="宋体" w:eastAsia="宋体" w:hint="default"/>
        </w:rPr>
        <w:t>1&gt;</w:t>
      </w:r>
      <w:r>
        <w:rPr>
          <w:rFonts w:ascii="宋体" w:hAnsi="宋体" w:cs="宋体" w:eastAsia="宋体" w:hint="default"/>
          <w:spacing w:val="3"/>
        </w:rPr>
        <w:t> </w:t>
      </w:r>
      <w:r>
        <w:rPr/>
        <w:t>安装费，在资产负债表日根据安装的完工进度确认收入。安装工作是商品销售附带条件的，安装费在确认商品销售 实现时确认收入。</w:t>
      </w:r>
    </w:p>
    <w:p>
      <w:pPr>
        <w:pStyle w:val="BodyText"/>
        <w:spacing w:line="316" w:lineRule="auto" w:before="19"/>
        <w:ind w:right="181" w:firstLine="360"/>
        <w:jc w:val="left"/>
      </w:pPr>
      <w:r>
        <w:rPr>
          <w:rFonts w:ascii="宋体" w:hAnsi="宋体" w:cs="宋体" w:eastAsia="宋体" w:hint="default"/>
        </w:rPr>
        <w:t>2&gt;</w:t>
      </w:r>
      <w:r>
        <w:rPr>
          <w:rFonts w:ascii="宋体" w:hAnsi="宋体" w:cs="宋体" w:eastAsia="宋体" w:hint="default"/>
          <w:spacing w:val="3"/>
        </w:rPr>
        <w:t> </w:t>
      </w:r>
      <w:r>
        <w:rPr/>
        <w:t>宣传媒介的收费，在相关的广告或商业行为开始出现于公众面前时确认收入。广告的制作费，在资产负债表日根据 制作广告的完工进度确认收入。</w:t>
      </w:r>
    </w:p>
    <w:p>
      <w:pPr>
        <w:pStyle w:val="BodyText"/>
        <w:spacing w:line="240" w:lineRule="auto" w:before="19"/>
        <w:ind w:left="513" w:right="94"/>
        <w:jc w:val="left"/>
      </w:pPr>
      <w:r>
        <w:rPr>
          <w:rFonts w:ascii="宋体" w:hAnsi="宋体" w:cs="宋体" w:eastAsia="宋体" w:hint="default"/>
        </w:rPr>
        <w:t>3&gt; </w:t>
      </w:r>
      <w:r>
        <w:rPr/>
        <w:t>为特定客户开发软件的收费，在资产负债表日根据开发的完工进度确认收入。</w:t>
      </w:r>
    </w:p>
    <w:p>
      <w:pPr>
        <w:pStyle w:val="BodyText"/>
        <w:spacing w:line="240" w:lineRule="auto" w:before="76"/>
        <w:ind w:left="513" w:right="94"/>
        <w:jc w:val="left"/>
      </w:pPr>
      <w:r>
        <w:rPr>
          <w:rFonts w:ascii="宋体" w:hAnsi="宋体" w:cs="宋体" w:eastAsia="宋体" w:hint="default"/>
        </w:rPr>
        <w:t>4&gt; </w:t>
      </w:r>
      <w:r>
        <w:rPr/>
        <w:t>包括在商品售价内可区分的服务费，在提供服务的期间内分期确认收入。</w:t>
      </w:r>
    </w:p>
    <w:p>
      <w:pPr>
        <w:pStyle w:val="BodyText"/>
        <w:spacing w:line="316" w:lineRule="auto" w:before="76"/>
        <w:ind w:right="181" w:firstLine="360"/>
        <w:jc w:val="left"/>
      </w:pPr>
      <w:r>
        <w:rPr>
          <w:rFonts w:ascii="宋体" w:hAnsi="宋体" w:cs="宋体" w:eastAsia="宋体" w:hint="default"/>
        </w:rPr>
        <w:t>5&gt;</w:t>
      </w:r>
      <w:r>
        <w:rPr>
          <w:rFonts w:ascii="宋体" w:hAnsi="宋体" w:cs="宋体" w:eastAsia="宋体" w:hint="default"/>
          <w:spacing w:val="3"/>
        </w:rPr>
        <w:t> </w:t>
      </w:r>
      <w:r>
        <w:rPr/>
        <w:t>艺术表演、招待宴会和其他特殊活动的收费，在相关活动发生时确认收入。收费涉及几项活动的，预收的款项应合 理分配给每项活动，分别确认收入。</w:t>
      </w:r>
    </w:p>
    <w:p>
      <w:pPr>
        <w:pStyle w:val="BodyText"/>
        <w:spacing w:line="319" w:lineRule="auto" w:before="19"/>
        <w:ind w:right="94" w:firstLine="360"/>
        <w:jc w:val="left"/>
      </w:pPr>
      <w:r>
        <w:rPr>
          <w:rFonts w:ascii="宋体" w:hAnsi="宋体" w:cs="宋体" w:eastAsia="宋体" w:hint="default"/>
        </w:rPr>
        <w:t>6&gt;</w:t>
      </w:r>
      <w:r>
        <w:rPr>
          <w:rFonts w:ascii="宋体" w:hAnsi="宋体" w:cs="宋体" w:eastAsia="宋体" w:hint="default"/>
          <w:spacing w:val="2"/>
        </w:rPr>
        <w:t> </w:t>
      </w:r>
      <w:r>
        <w:rPr/>
        <w:t>申请入会费和会员费只允许取得会籍，所有其他服务或商品都要另行收费的，在款项收回不存在重大不确定性时确 认收入。申请入会费和会员费能使会员在会员期内得到各种服务或商品，或者以低于非会员的价格销售商品或提供服务的， 在整个受益期内分期确认收入。</w:t>
      </w:r>
    </w:p>
    <w:p>
      <w:pPr>
        <w:spacing w:after="0" w:line="319"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316" w:lineRule="auto" w:before="44"/>
        <w:ind w:right="181" w:firstLine="360"/>
        <w:jc w:val="left"/>
      </w:pPr>
      <w:r>
        <w:rPr>
          <w:rFonts w:ascii="宋体" w:hAnsi="宋体" w:cs="宋体" w:eastAsia="宋体" w:hint="default"/>
        </w:rPr>
        <w:t>7&gt;</w:t>
      </w:r>
      <w:r>
        <w:rPr>
          <w:rFonts w:ascii="宋体" w:hAnsi="宋体" w:cs="宋体" w:eastAsia="宋体" w:hint="default"/>
          <w:spacing w:val="3"/>
        </w:rPr>
        <w:t> </w:t>
      </w:r>
      <w:r>
        <w:rPr/>
        <w:t>属于提供设备和其他有形资产的特许权费，在交付资产或转移资产所有权时确认收入；属于提供初始及后续服务的 特许权费，在提供服务时确认收入。</w:t>
      </w:r>
    </w:p>
    <w:p>
      <w:pPr>
        <w:pStyle w:val="BodyText"/>
        <w:spacing w:line="240" w:lineRule="auto" w:before="19"/>
        <w:ind w:left="513" w:right="94"/>
        <w:jc w:val="left"/>
      </w:pPr>
      <w:r>
        <w:rPr>
          <w:rFonts w:ascii="宋体" w:hAnsi="宋体" w:cs="宋体" w:eastAsia="宋体" w:hint="default"/>
        </w:rPr>
        <w:t>8&gt; </w:t>
      </w:r>
      <w:r>
        <w:rPr/>
        <w:t>长期为客户提供重复的劳务收取的劳务费，在相关劳务活动发生时确认收入。</w:t>
      </w:r>
    </w:p>
    <w:p>
      <w:pPr>
        <w:pStyle w:val="BodyText"/>
        <w:spacing w:line="316" w:lineRule="auto" w:before="76"/>
        <w:ind w:left="513" w:right="633" w:firstLine="91"/>
        <w:jc w:val="left"/>
      </w:pPr>
      <w:r>
        <w:rPr>
          <w:rFonts w:ascii="宋体" w:hAnsi="宋体" w:cs="宋体" w:eastAsia="宋体" w:hint="default"/>
        </w:rPr>
        <w:t>(4)</w:t>
      </w:r>
      <w:r>
        <w:rPr>
          <w:rFonts w:ascii="宋体" w:hAnsi="宋体" w:cs="宋体" w:eastAsia="宋体" w:hint="default"/>
          <w:spacing w:val="1"/>
        </w:rPr>
        <w:t> </w:t>
      </w:r>
      <w:r>
        <w:rPr/>
        <w:t>让渡资产使用权收入的确认 让渡资产使用权收入包括利息收入、使用费收入等。让渡资产使用权收入同时满足下列条件的，才能予以确认：</w:t>
      </w:r>
    </w:p>
    <w:p>
      <w:pPr>
        <w:pStyle w:val="BodyText"/>
        <w:spacing w:line="240" w:lineRule="auto" w:before="19"/>
        <w:ind w:left="513" w:right="94"/>
        <w:jc w:val="left"/>
      </w:pPr>
      <w:r>
        <w:rPr/>
        <w:t>①</w:t>
      </w:r>
      <w:r>
        <w:rPr>
          <w:spacing w:val="1"/>
        </w:rPr>
        <w:t> </w:t>
      </w:r>
      <w:r>
        <w:rPr/>
        <w:t>相关的经济利益很可能流入企业；</w:t>
      </w:r>
    </w:p>
    <w:p>
      <w:pPr>
        <w:pStyle w:val="BodyText"/>
        <w:spacing w:line="316" w:lineRule="auto" w:before="76"/>
        <w:ind w:left="513" w:right="5493"/>
        <w:jc w:val="left"/>
      </w:pPr>
      <w:r>
        <w:rPr/>
        <w:t>②</w:t>
      </w:r>
      <w:r>
        <w:rPr>
          <w:spacing w:val="1"/>
        </w:rPr>
        <w:t> </w:t>
      </w:r>
      <w:r>
        <w:rPr/>
        <w:t>收入的金额能够可靠地计量。</w:t>
      </w:r>
      <w:r>
        <w:rPr/>
        <w:t> 公司分别下列情况确定让渡资产使用权收入金额：</w:t>
      </w:r>
    </w:p>
    <w:p>
      <w:pPr>
        <w:pStyle w:val="BodyText"/>
        <w:spacing w:line="240" w:lineRule="auto" w:before="19"/>
        <w:ind w:left="513" w:right="94"/>
        <w:jc w:val="left"/>
      </w:pPr>
      <w:r>
        <w:rPr>
          <w:rFonts w:ascii="宋体" w:hAnsi="宋体" w:cs="宋体" w:eastAsia="宋体" w:hint="default"/>
        </w:rPr>
        <w:t>1) </w:t>
      </w:r>
      <w:r>
        <w:rPr/>
        <w:t>利息收入金额，按照他人使用本企业货币资金的时间和实际利率计算确定。</w:t>
      </w:r>
    </w:p>
    <w:p>
      <w:pPr>
        <w:pStyle w:val="BodyText"/>
        <w:spacing w:line="240" w:lineRule="auto" w:before="76"/>
        <w:ind w:left="513" w:right="94"/>
        <w:jc w:val="left"/>
      </w:pPr>
      <w:r>
        <w:rPr>
          <w:rFonts w:ascii="宋体" w:hAnsi="宋体" w:cs="宋体" w:eastAsia="宋体" w:hint="default"/>
        </w:rPr>
        <w:t>2) </w:t>
      </w:r>
      <w:r>
        <w:rPr/>
        <w:t>使用费收入金额，按照有关合同或协议约定的收费时间和方法计算确定。</w:t>
      </w:r>
    </w:p>
    <w:p>
      <w:pPr>
        <w:pStyle w:val="BodyText"/>
        <w:spacing w:line="240" w:lineRule="auto" w:before="76"/>
        <w:ind w:left="513" w:right="94"/>
        <w:jc w:val="left"/>
      </w:pPr>
      <w:r>
        <w:rPr>
          <w:rFonts w:ascii="宋体" w:hAnsi="宋体" w:cs="宋体" w:eastAsia="宋体" w:hint="default"/>
        </w:rPr>
        <w:t>3) </w:t>
      </w:r>
      <w:r>
        <w:rPr/>
        <w:t>房屋租赁收入，按照租赁合同或协议约定的租赁期间及租赁额确认。</w:t>
      </w:r>
    </w:p>
    <w:p>
      <w:pPr>
        <w:pStyle w:val="BodyText"/>
        <w:spacing w:line="316" w:lineRule="auto" w:before="77"/>
        <w:ind w:left="513" w:right="3333" w:firstLine="91"/>
        <w:jc w:val="left"/>
      </w:pPr>
      <w:r>
        <w:rPr>
          <w:rFonts w:ascii="宋体" w:hAnsi="宋体" w:cs="宋体" w:eastAsia="宋体" w:hint="default"/>
        </w:rPr>
        <w:t>(5)</w:t>
      </w:r>
      <w:r>
        <w:rPr>
          <w:rFonts w:ascii="宋体" w:hAnsi="宋体" w:cs="宋体" w:eastAsia="宋体" w:hint="default"/>
          <w:spacing w:val="1"/>
        </w:rPr>
        <w:t> </w:t>
      </w:r>
      <w:r>
        <w:rPr/>
        <w:t>公司的收入类型及具体确认原则。 本公司销售商品收入包括电力行业产品（电力设备类）销售和游戏行业销售。 </w:t>
      </w:r>
      <w:r>
        <w:rPr>
          <w:rFonts w:ascii="宋体" w:hAnsi="宋体" w:cs="宋体" w:eastAsia="宋体" w:hint="default"/>
        </w:rPr>
        <w:t>a)</w:t>
      </w:r>
      <w:r>
        <w:rPr/>
        <w:t>电力行业产品（电力设备类）销售确认方式：</w:t>
      </w:r>
    </w:p>
    <w:p>
      <w:pPr>
        <w:pStyle w:val="BodyText"/>
        <w:spacing w:line="316" w:lineRule="auto" w:before="19"/>
        <w:ind w:left="513" w:right="183"/>
        <w:jc w:val="left"/>
      </w:pPr>
      <w:r>
        <w:rPr/>
        <w:t>①</w:t>
      </w:r>
      <w:r>
        <w:rPr>
          <w:spacing w:val="1"/>
        </w:rPr>
        <w:t> </w:t>
      </w:r>
      <w:r>
        <w:rPr/>
        <w:t>国内销售：</w:t>
      </w:r>
      <w:r>
        <w:rPr/>
        <w:t> </w:t>
      </w:r>
      <w:r>
        <w:rPr>
          <w:rFonts w:ascii="宋体" w:hAnsi="宋体" w:cs="宋体" w:eastAsia="宋体" w:hint="default"/>
        </w:rPr>
        <w:t>1</w:t>
      </w:r>
      <w:r>
        <w:rPr/>
        <w:t>）非工程项目类：合同商品已移交给客户，客户验收合格后，与本公司确认商品数量及结算金额，本公司获得收取货</w:t>
      </w:r>
    </w:p>
    <w:p>
      <w:pPr>
        <w:pStyle w:val="BodyText"/>
        <w:spacing w:line="316" w:lineRule="auto" w:before="19"/>
        <w:ind w:left="513" w:right="183" w:hanging="361"/>
        <w:jc w:val="left"/>
      </w:pPr>
      <w:r>
        <w:rPr/>
        <w:t>款权利后确认收入实现。 </w:t>
      </w:r>
      <w:r>
        <w:rPr>
          <w:rFonts w:ascii="宋体" w:hAnsi="宋体" w:cs="宋体" w:eastAsia="宋体" w:hint="default"/>
        </w:rPr>
        <w:t>2</w:t>
      </w:r>
      <w:r>
        <w:rPr/>
        <w:t>）工程项目类：合同商品已移交给购买方施工单位并进行安装调试后，与本公司确认商品数量及结算金额，本公司获</w:t>
      </w:r>
    </w:p>
    <w:p>
      <w:pPr>
        <w:pStyle w:val="BodyText"/>
        <w:spacing w:line="240" w:lineRule="auto" w:before="19"/>
        <w:ind w:right="94"/>
        <w:jc w:val="left"/>
      </w:pPr>
      <w:r>
        <w:rPr/>
        <w:t>得收取货款权利后确认收入实现。</w:t>
      </w:r>
    </w:p>
    <w:p>
      <w:pPr>
        <w:pStyle w:val="BodyText"/>
        <w:spacing w:line="316" w:lineRule="auto" w:before="76"/>
        <w:ind w:left="513" w:right="5042"/>
        <w:jc w:val="left"/>
      </w:pPr>
      <w:r>
        <w:rPr/>
        <w:t>②</w:t>
      </w:r>
      <w:r>
        <w:rPr>
          <w:spacing w:val="1"/>
        </w:rPr>
        <w:t> </w:t>
      </w:r>
      <w:r>
        <w:rPr/>
        <w:t>国外销售：以出口报关时间为销售收入的确认时间。</w:t>
      </w:r>
      <w:r>
        <w:rPr/>
        <w:t> </w:t>
      </w:r>
      <w:r>
        <w:rPr>
          <w:rFonts w:ascii="宋体" w:hAnsi="宋体" w:cs="宋体" w:eastAsia="宋体" w:hint="default"/>
        </w:rPr>
        <w:t>b)</w:t>
      </w:r>
      <w:r>
        <w:rPr/>
        <w:t>游戏行业销售确认方式：</w:t>
      </w:r>
    </w:p>
    <w:p>
      <w:pPr>
        <w:pStyle w:val="BodyText"/>
        <w:spacing w:line="316" w:lineRule="auto" w:before="19"/>
        <w:ind w:right="94" w:firstLine="360"/>
        <w:jc w:val="left"/>
      </w:pPr>
      <w:r>
        <w:rPr>
          <w:spacing w:val="-2"/>
        </w:rPr>
        <w:t>①自主运营模式下，针对公司的自研游戏产品，玩家通过第三方支付渠道进行充值获得游戏虚拟货币，并在游戏过程中</w:t>
      </w:r>
      <w:r>
        <w:rPr/>
        <w:t> 使用游戏币购买虚拟道具；公司在玩家实际充值并使用游戏货币购买游戏虚拟道具消费时确认营业收入；</w:t>
      </w:r>
    </w:p>
    <w:p>
      <w:pPr>
        <w:pStyle w:val="BodyText"/>
        <w:spacing w:line="316" w:lineRule="auto" w:before="19"/>
        <w:ind w:right="190" w:firstLine="360"/>
        <w:jc w:val="both"/>
      </w:pPr>
      <w:r>
        <w:rPr>
          <w:spacing w:val="-2"/>
        </w:rPr>
        <w:t>②联合运营模式下，针对公司的自研游戏产品，游戏玩家通过平台商支付系统进行充值获得游戏虚拟货币，并在游戏过</w:t>
      </w:r>
      <w:r>
        <w:rPr/>
        <w:t> 程中使用游戏币购买虚拟道具；公司定期与合作平台对账确认玩家充值金额并按约定分成比例从合作平台商处获得游戏分</w:t>
      </w:r>
      <w:r>
        <w:rPr>
          <w:spacing w:val="-11"/>
        </w:rPr>
        <w:t> </w:t>
      </w:r>
      <w:r>
        <w:rPr>
          <w:spacing w:val="-11"/>
        </w:rPr>
      </w:r>
      <w:r>
        <w:rPr/>
        <w:t>成；公司根据在与合作平台对账后确认营业收入。</w:t>
      </w:r>
    </w:p>
    <w:p>
      <w:pPr>
        <w:pStyle w:val="BodyText"/>
        <w:spacing w:line="316" w:lineRule="auto" w:before="19"/>
        <w:ind w:right="190" w:firstLine="360"/>
        <w:jc w:val="both"/>
      </w:pPr>
      <w:r>
        <w:rPr>
          <w:spacing w:val="-2"/>
        </w:rPr>
        <w:t>③授权运营模式下，公司将拥有的游戏产品交由运营商进行运营，游戏玩家通过运营商平台注册、充值、消费活动，游</w:t>
      </w:r>
      <w:r>
        <w:rPr/>
        <w:t> </w:t>
      </w:r>
      <w:r>
        <w:rPr>
          <w:spacing w:val="-2"/>
        </w:rPr>
        <w:t>戏玩家在运营商游戏版本中获取并使用游戏虚拟货币，公司定期与合作平台对账确认玩家充值金额并按约定分成比例从运营</w:t>
      </w:r>
      <w:r>
        <w:rPr>
          <w:spacing w:val="-63"/>
        </w:rPr>
        <w:t> </w:t>
      </w:r>
      <w:r>
        <w:rPr>
          <w:spacing w:val="-63"/>
        </w:rPr>
      </w:r>
      <w:r>
        <w:rPr>
          <w:spacing w:val="-2"/>
        </w:rPr>
        <w:t>商处获得游戏分成。该模式下，公司收入通常由版权金收入及游戏分成收入两部分构成，游戏分成在与游戏运营商核对确认</w:t>
      </w:r>
      <w:r>
        <w:rPr>
          <w:spacing w:val="-63"/>
        </w:rPr>
        <w:t> </w:t>
      </w:r>
      <w:r>
        <w:rPr>
          <w:spacing w:val="-63"/>
        </w:rPr>
      </w:r>
      <w:r>
        <w:rPr/>
        <w:t>游戏分成款后确认；版权金在授权期限内分摊确认收入。</w:t>
      </w:r>
    </w:p>
    <w:p>
      <w:pPr>
        <w:pStyle w:val="BodyText"/>
        <w:spacing w:line="319" w:lineRule="auto" w:before="19"/>
        <w:ind w:right="94" w:firstLine="360"/>
        <w:jc w:val="left"/>
      </w:pPr>
      <w:r>
        <w:rPr>
          <w:spacing w:val="-4"/>
        </w:rPr>
        <w:t>④代理运营模式，公司代理运营其他游戏开发商提供的游戏，玩家在公司平台进行注册并通过公司的支付系统进行充值，</w:t>
      </w:r>
      <w:r>
        <w:rPr/>
        <w:t> </w:t>
      </w:r>
      <w:r>
        <w:rPr>
          <w:spacing w:val="-2"/>
        </w:rPr>
        <w:t>并在游戏开发商提供给公司游戏版本中获取并使用游戏虚拟货币，公司定期与游戏开发商对账确认玩家充值金额并按约定分</w:t>
      </w:r>
      <w:r>
        <w:rPr>
          <w:spacing w:val="-64"/>
        </w:rPr>
        <w:t> </w:t>
      </w:r>
      <w:r>
        <w:rPr>
          <w:spacing w:val="-64"/>
        </w:rPr>
      </w:r>
      <w:r>
        <w:rPr>
          <w:spacing w:val="-2"/>
        </w:rPr>
        <w:t>成比例向游戏开发商支付游戏分成；公司与游戏开发商确定充值金额后，将充值款确认为收入，将对游戏开发商的分成款确</w:t>
      </w:r>
      <w:r>
        <w:rPr>
          <w:spacing w:val="-61"/>
        </w:rPr>
        <w:t> </w:t>
      </w:r>
      <w:r>
        <w:rPr>
          <w:spacing w:val="-61"/>
        </w:rPr>
      </w:r>
      <w:r>
        <w:rPr/>
        <w:t>认为成本。</w:t>
      </w:r>
    </w:p>
    <w:p>
      <w:pPr>
        <w:pStyle w:val="BodyText"/>
        <w:spacing w:line="240" w:lineRule="auto" w:before="17"/>
        <w:ind w:left="513" w:right="94"/>
        <w:jc w:val="left"/>
      </w:pPr>
      <w:r>
        <w:rPr/>
        <w:t>⑤游戏软件著作权的转让收入：公司按照合同条款将游戏产品交付对方后，于对方验收合格后收取转让费用。</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94"/>
        <w:jc w:val="left"/>
      </w:pPr>
      <w:r>
        <w:rPr/>
        <w:t>与资产相关的政府补助，是指企业取得的、用于购建或以其他方式形成长期资产的政府补助。 </w:t>
      </w:r>
      <w:r>
        <w:rPr>
          <w:spacing w:val="-2"/>
        </w:rPr>
        <w:t>与资产相关的政府补助，公司确认为递延收益，在相关资产使用寿命内按照合理、系统的方法分期计入损益。按照名义</w:t>
      </w:r>
    </w:p>
    <w:p>
      <w:pPr>
        <w:pStyle w:val="BodyText"/>
        <w:spacing w:line="316" w:lineRule="auto" w:before="19"/>
        <w:ind w:left="513" w:right="94" w:hanging="361"/>
        <w:jc w:val="left"/>
      </w:pPr>
      <w:r>
        <w:rPr/>
        <w:t>金额计量的政府补助，直接计入当期损益。 </w:t>
      </w:r>
      <w:r>
        <w:rPr>
          <w:spacing w:val="-2"/>
        </w:rPr>
        <w:t>相关资产在使用寿命结束前被出售、转让、报废或发生毁损的，将尚未分配的相关递延收益余额转入资产处置当期的损</w:t>
      </w:r>
    </w:p>
    <w:p>
      <w:pPr>
        <w:spacing w:after="0" w:line="316"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240" w:lineRule="auto" w:before="44"/>
        <w:ind w:right="94"/>
        <w:jc w:val="left"/>
      </w:pPr>
      <w:r>
        <w:rPr/>
        <w:t>益。</w:t>
      </w:r>
    </w:p>
    <w:p>
      <w:pPr>
        <w:pStyle w:val="BodyText"/>
        <w:spacing w:line="240" w:lineRule="auto" w:before="76"/>
        <w:ind w:left="513" w:right="0"/>
        <w:jc w:val="left"/>
      </w:pPr>
      <w:r>
        <w:rPr/>
        <w:t>与公司日常活动相关的政府补助，应当按照经济业务实质，计入其他收益。与公司日常活动无关的政府补助，计入营业</w:t>
      </w:r>
    </w:p>
    <w:p>
      <w:pPr>
        <w:pStyle w:val="BodyText"/>
        <w:spacing w:line="240" w:lineRule="auto" w:before="76"/>
        <w:ind w:right="94"/>
        <w:jc w:val="left"/>
      </w:pPr>
      <w:r>
        <w:rPr/>
        <w:t>外收支。</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94"/>
        <w:jc w:val="left"/>
      </w:pPr>
      <w:r>
        <w:rPr/>
        <w:t>与收益相关的政府补助，是指除与资产相关的政府补助之外的政府补助。 </w:t>
      </w:r>
      <w:r>
        <w:rPr>
          <w:spacing w:val="-2"/>
        </w:rPr>
        <w:t>公司对于综合性项目的政府补助，需要将其分解为与资产相关的部分和与收益相关的部分，分别进行会计处理；难以区</w:t>
      </w:r>
    </w:p>
    <w:p>
      <w:pPr>
        <w:pStyle w:val="BodyText"/>
        <w:spacing w:line="316" w:lineRule="auto" w:before="19"/>
        <w:ind w:left="513" w:right="94" w:hanging="361"/>
        <w:jc w:val="left"/>
      </w:pPr>
      <w:r>
        <w:rPr/>
        <w:t>分的，应当整体归类为与收益相关的政府补助。 </w:t>
      </w:r>
      <w:r>
        <w:rPr>
          <w:spacing w:val="-2"/>
        </w:rPr>
        <w:t>与收益相关的政府补助，用于补偿公司以后期间的相关费用或损失的，取得时确认为递延收益，并在确认相关成本费用</w:t>
      </w:r>
    </w:p>
    <w:p>
      <w:pPr>
        <w:pStyle w:val="BodyText"/>
        <w:spacing w:line="240" w:lineRule="auto" w:before="19"/>
        <w:ind w:right="94"/>
        <w:jc w:val="left"/>
      </w:pPr>
      <w:r>
        <w:rPr/>
        <w:t>或损失的期间，计入当期损益；用于补偿公司已发生的相关费用或损失的，直接计入当期损益。</w:t>
      </w:r>
    </w:p>
    <w:p>
      <w:pPr>
        <w:spacing w:line="240" w:lineRule="auto" w:before="0"/>
        <w:rPr>
          <w:rFonts w:ascii="宋体" w:hAnsi="宋体" w:cs="宋体" w:eastAsia="宋体" w:hint="default"/>
          <w:sz w:val="18"/>
          <w:szCs w:val="18"/>
        </w:rPr>
      </w:pPr>
    </w:p>
    <w:p>
      <w:pPr>
        <w:pStyle w:val="Heading3"/>
        <w:spacing w:line="240" w:lineRule="auto" w:before="121"/>
        <w:ind w:right="94"/>
        <w:jc w:val="left"/>
        <w:rPr>
          <w:b w:val="0"/>
          <w:bCs w:val="0"/>
        </w:rPr>
      </w:pPr>
      <w:r>
        <w:rPr/>
        <w:t>（</w:t>
      </w:r>
      <w:r>
        <w:rPr>
          <w:rFonts w:ascii="Times New Roman" w:hAnsi="Times New Roman" w:cs="Times New Roman" w:eastAsia="Times New Roman" w:hint="default"/>
        </w:rPr>
        <w:t>3</w:t>
      </w:r>
      <w:r>
        <w:rPr/>
        <w:t>）</w:t>
      </w:r>
      <w:r>
        <w:rPr>
          <w:spacing w:val="-3"/>
        </w:rPr>
        <w:t> </w:t>
      </w:r>
      <w:r>
        <w:rPr/>
        <w:t>政府补助的确认时点</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4" w:firstLine="288"/>
        <w:jc w:val="left"/>
      </w:pPr>
      <w:r>
        <w:rPr/>
        <w:t>政府补助为货币性资产的，应当按照收到或应收的金额计量。按照应收金额计量的政府补助，在期末有确凿证据表明能 </w:t>
      </w:r>
      <w:r>
        <w:rPr>
          <w:spacing w:val="-2"/>
        </w:rPr>
        <w:t>够符合财政扶持政策规定的相关条件且预计能够收到财政扶持资金时予以确认；政府补助为非货币性资产的，应当按照取得</w:t>
      </w:r>
      <w:r>
        <w:rPr>
          <w:spacing w:val="-64"/>
        </w:rPr>
        <w:t> </w:t>
      </w:r>
      <w:r>
        <w:rPr>
          <w:spacing w:val="-64"/>
        </w:rPr>
      </w:r>
      <w:r>
        <w:rPr/>
        <w:t>非货币性资产所有权风险和报酬转移时确认政府补助实现。其中非货币性资产按公允价值计量；公允价值不能可靠取得的， 按照名义金额计量。</w:t>
      </w:r>
    </w:p>
    <w:p>
      <w:pPr>
        <w:pStyle w:val="BodyText"/>
        <w:spacing w:line="316" w:lineRule="auto" w:before="19"/>
        <w:ind w:right="94" w:firstLine="288"/>
        <w:jc w:val="left"/>
      </w:pPr>
      <w:r>
        <w:rPr>
          <w:spacing w:val="-1"/>
        </w:rPr>
        <w:t>已确认的政府补助需要返还时，存在相关递延收益余额的，冲减相关递延收益账面余额，超出部分计入当期损益；不存</w:t>
      </w:r>
      <w:r>
        <w:rPr/>
        <w:t> 在相关递延收益的，直接计入当期损益。</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5"/>
        <w:rPr>
          <w:rFonts w:ascii="宋体" w:hAnsi="宋体" w:cs="宋体" w:eastAsia="宋体" w:hint="default"/>
          <w:b/>
          <w:bCs/>
          <w:sz w:val="26"/>
          <w:szCs w:val="26"/>
        </w:rPr>
      </w:pPr>
    </w:p>
    <w:p>
      <w:pPr>
        <w:pStyle w:val="BodyText"/>
        <w:spacing w:line="307" w:lineRule="auto"/>
        <w:ind w:right="188" w:firstLine="288"/>
        <w:jc w:val="both"/>
      </w:pPr>
      <w:r>
        <w:rPr>
          <w:spacing w:val="-1"/>
        </w:rPr>
        <w:t>所得税采用资产负债表债务法进行核算。于资产负债表日，分析比较资产、负债的账面价值与其计税基础，两者之间存</w:t>
      </w:r>
      <w:r>
        <w:rPr/>
        <w:t> </w:t>
      </w:r>
      <w:r>
        <w:rPr>
          <w:spacing w:val="-2"/>
        </w:rPr>
        <w:t>在差异的，确认递延所得税资产、递延所得税负债及相应的递延所得税费用</w:t>
      </w:r>
      <w:r>
        <w:rPr>
          <w:rFonts w:ascii="Times New Roman" w:hAnsi="Times New Roman" w:cs="Times New Roman" w:eastAsia="Times New Roman" w:hint="default"/>
          <w:spacing w:val="-2"/>
        </w:rPr>
        <w:t>(</w:t>
      </w:r>
      <w:r>
        <w:rPr>
          <w:spacing w:val="-2"/>
        </w:rPr>
        <w:t>或收益</w:t>
      </w:r>
      <w:r>
        <w:rPr>
          <w:rFonts w:ascii="Times New Roman" w:hAnsi="Times New Roman" w:cs="Times New Roman" w:eastAsia="Times New Roman" w:hint="default"/>
          <w:spacing w:val="-2"/>
        </w:rPr>
        <w:t>)</w:t>
      </w:r>
      <w:r>
        <w:rPr>
          <w:spacing w:val="-2"/>
        </w:rPr>
        <w:t>。在计算确定当期所得税</w:t>
      </w:r>
      <w:r>
        <w:rPr>
          <w:rFonts w:ascii="Times New Roman" w:hAnsi="Times New Roman" w:cs="Times New Roman" w:eastAsia="Times New Roman" w:hint="default"/>
          <w:spacing w:val="-2"/>
        </w:rPr>
        <w:t>(</w:t>
      </w:r>
      <w:r>
        <w:rPr>
          <w:spacing w:val="-2"/>
        </w:rPr>
        <w:t>即当期应交所</w:t>
      </w:r>
      <w:r>
        <w:rPr>
          <w:spacing w:val="-58"/>
        </w:rPr>
        <w:t> </w:t>
      </w:r>
      <w:r>
        <w:rPr>
          <w:spacing w:val="-1"/>
        </w:rPr>
        <w:t>得税</w:t>
      </w:r>
      <w:r>
        <w:rPr>
          <w:rFonts w:ascii="Times New Roman" w:hAnsi="Times New Roman" w:cs="Times New Roman" w:eastAsia="Times New Roman" w:hint="default"/>
          <w:spacing w:val="-1"/>
        </w:rPr>
        <w:t>)</w:t>
      </w:r>
      <w:r>
        <w:rPr>
          <w:spacing w:val="-1"/>
        </w:rPr>
        <w:t>以及递延所得税费用</w:t>
      </w:r>
      <w:r>
        <w:rPr>
          <w:rFonts w:ascii="Times New Roman" w:hAnsi="Times New Roman" w:cs="Times New Roman" w:eastAsia="Times New Roman" w:hint="default"/>
          <w:spacing w:val="-1"/>
        </w:rPr>
        <w:t>(</w:t>
      </w:r>
      <w:r>
        <w:rPr>
          <w:spacing w:val="-1"/>
        </w:rPr>
        <w:t>或收益</w:t>
      </w:r>
      <w:r>
        <w:rPr>
          <w:rFonts w:ascii="Times New Roman" w:hAnsi="Times New Roman" w:cs="Times New Roman" w:eastAsia="Times New Roman" w:hint="default"/>
          <w:spacing w:val="-1"/>
        </w:rPr>
        <w:t>)</w:t>
      </w:r>
      <w:r>
        <w:rPr>
          <w:spacing w:val="-1"/>
        </w:rPr>
        <w:t>的基础上，将两者之和确认为利润表中的所得税费用</w:t>
      </w:r>
      <w:r>
        <w:rPr>
          <w:rFonts w:ascii="Times New Roman" w:hAnsi="Times New Roman" w:cs="Times New Roman" w:eastAsia="Times New Roman" w:hint="default"/>
          <w:spacing w:val="-1"/>
        </w:rPr>
        <w:t>(</w:t>
      </w:r>
      <w:r>
        <w:rPr>
          <w:spacing w:val="-1"/>
        </w:rPr>
        <w:t>或收益</w:t>
      </w:r>
      <w:r>
        <w:rPr>
          <w:rFonts w:ascii="Times New Roman" w:hAnsi="Times New Roman" w:cs="Times New Roman" w:eastAsia="Times New Roman" w:hint="default"/>
          <w:spacing w:val="-1"/>
        </w:rPr>
        <w:t>)</w:t>
      </w:r>
      <w:r>
        <w:rPr>
          <w:spacing w:val="-1"/>
        </w:rPr>
        <w:t>，但不包括直接计入所有者</w:t>
      </w:r>
      <w:r>
        <w:rPr>
          <w:spacing w:val="-56"/>
        </w:rPr>
        <w:t> </w:t>
      </w:r>
      <w:r>
        <w:rPr>
          <w:spacing w:val="-56"/>
        </w:rPr>
      </w:r>
      <w:r>
        <w:rPr/>
        <w:t>权益的交易或事项的所得税影响。</w:t>
      </w:r>
    </w:p>
    <w:p>
      <w:pPr>
        <w:pStyle w:val="BodyText"/>
        <w:spacing w:line="316" w:lineRule="auto" w:before="26"/>
        <w:ind w:right="94" w:firstLine="288"/>
        <w:jc w:val="left"/>
      </w:pPr>
      <w:r>
        <w:rPr>
          <w:spacing w:val="-1"/>
        </w:rPr>
        <w:t>资产负债表日，对递延所得税资产的账面价值进行复核。如果未来期间很可能无法获得足够的应纳税所得额用以抵扣递</w:t>
      </w:r>
      <w:r>
        <w:rPr/>
        <w:t> 延所得税资产的利益，应当减记递延所得税资产的账面价值。</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28</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4"/>
        <w:jc w:val="left"/>
      </w:pPr>
      <w:r>
        <w:rPr>
          <w:rFonts w:ascii="宋体" w:hAnsi="宋体" w:cs="宋体" w:eastAsia="宋体" w:hint="default"/>
        </w:rPr>
        <w:t>(1)</w:t>
      </w:r>
      <w:r>
        <w:rPr>
          <w:rFonts w:ascii="宋体" w:hAnsi="宋体" w:cs="宋体" w:eastAsia="宋体" w:hint="default"/>
          <w:spacing w:val="-1"/>
        </w:rPr>
        <w:t> </w:t>
      </w:r>
      <w:r>
        <w:rPr/>
        <w:t>公司作为承租人对经营租赁的处理</w:t>
      </w:r>
    </w:p>
    <w:p>
      <w:pPr>
        <w:pStyle w:val="BodyText"/>
        <w:spacing w:line="316" w:lineRule="auto" w:before="76"/>
        <w:ind w:left="513" w:right="4053"/>
        <w:jc w:val="left"/>
      </w:pPr>
      <w:r>
        <w:rPr/>
        <w:t>①</w:t>
      </w:r>
      <w:r>
        <w:rPr>
          <w:spacing w:val="1"/>
        </w:rPr>
        <w:t> </w:t>
      </w:r>
      <w:r>
        <w:rPr/>
        <w:t>租金的处理</w:t>
      </w:r>
      <w:r>
        <w:rPr/>
        <w:t> 在经营租赁下需将支付或应付的租金计入相关资产成本或当期损益。</w:t>
      </w:r>
    </w:p>
    <w:p>
      <w:pPr>
        <w:pStyle w:val="BodyText"/>
        <w:spacing w:line="316" w:lineRule="auto" w:before="19"/>
        <w:ind w:left="513" w:right="4413"/>
        <w:jc w:val="left"/>
      </w:pPr>
      <w:r>
        <w:rPr/>
        <w:t>②</w:t>
      </w:r>
      <w:r>
        <w:rPr>
          <w:spacing w:val="1"/>
        </w:rPr>
        <w:t> </w:t>
      </w:r>
      <w:r>
        <w:rPr/>
        <w:t>初始直接费用的处理</w:t>
      </w:r>
      <w:r>
        <w:rPr/>
        <w:t> 对于承租人在经营租赁中发生的初始直接费用，计入当期损益。</w:t>
      </w:r>
    </w:p>
    <w:p>
      <w:pPr>
        <w:pStyle w:val="BodyText"/>
        <w:spacing w:line="316" w:lineRule="auto" w:before="19"/>
        <w:ind w:left="513" w:right="4413"/>
        <w:jc w:val="left"/>
      </w:pPr>
      <w:r>
        <w:rPr/>
        <w:t>③</w:t>
      </w:r>
      <w:r>
        <w:rPr>
          <w:spacing w:val="1"/>
        </w:rPr>
        <w:t> </w:t>
      </w:r>
      <w:r>
        <w:rPr/>
        <w:t>或有租金的处理</w:t>
      </w:r>
      <w:r>
        <w:rPr/>
        <w:t> 在经营租赁下，承租人对或有租金在实际发生时计入当期损益。</w:t>
      </w:r>
    </w:p>
    <w:p>
      <w:pPr>
        <w:pStyle w:val="BodyText"/>
        <w:spacing w:line="316" w:lineRule="auto" w:before="19"/>
        <w:ind w:left="513" w:right="94"/>
        <w:jc w:val="left"/>
      </w:pPr>
      <w:r>
        <w:rPr/>
        <w:t>④</w:t>
      </w:r>
      <w:r>
        <w:rPr>
          <w:spacing w:val="1"/>
        </w:rPr>
        <w:t> </w:t>
      </w:r>
      <w:r>
        <w:rPr/>
        <w:t>出租人提供激励措施的处理</w:t>
      </w:r>
      <w:r>
        <w:rPr/>
        <w:t> </w:t>
      </w:r>
      <w:r>
        <w:rPr>
          <w:spacing w:val="-2"/>
        </w:rPr>
        <w:t>出租人提供免租期的，承租人应将租金总额在不扣除免租期的整个租赁期内，按直线法或其他合理的方法进行分摊，免</w:t>
      </w:r>
    </w:p>
    <w:p>
      <w:pPr>
        <w:pStyle w:val="BodyText"/>
        <w:spacing w:line="316" w:lineRule="auto" w:before="19"/>
        <w:ind w:right="94"/>
        <w:jc w:val="left"/>
      </w:pPr>
      <w:r>
        <w:rPr>
          <w:spacing w:val="-2"/>
        </w:rPr>
        <w:t>租期内应当确认租金费用及相应的负债。出租人承担了承租人某些费用的，承租人将该费用从租金费用总额中扣除，按扣除</w:t>
      </w:r>
      <w:r>
        <w:rPr>
          <w:spacing w:val="-63"/>
        </w:rPr>
        <w:t> </w:t>
      </w:r>
      <w:r>
        <w:rPr>
          <w:spacing w:val="-63"/>
        </w:rPr>
      </w:r>
      <w:r>
        <w:rPr/>
        <w:t>后的租金费用余额在租赁期内进行分摊。</w:t>
      </w:r>
    </w:p>
    <w:p>
      <w:pPr>
        <w:spacing w:after="0" w:line="316"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240" w:lineRule="auto" w:before="44"/>
        <w:ind w:left="604" w:right="94"/>
        <w:jc w:val="left"/>
      </w:pPr>
      <w:r>
        <w:rPr>
          <w:rFonts w:ascii="宋体" w:hAnsi="宋体" w:cs="宋体" w:eastAsia="宋体" w:hint="default"/>
        </w:rPr>
        <w:t>(2)</w:t>
      </w:r>
      <w:r>
        <w:rPr>
          <w:rFonts w:ascii="宋体" w:hAnsi="宋体" w:cs="宋体" w:eastAsia="宋体" w:hint="default"/>
          <w:spacing w:val="-2"/>
        </w:rPr>
        <w:t> </w:t>
      </w:r>
      <w:r>
        <w:rPr/>
        <w:t>公司作为出租人对经营租赁的处理</w:t>
      </w:r>
    </w:p>
    <w:p>
      <w:pPr>
        <w:pStyle w:val="BodyText"/>
        <w:spacing w:line="316" w:lineRule="auto" w:before="76"/>
        <w:ind w:left="513" w:right="4773"/>
        <w:jc w:val="left"/>
      </w:pPr>
      <w:r>
        <w:rPr/>
        <w:t>①</w:t>
      </w:r>
      <w:r>
        <w:rPr>
          <w:spacing w:val="1"/>
        </w:rPr>
        <w:t> </w:t>
      </w:r>
      <w:r>
        <w:rPr/>
        <w:t>租金的处理</w:t>
      </w:r>
      <w:r>
        <w:rPr/>
        <w:t> 出租人应采用直线法将收到的租金在租赁期内确认为收益。</w:t>
      </w:r>
    </w:p>
    <w:p>
      <w:pPr>
        <w:pStyle w:val="BodyText"/>
        <w:spacing w:line="316" w:lineRule="auto" w:before="19"/>
        <w:ind w:left="513" w:right="93"/>
        <w:jc w:val="left"/>
      </w:pPr>
      <w:r>
        <w:rPr/>
        <w:t>②</w:t>
      </w:r>
      <w:r>
        <w:rPr>
          <w:spacing w:val="1"/>
        </w:rPr>
        <w:t> </w:t>
      </w:r>
      <w:r>
        <w:rPr/>
        <w:t>初始直接费用的处理</w:t>
      </w:r>
      <w:r>
        <w:rPr/>
        <w:t> 经营租赁中出租人发生的初始直接费用，是指在租赁谈判和签订租赁合同的过程中发生的可归属于租赁项目的手续费、</w:t>
      </w:r>
    </w:p>
    <w:p>
      <w:pPr>
        <w:pStyle w:val="BodyText"/>
        <w:spacing w:line="316" w:lineRule="auto" w:before="19"/>
        <w:ind w:right="94"/>
        <w:jc w:val="left"/>
      </w:pPr>
      <w:r>
        <w:rPr>
          <w:spacing w:val="-2"/>
        </w:rPr>
        <w:t>律师费、差旅费、印花税等，计入当期损益。金额较大的应当资本化，在整个经营租赁期内按照与确认租金收入相同的基础</w:t>
      </w:r>
      <w:r>
        <w:rPr>
          <w:spacing w:val="-65"/>
        </w:rPr>
        <w:t> </w:t>
      </w:r>
      <w:r>
        <w:rPr>
          <w:spacing w:val="-65"/>
        </w:rPr>
      </w:r>
      <w:r>
        <w:rPr/>
        <w:t>分期计入当期损益。</w:t>
      </w:r>
    </w:p>
    <w:p>
      <w:pPr>
        <w:pStyle w:val="BodyText"/>
        <w:spacing w:line="316" w:lineRule="auto" w:before="19"/>
        <w:ind w:left="513" w:right="1713"/>
        <w:jc w:val="left"/>
      </w:pPr>
      <w:r>
        <w:rPr/>
        <w:t>③</w:t>
      </w:r>
      <w:r>
        <w:rPr>
          <w:spacing w:val="1"/>
        </w:rPr>
        <w:t> </w:t>
      </w:r>
      <w:r>
        <w:rPr/>
        <w:t>租赁资产折旧的计提</w:t>
      </w:r>
      <w:r>
        <w:rPr/>
        <w:t> 对于经营租赁资产中的固定资产，采用出租人对类似应折旧资产通常所采用的折旧政策计提折旧。</w:t>
      </w:r>
    </w:p>
    <w:p>
      <w:pPr>
        <w:pStyle w:val="BodyText"/>
        <w:spacing w:line="316" w:lineRule="auto" w:before="19"/>
        <w:ind w:left="513" w:right="7113"/>
        <w:jc w:val="left"/>
      </w:pPr>
      <w:r>
        <w:rPr/>
        <w:t>④</w:t>
      </w:r>
      <w:r>
        <w:rPr>
          <w:spacing w:val="1"/>
        </w:rPr>
        <w:t> </w:t>
      </w:r>
      <w:r>
        <w:rPr/>
        <w:t>或有租金的处理</w:t>
      </w:r>
      <w:r>
        <w:rPr/>
        <w:t> 在实际发生时计入当期收益。</w:t>
      </w:r>
    </w:p>
    <w:p>
      <w:pPr>
        <w:pStyle w:val="BodyText"/>
        <w:spacing w:line="316" w:lineRule="auto" w:before="19"/>
        <w:ind w:left="513" w:right="94"/>
        <w:jc w:val="left"/>
      </w:pPr>
      <w:r>
        <w:rPr/>
        <w:t>⑤</w:t>
      </w:r>
      <w:r>
        <w:rPr>
          <w:spacing w:val="1"/>
        </w:rPr>
        <w:t> </w:t>
      </w:r>
      <w:r>
        <w:rPr/>
        <w:t>出租人对经营租赁提供激励措施的处理</w:t>
      </w:r>
      <w:r>
        <w:rPr/>
        <w:t> </w:t>
      </w:r>
      <w:r>
        <w:rPr>
          <w:spacing w:val="-2"/>
        </w:rPr>
        <w:t>出租人提供免租期的，出租人将租金总额在不扣除免租期的整个租赁期内，按直线法或其他合理的方法进行分配，免租</w:t>
      </w:r>
    </w:p>
    <w:p>
      <w:pPr>
        <w:pStyle w:val="BodyText"/>
        <w:spacing w:line="316" w:lineRule="auto" w:before="19"/>
        <w:ind w:right="94"/>
        <w:jc w:val="left"/>
      </w:pPr>
      <w:r>
        <w:rPr>
          <w:spacing w:val="-2"/>
        </w:rPr>
        <w:t>期内出租人确认租金收入。出租人承担了承租人某些费用的，出租人将该费用自租金收入总额中扣除，按扣除后的租金收入</w:t>
      </w:r>
      <w:r>
        <w:rPr>
          <w:spacing w:val="-63"/>
        </w:rPr>
        <w:t> </w:t>
      </w:r>
      <w:r>
        <w:rPr>
          <w:spacing w:val="-63"/>
        </w:rPr>
      </w:r>
      <w:r>
        <w:rPr/>
        <w:t>余额在租赁期内进行分配。</w:t>
      </w:r>
    </w:p>
    <w:p>
      <w:pPr>
        <w:pStyle w:val="BodyText"/>
        <w:spacing w:line="316" w:lineRule="auto" w:before="19"/>
        <w:ind w:left="513" w:right="94"/>
        <w:jc w:val="left"/>
      </w:pPr>
      <w:r>
        <w:rPr/>
        <w:t>⑥</w:t>
      </w:r>
      <w:r>
        <w:rPr>
          <w:spacing w:val="1"/>
        </w:rPr>
        <w:t> </w:t>
      </w:r>
      <w:r>
        <w:rPr/>
        <w:t>经营租赁资产在财务报表中的处理</w:t>
      </w:r>
      <w:r>
        <w:rPr/>
        <w:t> </w:t>
      </w:r>
      <w:r>
        <w:rPr>
          <w:spacing w:val="-2"/>
        </w:rPr>
        <w:t>在经营租赁下，与资产所有权有关的主要风险和报酬仍然留在出租人一方，因此出租人将出租资产作为自身拥有的资产</w:t>
      </w:r>
    </w:p>
    <w:p>
      <w:pPr>
        <w:pStyle w:val="BodyText"/>
        <w:spacing w:line="316" w:lineRule="auto" w:before="19"/>
        <w:ind w:right="94"/>
        <w:jc w:val="left"/>
      </w:pPr>
      <w:r>
        <w:rPr>
          <w:spacing w:val="-2"/>
        </w:rPr>
        <w:t>在资产负债表中列示，如果出租资产属于固定资产，则列在资产负债表固定资产项下，如果出租资产属于流动资产，则列在</w:t>
      </w:r>
      <w:r>
        <w:rPr>
          <w:spacing w:val="-65"/>
        </w:rPr>
        <w:t> </w:t>
      </w:r>
      <w:r>
        <w:rPr>
          <w:spacing w:val="-65"/>
        </w:rPr>
      </w:r>
      <w:r>
        <w:rPr/>
        <w:t>资产负债表有关流动资产项下。</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29</w:t>
      </w:r>
      <w:r>
        <w:rPr/>
        <w:t>、其他重要的会计政策和会计估计</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513" w:right="94"/>
        <w:jc w:val="left"/>
      </w:pPr>
      <w:r>
        <w:rPr/>
        <w:t>分部报告 </w:t>
      </w:r>
      <w:r>
        <w:rPr>
          <w:spacing w:val="-2"/>
        </w:rPr>
        <w:t>公司以内部组织结构、管理要求、内部报告制度为依据确定经营分部，以经营分部为基础确定报告分部。并在财务报表</w:t>
      </w:r>
    </w:p>
    <w:p>
      <w:pPr>
        <w:pStyle w:val="BodyText"/>
        <w:spacing w:line="316" w:lineRule="auto" w:before="19"/>
        <w:ind w:right="94"/>
        <w:jc w:val="left"/>
      </w:pPr>
      <w:r>
        <w:rPr>
          <w:spacing w:val="-2"/>
        </w:rPr>
        <w:t>附注中披露各报告分部的财务信息，包括主营业务收入，主营业务成本，资产总额，负债总额等。公司不能披露各报告分部</w:t>
      </w:r>
      <w:r>
        <w:rPr>
          <w:spacing w:val="-67"/>
        </w:rPr>
        <w:t> </w:t>
      </w:r>
      <w:r>
        <w:rPr>
          <w:spacing w:val="-67"/>
        </w:rPr>
      </w:r>
      <w:r>
        <w:rPr/>
        <w:t>的资产总额和负债总额的，应说明原因。</w:t>
      </w:r>
    </w:p>
    <w:p>
      <w:pPr>
        <w:pStyle w:val="BodyText"/>
        <w:spacing w:line="316" w:lineRule="auto" w:before="19"/>
        <w:ind w:left="513" w:right="2343"/>
        <w:jc w:val="left"/>
      </w:pPr>
      <w:r>
        <w:rPr/>
        <w:t>经营分部，是指公司内同时满足下列条件的组成部分： </w:t>
      </w:r>
      <w:r>
        <w:rPr>
          <w:rFonts w:ascii="宋体" w:hAnsi="宋体" w:cs="宋体" w:eastAsia="宋体" w:hint="default"/>
        </w:rPr>
        <w:t>(1)</w:t>
      </w:r>
      <w:r>
        <w:rPr/>
        <w:t>该组成部分能够在日常活动中产生收入、发生费用； </w:t>
      </w:r>
      <w:r>
        <w:rPr>
          <w:rFonts w:ascii="宋体" w:hAnsi="宋体" w:cs="宋体" w:eastAsia="宋体" w:hint="default"/>
        </w:rPr>
        <w:t>(2)</w:t>
      </w:r>
      <w:r>
        <w:rPr/>
        <w:t>企业管理层能够定期评价该组成部分的经营成果，以决定向其配置资源、评价其业绩； </w:t>
      </w:r>
      <w:r>
        <w:rPr>
          <w:rFonts w:ascii="宋体" w:hAnsi="宋体" w:cs="宋体" w:eastAsia="宋体" w:hint="default"/>
        </w:rPr>
        <w:t>(3)</w:t>
      </w:r>
      <w:r>
        <w:rPr/>
        <w:t>企业能够取得该组成部分的财务状况、经营成果和现金流量等有关会计信息。</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30</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6657"/>
        <w:gridCol w:w="1102"/>
        <w:gridCol w:w="1940"/>
      </w:tblGrid>
      <w:tr>
        <w:trPr>
          <w:trHeight w:val="403" w:hRule="exact"/>
        </w:trPr>
        <w:tc>
          <w:tcPr>
            <w:tcW w:w="6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60" w:hRule="exact"/>
        </w:trPr>
        <w:tc>
          <w:tcPr>
            <w:tcW w:w="665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日，财政部以财会</w:t>
            </w:r>
            <w:r>
              <w:rPr>
                <w:rFonts w:ascii="Times New Roman" w:hAnsi="Times New Roman" w:cs="Times New Roman" w:eastAsia="Times New Roman" w:hint="default"/>
                <w:sz w:val="18"/>
                <w:szCs w:val="18"/>
              </w:rPr>
              <w:t>[2017]15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号发布了《企业会计准则第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政府</w:t>
            </w:r>
          </w:p>
        </w:tc>
        <w:tc>
          <w:tcPr>
            <w:tcW w:w="1102" w:type="dxa"/>
            <w:tcBorders>
              <w:top w:val="single" w:sz="4" w:space="0" w:color="000000"/>
              <w:left w:val="single" w:sz="4" w:space="0" w:color="000000"/>
              <w:bottom w:val="nil" w:sz="6" w:space="0" w:color="auto"/>
              <w:right w:val="single" w:sz="4" w:space="0" w:color="000000"/>
            </w:tcBorders>
          </w:tcPr>
          <w:p>
            <w:pPr/>
          </w:p>
        </w:tc>
        <w:tc>
          <w:tcPr>
            <w:tcW w:w="194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66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补</w:t>
            </w:r>
            <w:r>
              <w:rPr>
                <w:rFonts w:ascii="宋体" w:hAnsi="宋体" w:cs="宋体" w:eastAsia="宋体" w:hint="default"/>
                <w:spacing w:val="-5"/>
                <w:sz w:val="18"/>
                <w:szCs w:val="18"/>
              </w:rPr>
              <w:t>助</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年修订</w:t>
            </w:r>
            <w:r>
              <w:rPr>
                <w:rFonts w:ascii="宋体" w:hAnsi="宋体" w:cs="宋体" w:eastAsia="宋体" w:hint="default"/>
                <w:spacing w:val="-92"/>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自</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日起实施</w:t>
            </w:r>
            <w:r>
              <w:rPr>
                <w:rFonts w:ascii="宋体" w:hAnsi="宋体" w:cs="宋体" w:eastAsia="宋体" w:hint="default"/>
                <w:spacing w:val="-5"/>
                <w:sz w:val="18"/>
                <w:szCs w:val="18"/>
              </w:rPr>
              <w:t>。</w:t>
            </w:r>
            <w:r>
              <w:rPr>
                <w:rFonts w:ascii="宋体" w:hAnsi="宋体" w:cs="宋体" w:eastAsia="宋体" w:hint="default"/>
                <w:sz w:val="18"/>
                <w:szCs w:val="18"/>
              </w:rPr>
              <w:t>执</w:t>
            </w:r>
            <w:r>
              <w:rPr>
                <w:rFonts w:ascii="宋体" w:hAnsi="宋体" w:cs="宋体" w:eastAsia="宋体" w:hint="default"/>
                <w:spacing w:val="-5"/>
                <w:sz w:val="18"/>
                <w:szCs w:val="18"/>
              </w:rPr>
              <w:t>行</w:t>
            </w:r>
            <w:r>
              <w:rPr>
                <w:rFonts w:ascii="宋体" w:hAnsi="宋体" w:cs="宋体" w:eastAsia="宋体" w:hint="default"/>
                <w:spacing w:val="-3"/>
                <w:sz w:val="18"/>
                <w:szCs w:val="18"/>
              </w:rPr>
              <w:t>《</w:t>
            </w:r>
            <w:r>
              <w:rPr>
                <w:rFonts w:ascii="宋体" w:hAnsi="宋体" w:cs="宋体" w:eastAsia="宋体" w:hint="default"/>
                <w:sz w:val="18"/>
                <w:szCs w:val="18"/>
              </w:rPr>
              <w:t>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tc>
        <w:tc>
          <w:tcPr>
            <w:tcW w:w="11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经本公司第</w:t>
            </w: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w:t>
            </w:r>
          </w:p>
        </w:tc>
      </w:tr>
      <w:tr>
        <w:trPr>
          <w:trHeight w:val="312" w:hRule="exact"/>
        </w:trPr>
        <w:tc>
          <w:tcPr>
            <w:tcW w:w="66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政府补</w:t>
            </w:r>
            <w:r>
              <w:rPr>
                <w:rFonts w:ascii="宋体" w:hAnsi="宋体" w:cs="宋体" w:eastAsia="宋体" w:hint="default"/>
                <w:spacing w:val="-5"/>
                <w:sz w:val="18"/>
                <w:szCs w:val="18"/>
              </w:rPr>
              <w:t>助</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年修订</w:t>
            </w:r>
            <w:r>
              <w:rPr>
                <w:rFonts w:ascii="宋体" w:hAnsi="宋体" w:cs="宋体" w:eastAsia="宋体" w:hint="default"/>
                <w:spacing w:val="-92"/>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之前</w:t>
            </w:r>
            <w:r>
              <w:rPr>
                <w:rFonts w:ascii="宋体" w:hAnsi="宋体" w:cs="宋体" w:eastAsia="宋体" w:hint="default"/>
                <w:spacing w:val="-5"/>
                <w:sz w:val="18"/>
                <w:szCs w:val="18"/>
              </w:rPr>
              <w:t>，</w:t>
            </w:r>
            <w:r>
              <w:rPr>
                <w:rFonts w:ascii="宋体" w:hAnsi="宋体" w:cs="宋体" w:eastAsia="宋体" w:hint="default"/>
                <w:sz w:val="18"/>
                <w:szCs w:val="18"/>
              </w:rPr>
              <w:t>公司将取得的政府补助计入营业外收入</w:t>
            </w:r>
            <w:r>
              <w:rPr>
                <w:rFonts w:ascii="宋体" w:hAnsi="宋体" w:cs="宋体" w:eastAsia="宋体" w:hint="default"/>
                <w:spacing w:val="-5"/>
                <w:sz w:val="18"/>
                <w:szCs w:val="18"/>
              </w:rPr>
              <w:t>；</w:t>
            </w:r>
            <w:r>
              <w:rPr>
                <w:rFonts w:ascii="宋体" w:hAnsi="宋体" w:cs="宋体" w:eastAsia="宋体" w:hint="default"/>
                <w:sz w:val="18"/>
                <w:szCs w:val="18"/>
              </w:rPr>
              <w:t>与资产相</w:t>
            </w:r>
          </w:p>
        </w:tc>
        <w:tc>
          <w:tcPr>
            <w:tcW w:w="11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五届董事会</w:t>
            </w: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司第五届董事会第五十</w:t>
            </w:r>
          </w:p>
        </w:tc>
      </w:tr>
      <w:tr>
        <w:trPr>
          <w:trHeight w:val="307" w:hRule="exact"/>
        </w:trPr>
        <w:tc>
          <w:tcPr>
            <w:tcW w:w="66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2"/>
                <w:sz w:val="18"/>
                <w:szCs w:val="18"/>
              </w:rPr>
              <w:t>关的政府补助确认为递延收益，在资产使用寿命内平均摊销计入当期损益。执行《企</w:t>
            </w:r>
          </w:p>
        </w:tc>
        <w:tc>
          <w:tcPr>
            <w:tcW w:w="11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第五十四次</w:t>
            </w: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四次会议决议通过，公</w:t>
            </w:r>
          </w:p>
        </w:tc>
      </w:tr>
      <w:tr>
        <w:trPr>
          <w:trHeight w:val="317" w:hRule="exact"/>
        </w:trPr>
        <w:tc>
          <w:tcPr>
            <w:tcW w:w="665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w:t>
            </w:r>
            <w:r>
              <w:rPr>
                <w:rFonts w:ascii="宋体" w:hAnsi="宋体" w:cs="宋体" w:eastAsia="宋体" w:hint="default"/>
                <w:spacing w:val="-8"/>
                <w:sz w:val="18"/>
                <w:szCs w:val="18"/>
              </w:rPr>
              <w:t>助</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年修订</w:t>
            </w:r>
            <w:r>
              <w:rPr>
                <w:rFonts w:ascii="宋体" w:hAnsi="宋体" w:cs="宋体" w:eastAsia="宋体" w:hint="default"/>
                <w:spacing w:val="-92"/>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之后</w:t>
            </w:r>
            <w:r>
              <w:rPr>
                <w:rFonts w:ascii="宋体" w:hAnsi="宋体" w:cs="宋体" w:eastAsia="宋体" w:hint="default"/>
                <w:spacing w:val="-5"/>
                <w:sz w:val="18"/>
                <w:szCs w:val="18"/>
              </w:rPr>
              <w:t>，</w:t>
            </w:r>
            <w:r>
              <w:rPr>
                <w:rFonts w:ascii="宋体" w:hAnsi="宋体" w:cs="宋体" w:eastAsia="宋体" w:hint="default"/>
                <w:sz w:val="18"/>
                <w:szCs w:val="18"/>
              </w:rPr>
              <w:t>对</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日之后发生</w:t>
            </w:r>
          </w:p>
        </w:tc>
        <w:tc>
          <w:tcPr>
            <w:tcW w:w="1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会议决议批</w:t>
            </w: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司按照财政部的要求时</w:t>
            </w:r>
          </w:p>
        </w:tc>
      </w:tr>
      <w:tr>
        <w:trPr>
          <w:trHeight w:val="307" w:hRule="exact"/>
        </w:trPr>
        <w:tc>
          <w:tcPr>
            <w:tcW w:w="66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2"/>
                <w:sz w:val="18"/>
                <w:szCs w:val="18"/>
              </w:rPr>
              <w:t>的与日常活动相关的政府补助，计入其他收益；与日常活动无关的政府补助，计入营</w:t>
            </w:r>
          </w:p>
        </w:tc>
        <w:tc>
          <w:tcPr>
            <w:tcW w:w="11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准。</w:t>
            </w: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间开始执行。</w:t>
            </w:r>
          </w:p>
        </w:tc>
      </w:tr>
      <w:tr>
        <w:trPr>
          <w:trHeight w:val="357" w:hRule="exact"/>
        </w:trPr>
        <w:tc>
          <w:tcPr>
            <w:tcW w:w="66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业外收支；与资产相关的政府补助确认为递延收益。</w:t>
            </w:r>
          </w:p>
        </w:tc>
        <w:tc>
          <w:tcPr>
            <w:tcW w:w="1102" w:type="dxa"/>
            <w:tcBorders>
              <w:top w:val="nil" w:sz="6" w:space="0" w:color="auto"/>
              <w:left w:val="single" w:sz="4" w:space="0" w:color="000000"/>
              <w:bottom w:val="single" w:sz="4" w:space="0" w:color="000000"/>
              <w:right w:val="single" w:sz="4" w:space="0" w:color="000000"/>
            </w:tcBorders>
          </w:tcPr>
          <w:p>
            <w:pPr/>
          </w:p>
        </w:tc>
        <w:tc>
          <w:tcPr>
            <w:tcW w:w="194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40"/>
        </w:sectPr>
      </w:pPr>
    </w:p>
    <w:p>
      <w:pPr>
        <w:spacing w:line="240" w:lineRule="auto" w:before="8"/>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6657"/>
        <w:gridCol w:w="1102"/>
        <w:gridCol w:w="1940"/>
      </w:tblGrid>
      <w:tr>
        <w:trPr>
          <w:trHeight w:val="361" w:hRule="exact"/>
        </w:trPr>
        <w:tc>
          <w:tcPr>
            <w:tcW w:w="665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日，财政部以财会</w:t>
            </w:r>
            <w:r>
              <w:rPr>
                <w:rFonts w:ascii="Times New Roman" w:hAnsi="Times New Roman" w:cs="Times New Roman" w:eastAsia="Times New Roman" w:hint="default"/>
                <w:sz w:val="18"/>
                <w:szCs w:val="18"/>
              </w:rPr>
              <w:t>[2017]13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号发布了《企业会计准则第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持有</w:t>
            </w:r>
          </w:p>
        </w:tc>
        <w:tc>
          <w:tcPr>
            <w:tcW w:w="1102" w:type="dxa"/>
            <w:tcBorders>
              <w:top w:val="single" w:sz="4" w:space="0" w:color="000000"/>
              <w:left w:val="single" w:sz="4" w:space="0" w:color="000000"/>
              <w:bottom w:val="nil" w:sz="6" w:space="0" w:color="auto"/>
              <w:right w:val="single" w:sz="4" w:space="0" w:color="000000"/>
            </w:tcBorders>
          </w:tcPr>
          <w:p>
            <w:pPr/>
          </w:p>
        </w:tc>
        <w:tc>
          <w:tcPr>
            <w:tcW w:w="1940" w:type="dxa"/>
            <w:tcBorders>
              <w:top w:val="single" w:sz="4" w:space="0" w:color="000000"/>
              <w:left w:val="single" w:sz="4" w:space="0" w:color="000000"/>
              <w:bottom w:val="nil" w:sz="6" w:space="0" w:color="auto"/>
              <w:right w:val="single" w:sz="4" w:space="0" w:color="000000"/>
            </w:tcBorders>
          </w:tcPr>
          <w:p>
            <w:pPr/>
          </w:p>
        </w:tc>
      </w:tr>
      <w:tr>
        <w:trPr>
          <w:trHeight w:val="1872" w:hRule="exact"/>
        </w:trPr>
        <w:tc>
          <w:tcPr>
            <w:tcW w:w="6657" w:type="dxa"/>
            <w:tcBorders>
              <w:top w:val="nil" w:sz="6" w:space="0" w:color="auto"/>
              <w:left w:val="single" w:sz="4" w:space="0" w:color="000000"/>
              <w:bottom w:val="nil" w:sz="6" w:space="0" w:color="auto"/>
              <w:right w:val="single" w:sz="10" w:space="0" w:color="FFFFFF"/>
            </w:tcBorders>
          </w:tcPr>
          <w:p>
            <w:pPr>
              <w:pStyle w:val="TableParagraph"/>
              <w:spacing w:line="309" w:lineRule="auto" w:before="5"/>
              <w:ind w:left="24" w:right="-41"/>
              <w:jc w:val="both"/>
              <w:rPr>
                <w:rFonts w:ascii="宋体" w:hAnsi="宋体" w:cs="宋体" w:eastAsia="宋体" w:hint="default"/>
                <w:sz w:val="18"/>
                <w:szCs w:val="18"/>
              </w:rPr>
            </w:pPr>
            <w:r>
              <w:rPr>
                <w:rFonts w:ascii="宋体" w:hAnsi="宋体" w:cs="宋体" w:eastAsia="宋体" w:hint="default"/>
                <w:spacing w:val="-5"/>
                <w:sz w:val="18"/>
                <w:szCs w:val="18"/>
              </w:rPr>
              <w:t>待售的非流动资产、处置组和终止经营》，自</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日起实施。该准则规范</w:t>
            </w:r>
            <w:r>
              <w:rPr>
                <w:rFonts w:ascii="宋体" w:hAnsi="宋体" w:cs="宋体" w:eastAsia="宋体" w:hint="default"/>
                <w:spacing w:val="-88"/>
                <w:sz w:val="18"/>
                <w:szCs w:val="18"/>
              </w:rPr>
              <w:t> </w:t>
            </w:r>
            <w:r>
              <w:rPr>
                <w:rFonts w:ascii="宋体" w:hAnsi="宋体" w:cs="宋体" w:eastAsia="宋体" w:hint="default"/>
                <w:spacing w:val="-2"/>
                <w:sz w:val="18"/>
                <w:szCs w:val="18"/>
              </w:rPr>
              <w:t>了持有待售的非流动资产或处置组的分类、计量和列报，以及终止经营的列报。财政</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部于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pacing w:val="-11"/>
                <w:sz w:val="18"/>
                <w:szCs w:val="18"/>
              </w:rPr>
              <w:t>月发布了《关于修订印发一般企业财务报表格式的通知》（财会〔</w:t>
            </w:r>
            <w:r>
              <w:rPr>
                <w:rFonts w:ascii="Times New Roman" w:hAnsi="Times New Roman" w:cs="Times New Roman" w:eastAsia="Times New Roman" w:hint="default"/>
                <w:spacing w:val="-11"/>
                <w:sz w:val="18"/>
                <w:szCs w:val="18"/>
              </w:rPr>
              <w:t>2017</w:t>
            </w:r>
            <w:r>
              <w:rPr>
                <w:rFonts w:ascii="宋体" w:hAnsi="宋体" w:cs="宋体" w:eastAsia="宋体" w:hint="default"/>
                <w:spacing w:val="-11"/>
                <w:sz w:val="18"/>
                <w:szCs w:val="18"/>
              </w:rPr>
              <w:t>〕</w:t>
            </w:r>
            <w:r>
              <w:rPr>
                <w:rFonts w:ascii="宋体" w:hAnsi="宋体" w:cs="宋体" w:eastAsia="宋体" w:hint="default"/>
                <w:sz w:val="18"/>
                <w:szCs w:val="18"/>
              </w:rPr>
            </w:r>
          </w:p>
          <w:p>
            <w:pPr>
              <w:pStyle w:val="TableParagraph"/>
              <w:spacing w:line="300" w:lineRule="auto" w:before="5"/>
              <w:ind w:left="24"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pacing w:val="-5"/>
                <w:w w:val="100"/>
                <w:sz w:val="18"/>
                <w:szCs w:val="18"/>
              </w:rPr>
              <w:t>号），对一般企业财务报表格式进行了修订，将原列报于</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营业外收入</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和</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营业外支</w:t>
            </w:r>
            <w:r>
              <w:rPr>
                <w:rFonts w:ascii="宋体" w:hAnsi="宋体" w:cs="宋体" w:eastAsia="宋体" w:hint="default"/>
                <w:spacing w:val="-74"/>
                <w:w w:val="100"/>
                <w:sz w:val="18"/>
                <w:szCs w:val="18"/>
              </w:rPr>
              <w:t> </w:t>
            </w:r>
            <w:r>
              <w:rPr>
                <w:rFonts w:ascii="宋体" w:hAnsi="宋体" w:cs="宋体" w:eastAsia="宋体" w:hint="default"/>
                <w:sz w:val="18"/>
                <w:szCs w:val="18"/>
              </w:rPr>
              <w:t>出</w:t>
            </w:r>
            <w:r>
              <w:rPr>
                <w:rFonts w:ascii="Times New Roman" w:hAnsi="Times New Roman" w:cs="Times New Roman" w:eastAsia="Times New Roman" w:hint="default"/>
                <w:sz w:val="18"/>
                <w:szCs w:val="18"/>
              </w:rPr>
              <w:t>”</w:t>
            </w:r>
            <w:r>
              <w:rPr>
                <w:rFonts w:ascii="宋体" w:hAnsi="宋体" w:cs="宋体" w:eastAsia="宋体" w:hint="default"/>
                <w:sz w:val="18"/>
                <w:szCs w:val="18"/>
              </w:rPr>
              <w:t>的非流动资产处置利得和损失和非货币性资产交换利得和损失变更为列报于</w:t>
            </w:r>
            <w:r>
              <w:rPr>
                <w:rFonts w:ascii="Times New Roman" w:hAnsi="Times New Roman" w:cs="Times New Roman" w:eastAsia="Times New Roman" w:hint="default"/>
                <w:sz w:val="18"/>
                <w:szCs w:val="18"/>
              </w:rPr>
              <w:t>“</w:t>
            </w:r>
            <w:r>
              <w:rPr>
                <w:rFonts w:ascii="宋体" w:hAnsi="宋体" w:cs="宋体" w:eastAsia="宋体" w:hint="default"/>
                <w:sz w:val="18"/>
                <w:szCs w:val="18"/>
              </w:rPr>
              <w:t>资 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；在</w:t>
            </w: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的项下新增</w:t>
            </w:r>
            <w:r>
              <w:rPr>
                <w:rFonts w:ascii="Times New Roman" w:hAnsi="Times New Roman" w:cs="Times New Roman" w:eastAsia="Times New Roman" w:hint="default"/>
                <w:sz w:val="18"/>
                <w:szCs w:val="18"/>
              </w:rPr>
              <w:t>“</w:t>
            </w:r>
            <w:r>
              <w:rPr>
                <w:rFonts w:ascii="宋体" w:hAnsi="宋体" w:cs="宋体" w:eastAsia="宋体" w:hint="default"/>
                <w:sz w:val="18"/>
                <w:szCs w:val="18"/>
              </w:rPr>
              <w:t>（一）持续经营净利润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（二）终止经营净</w:t>
            </w:r>
          </w:p>
        </w:tc>
        <w:tc>
          <w:tcPr>
            <w:tcW w:w="1102" w:type="dxa"/>
            <w:tcBorders>
              <w:top w:val="nil" w:sz="6" w:space="0" w:color="auto"/>
              <w:left w:val="single" w:sz="10" w:space="0" w:color="FFFFFF"/>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16" w:right="167"/>
              <w:jc w:val="both"/>
              <w:rPr>
                <w:rFonts w:ascii="宋体" w:hAnsi="宋体" w:cs="宋体" w:eastAsia="宋体" w:hint="default"/>
                <w:sz w:val="18"/>
                <w:szCs w:val="18"/>
              </w:rPr>
            </w:pPr>
            <w:r>
              <w:rPr>
                <w:rFonts w:ascii="宋体" w:hAnsi="宋体" w:cs="宋体" w:eastAsia="宋体" w:hint="default"/>
                <w:sz w:val="18"/>
                <w:szCs w:val="18"/>
              </w:rPr>
              <w:t>经本公司第 六届董事会 第八次会议 决议批准。</w:t>
            </w: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314" w:lineRule="auto" w:before="161"/>
              <w:ind w:left="24" w:right="101"/>
              <w:jc w:val="both"/>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日公 司第六届董事会第八次 会议决议通过，公司按 照财政部的要求时间开 始执行。</w:t>
            </w:r>
          </w:p>
        </w:tc>
      </w:tr>
      <w:tr>
        <w:trPr>
          <w:trHeight w:val="355" w:hRule="exact"/>
        </w:trPr>
        <w:tc>
          <w:tcPr>
            <w:tcW w:w="66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4"/>
                <w:sz w:val="18"/>
                <w:szCs w:val="18"/>
              </w:rPr>
              <w:t>利润</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项目，分别反映净利润中</w:t>
            </w:r>
          </w:p>
        </w:tc>
        <w:tc>
          <w:tcPr>
            <w:tcW w:w="1102" w:type="dxa"/>
            <w:tcBorders>
              <w:top w:val="nil" w:sz="6" w:space="0" w:color="auto"/>
              <w:left w:val="single" w:sz="4" w:space="0" w:color="000000"/>
              <w:bottom w:val="single" w:sz="4" w:space="0" w:color="000000"/>
              <w:right w:val="single" w:sz="4" w:space="0" w:color="000000"/>
            </w:tcBorders>
          </w:tcPr>
          <w:p>
            <w:pPr/>
          </w:p>
        </w:tc>
        <w:tc>
          <w:tcPr>
            <w:tcW w:w="1940" w:type="dxa"/>
            <w:tcBorders>
              <w:top w:val="nil" w:sz="6" w:space="0" w:color="auto"/>
              <w:left w:val="single" w:sz="4" w:space="0" w:color="000000"/>
              <w:bottom w:val="single" w:sz="4" w:space="0" w:color="000000"/>
              <w:right w:val="single" w:sz="4" w:space="0" w:color="000000"/>
            </w:tcBorders>
          </w:tcPr>
          <w:p>
            <w:pPr/>
          </w:p>
        </w:tc>
      </w:tr>
    </w:tbl>
    <w:p>
      <w:pPr>
        <w:pStyle w:val="BodyText"/>
        <w:spacing w:line="309" w:lineRule="auto" w:before="8"/>
        <w:ind w:right="94"/>
        <w:jc w:val="left"/>
      </w:pPr>
      <w:r>
        <w:rPr/>
        <w:pict>
          <v:shape style="position:absolute;margin-left:175.095001pt;margin-top:-31.808266pt;width:267.8pt;height:31.2pt;mso-position-horizontal-relative:page;mso-position-vertical-relative:paragraph;z-index:-1104208" type="#_x0000_t202" filled="false" stroked="false">
            <v:textbox inset="0,0,0,0">
              <w:txbxContent>
                <w:p>
                  <w:pPr>
                    <w:spacing w:line="240" w:lineRule="auto" w:before="7"/>
                    <w:rPr>
                      <w:rFonts w:ascii="宋体" w:hAnsi="宋体" w:cs="宋体" w:eastAsia="宋体" w:hint="default"/>
                      <w:sz w:val="21"/>
                      <w:szCs w:val="21"/>
                    </w:rPr>
                  </w:pPr>
                </w:p>
                <w:p>
                  <w:pPr>
                    <w:pStyle w:val="BodyText"/>
                    <w:spacing w:line="240" w:lineRule="auto"/>
                    <w:ind w:left="0" w:right="0"/>
                    <w:jc w:val="left"/>
                  </w:pPr>
                  <w:r>
                    <w:rPr/>
                    <w:t>与持续经营相关的净利润和与终止经营相关的净利润。</w:t>
                  </w:r>
                </w:p>
              </w:txbxContent>
            </v:textbox>
            <w10:wrap type="none"/>
          </v:shape>
        </w:pict>
      </w:r>
      <w:r>
        <w:rPr/>
        <w:pict>
          <v:group style="position:absolute;margin-left:388.269989pt;margin-top:-31.808266pt;width:54.6pt;height:31.2pt;mso-position-horizontal-relative:page;mso-position-vertical-relative:paragraph;z-index:-1104184" coordorigin="7765,-636" coordsize="1092,624">
            <v:shape style="position:absolute;left:7765;top:-636;width:1092;height:624" coordorigin="7765,-636" coordsize="1092,624" path="m7765,-12l8857,-12,8857,-636,7765,-636,7765,-12xe" filled="true" fillcolor="#ffffff" stroked="false">
              <v:path arrowok="t"/>
              <v:fill type="solid"/>
            </v:shape>
            <w10:wrap type="none"/>
          </v:group>
        </w:pict>
      </w:r>
      <w:r>
        <w:rPr/>
        <w:pict>
          <v:group style="position:absolute;margin-left:389.470001pt;margin-top:-80.528267pt;width:52.2pt;height:15.6pt;mso-position-horizontal-relative:page;mso-position-vertical-relative:paragraph;z-index:-1104160" coordorigin="7789,-1611" coordsize="1044,312">
            <v:shape style="position:absolute;left:7789;top:-1611;width:1044;height:312" coordorigin="7789,-1611" coordsize="1044,312" path="m7789,-1299l8833,-1299,8833,-1611,7789,-1611,7789,-1299xe" filled="true" fillcolor="#ffffff" stroked="false">
              <v:path arrowok="t"/>
              <v:fill type="solid"/>
            </v:shape>
            <w10:wrap type="none"/>
          </v:group>
        </w:pict>
      </w:r>
      <w:r>
        <w:rPr>
          <w:rFonts w:ascii="Times New Roman" w:hAnsi="Times New Roman" w:cs="Times New Roman" w:eastAsia="Times New Roman" w:hint="default"/>
          <w:spacing w:val="-2"/>
        </w:rPr>
        <w:t>1</w:t>
      </w:r>
      <w:r>
        <w:rPr>
          <w:spacing w:val="-2"/>
        </w:rPr>
        <w:t>、根据企业会计准则规定，公司对</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12</w:t>
      </w:r>
      <w:r>
        <w:rPr>
          <w:spacing w:val="-2"/>
        </w:rPr>
        <w:t>日之间新增的政府补助根据上述会计准则进行调整，不涉及</w:t>
      </w:r>
      <w:r>
        <w:rPr>
          <w:spacing w:val="-55"/>
        </w:rPr>
        <w:t> </w:t>
      </w:r>
      <w:r>
        <w:rPr>
          <w:spacing w:val="-55"/>
        </w:rPr>
      </w:r>
      <w:r>
        <w:rPr/>
        <w:t>对以前年度列报的追溯调整，对公司财务状况、经营成果和现金流量无重大影响。 </w:t>
      </w:r>
      <w:r>
        <w:rPr>
          <w:rFonts w:ascii="Times New Roman" w:hAnsi="Times New Roman" w:cs="Times New Roman" w:eastAsia="Times New Roman" w:hint="default"/>
        </w:rPr>
        <w:t>2</w:t>
      </w:r>
      <w:r>
        <w:rPr/>
        <w:t>、由于</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t>项目的追溯调整，对</w:t>
      </w:r>
      <w:r>
        <w:rPr>
          <w:rFonts w:ascii="Times New Roman" w:hAnsi="Times New Roman" w:cs="Times New Roman" w:eastAsia="Times New Roman" w:hint="default"/>
        </w:rPr>
        <w:t>2016</w:t>
      </w:r>
      <w:r>
        <w:rPr/>
        <w:t>年的报表项目影响如下：</w:t>
      </w:r>
    </w:p>
    <w:p>
      <w:pPr>
        <w:pStyle w:val="BodyText"/>
        <w:spacing w:line="240" w:lineRule="auto" w:before="5"/>
        <w:ind w:left="0" w:right="191"/>
        <w:jc w:val="right"/>
      </w:pPr>
      <w:r>
        <w:rPr/>
        <w:t>单位：元</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3222"/>
        <w:gridCol w:w="3219"/>
        <w:gridCol w:w="3219"/>
      </w:tblGrid>
      <w:tr>
        <w:trPr>
          <w:trHeight w:val="346" w:hRule="exact"/>
        </w:trPr>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利润表项目</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变更前</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变更后</w:t>
            </w:r>
          </w:p>
        </w:tc>
      </w:tr>
      <w:tr>
        <w:trPr>
          <w:trHeight w:val="348" w:hRule="exact"/>
        </w:trPr>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
              <w:jc w:val="center"/>
              <w:rPr>
                <w:rFonts w:ascii="宋体" w:hAnsi="宋体" w:cs="宋体" w:eastAsia="宋体" w:hint="default"/>
                <w:sz w:val="18"/>
                <w:szCs w:val="18"/>
              </w:rPr>
            </w:pPr>
            <w:r>
              <w:rPr>
                <w:rFonts w:ascii="宋体" w:hAnsi="宋体" w:cs="宋体" w:eastAsia="宋体" w:hint="default"/>
                <w:sz w:val="18"/>
                <w:szCs w:val="18"/>
              </w:rPr>
              <w:t>资产处置收益</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13,588,436.43</w:t>
            </w:r>
          </w:p>
        </w:tc>
      </w:tr>
      <w:tr>
        <w:trPr>
          <w:trHeight w:val="346" w:hRule="exact"/>
        </w:trPr>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14,486,718.27</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792,741.35</w:t>
            </w:r>
          </w:p>
        </w:tc>
      </w:tr>
      <w:tr>
        <w:trPr>
          <w:trHeight w:val="348" w:hRule="exact"/>
        </w:trPr>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营业外支出</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1,330,000.93</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1,224,460.44</w:t>
            </w:r>
          </w:p>
        </w:tc>
      </w:tr>
    </w:tbl>
    <w:p>
      <w:pPr>
        <w:pStyle w:val="BodyText"/>
        <w:spacing w:line="240" w:lineRule="auto" w:before="49"/>
        <w:ind w:right="0"/>
        <w:jc w:val="both"/>
      </w:pPr>
      <w:r>
        <w:rPr/>
        <w:t>除上述外，本期无其他会计政策、会计估计变更，无重大会计差错更正。</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31</w:t>
      </w:r>
      <w:r>
        <w:rPr/>
        <w:t>、</w:t>
      </w:r>
      <w:r>
        <w:rPr>
          <w:spacing w:val="2"/>
        </w:rPr>
        <w:t> </w:t>
      </w:r>
      <w:r>
        <w:rPr/>
        <w:t>重大会计判断和估计</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firstLine="360"/>
        <w:jc w:val="left"/>
      </w:pPr>
      <w:r>
        <w:rPr>
          <w:spacing w:val="-4"/>
        </w:rPr>
        <w:t>公司在运用会计政策过程中，由于经营活动内在的不确定性，公司需要对无法准确计量的报表项目的账面价值进行判断、</w:t>
      </w:r>
      <w:r>
        <w:rPr/>
        <w:t> </w:t>
      </w:r>
      <w:r>
        <w:rPr>
          <w:spacing w:val="-4"/>
        </w:rPr>
        <w:t>估计和假设。这些判断、估计和假设是基于公司管理层过去的历史经验，并在考虑其他相关因素的基础上做出的。这些判断、</w:t>
      </w:r>
      <w:r>
        <w:rPr>
          <w:spacing w:val="-46"/>
        </w:rPr>
        <w:t> </w:t>
      </w:r>
      <w:r>
        <w:rPr>
          <w:spacing w:val="-46"/>
        </w:rPr>
      </w:r>
      <w:r>
        <w:rPr>
          <w:spacing w:val="-2"/>
        </w:rPr>
        <w:t>估计和假设会影响收入、费用、资产和负债的报告金额以及资产负债表日或有负债的披露。然而，这些估计的不确定性所导</w:t>
      </w:r>
      <w:r>
        <w:rPr>
          <w:spacing w:val="-64"/>
        </w:rPr>
        <w:t> </w:t>
      </w:r>
      <w:r>
        <w:rPr>
          <w:spacing w:val="-64"/>
        </w:rPr>
      </w:r>
      <w:r>
        <w:rPr/>
        <w:t>致的实际结果可能与公司管理层当前的估计存在差异，进而造成对未来受影响的资产或负债的账面金额进行重大调整。</w:t>
      </w:r>
    </w:p>
    <w:p>
      <w:pPr>
        <w:pStyle w:val="BodyText"/>
        <w:spacing w:line="316" w:lineRule="auto" w:before="19"/>
        <w:ind w:right="94" w:firstLine="360"/>
        <w:jc w:val="left"/>
      </w:pPr>
      <w:r>
        <w:rPr>
          <w:spacing w:val="-2"/>
        </w:rPr>
        <w:t>公司对前述判断、估计和假设在持续经营的基础上进行定期复核，会计估计的变更仅影响变更当期的，其影响数在变更</w:t>
      </w:r>
      <w:r>
        <w:rPr/>
        <w:t> 当期予以确认；既影响变更当期又影响未来期间的，其影响数在变更当期和未来期间予以确认。</w:t>
      </w:r>
    </w:p>
    <w:p>
      <w:pPr>
        <w:pStyle w:val="BodyText"/>
        <w:spacing w:line="240" w:lineRule="auto" w:before="19"/>
        <w:ind w:left="513" w:right="94"/>
        <w:jc w:val="left"/>
      </w:pPr>
      <w:r>
        <w:rPr/>
        <w:t>于资产负债表日，公司需对财务报表项目金额进行判断、估计和假设的重要领域如下：</w:t>
      </w:r>
    </w:p>
    <w:p>
      <w:pPr>
        <w:pStyle w:val="BodyText"/>
        <w:spacing w:line="316" w:lineRule="auto" w:before="77"/>
        <w:ind w:left="513" w:right="94"/>
        <w:jc w:val="left"/>
      </w:pPr>
      <w:r>
        <w:rPr/>
        <w:t>（</w:t>
      </w:r>
      <w:r>
        <w:rPr>
          <w:rFonts w:ascii="宋体" w:hAnsi="宋体" w:cs="宋体" w:eastAsia="宋体" w:hint="default"/>
        </w:rPr>
        <w:t>1</w:t>
      </w:r>
      <w:r>
        <w:rPr/>
        <w:t>）坏账准备计提 </w:t>
      </w:r>
      <w:r>
        <w:rPr>
          <w:spacing w:val="-2"/>
        </w:rPr>
        <w:t>公司根据应收款项的会计政策，采用备抵法核算坏账损失。应收款项减值是基于评估应收款项的可收回性。鉴定应收款</w:t>
      </w:r>
    </w:p>
    <w:p>
      <w:pPr>
        <w:pStyle w:val="BodyText"/>
        <w:spacing w:line="316" w:lineRule="auto" w:before="19"/>
        <w:ind w:right="94"/>
        <w:jc w:val="left"/>
      </w:pPr>
      <w:r>
        <w:rPr>
          <w:spacing w:val="-2"/>
        </w:rPr>
        <w:t>项减值要求管理层的判断和估计。实际的结果与原先估计的差异将在估计被改变的期间影响应收款项的账面价值及应收款项</w:t>
      </w:r>
      <w:r>
        <w:rPr>
          <w:spacing w:val="-64"/>
        </w:rPr>
        <w:t> </w:t>
      </w:r>
      <w:r>
        <w:rPr>
          <w:spacing w:val="-64"/>
        </w:rPr>
      </w:r>
      <w:r>
        <w:rPr/>
        <w:t>坏账准备的计提或转回。</w:t>
      </w:r>
    </w:p>
    <w:p>
      <w:pPr>
        <w:pStyle w:val="BodyText"/>
        <w:spacing w:line="316" w:lineRule="auto" w:before="19"/>
        <w:ind w:left="513" w:right="94"/>
        <w:jc w:val="left"/>
      </w:pPr>
      <w:r>
        <w:rPr/>
        <w:t>（</w:t>
      </w:r>
      <w:r>
        <w:rPr>
          <w:rFonts w:ascii="宋体" w:hAnsi="宋体" w:cs="宋体" w:eastAsia="宋体" w:hint="default"/>
        </w:rPr>
        <w:t>2</w:t>
      </w:r>
      <w:r>
        <w:rPr/>
        <w:t>）存货跌价准备 </w:t>
      </w:r>
      <w:r>
        <w:rPr>
          <w:spacing w:val="-2"/>
        </w:rPr>
        <w:t>公司根据存货会计政策，按照成本与可变现净值孰低计量，对成本高于可变现净值及陈旧和滞销的存货，计提存货跌价</w:t>
      </w:r>
    </w:p>
    <w:p>
      <w:pPr>
        <w:pStyle w:val="BodyText"/>
        <w:spacing w:line="316" w:lineRule="auto" w:before="19"/>
        <w:ind w:right="190"/>
        <w:jc w:val="both"/>
      </w:pPr>
      <w:r>
        <w:rPr>
          <w:spacing w:val="-2"/>
        </w:rPr>
        <w:t>准备。存货减值至可变现净值是基于评估存货的可售性及其可变现净值。鉴定存货减值要求管理层在取得确凿证据，并且考</w:t>
      </w:r>
      <w:r>
        <w:rPr>
          <w:spacing w:val="-63"/>
        </w:rPr>
        <w:t> </w:t>
      </w:r>
      <w:r>
        <w:rPr>
          <w:spacing w:val="-63"/>
        </w:rPr>
      </w:r>
      <w:r>
        <w:rPr>
          <w:spacing w:val="-2"/>
        </w:rPr>
        <w:t>虑持有存货的目的、资产负债表日后事项的影响等因素的基础上作出判断和估计。实际的结果与原先估计的差异将在估计被</w:t>
      </w:r>
      <w:r>
        <w:rPr>
          <w:spacing w:val="-64"/>
        </w:rPr>
        <w:t> </w:t>
      </w:r>
      <w:r>
        <w:rPr>
          <w:spacing w:val="-64"/>
        </w:rPr>
      </w:r>
      <w:r>
        <w:rPr/>
        <w:t>改变的期间影响存货的账面价值及存货跌价准备的计提或转回。</w:t>
      </w:r>
    </w:p>
    <w:p>
      <w:pPr>
        <w:pStyle w:val="BodyText"/>
        <w:spacing w:line="316" w:lineRule="auto" w:before="19"/>
        <w:ind w:left="513" w:right="94"/>
        <w:jc w:val="left"/>
      </w:pPr>
      <w:r>
        <w:rPr/>
        <w:t>（</w:t>
      </w:r>
      <w:r>
        <w:rPr>
          <w:rFonts w:ascii="宋体" w:hAnsi="宋体" w:cs="宋体" w:eastAsia="宋体" w:hint="default"/>
        </w:rPr>
        <w:t>3</w:t>
      </w:r>
      <w:r>
        <w:rPr/>
        <w:t>）金融工具公允价值 </w:t>
      </w:r>
      <w:r>
        <w:rPr>
          <w:spacing w:val="-4"/>
        </w:rPr>
        <w:t>对不存在活跃交易市场的金融工具，公司通过各种估值方法确定其公允价值。这些估值方法包括贴现现金流模型分析等。</w:t>
      </w:r>
    </w:p>
    <w:p>
      <w:pPr>
        <w:pStyle w:val="BodyText"/>
        <w:spacing w:line="316" w:lineRule="auto" w:before="19"/>
        <w:ind w:right="94"/>
        <w:jc w:val="left"/>
      </w:pPr>
      <w:r>
        <w:rPr>
          <w:spacing w:val="-2"/>
        </w:rPr>
        <w:t>估值时公司需对未来现金流量、信用风险、市场波动率和相关性等方面进行估计，并选择适当的折现率。这些相关假设具有</w:t>
      </w:r>
      <w:r>
        <w:rPr>
          <w:spacing w:val="-64"/>
        </w:rPr>
        <w:t> </w:t>
      </w:r>
      <w:r>
        <w:rPr>
          <w:spacing w:val="-64"/>
        </w:rPr>
      </w:r>
      <w:r>
        <w:rPr/>
        <w:t>不确定性，其变化会对金融工具的公允价值产生影响。</w:t>
      </w:r>
    </w:p>
    <w:p>
      <w:pPr>
        <w:spacing w:after="0" w:line="316"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316" w:lineRule="auto" w:before="44"/>
        <w:ind w:left="513" w:right="94"/>
        <w:jc w:val="left"/>
      </w:pPr>
      <w:r>
        <w:rPr/>
        <w:t>（</w:t>
      </w:r>
      <w:r>
        <w:rPr>
          <w:rFonts w:ascii="宋体" w:hAnsi="宋体" w:cs="宋体" w:eastAsia="宋体" w:hint="default"/>
        </w:rPr>
        <w:t>4</w:t>
      </w:r>
      <w:r>
        <w:rPr/>
        <w:t>）可供出售金融资产减值 </w:t>
      </w:r>
      <w:r>
        <w:rPr>
          <w:spacing w:val="-2"/>
        </w:rPr>
        <w:t>公司确定可供出售金融资产是否减值在很大程度上依赖于管理层的判断和假设，以确定是否需要在利润表中确认其减值</w:t>
      </w:r>
    </w:p>
    <w:p>
      <w:pPr>
        <w:pStyle w:val="BodyText"/>
        <w:spacing w:line="316" w:lineRule="auto" w:before="19"/>
        <w:ind w:right="94"/>
        <w:jc w:val="left"/>
      </w:pPr>
      <w:r>
        <w:rPr>
          <w:spacing w:val="-2"/>
        </w:rPr>
        <w:t>损失。在进行判断和作出假设的过程中，公司需评估该项投资的公允价值低于成本的程度和持续期间，以及被投资对象的财</w:t>
      </w:r>
      <w:r>
        <w:rPr>
          <w:spacing w:val="-63"/>
        </w:rPr>
        <w:t> </w:t>
      </w:r>
      <w:r>
        <w:rPr>
          <w:spacing w:val="-63"/>
        </w:rPr>
      </w:r>
      <w:r>
        <w:rPr/>
        <w:t>务状况和短期业务展望，包括行业状况、技术变革、信用评级、违约率和对手方的风险。</w:t>
      </w:r>
    </w:p>
    <w:p>
      <w:pPr>
        <w:pStyle w:val="BodyText"/>
        <w:spacing w:line="316" w:lineRule="auto" w:before="19"/>
        <w:ind w:left="513" w:right="94"/>
        <w:jc w:val="left"/>
      </w:pPr>
      <w:r>
        <w:rPr/>
        <w:t>（</w:t>
      </w:r>
      <w:r>
        <w:rPr>
          <w:rFonts w:ascii="宋体" w:hAnsi="宋体" w:cs="宋体" w:eastAsia="宋体" w:hint="default"/>
        </w:rPr>
        <w:t>5</w:t>
      </w:r>
      <w:r>
        <w:rPr/>
        <w:t>）长期资产减值准备 公司于资产负债表日对除金融资产之外的非流动资产判断是否存在可能发生减值的迹象。对使用寿命不确定的无形资</w:t>
      </w:r>
    </w:p>
    <w:p>
      <w:pPr>
        <w:pStyle w:val="BodyText"/>
        <w:spacing w:line="316" w:lineRule="auto" w:before="19"/>
        <w:ind w:right="94"/>
        <w:jc w:val="left"/>
      </w:pPr>
      <w:r>
        <w:rPr>
          <w:spacing w:val="-2"/>
        </w:rPr>
        <w:t>产，除每年进行的减值测试外，当其存在减值迹象时，也进行减值测试。其他除金融资产之外的非流动资产，当存在迹象表</w:t>
      </w:r>
      <w:r>
        <w:rPr>
          <w:spacing w:val="-67"/>
        </w:rPr>
        <w:t> </w:t>
      </w:r>
      <w:r>
        <w:rPr>
          <w:spacing w:val="-67"/>
        </w:rPr>
      </w:r>
      <w:r>
        <w:rPr/>
        <w:t>明其账面金额不可收回时，进行减值测试。</w:t>
      </w:r>
    </w:p>
    <w:p>
      <w:pPr>
        <w:pStyle w:val="BodyText"/>
        <w:spacing w:line="316" w:lineRule="auto" w:before="19"/>
        <w:ind w:right="94" w:firstLine="360"/>
        <w:jc w:val="left"/>
      </w:pPr>
      <w:r>
        <w:rPr/>
        <w:t>当资产或资产组的账面价值高于可收回金额，即公允价值减去处置费用后的净额和预计未来现金流量的现值中的较高</w:t>
      </w:r>
      <w:r>
        <w:rPr>
          <w:spacing w:val="2"/>
        </w:rPr>
        <w:t> </w:t>
      </w:r>
      <w:r>
        <w:rPr/>
        <w:t>者，表明发生了减值。</w:t>
      </w:r>
    </w:p>
    <w:p>
      <w:pPr>
        <w:pStyle w:val="BodyText"/>
        <w:spacing w:line="319" w:lineRule="auto" w:before="19"/>
        <w:ind w:right="94" w:firstLine="360"/>
        <w:jc w:val="left"/>
      </w:pPr>
      <w:r>
        <w:rPr>
          <w:spacing w:val="-2"/>
        </w:rPr>
        <w:t>公允价值减去处置费用后的净额，参考公平交易中类似资产的销售协议价格或可观察到的市场价格，减去可直接归属于</w:t>
      </w:r>
      <w:r>
        <w:rPr/>
        <w:t> 该资产处置的增量成本确定。</w:t>
      </w:r>
    </w:p>
    <w:p>
      <w:pPr>
        <w:pStyle w:val="BodyText"/>
        <w:spacing w:line="316" w:lineRule="auto" w:before="17"/>
        <w:ind w:right="94" w:firstLine="360"/>
        <w:jc w:val="left"/>
      </w:pPr>
      <w:r>
        <w:rPr>
          <w:spacing w:val="-2"/>
        </w:rPr>
        <w:t>在预计未来现金流量现值时，需要对该资产（或资产组）的产量、售价、相关经营成本以及计算现值时使用的折现率等</w:t>
      </w:r>
      <w:r>
        <w:rPr/>
        <w:t> 作出重大判断。公司在估计可收回金额时会采用所有能够获得的相关资料，包括根据合理和可支持的假设所作出有关产量、 售价和相关经营成本的预测。</w:t>
      </w:r>
    </w:p>
    <w:p>
      <w:pPr>
        <w:pStyle w:val="BodyText"/>
        <w:spacing w:line="316" w:lineRule="auto" w:before="19"/>
        <w:ind w:right="94" w:firstLine="360"/>
        <w:jc w:val="left"/>
      </w:pPr>
      <w:r>
        <w:rPr/>
        <w:t>公司至少每年测试商誉是否发生减值。这要求对分配了商誉的资产组或者资产组组合的未来现金流量的现值进行预计。 </w:t>
      </w:r>
      <w:r>
        <w:rPr>
          <w:spacing w:val="-2"/>
        </w:rPr>
        <w:t>对未来现金流量的现值进行预计时，公司需要预计未来资产组或者资产组组合产生的现金流量，同时选择恰当的折现率确定</w:t>
      </w:r>
      <w:r>
        <w:rPr>
          <w:spacing w:val="-64"/>
        </w:rPr>
        <w:t> </w:t>
      </w:r>
      <w:r>
        <w:rPr>
          <w:spacing w:val="-64"/>
        </w:rPr>
      </w:r>
      <w:r>
        <w:rPr/>
        <w:t>未来现金流量的现值。</w:t>
      </w:r>
    </w:p>
    <w:p>
      <w:pPr>
        <w:pStyle w:val="BodyText"/>
        <w:spacing w:line="316" w:lineRule="auto" w:before="19"/>
        <w:ind w:left="513" w:right="94"/>
        <w:jc w:val="left"/>
      </w:pPr>
      <w:r>
        <w:rPr/>
        <w:t>（</w:t>
      </w:r>
      <w:r>
        <w:rPr>
          <w:rFonts w:ascii="宋体" w:hAnsi="宋体" w:cs="宋体" w:eastAsia="宋体" w:hint="default"/>
        </w:rPr>
        <w:t>6</w:t>
      </w:r>
      <w:r>
        <w:rPr/>
        <w:t>）折旧和摊销 </w:t>
      </w:r>
      <w:r>
        <w:rPr>
          <w:spacing w:val="-2"/>
        </w:rPr>
        <w:t>公司对投资性房地产、固定资产和无形资产在考虑其残值后，在使用寿命内按直线法计提折旧和摊销。公司定期复核使</w:t>
      </w:r>
    </w:p>
    <w:p>
      <w:pPr>
        <w:pStyle w:val="BodyText"/>
        <w:spacing w:line="319" w:lineRule="auto" w:before="19"/>
        <w:ind w:right="94"/>
        <w:jc w:val="left"/>
      </w:pPr>
      <w:r>
        <w:rPr>
          <w:spacing w:val="-2"/>
        </w:rPr>
        <w:t>用寿命，以决定将计入每个报告期的折旧和摊销费用数额。使用寿命是公司根据对同类资产的以往经验并结合预期的技术更</w:t>
      </w:r>
      <w:r>
        <w:rPr>
          <w:spacing w:val="-64"/>
        </w:rPr>
        <w:t> </w:t>
      </w:r>
      <w:r>
        <w:rPr>
          <w:spacing w:val="-64"/>
        </w:rPr>
      </w:r>
      <w:r>
        <w:rPr/>
        <w:t>新而确定的。如果以前的估计发生重大变化，则会在未来期间对折旧和摊销费用进行调整。</w:t>
      </w:r>
    </w:p>
    <w:p>
      <w:pPr>
        <w:pStyle w:val="BodyText"/>
        <w:spacing w:line="316" w:lineRule="auto" w:before="17"/>
        <w:ind w:left="513" w:right="94"/>
        <w:jc w:val="left"/>
      </w:pPr>
      <w:r>
        <w:rPr/>
        <w:t>（</w:t>
      </w:r>
      <w:r>
        <w:rPr>
          <w:rFonts w:ascii="宋体" w:hAnsi="宋体" w:cs="宋体" w:eastAsia="宋体" w:hint="default"/>
        </w:rPr>
        <w:t>7</w:t>
      </w:r>
      <w:r>
        <w:rPr/>
        <w:t>）递延所得税资产 </w:t>
      </w:r>
      <w:r>
        <w:rPr>
          <w:spacing w:val="-2"/>
        </w:rPr>
        <w:t>在很有可能有足够的应纳税利润来抵扣亏损的限度内，公司就所有未利用的税务亏损确认递延所得税资产。这需要公司</w:t>
      </w:r>
    </w:p>
    <w:p>
      <w:pPr>
        <w:pStyle w:val="BodyText"/>
        <w:spacing w:line="316" w:lineRule="auto" w:before="19"/>
        <w:ind w:right="94"/>
        <w:jc w:val="left"/>
      </w:pPr>
      <w:r>
        <w:rPr>
          <w:spacing w:val="-2"/>
        </w:rPr>
        <w:t>管理层运用大量的判断来估计未来应纳税利润发生的时间和金额，结合纳税筹划策略，以决定应确认的递延所得税资产的金</w:t>
      </w:r>
      <w:r>
        <w:rPr>
          <w:spacing w:val="-62"/>
        </w:rPr>
        <w:t> </w:t>
      </w:r>
      <w:r>
        <w:rPr>
          <w:spacing w:val="-62"/>
        </w:rPr>
      </w:r>
      <w:r>
        <w:rPr/>
        <w:t>额。</w:t>
      </w:r>
    </w:p>
    <w:p>
      <w:pPr>
        <w:pStyle w:val="BodyText"/>
        <w:spacing w:line="316" w:lineRule="auto" w:before="19"/>
        <w:ind w:left="513" w:right="94"/>
        <w:jc w:val="left"/>
      </w:pPr>
      <w:r>
        <w:rPr/>
        <w:t>（</w:t>
      </w:r>
      <w:r>
        <w:rPr>
          <w:rFonts w:ascii="宋体" w:hAnsi="宋体" w:cs="宋体" w:eastAsia="宋体" w:hint="default"/>
        </w:rPr>
        <w:t>8</w:t>
      </w:r>
      <w:r>
        <w:rPr/>
        <w:t>）所得税 </w:t>
      </w:r>
      <w:r>
        <w:rPr>
          <w:spacing w:val="-2"/>
        </w:rPr>
        <w:t>公司在正常的经营活动中，有部分交易其最终的税务处理和计算存在一定的不确定性。部分项目是否能够在税前列支需</w:t>
      </w:r>
    </w:p>
    <w:p>
      <w:pPr>
        <w:pStyle w:val="BodyText"/>
        <w:spacing w:line="316" w:lineRule="auto" w:before="19"/>
        <w:ind w:right="193"/>
        <w:jc w:val="both"/>
      </w:pPr>
      <w:r>
        <w:rPr>
          <w:spacing w:val="-2"/>
        </w:rPr>
        <w:t>要税收主管机关的审批。如果这些税务事项的最终认定结果同最初估计的金额存在差异，则该差异将对其最终认定期间的当</w:t>
      </w:r>
      <w:r>
        <w:rPr>
          <w:spacing w:val="-64"/>
        </w:rPr>
        <w:t> </w:t>
      </w:r>
      <w:r>
        <w:rPr>
          <w:spacing w:val="-64"/>
        </w:rPr>
      </w:r>
      <w:r>
        <w:rPr/>
        <w:t>期所得税和递延所得税产生影响。</w:t>
      </w:r>
    </w:p>
    <w:p>
      <w:pPr>
        <w:pStyle w:val="BodyText"/>
        <w:spacing w:line="316" w:lineRule="auto" w:before="19"/>
        <w:ind w:left="513" w:right="93"/>
        <w:jc w:val="left"/>
      </w:pPr>
      <w:r>
        <w:rPr/>
        <w:t>（</w:t>
      </w:r>
      <w:r>
        <w:rPr>
          <w:rFonts w:ascii="宋体" w:hAnsi="宋体" w:cs="宋体" w:eastAsia="宋体" w:hint="default"/>
        </w:rPr>
        <w:t>9</w:t>
      </w:r>
      <w:r>
        <w:rPr/>
        <w:t>）预计负债 公司根据合约条款、现有知识及历史经验，对产品质量保证、预计合同亏损、延迟交货违约金等估计并计提相应准备。</w:t>
      </w:r>
    </w:p>
    <w:p>
      <w:pPr>
        <w:pStyle w:val="BodyText"/>
        <w:spacing w:line="316" w:lineRule="auto" w:before="19"/>
        <w:ind w:right="192"/>
        <w:jc w:val="both"/>
      </w:pPr>
      <w:r>
        <w:rPr>
          <w:spacing w:val="-2"/>
        </w:rPr>
        <w:t>在该等或有事项已经形成一项现时义务，且履行该等现时义务很可能导致经济利益流出公司的情况下，公司对或有事项按履</w:t>
      </w:r>
      <w:r>
        <w:rPr>
          <w:spacing w:val="-64"/>
        </w:rPr>
        <w:t> </w:t>
      </w:r>
      <w:r>
        <w:rPr>
          <w:spacing w:val="-64"/>
        </w:rPr>
      </w:r>
      <w:r>
        <w:rPr>
          <w:spacing w:val="-2"/>
        </w:rPr>
        <w:t>行相关现时义务所需支出的最佳估计数确认为预计负债。预计负债的确认和计量在很大程度上依赖于管理层的判断。在进行</w:t>
      </w:r>
      <w:r>
        <w:rPr>
          <w:spacing w:val="-64"/>
        </w:rPr>
        <w:t> </w:t>
      </w:r>
      <w:r>
        <w:rPr>
          <w:spacing w:val="-64"/>
        </w:rPr>
      </w:r>
      <w:r>
        <w:rPr/>
        <w:t>判断过程中公司需评估该等或有事项相关的风险、不确定性及货币时间价值等因素。</w:t>
      </w:r>
    </w:p>
    <w:p>
      <w:pPr>
        <w:pStyle w:val="BodyText"/>
        <w:spacing w:line="316" w:lineRule="auto" w:before="19"/>
        <w:ind w:right="94" w:firstLine="360"/>
        <w:jc w:val="left"/>
      </w:pPr>
      <w:r>
        <w:rPr>
          <w:spacing w:val="-2"/>
        </w:rPr>
        <w:t>其中，公司会就出售、维修及改造所售商品向客户提供的售后质量维修承诺预计负债。预计负债时已考虑公司近期的维</w:t>
      </w:r>
      <w:r>
        <w:rPr/>
        <w:t> 修经验数据，但近期的维修经验可能无法反映将来的维修情况。这项准备的任何增加或减少，均可能影响未来年度的损益。</w:t>
      </w:r>
    </w:p>
    <w:p>
      <w:pPr>
        <w:pStyle w:val="BodyText"/>
        <w:spacing w:line="316" w:lineRule="auto" w:before="19"/>
        <w:ind w:left="513" w:right="94"/>
        <w:jc w:val="left"/>
      </w:pPr>
      <w:r>
        <w:rPr/>
        <w:t>（</w:t>
      </w:r>
      <w:r>
        <w:rPr>
          <w:rFonts w:ascii="宋体" w:hAnsi="宋体" w:cs="宋体" w:eastAsia="宋体" w:hint="default"/>
        </w:rPr>
        <w:t>10</w:t>
      </w:r>
      <w:r>
        <w:rPr/>
        <w:t>）公允价值计量 </w:t>
      </w:r>
      <w:r>
        <w:rPr>
          <w:spacing w:val="-2"/>
        </w:rPr>
        <w:t>公司的某些资产和负债在财务报表中按公允价值计量。在对某项资产或负债的公允价值作出估计时，公司采用可获得的</w:t>
      </w:r>
    </w:p>
    <w:p>
      <w:pPr>
        <w:pStyle w:val="BodyText"/>
        <w:spacing w:line="316" w:lineRule="auto" w:before="19"/>
        <w:ind w:right="190"/>
        <w:jc w:val="both"/>
      </w:pPr>
      <w:r>
        <w:rPr>
          <w:spacing w:val="-2"/>
        </w:rPr>
        <w:t>可观察市场数据。如果无法获得第一层次输入值，公司会聘用第三方有资质的评估师来执行估价。在确定各类资产和负债的</w:t>
      </w:r>
      <w:r>
        <w:rPr>
          <w:spacing w:val="-63"/>
        </w:rPr>
        <w:t> </w:t>
      </w:r>
      <w:r>
        <w:rPr>
          <w:spacing w:val="-63"/>
        </w:rPr>
      </w:r>
      <w:r>
        <w:rPr/>
        <w:t>公允价值的过程中所采用的估值技术和输入值的相关信息在附注十一、</w:t>
      </w:r>
      <w:r>
        <w:rPr>
          <w:rFonts w:ascii="宋体" w:hAnsi="宋体" w:cs="宋体" w:eastAsia="宋体" w:hint="default"/>
        </w:rPr>
        <w:t>1</w:t>
      </w:r>
      <w:r>
        <w:rPr/>
        <w:t>中披露。</w:t>
      </w:r>
    </w:p>
    <w:p>
      <w:pPr>
        <w:spacing w:after="0" w:line="316" w:lineRule="auto"/>
        <w:jc w:val="both"/>
        <w:sectPr>
          <w:pgSz w:w="11910" w:h="16840"/>
          <w:pgMar w:header="877" w:footer="979" w:top="1100" w:bottom="1160" w:left="980" w:right="940"/>
        </w:sectPr>
      </w:pPr>
    </w:p>
    <w:p>
      <w:pPr>
        <w:spacing w:line="240" w:lineRule="auto" w:before="10"/>
        <w:rPr>
          <w:rFonts w:ascii="宋体" w:hAnsi="宋体" w:cs="宋体" w:eastAsia="宋体" w:hint="default"/>
          <w:sz w:val="19"/>
          <w:szCs w:val="19"/>
        </w:rPr>
      </w:pPr>
    </w:p>
    <w:p>
      <w:pPr>
        <w:pStyle w:val="Heading2"/>
        <w:spacing w:line="240" w:lineRule="auto" w:before="26"/>
        <w:ind w:right="153"/>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见下表</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153"/>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喀什中汇联银</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惠程智能</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香港惠程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北京中汇联银</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中行置盛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中融建银</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豪琛投资</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鹏胤投资</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中汇同盈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哆可梦</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吉乾科技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旭梅网络</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华向文化</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游湛网络</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璿游网络</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乐珩网络</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52" w:firstLine="360"/>
        <w:jc w:val="both"/>
      </w:pPr>
      <w:r>
        <w:rPr/>
        <w:t>（</w:t>
      </w:r>
      <w:r>
        <w:rPr>
          <w:rFonts w:ascii="宋体" w:hAnsi="宋体" w:cs="宋体" w:eastAsia="宋体" w:hint="default"/>
        </w:rPr>
        <w:t>1</w:t>
      </w:r>
      <w:r>
        <w:rPr/>
        <w:t>）本公司于</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31</w:t>
      </w:r>
      <w:r>
        <w:rPr/>
        <w:t>日通过复审取得深圳市科技创新委员会、深圳市财政委员会、深圳市国家税务局和深圳市 </w:t>
      </w:r>
      <w:r>
        <w:rPr>
          <w:spacing w:val="-2"/>
        </w:rPr>
        <w:t>地方税务局联合批准颁发的高新技术企业证书，证书编号</w:t>
      </w:r>
      <w:r>
        <w:rPr>
          <w:rFonts w:ascii="宋体" w:hAnsi="宋体" w:cs="宋体" w:eastAsia="宋体" w:hint="default"/>
          <w:spacing w:val="-2"/>
        </w:rPr>
        <w:t>GR201744203070</w:t>
      </w:r>
      <w:r>
        <w:rPr>
          <w:spacing w:val="-2"/>
        </w:rPr>
        <w:t>；根据高新技术企业所得税优惠政策，本公司</w:t>
      </w:r>
      <w:r>
        <w:rPr>
          <w:rFonts w:ascii="宋体" w:hAnsi="宋体" w:cs="宋体" w:eastAsia="宋体" w:hint="default"/>
          <w:spacing w:val="-2"/>
        </w:rPr>
        <w:t>2017</w:t>
      </w:r>
      <w:r>
        <w:rPr>
          <w:rFonts w:ascii="宋体" w:hAnsi="宋体" w:cs="宋体" w:eastAsia="宋体" w:hint="default"/>
          <w:spacing w:val="-56"/>
        </w:rPr>
        <w:t> </w:t>
      </w:r>
      <w:r>
        <w:rPr>
          <w:rFonts w:ascii="宋体" w:hAnsi="宋体" w:cs="宋体" w:eastAsia="宋体" w:hint="default"/>
          <w:spacing w:val="-56"/>
        </w:rPr>
      </w:r>
      <w:r>
        <w:rPr/>
        <w:t>至</w:t>
      </w:r>
      <w:r>
        <w:rPr>
          <w:rFonts w:ascii="宋体" w:hAnsi="宋体" w:cs="宋体" w:eastAsia="宋体" w:hint="default"/>
        </w:rPr>
        <w:t>2019</w:t>
      </w:r>
      <w:r>
        <w:rPr/>
        <w:t>年执行企业所得税率减按</w:t>
      </w:r>
      <w:r>
        <w:rPr>
          <w:rFonts w:ascii="宋体" w:hAnsi="宋体" w:cs="宋体" w:eastAsia="宋体" w:hint="default"/>
        </w:rPr>
        <w:t>15%</w:t>
      </w:r>
      <w:r>
        <w:rPr/>
        <w:t>。</w:t>
      </w:r>
    </w:p>
    <w:p>
      <w:pPr>
        <w:pStyle w:val="BodyText"/>
        <w:spacing w:line="240" w:lineRule="auto" w:before="17"/>
        <w:ind w:left="513" w:right="0"/>
        <w:jc w:val="left"/>
        <w:rPr>
          <w:rFonts w:ascii="宋体" w:hAnsi="宋体" w:cs="宋体" w:eastAsia="宋体" w:hint="default"/>
        </w:rPr>
      </w:pPr>
      <w:r>
        <w:rPr/>
        <w:t>（</w:t>
      </w:r>
      <w:r>
        <w:rPr>
          <w:rFonts w:ascii="宋体" w:hAnsi="宋体" w:cs="宋体" w:eastAsia="宋体" w:hint="default"/>
        </w:rPr>
        <w:t>2</w:t>
      </w:r>
      <w:r>
        <w:rPr/>
        <w:t>）喀什中汇联银依据《关于新疆喀什霍尔果斯两个特殊经济开发区企业所得税优惠政策的通知》（财税【</w:t>
      </w:r>
      <w:r>
        <w:rPr>
          <w:rFonts w:ascii="宋体" w:hAnsi="宋体" w:cs="宋体" w:eastAsia="宋体" w:hint="default"/>
        </w:rPr>
        <w:t>2011</w:t>
      </w:r>
      <w:r>
        <w:rPr/>
        <w:t>】</w:t>
      </w:r>
      <w:r>
        <w:rPr>
          <w:rFonts w:ascii="宋体" w:hAnsi="宋体" w:cs="宋体" w:eastAsia="宋体" w:hint="default"/>
        </w:rPr>
        <w:t>112</w:t>
      </w:r>
    </w:p>
    <w:p>
      <w:pPr>
        <w:spacing w:after="0" w:line="240" w:lineRule="auto"/>
        <w:jc w:val="left"/>
        <w:rPr>
          <w:rFonts w:ascii="宋体" w:hAnsi="宋体" w:cs="宋体" w:eastAsia="宋体" w:hint="default"/>
        </w:rPr>
        <w:sectPr>
          <w:footerReference w:type="default" r:id="rId37"/>
          <w:pgSz w:w="11910" w:h="16840"/>
          <w:pgMar w:footer="979" w:header="877" w:top="1100" w:bottom="1160" w:left="980" w:right="980"/>
          <w:pgNumType w:start="120"/>
        </w:sectPr>
      </w:pPr>
    </w:p>
    <w:p>
      <w:pPr>
        <w:spacing w:line="240" w:lineRule="auto" w:before="11"/>
        <w:rPr>
          <w:rFonts w:ascii="宋体" w:hAnsi="宋体" w:cs="宋体" w:eastAsia="宋体" w:hint="default"/>
          <w:sz w:val="21"/>
          <w:szCs w:val="21"/>
        </w:rPr>
      </w:pPr>
    </w:p>
    <w:p>
      <w:pPr>
        <w:pStyle w:val="BodyText"/>
        <w:spacing w:line="240" w:lineRule="auto" w:before="44"/>
        <w:ind w:right="114"/>
        <w:jc w:val="left"/>
      </w:pPr>
      <w:r>
        <w:rPr>
          <w:spacing w:val="-4"/>
        </w:rPr>
        <w:t>号）和《关于公布新疆困难地区重点鼓励发展产业企业所得税优惠目录（试行）的通知》（财税【</w:t>
      </w:r>
      <w:r>
        <w:rPr>
          <w:rFonts w:ascii="宋体" w:hAnsi="宋体" w:cs="宋体" w:eastAsia="宋体" w:hint="default"/>
          <w:spacing w:val="-4"/>
        </w:rPr>
        <w:t>2011</w:t>
      </w:r>
      <w:r>
        <w:rPr>
          <w:spacing w:val="-4"/>
        </w:rPr>
        <w:t>】</w:t>
      </w:r>
      <w:r>
        <w:rPr>
          <w:rFonts w:ascii="宋体" w:hAnsi="宋体" w:cs="宋体" w:eastAsia="宋体" w:hint="default"/>
          <w:spacing w:val="-4"/>
        </w:rPr>
        <w:t>60</w:t>
      </w:r>
      <w:r>
        <w:rPr>
          <w:spacing w:val="-4"/>
        </w:rPr>
        <w:t>号）文件的规定，</w:t>
      </w:r>
    </w:p>
    <w:p>
      <w:pPr>
        <w:pStyle w:val="BodyText"/>
        <w:spacing w:line="316" w:lineRule="auto" w:before="76"/>
        <w:ind w:right="114"/>
        <w:jc w:val="left"/>
      </w:pPr>
      <w:r>
        <w:rPr>
          <w:spacing w:val="-2"/>
        </w:rPr>
        <w:t>《目录》范围内的企业，自取得第一笔生产经营收入所属纳税年度起，第一年至第五年免征企业所得税，免税期满后，再免</w:t>
      </w:r>
      <w:r>
        <w:rPr>
          <w:spacing w:val="-67"/>
        </w:rPr>
        <w:t> </w:t>
      </w:r>
      <w:r>
        <w:rPr>
          <w:spacing w:val="-67"/>
        </w:rPr>
      </w:r>
      <w:r>
        <w:rPr/>
        <w:t>征企业五年所得税地方分享部分。</w:t>
      </w:r>
      <w:r>
        <w:rPr>
          <w:rFonts w:ascii="宋体" w:hAnsi="宋体" w:cs="宋体" w:eastAsia="宋体" w:hint="default"/>
        </w:rPr>
        <w:t>2017</w:t>
      </w:r>
      <w:r>
        <w:rPr/>
        <w:t>年度为第二年享受该项优惠政策。</w:t>
      </w:r>
    </w:p>
    <w:p>
      <w:pPr>
        <w:pStyle w:val="BodyText"/>
        <w:spacing w:line="316" w:lineRule="auto" w:before="19"/>
        <w:ind w:right="123" w:firstLine="360"/>
        <w:jc w:val="left"/>
      </w:pPr>
      <w:r>
        <w:rPr>
          <w:rFonts w:ascii="宋体" w:hAnsi="宋体" w:cs="宋体" w:eastAsia="宋体" w:hint="default"/>
        </w:rPr>
        <w:t>(3)</w:t>
      </w:r>
      <w:r>
        <w:rPr>
          <w:rFonts w:ascii="宋体" w:hAnsi="宋体" w:cs="宋体" w:eastAsia="宋体" w:hint="default"/>
          <w:spacing w:val="29"/>
        </w:rPr>
        <w:t> </w:t>
      </w:r>
      <w:r>
        <w:rPr>
          <w:spacing w:val="-4"/>
        </w:rPr>
        <w:t>哆可梦</w:t>
      </w:r>
      <w:r>
        <w:rPr>
          <w:rFonts w:ascii="宋体" w:hAnsi="宋体" w:cs="宋体" w:eastAsia="宋体" w:hint="default"/>
          <w:spacing w:val="-4"/>
        </w:rPr>
        <w:t>2010</w:t>
      </w:r>
      <w:r>
        <w:rPr>
          <w:spacing w:val="-4"/>
        </w:rPr>
        <w:t>年通过四川省经济和信息化委员会的评审，符合《进一步鼓励软件产业和集成电路产业发展的若干政策》</w:t>
      </w:r>
      <w:r>
        <w:rPr/>
        <w:t> 和《软件企业认定管理办法》的有关规定，认定为软件企业，并于</w:t>
      </w:r>
      <w:r>
        <w:rPr>
          <w:rFonts w:ascii="宋体" w:hAnsi="宋体" w:cs="宋体" w:eastAsia="宋体" w:hint="default"/>
        </w:rPr>
        <w:t>2010</w:t>
      </w:r>
      <w:r>
        <w:rPr/>
        <w:t>年</w:t>
      </w:r>
      <w:r>
        <w:rPr>
          <w:rFonts w:ascii="宋体" w:hAnsi="宋体" w:cs="宋体" w:eastAsia="宋体" w:hint="default"/>
        </w:rPr>
        <w:t>7</w:t>
      </w:r>
      <w:r>
        <w:rPr/>
        <w:t>月</w:t>
      </w:r>
      <w:r>
        <w:rPr>
          <w:rFonts w:ascii="宋体" w:hAnsi="宋体" w:cs="宋体" w:eastAsia="宋体" w:hint="default"/>
        </w:rPr>
        <w:t>26</w:t>
      </w:r>
      <w:r>
        <w:rPr/>
        <w:t>日取得四川省经济和信息化委员会颁发“证</w:t>
      </w:r>
      <w:r>
        <w:rPr>
          <w:spacing w:val="-85"/>
        </w:rPr>
        <w:t> </w:t>
      </w:r>
      <w:r>
        <w:rPr>
          <w:spacing w:val="-85"/>
        </w:rPr>
      </w:r>
      <w:r>
        <w:rPr/>
        <w:t>书编号：川</w:t>
      </w:r>
      <w:r>
        <w:rPr>
          <w:rFonts w:ascii="宋体" w:hAnsi="宋体" w:cs="宋体" w:eastAsia="宋体" w:hint="default"/>
        </w:rPr>
        <w:t>R-2010-0062</w:t>
      </w:r>
      <w:r>
        <w:rPr/>
        <w:t>”的软件企业认定证书。根据《财政部、国家税务总局关于进一步鼓励软件产业和集成电路产业发 展企业所得税政策的通知》（财税〔</w:t>
      </w:r>
      <w:r>
        <w:rPr>
          <w:rFonts w:ascii="宋体" w:hAnsi="宋体" w:cs="宋体" w:eastAsia="宋体" w:hint="default"/>
        </w:rPr>
        <w:t>2012</w:t>
      </w:r>
      <w:r>
        <w:rPr/>
        <w:t>〕</w:t>
      </w:r>
      <w:r>
        <w:rPr>
          <w:rFonts w:ascii="宋体" w:hAnsi="宋体" w:cs="宋体" w:eastAsia="宋体" w:hint="default"/>
        </w:rPr>
        <w:t>27</w:t>
      </w:r>
      <w:r>
        <w:rPr/>
        <w:t>号）第三条规定：软件企业自获利年度起“两免三减半”</w:t>
      </w:r>
      <w:r>
        <w:rPr>
          <w:spacing w:val="1"/>
        </w:rPr>
        <w:t> </w:t>
      </w:r>
      <w:r>
        <w:rPr/>
        <w:t>，公司从</w:t>
      </w:r>
      <w:r>
        <w:rPr>
          <w:rFonts w:ascii="宋体" w:hAnsi="宋体" w:cs="宋体" w:eastAsia="宋体" w:hint="default"/>
        </w:rPr>
        <w:t>2011</w:t>
      </w:r>
      <w:r>
        <w:rPr/>
        <w:t>年度</w:t>
      </w:r>
      <w:r>
        <w:rPr>
          <w:spacing w:val="-3"/>
        </w:rPr>
        <w:t> </w:t>
      </w:r>
      <w:r>
        <w:rPr/>
        <w:t>起享受所得税免征税收优惠政策，即</w:t>
      </w:r>
      <w:r>
        <w:rPr>
          <w:rFonts w:ascii="宋体" w:hAnsi="宋体" w:cs="宋体" w:eastAsia="宋体" w:hint="default"/>
        </w:rPr>
        <w:t>2011</w:t>
      </w:r>
      <w:r>
        <w:rPr/>
        <w:t>年、</w:t>
      </w:r>
      <w:r>
        <w:rPr>
          <w:rFonts w:ascii="宋体" w:hAnsi="宋体" w:cs="宋体" w:eastAsia="宋体" w:hint="default"/>
        </w:rPr>
        <w:t>2012</w:t>
      </w:r>
      <w:r>
        <w:rPr/>
        <w:t>年免征企业所得税，</w:t>
      </w:r>
      <w:r>
        <w:rPr>
          <w:rFonts w:ascii="宋体" w:hAnsi="宋体" w:cs="宋体" w:eastAsia="宋体" w:hint="default"/>
        </w:rPr>
        <w:t>2013</w:t>
      </w:r>
      <w:r>
        <w:rPr/>
        <w:t>年、</w:t>
      </w:r>
      <w:r>
        <w:rPr>
          <w:rFonts w:ascii="宋体" w:hAnsi="宋体" w:cs="宋体" w:eastAsia="宋体" w:hint="default"/>
        </w:rPr>
        <w:t>2014</w:t>
      </w:r>
      <w:r>
        <w:rPr/>
        <w:t>年、</w:t>
      </w:r>
      <w:r>
        <w:rPr>
          <w:rFonts w:ascii="宋体" w:hAnsi="宋体" w:cs="宋体" w:eastAsia="宋体" w:hint="default"/>
        </w:rPr>
        <w:t>2015</w:t>
      </w:r>
      <w:r>
        <w:rPr/>
        <w:t>年按</w:t>
      </w:r>
      <w:r>
        <w:rPr>
          <w:rFonts w:ascii="宋体" w:hAnsi="宋体" w:cs="宋体" w:eastAsia="宋体" w:hint="default"/>
        </w:rPr>
        <w:t>12.5%</w:t>
      </w:r>
      <w:r>
        <w:rPr/>
        <w:t>税率征收企业所得 税。</w:t>
      </w:r>
    </w:p>
    <w:p>
      <w:pPr>
        <w:pStyle w:val="BodyText"/>
        <w:spacing w:line="319" w:lineRule="auto" w:before="19"/>
        <w:ind w:right="211" w:firstLine="360"/>
        <w:jc w:val="both"/>
      </w:pPr>
      <w:r>
        <w:rPr>
          <w:spacing w:val="-2"/>
        </w:rPr>
        <w:t>公司于</w:t>
      </w:r>
      <w:r>
        <w:rPr>
          <w:rFonts w:ascii="宋体" w:hAnsi="宋体" w:cs="宋体" w:eastAsia="宋体" w:hint="default"/>
          <w:spacing w:val="-2"/>
        </w:rPr>
        <w:t>2015</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w:t>
      </w:r>
      <w:r>
        <w:rPr>
          <w:spacing w:val="-2"/>
        </w:rPr>
        <w:t>日取得由四川省科学技术厅、四川省财政局、四川省国家税务局和四川省地方税务局批准颁发的高新</w:t>
      </w:r>
      <w:r>
        <w:rPr/>
        <w:t> </w:t>
      </w:r>
      <w:r>
        <w:rPr>
          <w:spacing w:val="-2"/>
        </w:rPr>
        <w:t>技术企业证书，证书编号：</w:t>
      </w:r>
      <w:r>
        <w:rPr>
          <w:rFonts w:ascii="宋体" w:hAnsi="宋体" w:cs="宋体" w:eastAsia="宋体" w:hint="default"/>
          <w:spacing w:val="-2"/>
        </w:rPr>
        <w:t>GF201551000053</w:t>
      </w:r>
      <w:r>
        <w:rPr>
          <w:spacing w:val="-2"/>
        </w:rPr>
        <w:t>，认定为高新技术企业。根据《财政部国家税务总局关于企业所得税若干优惠政</w:t>
      </w:r>
      <w:r>
        <w:rPr>
          <w:spacing w:val="-55"/>
        </w:rPr>
        <w:t> </w:t>
      </w:r>
      <w:r>
        <w:rPr>
          <w:spacing w:val="-55"/>
        </w:rPr>
      </w:r>
      <w:r>
        <w:rPr/>
        <w:t>策的通知》（财税字</w:t>
      </w:r>
      <w:r>
        <w:rPr>
          <w:rFonts w:ascii="宋体" w:hAnsi="宋体" w:cs="宋体" w:eastAsia="宋体" w:hint="default"/>
        </w:rPr>
        <w:t>[1994]1</w:t>
      </w:r>
      <w:r>
        <w:rPr/>
        <w:t>号）第一条规定：经国务院批准的高新技术区内的企业，经有关部门认定为高新技术企业的，</w:t>
      </w:r>
      <w:r>
        <w:rPr>
          <w:spacing w:val="-86"/>
        </w:rPr>
        <w:t> </w:t>
      </w:r>
      <w:r>
        <w:rPr>
          <w:spacing w:val="-86"/>
        </w:rPr>
      </w:r>
      <w:r>
        <w:rPr/>
        <w:t>可减按</w:t>
      </w:r>
      <w:r>
        <w:rPr>
          <w:rFonts w:ascii="宋体" w:hAnsi="宋体" w:cs="宋体" w:eastAsia="宋体" w:hint="default"/>
        </w:rPr>
        <w:t>15</w:t>
      </w:r>
      <w:r>
        <w:rPr/>
        <w:t>％的税率征收所得税。公司</w:t>
      </w:r>
      <w:r>
        <w:rPr>
          <w:rFonts w:ascii="宋体" w:hAnsi="宋体" w:cs="宋体" w:eastAsia="宋体" w:hint="default"/>
        </w:rPr>
        <w:t>2017</w:t>
      </w:r>
      <w:r>
        <w:rPr/>
        <w:t>年度实际按</w:t>
      </w:r>
      <w:r>
        <w:rPr>
          <w:rFonts w:ascii="宋体" w:hAnsi="宋体" w:cs="宋体" w:eastAsia="宋体" w:hint="default"/>
        </w:rPr>
        <w:t>15%</w:t>
      </w:r>
      <w:r>
        <w:rPr/>
        <w:t>的税率缴纳企业所得税。</w:t>
      </w:r>
    </w:p>
    <w:p>
      <w:pPr>
        <w:pStyle w:val="BodyText"/>
        <w:spacing w:line="316" w:lineRule="auto" w:before="17"/>
        <w:ind w:right="211" w:firstLine="360"/>
        <w:jc w:val="both"/>
      </w:pPr>
      <w:r>
        <w:rPr/>
        <w:t>（</w:t>
      </w:r>
      <w:r>
        <w:rPr>
          <w:rFonts w:ascii="宋体" w:hAnsi="宋体" w:cs="宋体" w:eastAsia="宋体" w:hint="default"/>
        </w:rPr>
        <w:t>4</w:t>
      </w:r>
      <w:r>
        <w:rPr/>
        <w:t>）旭梅网络成立时间为</w:t>
      </w:r>
      <w:r>
        <w:rPr>
          <w:rFonts w:ascii="宋体" w:hAnsi="宋体" w:cs="宋体" w:eastAsia="宋体" w:hint="default"/>
        </w:rPr>
        <w:t>2015</w:t>
      </w:r>
      <w:r>
        <w:rPr/>
        <w:t>年</w:t>
      </w:r>
      <w:r>
        <w:rPr>
          <w:rFonts w:ascii="宋体" w:hAnsi="宋体" w:cs="宋体" w:eastAsia="宋体" w:hint="default"/>
        </w:rPr>
        <w:t>10</w:t>
      </w:r>
      <w:r>
        <w:rPr/>
        <w:t>月，公司的主要经营范围为软件开发，公司通过上海市软件行业协会的评审，认定 为软件企业，并于</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25</w:t>
      </w:r>
      <w:r>
        <w:rPr/>
        <w:t>日取得上海市软件行业协会颁发“证书编号：沪</w:t>
      </w:r>
      <w:r>
        <w:rPr>
          <w:rFonts w:ascii="宋体" w:hAnsi="宋体" w:cs="宋体" w:eastAsia="宋体" w:hint="default"/>
        </w:rPr>
        <w:t>RQ-2016-0017</w:t>
      </w:r>
      <w:r>
        <w:rPr/>
        <w:t>”的软件企业认定证书。根据 </w:t>
      </w:r>
      <w:r>
        <w:rPr>
          <w:spacing w:val="-2"/>
        </w:rPr>
        <w:t>财税</w:t>
      </w:r>
      <w:r>
        <w:rPr>
          <w:rFonts w:ascii="宋体" w:hAnsi="宋体" w:cs="宋体" w:eastAsia="宋体" w:hint="default"/>
          <w:spacing w:val="-2"/>
        </w:rPr>
        <w:t>[2012]</w:t>
      </w:r>
      <w:r>
        <w:rPr>
          <w:spacing w:val="-2"/>
        </w:rPr>
        <w:t>年</w:t>
      </w:r>
      <w:r>
        <w:rPr>
          <w:rFonts w:ascii="宋体" w:hAnsi="宋体" w:cs="宋体" w:eastAsia="宋体" w:hint="default"/>
          <w:spacing w:val="-2"/>
        </w:rPr>
        <w:t>27</w:t>
      </w:r>
      <w:r>
        <w:rPr>
          <w:spacing w:val="-2"/>
        </w:rPr>
        <w:t>号文件第三条：我国境内新办的集成电路设计企业和符合条件的软件企业，经认定后，在</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日前</w:t>
      </w:r>
      <w:r>
        <w:rPr>
          <w:spacing w:val="-57"/>
        </w:rPr>
        <w:t> </w:t>
      </w:r>
      <w:r>
        <w:rPr/>
        <w:t>自获利年度起计算优惠期，第一年至第二年免征企业所得税，第三年至第五年按照</w:t>
      </w:r>
      <w:r>
        <w:rPr>
          <w:rFonts w:ascii="宋体" w:hAnsi="宋体" w:cs="宋体" w:eastAsia="宋体" w:hint="default"/>
        </w:rPr>
        <w:t>25%</w:t>
      </w:r>
      <w:r>
        <w:rPr/>
        <w:t>的法定税率减半征收企业所得税，并</w:t>
      </w:r>
      <w:r>
        <w:rPr>
          <w:spacing w:val="-84"/>
        </w:rPr>
        <w:t> </w:t>
      </w:r>
      <w:r>
        <w:rPr>
          <w:spacing w:val="-84"/>
        </w:rPr>
      </w:r>
      <w:r>
        <w:rPr/>
        <w:t>享受至期满为止。旭梅网络</w:t>
      </w:r>
      <w:r>
        <w:rPr>
          <w:rFonts w:ascii="宋体" w:hAnsi="宋体" w:cs="宋体" w:eastAsia="宋体" w:hint="default"/>
        </w:rPr>
        <w:t>2015</w:t>
      </w:r>
      <w:r>
        <w:rPr/>
        <w:t>年和</w:t>
      </w:r>
      <w:r>
        <w:rPr>
          <w:rFonts w:ascii="宋体" w:hAnsi="宋体" w:cs="宋体" w:eastAsia="宋体" w:hint="default"/>
        </w:rPr>
        <w:t>2016</w:t>
      </w:r>
      <w:r>
        <w:rPr/>
        <w:t>年均处于亏损期，无需缴纳所得税；</w:t>
      </w:r>
      <w:r>
        <w:rPr>
          <w:rFonts w:ascii="宋体" w:hAnsi="宋体" w:cs="宋体" w:eastAsia="宋体" w:hint="default"/>
        </w:rPr>
        <w:t>2017</w:t>
      </w:r>
      <w:r>
        <w:rPr/>
        <w:t>年度免征企业所得税。</w:t>
      </w:r>
    </w:p>
    <w:p>
      <w:pPr>
        <w:pStyle w:val="BodyText"/>
        <w:spacing w:line="240" w:lineRule="auto" w:before="19"/>
        <w:ind w:left="513" w:right="0"/>
        <w:jc w:val="left"/>
      </w:pPr>
      <w:r>
        <w:rPr/>
        <w:t>（</w:t>
      </w:r>
      <w:r>
        <w:rPr>
          <w:rFonts w:ascii="宋体" w:hAnsi="宋体" w:cs="宋体" w:eastAsia="宋体" w:hint="default"/>
        </w:rPr>
        <w:t>5</w:t>
      </w:r>
      <w:r>
        <w:rPr/>
        <w:t>）吉乾科技成立时间为</w:t>
      </w:r>
      <w:r>
        <w:rPr>
          <w:rFonts w:ascii="宋体" w:hAnsi="宋体" w:cs="宋体" w:eastAsia="宋体" w:hint="default"/>
        </w:rPr>
        <w:t>2014</w:t>
      </w:r>
      <w:r>
        <w:rPr/>
        <w:t>年</w:t>
      </w:r>
      <w:r>
        <w:rPr>
          <w:rFonts w:ascii="宋体" w:hAnsi="宋体" w:cs="宋体" w:eastAsia="宋体" w:hint="default"/>
        </w:rPr>
        <w:t>6</w:t>
      </w:r>
      <w:r>
        <w:rPr/>
        <w:t>月，公司的主要经营范围为软件开发，通过四川省经济和信息化委员会的评审，符合</w:t>
      </w:r>
    </w:p>
    <w:p>
      <w:pPr>
        <w:pStyle w:val="BodyText"/>
        <w:spacing w:line="316" w:lineRule="auto" w:before="76"/>
        <w:ind w:right="208"/>
        <w:jc w:val="both"/>
      </w:pPr>
      <w:r>
        <w:rPr>
          <w:spacing w:val="-2"/>
        </w:rPr>
        <w:t>《进一步鼓励软件产业和集成电路产业发展的若干政策》和《软件企业认定管理办法》的有关规定，认定为软件企业。根据</w:t>
      </w:r>
      <w:r>
        <w:rPr>
          <w:spacing w:val="-67"/>
        </w:rPr>
        <w:t> </w:t>
      </w:r>
      <w:r>
        <w:rPr>
          <w:spacing w:val="-67"/>
        </w:rPr>
      </w:r>
      <w:r>
        <w:rPr>
          <w:spacing w:val="-2"/>
        </w:rPr>
        <w:t>财税</w:t>
      </w:r>
      <w:r>
        <w:rPr>
          <w:rFonts w:ascii="宋体" w:hAnsi="宋体" w:cs="宋体" w:eastAsia="宋体" w:hint="default"/>
          <w:spacing w:val="-2"/>
        </w:rPr>
        <w:t>[2012]</w:t>
      </w:r>
      <w:r>
        <w:rPr>
          <w:spacing w:val="-2"/>
        </w:rPr>
        <w:t>第</w:t>
      </w:r>
      <w:r>
        <w:rPr>
          <w:rFonts w:ascii="宋体" w:hAnsi="宋体" w:cs="宋体" w:eastAsia="宋体" w:hint="default"/>
          <w:spacing w:val="-2"/>
        </w:rPr>
        <w:t>27</w:t>
      </w:r>
      <w:r>
        <w:rPr>
          <w:spacing w:val="-2"/>
        </w:rPr>
        <w:t>号第三条：我国境内新办的集成电路设计企业和符合条件的软件企业，经认定后，在</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日前自获</w:t>
      </w:r>
      <w:r>
        <w:rPr>
          <w:spacing w:val="-54"/>
        </w:rPr>
        <w:t> </w:t>
      </w:r>
      <w:r>
        <w:rPr>
          <w:spacing w:val="-54"/>
        </w:rPr>
      </w:r>
      <w:r>
        <w:rPr/>
        <w:t>利年度起计算优惠期，第一年至第二年免征企业所得税，第三年至第五年按照</w:t>
      </w:r>
      <w:r>
        <w:rPr>
          <w:rFonts w:ascii="宋体" w:hAnsi="宋体" w:cs="宋体" w:eastAsia="宋体" w:hint="default"/>
        </w:rPr>
        <w:t>25%</w:t>
      </w:r>
      <w:r>
        <w:rPr/>
        <w:t>的法定税率减半征收企业所得税，并享受</w:t>
      </w:r>
      <w:r>
        <w:rPr>
          <w:spacing w:val="-84"/>
        </w:rPr>
        <w:t> </w:t>
      </w:r>
      <w:r>
        <w:rPr>
          <w:spacing w:val="-84"/>
        </w:rPr>
      </w:r>
      <w:r>
        <w:rPr/>
        <w:t>至期满为止。公司于</w:t>
      </w:r>
      <w:r>
        <w:rPr>
          <w:rFonts w:ascii="宋体" w:hAnsi="宋体" w:cs="宋体" w:eastAsia="宋体" w:hint="default"/>
        </w:rPr>
        <w:t>2016</w:t>
      </w:r>
      <w:r>
        <w:rPr/>
        <w:t>年</w:t>
      </w:r>
      <w:r>
        <w:rPr>
          <w:rFonts w:ascii="宋体" w:hAnsi="宋体" w:cs="宋体" w:eastAsia="宋体" w:hint="default"/>
        </w:rPr>
        <w:t>11</w:t>
      </w:r>
      <w:r>
        <w:rPr/>
        <w:t>月</w:t>
      </w:r>
      <w:r>
        <w:rPr>
          <w:rFonts w:ascii="宋体" w:hAnsi="宋体" w:cs="宋体" w:eastAsia="宋体" w:hint="default"/>
        </w:rPr>
        <w:t>4</w:t>
      </w:r>
      <w:r>
        <w:rPr/>
        <w:t>日取得由四川省科学技术厅、四川省财政局、四川省国家税务局和四川省地方税务局批准</w:t>
      </w:r>
      <w:r>
        <w:rPr>
          <w:spacing w:val="-85"/>
        </w:rPr>
        <w:t> </w:t>
      </w:r>
      <w:r>
        <w:rPr>
          <w:spacing w:val="-85"/>
        </w:rPr>
      </w:r>
      <w:r>
        <w:rPr>
          <w:spacing w:val="-2"/>
        </w:rPr>
        <w:t>颁发的高新技术企业证书，证书编号：</w:t>
      </w:r>
      <w:r>
        <w:rPr>
          <w:rFonts w:ascii="宋体" w:hAnsi="宋体" w:cs="宋体" w:eastAsia="宋体" w:hint="default"/>
          <w:spacing w:val="-2"/>
        </w:rPr>
        <w:t>GF201651000123</w:t>
      </w:r>
      <w:r>
        <w:rPr>
          <w:spacing w:val="-2"/>
        </w:rPr>
        <w:t>，认定为高新技术企业。根据《财政部国家税务总局关于企业所得税</w:t>
      </w:r>
      <w:r>
        <w:rPr>
          <w:spacing w:val="-58"/>
        </w:rPr>
        <w:t> </w:t>
      </w:r>
      <w:r>
        <w:rPr>
          <w:spacing w:val="-58"/>
        </w:rPr>
      </w:r>
      <w:r>
        <w:rPr/>
        <w:t>若干优惠政策的通知》（财税字</w:t>
      </w:r>
      <w:r>
        <w:rPr>
          <w:rFonts w:ascii="宋体" w:hAnsi="宋体" w:cs="宋体" w:eastAsia="宋体" w:hint="default"/>
        </w:rPr>
        <w:t>[1994]1</w:t>
      </w:r>
      <w:r>
        <w:rPr/>
        <w:t>号）第一条规定：经国务院批准的高新技术区内的企业，经有关部门认定为高新技</w:t>
      </w:r>
      <w:r>
        <w:rPr>
          <w:spacing w:val="-85"/>
        </w:rPr>
        <w:t> </w:t>
      </w:r>
      <w:r>
        <w:rPr>
          <w:spacing w:val="-85"/>
        </w:rPr>
      </w:r>
      <w:r>
        <w:rPr>
          <w:spacing w:val="-2"/>
        </w:rPr>
        <w:t>术企业的，可减按</w:t>
      </w:r>
      <w:r>
        <w:rPr>
          <w:rFonts w:ascii="宋体" w:hAnsi="宋体" w:cs="宋体" w:eastAsia="宋体" w:hint="default"/>
          <w:spacing w:val="-2"/>
        </w:rPr>
        <w:t>15</w:t>
      </w:r>
      <w:r>
        <w:rPr>
          <w:spacing w:val="-2"/>
        </w:rPr>
        <w:t>％的税率征收所得税。吉乾科技</w:t>
      </w:r>
      <w:r>
        <w:rPr>
          <w:rFonts w:ascii="宋体" w:hAnsi="宋体" w:cs="宋体" w:eastAsia="宋体" w:hint="default"/>
          <w:spacing w:val="-2"/>
        </w:rPr>
        <w:t>2015</w:t>
      </w:r>
      <w:r>
        <w:rPr>
          <w:spacing w:val="-2"/>
        </w:rPr>
        <w:t>年亏损，</w:t>
      </w:r>
      <w:r>
        <w:rPr>
          <w:rFonts w:ascii="宋体" w:hAnsi="宋体" w:cs="宋体" w:eastAsia="宋体" w:hint="default"/>
          <w:spacing w:val="-2"/>
        </w:rPr>
        <w:t>2016</w:t>
      </w:r>
      <w:r>
        <w:rPr>
          <w:spacing w:val="-2"/>
        </w:rPr>
        <w:t>年开始盈利，即公司从</w:t>
      </w:r>
      <w:r>
        <w:rPr>
          <w:rFonts w:ascii="宋体" w:hAnsi="宋体" w:cs="宋体" w:eastAsia="宋体" w:hint="default"/>
          <w:spacing w:val="-2"/>
        </w:rPr>
        <w:t>2016</w:t>
      </w:r>
      <w:r>
        <w:rPr>
          <w:spacing w:val="-2"/>
        </w:rPr>
        <w:t>年度和</w:t>
      </w:r>
      <w:r>
        <w:rPr>
          <w:rFonts w:ascii="宋体" w:hAnsi="宋体" w:cs="宋体" w:eastAsia="宋体" w:hint="default"/>
          <w:spacing w:val="-2"/>
        </w:rPr>
        <w:t>2017</w:t>
      </w:r>
      <w:r>
        <w:rPr>
          <w:spacing w:val="-2"/>
        </w:rPr>
        <w:t>年度享受软件</w:t>
      </w:r>
      <w:r>
        <w:rPr>
          <w:spacing w:val="-52"/>
        </w:rPr>
        <w:t> </w:t>
      </w:r>
      <w:r>
        <w:rPr>
          <w:spacing w:val="-52"/>
        </w:rPr>
      </w:r>
      <w:r>
        <w:rPr/>
        <w:t>企业免征企业所得税的优惠。</w:t>
      </w:r>
    </w:p>
    <w:p>
      <w:pPr>
        <w:pStyle w:val="BodyText"/>
        <w:spacing w:line="316" w:lineRule="auto" w:before="19"/>
        <w:ind w:right="114" w:firstLine="360"/>
        <w:jc w:val="left"/>
      </w:pPr>
      <w:r>
        <w:rPr>
          <w:spacing w:val="-5"/>
        </w:rPr>
        <w:t>（</w:t>
      </w:r>
      <w:r>
        <w:rPr>
          <w:rFonts w:ascii="宋体" w:hAnsi="宋体" w:cs="宋体" w:eastAsia="宋体" w:hint="default"/>
          <w:spacing w:val="-5"/>
        </w:rPr>
        <w:t>6</w:t>
      </w:r>
      <w:r>
        <w:rPr>
          <w:spacing w:val="-5"/>
        </w:rPr>
        <w:t>）乐珩网络和璿游网络依据《关于新疆喀什霍尔果斯两个特殊经济开发区企业所得税优惠政策的通知》（财税【</w:t>
      </w:r>
      <w:r>
        <w:rPr>
          <w:rFonts w:ascii="宋体" w:hAnsi="宋体" w:cs="宋体" w:eastAsia="宋体" w:hint="default"/>
          <w:spacing w:val="-5"/>
        </w:rPr>
        <w:t>2011</w:t>
      </w:r>
      <w:r>
        <w:rPr>
          <w:spacing w:val="-5"/>
        </w:rPr>
        <w:t>】</w:t>
      </w:r>
      <w:r>
        <w:rPr/>
        <w:t> </w:t>
      </w:r>
      <w:r>
        <w:rPr>
          <w:rFonts w:ascii="宋体" w:hAnsi="宋体" w:cs="宋体" w:eastAsia="宋体" w:hint="default"/>
        </w:rPr>
        <w:t>112</w:t>
      </w:r>
      <w:r>
        <w:rPr/>
        <w:t>号）和《关于公布新疆困难地区重点鼓励发展产业企业所得税优惠目录（试行）的通知》（财税【</w:t>
      </w:r>
      <w:r>
        <w:rPr>
          <w:rFonts w:ascii="宋体" w:hAnsi="宋体" w:cs="宋体" w:eastAsia="宋体" w:hint="default"/>
        </w:rPr>
        <w:t>2011</w:t>
      </w:r>
      <w:r>
        <w:rPr/>
        <w:t>】</w:t>
      </w:r>
      <w:r>
        <w:rPr>
          <w:rFonts w:ascii="宋体" w:hAnsi="宋体" w:cs="宋体" w:eastAsia="宋体" w:hint="default"/>
        </w:rPr>
        <w:t>60</w:t>
      </w:r>
      <w:r>
        <w:rPr/>
        <w:t>号）文件的</w:t>
      </w:r>
      <w:r>
        <w:rPr>
          <w:spacing w:val="-85"/>
        </w:rPr>
        <w:t> </w:t>
      </w:r>
      <w:r>
        <w:rPr>
          <w:spacing w:val="-85"/>
        </w:rPr>
      </w:r>
      <w:r>
        <w:rPr>
          <w:spacing w:val="-4"/>
        </w:rPr>
        <w:t>规定，《目录》范围内的企业，自取得第一笔生产经营收入所属纳税年度起，第一年至第五年免征企业所得税，免税期满后，</w:t>
      </w:r>
      <w:r>
        <w:rPr>
          <w:spacing w:val="-44"/>
        </w:rPr>
        <w:t> </w:t>
      </w:r>
      <w:r>
        <w:rPr>
          <w:spacing w:val="-44"/>
        </w:rPr>
      </w:r>
      <w:r>
        <w:rPr/>
        <w:t>再免征企业五年所得税地方分享部分。</w:t>
      </w:r>
      <w:r>
        <w:rPr>
          <w:rFonts w:ascii="宋体" w:hAnsi="宋体" w:cs="宋体" w:eastAsia="宋体" w:hint="default"/>
        </w:rPr>
        <w:t>2017</w:t>
      </w:r>
      <w:r>
        <w:rPr/>
        <w:t>年度为第一年享受该项优惠政策。</w:t>
      </w:r>
    </w:p>
    <w:p>
      <w:pPr>
        <w:pStyle w:val="BodyText"/>
        <w:spacing w:line="319" w:lineRule="auto" w:before="19"/>
        <w:ind w:right="210" w:firstLine="360"/>
        <w:jc w:val="both"/>
      </w:pPr>
      <w:r>
        <w:rPr>
          <w:spacing w:val="-2"/>
        </w:rPr>
        <w:t>（</w:t>
      </w:r>
      <w:r>
        <w:rPr>
          <w:rFonts w:ascii="宋体" w:hAnsi="宋体" w:cs="宋体" w:eastAsia="宋体" w:hint="default"/>
          <w:spacing w:val="-2"/>
        </w:rPr>
        <w:t>7</w:t>
      </w:r>
      <w:r>
        <w:rPr>
          <w:spacing w:val="-2"/>
        </w:rPr>
        <w:t>）根据《财政部、国家税务总局关于软件产品增值税政策的通知》</w:t>
      </w:r>
      <w:r>
        <w:rPr>
          <w:rFonts w:ascii="宋体" w:hAnsi="宋体" w:cs="宋体" w:eastAsia="宋体" w:hint="default"/>
          <w:spacing w:val="-2"/>
        </w:rPr>
        <w:t>(</w:t>
      </w:r>
      <w:r>
        <w:rPr>
          <w:spacing w:val="-2"/>
        </w:rPr>
        <w:t>财税</w:t>
      </w:r>
      <w:r>
        <w:rPr>
          <w:rFonts w:ascii="宋体" w:hAnsi="宋体" w:cs="宋体" w:eastAsia="宋体" w:hint="default"/>
          <w:spacing w:val="-2"/>
        </w:rPr>
        <w:t>[2011]100</w:t>
      </w:r>
      <w:r>
        <w:rPr>
          <w:spacing w:val="-2"/>
        </w:rPr>
        <w:t>号</w:t>
      </w:r>
      <w:r>
        <w:rPr>
          <w:rFonts w:ascii="宋体" w:hAnsi="宋体" w:cs="宋体" w:eastAsia="宋体" w:hint="default"/>
          <w:spacing w:val="-2"/>
        </w:rPr>
        <w:t>)</w:t>
      </w:r>
      <w:r>
        <w:rPr>
          <w:spacing w:val="-2"/>
        </w:rPr>
        <w:t>：关于鼓励软件产业发展的税</w:t>
      </w:r>
      <w:r>
        <w:rPr/>
        <w:t> 收政策，对增值税一般纳税人销售其自行开发生产的软件产品，按</w:t>
      </w:r>
      <w:r>
        <w:rPr>
          <w:rFonts w:ascii="宋体" w:hAnsi="宋体" w:cs="宋体" w:eastAsia="宋体" w:hint="default"/>
        </w:rPr>
        <w:t>17%</w:t>
      </w:r>
      <w:r>
        <w:rPr/>
        <w:t>的法定税率征收增值税后，对其增值税实际税负超过</w:t>
      </w:r>
      <w:r>
        <w:rPr>
          <w:spacing w:val="-84"/>
        </w:rPr>
        <w:t> </w:t>
      </w:r>
      <w:r>
        <w:rPr>
          <w:spacing w:val="-84"/>
        </w:rPr>
      </w:r>
      <w:r>
        <w:rPr>
          <w:rFonts w:ascii="宋体" w:hAnsi="宋体" w:cs="宋体" w:eastAsia="宋体" w:hint="default"/>
          <w:spacing w:val="-2"/>
        </w:rPr>
        <w:t>3%</w:t>
      </w:r>
      <w:r>
        <w:rPr>
          <w:spacing w:val="-2"/>
        </w:rPr>
        <w:t>的部分实行即征即退政策，所退税款由企业用于研究软件产品和扩大再生产，不作为企业所得税应税收入，不予征收企业</w:t>
      </w:r>
      <w:r>
        <w:rPr>
          <w:spacing w:val="-61"/>
        </w:rPr>
        <w:t> </w:t>
      </w:r>
      <w:r>
        <w:rPr>
          <w:spacing w:val="-61"/>
        </w:rPr>
      </w:r>
      <w:r>
        <w:rPr/>
        <w:t>所得税。哆可梦及其子公司软件产品按</w:t>
      </w:r>
      <w:r>
        <w:rPr>
          <w:rFonts w:ascii="宋体" w:hAnsi="宋体" w:cs="宋体" w:eastAsia="宋体" w:hint="default"/>
        </w:rPr>
        <w:t>17%</w:t>
      </w:r>
      <w:r>
        <w:rPr/>
        <w:t>税率缴纳增值税后，对增值税实际税负超过</w:t>
      </w:r>
      <w:r>
        <w:rPr>
          <w:rFonts w:ascii="宋体" w:hAnsi="宋体" w:cs="宋体" w:eastAsia="宋体" w:hint="default"/>
        </w:rPr>
        <w:t>3%</w:t>
      </w:r>
      <w:r>
        <w:rPr/>
        <w:t>的部分实行即征即退政策。</w:t>
      </w:r>
    </w:p>
    <w:p>
      <w:pPr>
        <w:spacing w:line="240" w:lineRule="auto" w:before="9"/>
        <w:rPr>
          <w:rFonts w:ascii="宋体" w:hAnsi="宋体" w:cs="宋体" w:eastAsia="宋体" w:hint="default"/>
          <w:sz w:val="20"/>
          <w:szCs w:val="20"/>
        </w:rPr>
      </w:pPr>
    </w:p>
    <w:p>
      <w:pPr>
        <w:pStyle w:val="Heading2"/>
        <w:spacing w:line="240" w:lineRule="auto"/>
        <w:ind w:right="0"/>
        <w:jc w:val="both"/>
        <w:rPr>
          <w:b w:val="0"/>
          <w:bCs w:val="0"/>
        </w:rPr>
      </w:pP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2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2,843.67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9,481.09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2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272,620,373.68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50,575,040.17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73,936,741.48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16,818,212.26</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346,559,958.83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67,402,733.52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2,378.72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6,016.71</w:t>
            </w:r>
          </w:p>
        </w:tc>
      </w:tr>
    </w:tbl>
    <w:p>
      <w:pPr>
        <w:pStyle w:val="BodyText"/>
        <w:spacing w:line="240" w:lineRule="auto" w:before="49"/>
        <w:ind w:right="153"/>
        <w:jc w:val="left"/>
      </w:pPr>
      <w:r>
        <w:rPr/>
        <w:t>其他说明：其中受到限制的货币资金明细如下：</w:t>
      </w:r>
    </w:p>
    <w:p>
      <w:pPr>
        <w:pStyle w:val="BodyText"/>
        <w:spacing w:line="240" w:lineRule="auto" w:before="115"/>
        <w:ind w:left="0" w:right="151"/>
        <w:jc w:val="right"/>
      </w:pPr>
      <w:r>
        <w:rPr/>
        <w:t>单位：元</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4019"/>
        <w:gridCol w:w="3168"/>
        <w:gridCol w:w="2473"/>
      </w:tblGrid>
      <w:tr>
        <w:trPr>
          <w:trHeight w:val="427" w:hRule="exact"/>
        </w:trPr>
        <w:tc>
          <w:tcPr>
            <w:tcW w:w="4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22"/>
              <w:jc w:val="right"/>
              <w:rPr>
                <w:rFonts w:ascii="宋体" w:hAnsi="宋体" w:cs="宋体" w:eastAsia="宋体" w:hint="default"/>
                <w:sz w:val="18"/>
                <w:szCs w:val="18"/>
              </w:rPr>
            </w:pPr>
            <w:r>
              <w:rPr>
                <w:rFonts w:ascii="宋体" w:hAnsi="宋体" w:cs="宋体" w:eastAsia="宋体" w:hint="default"/>
                <w:sz w:val="18"/>
                <w:szCs w:val="18"/>
              </w:rPr>
              <w:t>项目</w:t>
            </w:r>
          </w:p>
        </w:tc>
        <w:tc>
          <w:tcPr>
            <w:tcW w:w="3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27" w:hRule="exact"/>
        </w:trPr>
        <w:tc>
          <w:tcPr>
            <w:tcW w:w="4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54,579,317.75</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13,060,018.63</w:t>
            </w:r>
          </w:p>
        </w:tc>
      </w:tr>
      <w:tr>
        <w:trPr>
          <w:trHeight w:val="428" w:hRule="exact"/>
        </w:trPr>
        <w:tc>
          <w:tcPr>
            <w:tcW w:w="4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3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14,987.00</w:t>
            </w:r>
          </w:p>
        </w:tc>
      </w:tr>
      <w:tr>
        <w:trPr>
          <w:trHeight w:val="427" w:hRule="exact"/>
        </w:trPr>
        <w:tc>
          <w:tcPr>
            <w:tcW w:w="4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2,667,825.60</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3,734,914.07</w:t>
            </w:r>
          </w:p>
        </w:tc>
      </w:tr>
      <w:tr>
        <w:trPr>
          <w:trHeight w:val="427" w:hRule="exact"/>
        </w:trPr>
        <w:tc>
          <w:tcPr>
            <w:tcW w:w="4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22"/>
              <w:jc w:val="righ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57,247,143.35</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16,809,919.70</w:t>
            </w:r>
          </w:p>
        </w:tc>
      </w:tr>
    </w:tbl>
    <w:p>
      <w:pPr>
        <w:pStyle w:val="BodyText"/>
        <w:spacing w:line="300" w:lineRule="auto" w:before="8"/>
        <w:ind w:right="153"/>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日，其他货币资金中人民币</w:t>
      </w:r>
      <w:r>
        <w:rPr>
          <w:rFonts w:ascii="Times New Roman" w:hAnsi="Times New Roman" w:cs="Times New Roman" w:eastAsia="Times New Roman" w:hint="default"/>
        </w:rPr>
        <w:t>2,667,825.60</w:t>
      </w:r>
      <w:r>
        <w:rPr/>
        <w:t>元为本公司向银行申请开具无条件、不可撤销的担保函所存入的</w:t>
      </w:r>
      <w:r>
        <w:rPr>
          <w:spacing w:val="-49"/>
        </w:rPr>
        <w:t> </w:t>
      </w:r>
      <w:r>
        <w:rPr>
          <w:spacing w:val="-49"/>
        </w:rPr>
      </w:r>
      <w:r>
        <w:rPr/>
        <w:t>保证金存款。</w:t>
      </w:r>
    </w:p>
    <w:p>
      <w:pPr>
        <w:spacing w:line="240" w:lineRule="auto" w:before="10"/>
        <w:rPr>
          <w:rFonts w:ascii="宋体" w:hAnsi="宋体" w:cs="宋体" w:eastAsia="宋体" w:hint="default"/>
          <w:sz w:val="23"/>
          <w:szCs w:val="23"/>
        </w:rPr>
      </w:pPr>
    </w:p>
    <w:p>
      <w:pPr>
        <w:pStyle w:val="Heading3"/>
        <w:spacing w:line="240" w:lineRule="auto"/>
        <w:ind w:right="153"/>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52,697,854.32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99,371,765.40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52,697,854.32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99,371,765.40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52,697,854.32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99,371,765.40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122,056.20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3,178,756.57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622,056.20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3,178,756.57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0"/>
        <w:rPr>
          <w:rFonts w:ascii="宋体" w:hAnsi="宋体" w:cs="宋体" w:eastAsia="宋体" w:hint="default"/>
          <w:sz w:val="24"/>
          <w:szCs w:val="24"/>
        </w:rPr>
      </w:pPr>
    </w:p>
    <w:p>
      <w:pPr>
        <w:pStyle w:val="Heading3"/>
        <w:spacing w:line="240" w:lineRule="auto"/>
        <w:ind w:left="140" w:right="0"/>
        <w:jc w:val="left"/>
        <w:rPr>
          <w:b w:val="0"/>
          <w:bCs w:val="0"/>
        </w:rPr>
      </w:pPr>
      <w:r>
        <w:rPr/>
        <w:pict>
          <v:group style="position:absolute;margin-left:70.559998pt;margin-top:-.476309pt;width:700.95pt;height:.1pt;mso-position-horizontal-relative:page;mso-position-vertical-relative:paragraph;z-index:2224" coordorigin="1411,-10" coordsize="14019,2">
            <v:shape style="position:absolute;left:1411;top:-10;width:14019;height:2" coordorigin="1411,-10" coordsize="14019,0" path="m1411,-10l15430,-10e" filled="false" stroked="true" strokeweight=".72pt" strokecolor="#000000">
              <v:path arrowok="t"/>
            </v:shape>
            <w10:wrap type="none"/>
          </v:group>
        </w:pict>
      </w:r>
      <w:r>
        <w:rPr>
          <w:spacing w:val="-1"/>
        </w:rPr>
        <w:t>（</w:t>
      </w:r>
      <w:r>
        <w:rPr>
          <w:rFonts w:ascii="Times New Roman" w:hAnsi="Times New Roman" w:cs="Times New Roman" w:eastAsia="Times New Roman" w:hint="default"/>
          <w:spacing w:val="-1"/>
        </w:rPr>
        <w:t>2</w:t>
      </w:r>
      <w:r>
        <w:rPr>
          <w:spacing w:val="-1"/>
        </w:rPr>
        <w:t>）期末公司已背书或贴现且在资产负债表日尚未到期的应收票据</w:t>
      </w:r>
      <w:r>
        <w:rPr>
          <w:b w:val="0"/>
          <w:bCs w:val="0"/>
          <w:spacing w:val="-1"/>
        </w:rPr>
      </w:r>
    </w:p>
    <w:p>
      <w:pPr>
        <w:pStyle w:val="BodyText"/>
        <w:spacing w:line="240" w:lineRule="auto" w:before="15"/>
        <w:ind w:left="140" w:right="0"/>
        <w:jc w:val="left"/>
      </w:pPr>
      <w:r>
        <w:rPr/>
        <w:br w:type="column"/>
      </w:r>
      <w:r>
        <w:rPr/>
        <w:t>深圳市惠程电气股份有限公司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p>
      <w:pPr>
        <w:spacing w:after="0" w:line="240" w:lineRule="auto"/>
        <w:jc w:val="left"/>
        <w:sectPr>
          <w:headerReference w:type="default" r:id="rId38"/>
          <w:footerReference w:type="default" r:id="rId39"/>
          <w:pgSz w:w="16840" w:h="11910" w:orient="landscape"/>
          <w:pgMar w:header="0" w:footer="0" w:top="800" w:bottom="280" w:left="1300" w:right="1280"/>
          <w:cols w:num="2" w:equalWidth="0">
            <w:col w:w="6362" w:space="3547"/>
            <w:col w:w="4351"/>
          </w:cols>
        </w:sectPr>
      </w:pPr>
    </w:p>
    <w:p>
      <w:pPr>
        <w:spacing w:line="240" w:lineRule="auto" w:before="12"/>
        <w:rPr>
          <w:rFonts w:ascii="宋体" w:hAnsi="宋体" w:cs="宋体" w:eastAsia="宋体" w:hint="default"/>
          <w:sz w:val="22"/>
          <w:szCs w:val="22"/>
        </w:rPr>
      </w:pPr>
    </w:p>
    <w:p>
      <w:pPr>
        <w:pStyle w:val="BodyText"/>
        <w:spacing w:line="240" w:lineRule="auto" w:before="44"/>
        <w:ind w:left="0" w:right="155"/>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4647"/>
        <w:gridCol w:w="4685"/>
        <w:gridCol w:w="4674"/>
      </w:tblGrid>
      <w:tr>
        <w:trPr>
          <w:trHeight w:val="401" w:hRule="exact"/>
        </w:trPr>
        <w:tc>
          <w:tcPr>
            <w:tcW w:w="4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期末终止确认金额</w:t>
            </w:r>
          </w:p>
        </w:tc>
        <w:tc>
          <w:tcPr>
            <w:tcW w:w="4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1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3" w:hRule="exact"/>
        </w:trPr>
        <w:tc>
          <w:tcPr>
            <w:tcW w:w="4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6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4,878,369.34</w:t>
            </w:r>
          </w:p>
        </w:tc>
        <w:tc>
          <w:tcPr>
            <w:tcW w:w="467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6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4,878,369.34</w:t>
            </w:r>
          </w:p>
        </w:tc>
        <w:tc>
          <w:tcPr>
            <w:tcW w:w="46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left="140" w:right="148"/>
        <w:jc w:val="left"/>
        <w:rPr>
          <w:b w:val="0"/>
          <w:bCs w:val="0"/>
        </w:rPr>
      </w:pPr>
      <w:r>
        <w:rPr>
          <w:rFonts w:ascii="Times New Roman" w:hAnsi="Times New Roman" w:cs="Times New Roman" w:eastAsia="Times New Roman" w:hint="default"/>
        </w:rPr>
        <w:t>4</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40" w:right="148"/>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5"/>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333"/>
        <w:gridCol w:w="1193"/>
        <w:gridCol w:w="1075"/>
        <w:gridCol w:w="1092"/>
        <w:gridCol w:w="1066"/>
        <w:gridCol w:w="1181"/>
        <w:gridCol w:w="1181"/>
        <w:gridCol w:w="1078"/>
        <w:gridCol w:w="1152"/>
        <w:gridCol w:w="1327"/>
        <w:gridCol w:w="1328"/>
      </w:tblGrid>
      <w:tr>
        <w:trPr>
          <w:trHeight w:val="403" w:hRule="exact"/>
        </w:trPr>
        <w:tc>
          <w:tcPr>
            <w:tcW w:w="2333" w:type="dxa"/>
            <w:tcBorders>
              <w:top w:val="single" w:sz="4" w:space="0" w:color="000000"/>
              <w:left w:val="single" w:sz="4" w:space="0" w:color="000000"/>
              <w:bottom w:val="nil" w:sz="6" w:space="0" w:color="auto"/>
              <w:right w:val="single" w:sz="4" w:space="0" w:color="000000"/>
            </w:tcBorders>
            <w:shd w:val="clear" w:color="auto" w:fill="D2D2D2"/>
          </w:tcPr>
          <w:p>
            <w:pPr/>
          </w:p>
        </w:tc>
        <w:tc>
          <w:tcPr>
            <w:tcW w:w="560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06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6" w:hRule="exact"/>
        </w:trPr>
        <w:tc>
          <w:tcPr>
            <w:tcW w:w="23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2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5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1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22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7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2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2333" w:type="dxa"/>
            <w:vMerge/>
            <w:tcBorders>
              <w:left w:val="single" w:sz="4" w:space="0" w:color="000000"/>
              <w:bottom w:val="nil" w:sz="6" w:space="0" w:color="auto"/>
              <w:right w:val="single" w:sz="4" w:space="0" w:color="000000"/>
            </w:tcBorders>
            <w:shd w:val="clear" w:color="auto" w:fill="D2D2D2"/>
          </w:tcPr>
          <w:p>
            <w:pPr/>
          </w:p>
        </w:tc>
        <w:tc>
          <w:tcPr>
            <w:tcW w:w="2269" w:type="dxa"/>
            <w:gridSpan w:val="2"/>
            <w:vMerge/>
            <w:tcBorders>
              <w:left w:val="single" w:sz="4" w:space="0" w:color="000000"/>
              <w:bottom w:val="single" w:sz="4" w:space="0" w:color="000000"/>
              <w:right w:val="single" w:sz="4" w:space="0" w:color="000000"/>
            </w:tcBorders>
            <w:shd w:val="clear" w:color="auto" w:fill="D2D2D2"/>
          </w:tcPr>
          <w:p>
            <w:pPr/>
          </w:p>
        </w:tc>
        <w:tc>
          <w:tcPr>
            <w:tcW w:w="2158" w:type="dxa"/>
            <w:gridSpan w:val="2"/>
            <w:vMerge/>
            <w:tcBorders>
              <w:left w:val="single" w:sz="4" w:space="0" w:color="000000"/>
              <w:bottom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259" w:type="dxa"/>
            <w:gridSpan w:val="2"/>
            <w:vMerge/>
            <w:tcBorders>
              <w:left w:val="single" w:sz="4" w:space="0" w:color="000000"/>
              <w:bottom w:val="single" w:sz="4" w:space="0" w:color="000000"/>
              <w:right w:val="single" w:sz="4" w:space="0" w:color="000000"/>
            </w:tcBorders>
            <w:shd w:val="clear" w:color="auto" w:fill="D2D2D2"/>
          </w:tcPr>
          <w:p>
            <w:pPr/>
          </w:p>
        </w:tc>
        <w:tc>
          <w:tcPr>
            <w:tcW w:w="2479" w:type="dxa"/>
            <w:gridSpan w:val="2"/>
            <w:vMerge/>
            <w:tcBorders>
              <w:left w:val="single" w:sz="4" w:space="0" w:color="000000"/>
              <w:bottom w:val="single" w:sz="4" w:space="0" w:color="000000"/>
              <w:right w:val="single" w:sz="4" w:space="0" w:color="000000"/>
            </w:tcBorders>
            <w:shd w:val="clear" w:color="auto" w:fill="D2D2D2"/>
          </w:tcPr>
          <w:p>
            <w:pPr/>
          </w:p>
        </w:tc>
        <w:tc>
          <w:tcPr>
            <w:tcW w:w="13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9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2" w:hRule="exact"/>
        </w:trPr>
        <w:tc>
          <w:tcPr>
            <w:tcW w:w="2333" w:type="dxa"/>
            <w:vMerge w:val="restart"/>
            <w:tcBorders>
              <w:top w:val="nil" w:sz="6" w:space="0" w:color="auto"/>
              <w:left w:val="single" w:sz="4" w:space="0" w:color="000000"/>
              <w:right w:val="single" w:sz="4" w:space="0" w:color="000000"/>
            </w:tcBorders>
            <w:shd w:val="clear" w:color="auto" w:fill="D2D2D2"/>
          </w:tcPr>
          <w:p>
            <w:pP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5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5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7"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181"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5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97"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28"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2333"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075" w:type="dxa"/>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078"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2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 w:right="149"/>
              <w:jc w:val="left"/>
              <w:rPr>
                <w:rFonts w:ascii="宋体" w:hAnsi="宋体" w:cs="宋体" w:eastAsia="宋体" w:hint="default"/>
                <w:sz w:val="18"/>
                <w:szCs w:val="18"/>
              </w:rPr>
            </w:pPr>
            <w:r>
              <w:rPr>
                <w:rFonts w:ascii="宋体" w:hAnsi="宋体" w:cs="宋体" w:eastAsia="宋体" w:hint="default"/>
                <w:sz w:val="18"/>
                <w:szCs w:val="18"/>
              </w:rPr>
              <w:t>单项金额重大并单独计提坏 账准备的应收账款</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4,543,829.01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3.25%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center"/>
              <w:rPr>
                <w:rFonts w:ascii="Times New Roman" w:hAnsi="Times New Roman" w:cs="Times New Roman" w:eastAsia="Times New Roman" w:hint="default"/>
                <w:sz w:val="18"/>
                <w:szCs w:val="18"/>
              </w:rPr>
            </w:pPr>
            <w:r>
              <w:rPr>
                <w:rFonts w:ascii="Times New Roman"/>
                <w:sz w:val="18"/>
              </w:rPr>
              <w:t>2,916,449.21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64.18%</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1,627,379.80</w:t>
            </w:r>
          </w:p>
        </w:tc>
      </w:tr>
      <w:tr>
        <w:trPr>
          <w:trHeight w:val="715" w:hRule="exact"/>
        </w:trPr>
        <w:tc>
          <w:tcPr>
            <w:tcW w:w="2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49"/>
              <w:jc w:val="left"/>
              <w:rPr>
                <w:rFonts w:ascii="宋体" w:hAnsi="宋体" w:cs="宋体" w:eastAsia="宋体" w:hint="default"/>
                <w:sz w:val="18"/>
                <w:szCs w:val="18"/>
              </w:rPr>
            </w:pPr>
            <w:r>
              <w:rPr>
                <w:rFonts w:ascii="宋体" w:hAnsi="宋体" w:cs="宋体" w:eastAsia="宋体" w:hint="default"/>
                <w:sz w:val="18"/>
                <w:szCs w:val="18"/>
              </w:rPr>
              <w:t>按信用风险特征组合计提坏 账准备的应收账款</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200,249,266.19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24,020,885.53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176,228,380.66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128,753,714.06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92.15%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17,572,804.10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13.65%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111,180,909.96</w:t>
            </w:r>
          </w:p>
        </w:tc>
      </w:tr>
      <w:tr>
        <w:trPr>
          <w:trHeight w:val="713" w:hRule="exact"/>
        </w:trPr>
        <w:tc>
          <w:tcPr>
            <w:tcW w:w="2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 w:right="149"/>
              <w:jc w:val="left"/>
              <w:rPr>
                <w:rFonts w:ascii="宋体" w:hAnsi="宋体" w:cs="宋体" w:eastAsia="宋体" w:hint="default"/>
                <w:sz w:val="18"/>
                <w:szCs w:val="18"/>
              </w:rPr>
            </w:pPr>
            <w:r>
              <w:rPr>
                <w:rFonts w:ascii="宋体" w:hAnsi="宋体" w:cs="宋体" w:eastAsia="宋体" w:hint="default"/>
                <w:sz w:val="18"/>
                <w:szCs w:val="18"/>
              </w:rPr>
              <w:t>单项金额不重大但单独计提 坏账准备的应收账款</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6,433,130.73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center"/>
              <w:rPr>
                <w:rFonts w:ascii="Times New Roman" w:hAnsi="Times New Roman" w:cs="Times New Roman" w:eastAsia="Times New Roman" w:hint="default"/>
                <w:sz w:val="18"/>
                <w:szCs w:val="18"/>
              </w:rPr>
            </w:pPr>
            <w:r>
              <w:rPr>
                <w:rFonts w:ascii="Times New Roman"/>
                <w:sz w:val="18"/>
              </w:rPr>
              <w:t>4,152,847.44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64.55%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2,280,283.29</w:t>
            </w:r>
          </w:p>
        </w:tc>
      </w:tr>
      <w:tr>
        <w:trPr>
          <w:trHeight w:val="404" w:hRule="exact"/>
        </w:trPr>
        <w:tc>
          <w:tcPr>
            <w:tcW w:w="2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200,249,266.19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24,020,885.53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176,228,380.66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139,730,673.80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24,642,100.75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17.64%</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115,088,573.05</w:t>
            </w:r>
          </w:p>
        </w:tc>
      </w:tr>
    </w:tbl>
    <w:p>
      <w:pPr>
        <w:pStyle w:val="BodyText"/>
        <w:spacing w:line="240" w:lineRule="auto" w:before="49"/>
        <w:ind w:left="140" w:right="148"/>
        <w:jc w:val="left"/>
      </w:pPr>
      <w:r>
        <w:rPr/>
        <w:t>期末单项金额重大并单项计提坏账准备的应收账款：</w:t>
      </w:r>
    </w:p>
    <w:p>
      <w:pPr>
        <w:pStyle w:val="BodyText"/>
        <w:spacing w:line="240" w:lineRule="auto" w:before="115"/>
        <w:ind w:left="140"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before="76"/>
        <w:ind w:left="6966" w:right="6981"/>
        <w:jc w:val="center"/>
        <w:rPr>
          <w:rFonts w:ascii="Times New Roman" w:hAnsi="Times New Roman" w:cs="Times New Roman" w:eastAsia="Times New Roman" w:hint="default"/>
        </w:rPr>
      </w:pPr>
      <w:r>
        <w:rPr>
          <w:rFonts w:ascii="Times New Roman"/>
        </w:rPr>
        <w:t>123</w:t>
      </w:r>
    </w:p>
    <w:p>
      <w:pPr>
        <w:spacing w:after="0" w:line="240" w:lineRule="auto"/>
        <w:jc w:val="center"/>
        <w:rPr>
          <w:rFonts w:ascii="Times New Roman" w:hAnsi="Times New Roman" w:cs="Times New Roman" w:eastAsia="Times New Roman" w:hint="default"/>
        </w:rPr>
        <w:sectPr>
          <w:type w:val="continuous"/>
          <w:pgSz w:w="16840" w:h="11910" w:orient="landscape"/>
          <w:pgMar w:top="1060" w:bottom="1160" w:left="1300" w:right="1280"/>
        </w:sectPr>
      </w:pPr>
    </w:p>
    <w:p>
      <w:pPr>
        <w:spacing w:line="240" w:lineRule="auto" w:before="10"/>
        <w:rPr>
          <w:rFonts w:ascii="Times New Roman" w:hAnsi="Times New Roman" w:cs="Times New Roman" w:eastAsia="Times New Roman" w:hint="default"/>
          <w:sz w:val="24"/>
          <w:szCs w:val="24"/>
        </w:rPr>
      </w:pPr>
    </w:p>
    <w:p>
      <w:pPr>
        <w:spacing w:after="0" w:line="240" w:lineRule="auto"/>
        <w:rPr>
          <w:rFonts w:ascii="Times New Roman" w:hAnsi="Times New Roman" w:cs="Times New Roman" w:eastAsia="Times New Roman" w:hint="default"/>
          <w:sz w:val="24"/>
          <w:szCs w:val="24"/>
        </w:rPr>
        <w:sectPr>
          <w:footerReference w:type="default" r:id="rId40"/>
          <w:pgSz w:w="11910" w:h="16840"/>
          <w:pgMar w:footer="979" w:header="0" w:top="1100" w:bottom="1160" w:left="980" w:right="980"/>
          <w:pgNumType w:start="124"/>
        </w:sectPr>
      </w:pPr>
    </w:p>
    <w:p>
      <w:pPr>
        <w:pStyle w:val="BodyText"/>
        <w:spacing w:line="240" w:lineRule="auto" w:before="44"/>
        <w:ind w:right="-20"/>
        <w:jc w:val="left"/>
      </w:pPr>
      <w:r>
        <w:rPr/>
        <w:t>组合中，按账龄分析法计提坏账准备的应收账款：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113" w:space="471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146,752,217.32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5,375,468.27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3.66%</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146,752,217.32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5,375,468.27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3.66%</w:t>
            </w:r>
          </w:p>
        </w:tc>
      </w:tr>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19,646,166.90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1,964,616.69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9,177,414.49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1,835,482.90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9,259,689.37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2,777,906.81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5,577,278.75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2,230,911.50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9,836,499.36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9,836,499.36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200,249,266.19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24,020,885.53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pStyle w:val="BodyText"/>
        <w:spacing w:line="357" w:lineRule="auto" w:before="49"/>
        <w:ind w:right="-20"/>
        <w:jc w:val="left"/>
      </w:pPr>
      <w:r>
        <w:rPr/>
        <w:t>确定该组合依据的说明： 其中，游戏行业按账龄分析法计提坏账准备的应收账款：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8"/>
          <w:szCs w:val="18"/>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4653" w:space="4267"/>
            <w:col w:w="1030"/>
          </w:cols>
        </w:sectPr>
      </w:pP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4518"/>
        <w:gridCol w:w="2424"/>
        <w:gridCol w:w="1357"/>
        <w:gridCol w:w="1361"/>
      </w:tblGrid>
      <w:tr>
        <w:trPr>
          <w:trHeight w:val="348" w:hRule="exact"/>
        </w:trPr>
        <w:tc>
          <w:tcPr>
            <w:tcW w:w="4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514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6" w:hRule="exact"/>
        </w:trPr>
        <w:tc>
          <w:tcPr>
            <w:tcW w:w="4518" w:type="dxa"/>
            <w:tcBorders>
              <w:top w:val="single" w:sz="6" w:space="0" w:color="000000"/>
              <w:left w:val="single" w:sz="6" w:space="0" w:color="000000"/>
              <w:bottom w:val="single" w:sz="6" w:space="0" w:color="000000"/>
              <w:right w:val="single" w:sz="6" w:space="0" w:color="000000"/>
            </w:tcBorders>
          </w:tcPr>
          <w:p>
            <w:pPr/>
          </w:p>
        </w:tc>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应收账款</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hAnsi="宋体" w:cs="宋体" w:eastAsia="宋体" w:hint="default"/>
                <w:sz w:val="18"/>
                <w:szCs w:val="18"/>
              </w:rPr>
              <w:t>坏账准备</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计提比例</w:t>
            </w:r>
          </w:p>
        </w:tc>
      </w:tr>
      <w:tr>
        <w:trPr>
          <w:trHeight w:val="348" w:hRule="exact"/>
        </w:trPr>
        <w:tc>
          <w:tcPr>
            <w:tcW w:w="4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宋体" w:hAnsi="宋体" w:cs="宋体" w:eastAsia="宋体" w:hint="default"/>
                <w:sz w:val="18"/>
                <w:szCs w:val="18"/>
              </w:rPr>
              <w:t>个月</w:t>
            </w:r>
          </w:p>
        </w:tc>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39,242,851.78</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0.00%</w:t>
            </w:r>
          </w:p>
        </w:tc>
      </w:tr>
      <w:tr>
        <w:trPr>
          <w:trHeight w:val="346" w:hRule="exact"/>
        </w:trPr>
        <w:tc>
          <w:tcPr>
            <w:tcW w:w="4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5,919,387.31</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295,969.37</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5.00%</w:t>
            </w:r>
          </w:p>
        </w:tc>
      </w:tr>
      <w:tr>
        <w:trPr>
          <w:trHeight w:val="348" w:hRule="exact"/>
        </w:trPr>
        <w:tc>
          <w:tcPr>
            <w:tcW w:w="4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年以内小计</w:t>
            </w:r>
          </w:p>
        </w:tc>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45,162,239.09</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295,969.37</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0.66%</w:t>
            </w:r>
          </w:p>
        </w:tc>
      </w:tr>
      <w:tr>
        <w:trPr>
          <w:trHeight w:val="346" w:hRule="exact"/>
        </w:trPr>
        <w:tc>
          <w:tcPr>
            <w:tcW w:w="4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164,222.06</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16,422.21</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10.00%</w:t>
            </w:r>
          </w:p>
        </w:tc>
      </w:tr>
      <w:tr>
        <w:trPr>
          <w:trHeight w:val="348" w:hRule="exact"/>
        </w:trPr>
        <w:tc>
          <w:tcPr>
            <w:tcW w:w="4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45,326,461.15</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312,391.58</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0.69%</w:t>
            </w:r>
          </w:p>
        </w:tc>
      </w:tr>
    </w:tbl>
    <w:p>
      <w:pPr>
        <w:pStyle w:val="BodyText"/>
        <w:spacing w:line="240" w:lineRule="auto" w:before="8"/>
        <w:ind w:right="153"/>
        <w:jc w:val="left"/>
      </w:pPr>
      <w:r>
        <w:rPr/>
        <w:t>电气及其他按账龄分析法计提坏账准备的应收账款：</w:t>
      </w:r>
    </w:p>
    <w:p>
      <w:pPr>
        <w:pStyle w:val="BodyText"/>
        <w:spacing w:line="240" w:lineRule="auto" w:before="76"/>
        <w:ind w:left="0" w:right="151"/>
        <w:jc w:val="right"/>
      </w:pPr>
      <w:r>
        <w:rPr/>
        <w:t>单位：元</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4518"/>
        <w:gridCol w:w="2424"/>
        <w:gridCol w:w="1357"/>
        <w:gridCol w:w="1361"/>
      </w:tblGrid>
      <w:tr>
        <w:trPr>
          <w:trHeight w:val="348" w:hRule="exact"/>
        </w:trPr>
        <w:tc>
          <w:tcPr>
            <w:tcW w:w="4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514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6" w:hRule="exact"/>
        </w:trPr>
        <w:tc>
          <w:tcPr>
            <w:tcW w:w="4518" w:type="dxa"/>
            <w:tcBorders>
              <w:top w:val="single" w:sz="6" w:space="0" w:color="000000"/>
              <w:left w:val="single" w:sz="6" w:space="0" w:color="000000"/>
              <w:bottom w:val="single" w:sz="6" w:space="0" w:color="000000"/>
              <w:right w:val="single" w:sz="6" w:space="0" w:color="000000"/>
            </w:tcBorders>
          </w:tcPr>
          <w:p>
            <w:pPr/>
          </w:p>
        </w:tc>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宋体" w:hAnsi="宋体" w:cs="宋体" w:eastAsia="宋体" w:hint="default"/>
                <w:sz w:val="18"/>
                <w:szCs w:val="18"/>
              </w:rPr>
            </w:pPr>
            <w:r>
              <w:rPr>
                <w:rFonts w:ascii="宋体" w:hAnsi="宋体" w:cs="宋体" w:eastAsia="宋体" w:hint="default"/>
                <w:sz w:val="18"/>
                <w:szCs w:val="18"/>
              </w:rPr>
              <w:t>应收账款</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2"/>
              <w:jc w:val="right"/>
              <w:rPr>
                <w:rFonts w:ascii="宋体" w:hAnsi="宋体" w:cs="宋体" w:eastAsia="宋体" w:hint="default"/>
                <w:sz w:val="18"/>
                <w:szCs w:val="18"/>
              </w:rPr>
            </w:pPr>
            <w:r>
              <w:rPr>
                <w:rFonts w:ascii="宋体" w:hAnsi="宋体" w:cs="宋体" w:eastAsia="宋体" w:hint="default"/>
                <w:sz w:val="18"/>
                <w:szCs w:val="18"/>
              </w:rPr>
              <w:t>坏账准备</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宋体" w:hAnsi="宋体" w:cs="宋体" w:eastAsia="宋体" w:hint="default"/>
                <w:sz w:val="18"/>
                <w:szCs w:val="18"/>
              </w:rPr>
            </w:pPr>
            <w:r>
              <w:rPr>
                <w:rFonts w:ascii="宋体" w:hAnsi="宋体" w:cs="宋体" w:eastAsia="宋体" w:hint="default"/>
                <w:sz w:val="18"/>
                <w:szCs w:val="18"/>
              </w:rPr>
              <w:t>计提比例</w:t>
            </w:r>
          </w:p>
        </w:tc>
      </w:tr>
      <w:tr>
        <w:trPr>
          <w:trHeight w:val="348" w:hRule="exact"/>
        </w:trPr>
        <w:tc>
          <w:tcPr>
            <w:tcW w:w="4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101,589,978.23</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5,079,498.90</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5.00%</w:t>
            </w:r>
          </w:p>
        </w:tc>
      </w:tr>
      <w:tr>
        <w:trPr>
          <w:trHeight w:val="348" w:hRule="exact"/>
        </w:trPr>
        <w:tc>
          <w:tcPr>
            <w:tcW w:w="4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19,481,944.84</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1,948,194.48</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10.00%</w:t>
            </w:r>
          </w:p>
        </w:tc>
      </w:tr>
      <w:tr>
        <w:trPr>
          <w:trHeight w:val="346" w:hRule="exact"/>
        </w:trPr>
        <w:tc>
          <w:tcPr>
            <w:tcW w:w="4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9,177,414.49</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1,835,482.90</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20.00%</w:t>
            </w:r>
          </w:p>
        </w:tc>
      </w:tr>
      <w:tr>
        <w:trPr>
          <w:trHeight w:val="348" w:hRule="exact"/>
        </w:trPr>
        <w:tc>
          <w:tcPr>
            <w:tcW w:w="4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至</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9,259,689.37</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2,777,906.81</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30.00%</w:t>
            </w:r>
          </w:p>
        </w:tc>
      </w:tr>
      <w:tr>
        <w:trPr>
          <w:trHeight w:val="346" w:hRule="exact"/>
        </w:trPr>
        <w:tc>
          <w:tcPr>
            <w:tcW w:w="4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至</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5,577,278.75</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2,230,911.50</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40.00%</w:t>
            </w:r>
          </w:p>
        </w:tc>
      </w:tr>
      <w:tr>
        <w:trPr>
          <w:trHeight w:val="348" w:hRule="exact"/>
        </w:trPr>
        <w:tc>
          <w:tcPr>
            <w:tcW w:w="4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9,836,499.36</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9,836,499.36</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8" w:hRule="exact"/>
        </w:trPr>
        <w:tc>
          <w:tcPr>
            <w:tcW w:w="4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154,922,805.04</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23,708,493.95</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15.30%</w:t>
            </w:r>
          </w:p>
        </w:tc>
      </w:tr>
    </w:tbl>
    <w:p>
      <w:pPr>
        <w:pStyle w:val="BodyText"/>
        <w:spacing w:line="240" w:lineRule="auto" w:before="49"/>
        <w:ind w:right="153"/>
        <w:jc w:val="left"/>
      </w:pPr>
      <w:r>
        <w:rPr/>
        <w:t>组合中，采用余额百分比法计提坏账准备的应收账款：</w:t>
      </w:r>
    </w:p>
    <w:p>
      <w:pPr>
        <w:pStyle w:val="BodyText"/>
        <w:spacing w:line="340" w:lineRule="auto" w:before="115"/>
        <w:ind w:right="5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组合中，采用其他方法计提坏账准备的应收账款：无。</w:t>
      </w:r>
    </w:p>
    <w:p>
      <w:pPr>
        <w:spacing w:after="0" w:line="340" w:lineRule="auto"/>
        <w:jc w:val="left"/>
        <w:sectPr>
          <w:type w:val="continuous"/>
          <w:pgSz w:w="11910" w:h="16840"/>
          <w:pgMar w:top="106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2619"/>
        <w:jc w:val="left"/>
      </w:pPr>
      <w:r>
        <w:rPr/>
        <w:t>本期计提坏账准备金额</w:t>
      </w:r>
      <w:r>
        <w:rPr>
          <w:spacing w:val="-45"/>
        </w:rPr>
        <w:t> </w:t>
      </w:r>
      <w:r>
        <w:rPr>
          <w:rFonts w:ascii="Times New Roman" w:hAnsi="Times New Roman" w:cs="Times New Roman" w:eastAsia="Times New Roman" w:hint="default"/>
        </w:rPr>
        <w:t>2,195,846.37</w:t>
      </w:r>
      <w:r>
        <w:rPr>
          <w:rFonts w:ascii="Times New Roman" w:hAnsi="Times New Roman" w:cs="Times New Roman" w:eastAsia="Times New Roman" w:hint="default"/>
          <w:spacing w:val="2"/>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本期合并哆可梦转入坏账准备</w:t>
      </w:r>
      <w:r>
        <w:rPr>
          <w:rFonts w:ascii="Times New Roman" w:hAnsi="Times New Roman" w:cs="Times New Roman" w:eastAsia="Times New Roman" w:hint="default"/>
        </w:rPr>
        <w:t>335,514.14</w:t>
      </w:r>
      <w:r>
        <w:rPr/>
        <w:t>元，本期债务重组减少的坏账准备</w:t>
      </w:r>
      <w:r>
        <w:rPr>
          <w:rFonts w:ascii="Times New Roman" w:hAnsi="Times New Roman" w:cs="Times New Roman" w:eastAsia="Times New Roman" w:hint="default"/>
        </w:rPr>
        <w:t>2,095,476.03</w:t>
      </w:r>
      <w:r>
        <w:rPr/>
        <w:t>元。</w:t>
      </w:r>
    </w:p>
    <w:p>
      <w:pPr>
        <w:spacing w:line="240" w:lineRule="auto" w:before="12"/>
        <w:rPr>
          <w:rFonts w:ascii="宋体" w:hAnsi="宋体" w:cs="宋体" w:eastAsia="宋体" w:hint="default"/>
          <w:sz w:val="19"/>
          <w:szCs w:val="19"/>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1,057,099.70</w:t>
            </w:r>
          </w:p>
        </w:tc>
      </w:tr>
    </w:tbl>
    <w:p>
      <w:pPr>
        <w:pStyle w:val="BodyText"/>
        <w:spacing w:line="240" w:lineRule="auto" w:before="49"/>
        <w:ind w:right="153"/>
        <w:jc w:val="left"/>
      </w:pPr>
      <w:r>
        <w:rPr/>
        <w:t>其中重要的应收账款核销情况：</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234,570.00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债务公司注销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230,204.00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债务公司注销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游戏开发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224,511.41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不再合作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游戏开发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116,391.20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不再合作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92,075.00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债务公司注销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第六名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65,520.00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债务公司注销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第七名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债务公司注销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1,015,021.61</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53"/>
        <w:jc w:val="left"/>
      </w:pPr>
      <w:r>
        <w:rPr/>
        <w:t>应收账款核销说明：无。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180"/>
        <w:gridCol w:w="1870"/>
        <w:gridCol w:w="1712"/>
        <w:gridCol w:w="1560"/>
        <w:gridCol w:w="968"/>
        <w:gridCol w:w="1370"/>
      </w:tblGrid>
      <w:tr>
        <w:trPr>
          <w:trHeight w:val="348" w:hRule="exact"/>
        </w:trPr>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2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88"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1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97" w:right="0"/>
              <w:jc w:val="left"/>
              <w:rPr>
                <w:rFonts w:ascii="宋体" w:hAnsi="宋体" w:cs="宋体" w:eastAsia="宋体" w:hint="default"/>
                <w:sz w:val="18"/>
                <w:szCs w:val="18"/>
              </w:rPr>
            </w:pPr>
            <w:r>
              <w:rPr>
                <w:rFonts w:ascii="宋体" w:hAnsi="宋体" w:cs="宋体" w:eastAsia="宋体" w:hint="default"/>
                <w:sz w:val="18"/>
                <w:szCs w:val="18"/>
              </w:rPr>
              <w:t>年限</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39" w:right="0"/>
              <w:jc w:val="left"/>
              <w:rPr>
                <w:rFonts w:ascii="宋体" w:hAnsi="宋体" w:cs="宋体" w:eastAsia="宋体" w:hint="default"/>
                <w:sz w:val="18"/>
                <w:szCs w:val="18"/>
              </w:rPr>
            </w:pPr>
            <w:r>
              <w:rPr>
                <w:rFonts w:ascii="宋体" w:hAnsi="宋体" w:cs="宋体" w:eastAsia="宋体" w:hint="default"/>
                <w:sz w:val="18"/>
                <w:szCs w:val="18"/>
              </w:rPr>
              <w:t>占总金额比例</w:t>
            </w:r>
          </w:p>
        </w:tc>
      </w:tr>
      <w:tr>
        <w:trPr>
          <w:trHeight w:val="349" w:hRule="exact"/>
        </w:trPr>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19,937,033.00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996,851.65</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9.96%</w:t>
            </w:r>
          </w:p>
        </w:tc>
      </w:tr>
      <w:tr>
        <w:trPr>
          <w:trHeight w:val="346" w:hRule="exact"/>
        </w:trPr>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12,072,985.91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1,366,050.34</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
              <w:jc w:val="righ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年</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6.03%</w:t>
            </w:r>
          </w:p>
        </w:tc>
      </w:tr>
      <w:tr>
        <w:trPr>
          <w:trHeight w:val="348" w:hRule="exact"/>
        </w:trPr>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7,934,715.74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134,643.08</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3.96%</w:t>
            </w:r>
          </w:p>
        </w:tc>
      </w:tr>
      <w:tr>
        <w:trPr>
          <w:trHeight w:val="346" w:hRule="exact"/>
        </w:trPr>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5,229,548.21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261,477.41</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2.61%</w:t>
            </w:r>
          </w:p>
        </w:tc>
      </w:tr>
      <w:tr>
        <w:trPr>
          <w:trHeight w:val="348" w:hRule="exact"/>
        </w:trPr>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4,318,707.54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701,979.51</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
              <w:jc w:val="righ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2.16%</w:t>
            </w:r>
          </w:p>
        </w:tc>
      </w:tr>
      <w:tr>
        <w:trPr>
          <w:trHeight w:val="348" w:hRule="exact"/>
        </w:trPr>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49,492,990.40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3,461,001.99</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24.72%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153"/>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75,452,262.72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99.44%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229,428.60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92.42%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419,316.34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4,320.00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4,320.00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75,875,899.06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248,248.60</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53"/>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年且金额重要的预付款项未及时结算原因的说明：无。</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939"/>
        <w:gridCol w:w="1390"/>
        <w:gridCol w:w="1337"/>
        <w:gridCol w:w="3440"/>
        <w:gridCol w:w="1162"/>
        <w:gridCol w:w="1392"/>
      </w:tblGrid>
      <w:tr>
        <w:trPr>
          <w:trHeight w:val="348" w:hRule="exact"/>
        </w:trPr>
        <w:tc>
          <w:tcPr>
            <w:tcW w:w="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与本公司关系</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期末余额</w:t>
            </w:r>
          </w:p>
        </w:tc>
        <w:tc>
          <w:tcPr>
            <w:tcW w:w="3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占预付款项期末余额合计数的比例</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预付款时间</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46" w:hRule="exact"/>
        </w:trPr>
        <w:tc>
          <w:tcPr>
            <w:tcW w:w="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13,022,808.26</w:t>
            </w:r>
          </w:p>
        </w:tc>
        <w:tc>
          <w:tcPr>
            <w:tcW w:w="3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17.16%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未到结算时间</w:t>
            </w:r>
          </w:p>
        </w:tc>
      </w:tr>
      <w:tr>
        <w:trPr>
          <w:trHeight w:val="348" w:hRule="exact"/>
        </w:trPr>
        <w:tc>
          <w:tcPr>
            <w:tcW w:w="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12,269,351.22</w:t>
            </w:r>
          </w:p>
        </w:tc>
        <w:tc>
          <w:tcPr>
            <w:tcW w:w="3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16.17%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未到结算时间</w:t>
            </w:r>
          </w:p>
        </w:tc>
      </w:tr>
      <w:tr>
        <w:trPr>
          <w:trHeight w:val="348" w:hRule="exact"/>
        </w:trPr>
        <w:tc>
          <w:tcPr>
            <w:tcW w:w="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8,000,000.00</w:t>
            </w:r>
          </w:p>
        </w:tc>
        <w:tc>
          <w:tcPr>
            <w:tcW w:w="3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10.54%</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未到结算时间</w:t>
            </w:r>
          </w:p>
        </w:tc>
      </w:tr>
      <w:tr>
        <w:trPr>
          <w:trHeight w:val="346" w:hRule="exact"/>
        </w:trPr>
        <w:tc>
          <w:tcPr>
            <w:tcW w:w="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7,299,475.18</w:t>
            </w:r>
          </w:p>
        </w:tc>
        <w:tc>
          <w:tcPr>
            <w:tcW w:w="3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9.62%</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未到结算时间</w:t>
            </w:r>
          </w:p>
        </w:tc>
      </w:tr>
      <w:tr>
        <w:trPr>
          <w:trHeight w:val="348" w:hRule="exact"/>
        </w:trPr>
        <w:tc>
          <w:tcPr>
            <w:tcW w:w="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3,601,485.97</w:t>
            </w:r>
          </w:p>
        </w:tc>
        <w:tc>
          <w:tcPr>
            <w:tcW w:w="3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4.75%</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未到结算时间</w:t>
            </w:r>
          </w:p>
        </w:tc>
      </w:tr>
      <w:tr>
        <w:trPr>
          <w:trHeight w:val="348" w:hRule="exact"/>
        </w:trPr>
        <w:tc>
          <w:tcPr>
            <w:tcW w:w="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90"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44,193,120.63</w:t>
            </w:r>
          </w:p>
        </w:tc>
        <w:tc>
          <w:tcPr>
            <w:tcW w:w="3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58.24%</w:t>
            </w:r>
          </w:p>
        </w:tc>
        <w:tc>
          <w:tcPr>
            <w:tcW w:w="1162" w:type="dxa"/>
            <w:tcBorders>
              <w:top w:val="single" w:sz="6" w:space="0" w:color="000000"/>
              <w:left w:val="single" w:sz="6" w:space="0" w:color="000000"/>
              <w:bottom w:val="single" w:sz="6" w:space="0" w:color="000000"/>
              <w:right w:val="single" w:sz="6" w:space="0" w:color="000000"/>
            </w:tcBorders>
          </w:tcPr>
          <w:p>
            <w:pPr/>
          </w:p>
        </w:tc>
        <w:tc>
          <w:tcPr>
            <w:tcW w:w="139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6</w:t>
      </w:r>
      <w:r>
        <w:rPr/>
        <w:t>、应收利息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249,333.33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120,994.52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370,327.85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0"/>
        <w:rPr>
          <w:rFonts w:ascii="宋体" w:hAnsi="宋体" w:cs="宋体" w:eastAsia="宋体" w:hint="default"/>
          <w:sz w:val="24"/>
          <w:szCs w:val="24"/>
        </w:rPr>
      </w:pPr>
    </w:p>
    <w:p>
      <w:pPr>
        <w:pStyle w:val="Heading3"/>
        <w:spacing w:line="240" w:lineRule="auto"/>
        <w:ind w:left="140" w:right="-6"/>
        <w:jc w:val="left"/>
        <w:rPr>
          <w:b w:val="0"/>
          <w:bCs w:val="0"/>
        </w:rPr>
      </w:pPr>
      <w:r>
        <w:rPr/>
        <w:pict>
          <v:group style="position:absolute;margin-left:70.559998pt;margin-top:-.476309pt;width:700.95pt;height:.1pt;mso-position-horizontal-relative:page;mso-position-vertical-relative:paragraph;z-index:2248" coordorigin="1411,-10" coordsize="14019,2">
            <v:shape style="position:absolute;left:1411;top:-10;width:14019;height:2" coordorigin="1411,-10" coordsize="14019,0" path="m1411,-10l15430,-10e" filled="false" stroked="true" strokeweight=".72pt" strokecolor="#000000">
              <v:path arrowok="t"/>
            </v:shape>
            <w10:wrap type="none"/>
          </v:group>
        </w:pict>
      </w:r>
      <w:r>
        <w:rPr>
          <w:rFonts w:ascii="Times New Roman" w:hAnsi="Times New Roman" w:cs="Times New Roman" w:eastAsia="Times New Roman" w:hint="default"/>
        </w:rPr>
        <w:t>7</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40" w:right="-6"/>
        <w:jc w:val="left"/>
        <w:rPr>
          <w:b w:val="0"/>
          <w:bCs w:val="0"/>
        </w:rPr>
      </w:pPr>
      <w:r>
        <w:rPr>
          <w:spacing w:val="-1"/>
        </w:rPr>
        <w:t>（</w:t>
      </w:r>
      <w:r>
        <w:rPr>
          <w:rFonts w:ascii="Times New Roman" w:hAnsi="Times New Roman" w:cs="Times New Roman" w:eastAsia="Times New Roman" w:hint="default"/>
          <w:spacing w:val="-1"/>
        </w:rPr>
        <w:t>1</w:t>
      </w:r>
      <w:r>
        <w:rPr>
          <w:spacing w:val="-1"/>
        </w:rPr>
        <w:t>）其他应收款分类披露</w:t>
      </w:r>
      <w:r>
        <w:rPr>
          <w:b w:val="0"/>
          <w:bCs w:val="0"/>
          <w:spacing w:val="-1"/>
        </w:rPr>
      </w:r>
    </w:p>
    <w:p>
      <w:pPr>
        <w:pStyle w:val="BodyText"/>
        <w:spacing w:line="240" w:lineRule="auto" w:before="15"/>
        <w:ind w:left="140" w:right="0"/>
        <w:jc w:val="left"/>
      </w:pPr>
      <w:r>
        <w:rPr/>
        <w:br w:type="column"/>
      </w:r>
      <w:r>
        <w:rPr/>
        <w:t>深圳市惠程电气股份有限公司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p>
      <w:pPr>
        <w:spacing w:after="0" w:line="240" w:lineRule="auto"/>
        <w:jc w:val="left"/>
        <w:sectPr>
          <w:headerReference w:type="default" r:id="rId41"/>
          <w:footerReference w:type="default" r:id="rId42"/>
          <w:pgSz w:w="16840" w:h="11910" w:orient="landscape"/>
          <w:pgMar w:header="0" w:footer="0" w:top="800" w:bottom="280" w:left="1300" w:right="1280"/>
          <w:cols w:num="2" w:equalWidth="0">
            <w:col w:w="2567" w:space="7341"/>
            <w:col w:w="4352"/>
          </w:cols>
        </w:sectPr>
      </w:pPr>
    </w:p>
    <w:p>
      <w:pPr>
        <w:spacing w:line="240" w:lineRule="auto" w:before="12"/>
        <w:rPr>
          <w:rFonts w:ascii="宋体" w:hAnsi="宋体" w:cs="宋体" w:eastAsia="宋体" w:hint="default"/>
          <w:sz w:val="22"/>
          <w:szCs w:val="22"/>
        </w:rPr>
      </w:pPr>
    </w:p>
    <w:p>
      <w:pPr>
        <w:pStyle w:val="BodyText"/>
        <w:spacing w:line="240" w:lineRule="auto" w:before="44"/>
        <w:ind w:left="0" w:right="155"/>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357"/>
        <w:gridCol w:w="1116"/>
        <w:gridCol w:w="1102"/>
        <w:gridCol w:w="1102"/>
        <w:gridCol w:w="1107"/>
        <w:gridCol w:w="1145"/>
        <w:gridCol w:w="1090"/>
        <w:gridCol w:w="1105"/>
        <w:gridCol w:w="1178"/>
        <w:gridCol w:w="1351"/>
        <w:gridCol w:w="1354"/>
      </w:tblGrid>
      <w:tr>
        <w:trPr>
          <w:trHeight w:val="403" w:hRule="exact"/>
        </w:trPr>
        <w:tc>
          <w:tcPr>
            <w:tcW w:w="2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5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07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6" w:hRule="exact"/>
        </w:trPr>
        <w:tc>
          <w:tcPr>
            <w:tcW w:w="2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21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0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145" w:type="dxa"/>
            <w:tcBorders>
              <w:top w:val="single" w:sz="4" w:space="0" w:color="000000"/>
              <w:left w:val="single" w:sz="4" w:space="0" w:color="000000"/>
              <w:bottom w:val="nil" w:sz="6" w:space="0" w:color="auto"/>
              <w:right w:val="single" w:sz="4" w:space="0" w:color="000000"/>
            </w:tcBorders>
            <w:shd w:val="clear" w:color="auto" w:fill="D2D2D2"/>
          </w:tcPr>
          <w:p>
            <w:pPr/>
          </w:p>
        </w:tc>
        <w:tc>
          <w:tcPr>
            <w:tcW w:w="21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5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2357" w:type="dxa"/>
            <w:vMerge/>
            <w:tcBorders>
              <w:left w:val="single" w:sz="4" w:space="0" w:color="000000"/>
              <w:bottom w:val="nil" w:sz="6" w:space="0" w:color="auto"/>
              <w:right w:val="single" w:sz="4" w:space="0" w:color="000000"/>
            </w:tcBorders>
            <w:shd w:val="clear" w:color="auto" w:fill="D2D2D2"/>
          </w:tcPr>
          <w:p>
            <w:pPr/>
          </w:p>
        </w:tc>
        <w:tc>
          <w:tcPr>
            <w:tcW w:w="2218" w:type="dxa"/>
            <w:gridSpan w:val="2"/>
            <w:vMerge/>
            <w:tcBorders>
              <w:left w:val="single" w:sz="4" w:space="0" w:color="000000"/>
              <w:bottom w:val="single" w:sz="4" w:space="0" w:color="000000"/>
              <w:right w:val="single" w:sz="4" w:space="0" w:color="000000"/>
            </w:tcBorders>
            <w:shd w:val="clear" w:color="auto" w:fill="D2D2D2"/>
          </w:tcPr>
          <w:p>
            <w:pPr/>
          </w:p>
        </w:tc>
        <w:tc>
          <w:tcPr>
            <w:tcW w:w="2208" w:type="dxa"/>
            <w:gridSpan w:val="2"/>
            <w:vMerge/>
            <w:tcBorders>
              <w:left w:val="single" w:sz="4" w:space="0" w:color="000000"/>
              <w:bottom w:val="single" w:sz="4" w:space="0" w:color="000000"/>
              <w:right w:val="single" w:sz="4" w:space="0" w:color="000000"/>
            </w:tcBorders>
            <w:shd w:val="clear" w:color="auto" w:fill="D2D2D2"/>
          </w:tcPr>
          <w:p>
            <w:pPr/>
          </w:p>
        </w:tc>
        <w:tc>
          <w:tcPr>
            <w:tcW w:w="11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194" w:type="dxa"/>
            <w:gridSpan w:val="2"/>
            <w:vMerge/>
            <w:tcBorders>
              <w:left w:val="single" w:sz="4" w:space="0" w:color="000000"/>
              <w:bottom w:val="single" w:sz="4" w:space="0" w:color="000000"/>
              <w:right w:val="single" w:sz="4" w:space="0" w:color="000000"/>
            </w:tcBorders>
            <w:shd w:val="clear" w:color="auto" w:fill="D2D2D2"/>
          </w:tcPr>
          <w:p>
            <w:pPr/>
          </w:p>
        </w:tc>
        <w:tc>
          <w:tcPr>
            <w:tcW w:w="2530" w:type="dxa"/>
            <w:gridSpan w:val="2"/>
            <w:vMerge/>
            <w:tcBorders>
              <w:left w:val="single" w:sz="4" w:space="0" w:color="000000"/>
              <w:bottom w:val="single" w:sz="4" w:space="0" w:color="000000"/>
              <w:right w:val="single" w:sz="4" w:space="0" w:color="000000"/>
            </w:tcBorders>
            <w:shd w:val="clear" w:color="auto" w:fill="D2D2D2"/>
          </w:tcPr>
          <w:p>
            <w:pPr/>
          </w:p>
        </w:tc>
        <w:tc>
          <w:tcPr>
            <w:tcW w:w="13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2" w:hRule="exact"/>
        </w:trPr>
        <w:tc>
          <w:tcPr>
            <w:tcW w:w="2357" w:type="dxa"/>
            <w:vMerge w:val="restart"/>
            <w:tcBorders>
              <w:top w:val="nil" w:sz="6" w:space="0" w:color="auto"/>
              <w:left w:val="single" w:sz="4" w:space="0" w:color="000000"/>
              <w:right w:val="single" w:sz="4" w:space="0" w:color="000000"/>
            </w:tcBorders>
            <w:shd w:val="clear" w:color="auto" w:fill="D2D2D2"/>
          </w:tcPr>
          <w:p>
            <w:pPr/>
          </w:p>
        </w:tc>
        <w:tc>
          <w:tcPr>
            <w:tcW w:w="11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1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145" w:type="dxa"/>
            <w:vMerge/>
            <w:tcBorders>
              <w:left w:val="single" w:sz="4" w:space="0" w:color="000000"/>
              <w:bottom w:val="nil" w:sz="6" w:space="0" w:color="auto"/>
              <w:right w:val="single" w:sz="4" w:space="0" w:color="000000"/>
            </w:tcBorders>
            <w:shd w:val="clear" w:color="auto" w:fill="D2D2D2"/>
          </w:tcPr>
          <w:p>
            <w:pPr/>
          </w:p>
        </w:tc>
        <w:tc>
          <w:tcPr>
            <w:tcW w:w="10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5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1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54"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2357" w:type="dxa"/>
            <w:vMerge/>
            <w:tcBorders>
              <w:left w:val="single" w:sz="4" w:space="0" w:color="000000"/>
              <w:bottom w:val="single" w:sz="4" w:space="0" w:color="000000"/>
              <w:right w:val="single" w:sz="4" w:space="0" w:color="000000"/>
            </w:tcBorders>
            <w:shd w:val="clear" w:color="auto" w:fill="D2D2D2"/>
          </w:tcPr>
          <w:p>
            <w:pPr/>
          </w:p>
        </w:tc>
        <w:tc>
          <w:tcPr>
            <w:tcW w:w="1116" w:type="dxa"/>
            <w:vMerge/>
            <w:tcBorders>
              <w:left w:val="single" w:sz="4" w:space="0" w:color="000000"/>
              <w:bottom w:val="single" w:sz="4" w:space="0" w:color="000000"/>
              <w:right w:val="single" w:sz="4" w:space="0" w:color="000000"/>
            </w:tcBorders>
            <w:shd w:val="clear" w:color="auto" w:fill="D2D2D2"/>
          </w:tcPr>
          <w:p>
            <w:pPr/>
          </w:p>
        </w:tc>
        <w:tc>
          <w:tcPr>
            <w:tcW w:w="1102" w:type="dxa"/>
            <w:vMerge/>
            <w:tcBorders>
              <w:left w:val="single" w:sz="4" w:space="0" w:color="000000"/>
              <w:bottom w:val="single" w:sz="4" w:space="0" w:color="000000"/>
              <w:right w:val="single" w:sz="4" w:space="0" w:color="000000"/>
            </w:tcBorders>
            <w:shd w:val="clear" w:color="auto" w:fill="D2D2D2"/>
          </w:tcPr>
          <w:p>
            <w:pPr/>
          </w:p>
        </w:tc>
        <w:tc>
          <w:tcPr>
            <w:tcW w:w="1102" w:type="dxa"/>
            <w:vMerge/>
            <w:tcBorders>
              <w:left w:val="single" w:sz="4" w:space="0" w:color="000000"/>
              <w:bottom w:val="single" w:sz="4" w:space="0" w:color="000000"/>
              <w:right w:val="single" w:sz="4" w:space="0" w:color="000000"/>
            </w:tcBorders>
            <w:shd w:val="clear" w:color="auto" w:fill="D2D2D2"/>
          </w:tcPr>
          <w:p>
            <w:pPr/>
          </w:p>
        </w:tc>
        <w:tc>
          <w:tcPr>
            <w:tcW w:w="1107" w:type="dxa"/>
            <w:vMerge/>
            <w:tcBorders>
              <w:left w:val="single" w:sz="4" w:space="0" w:color="000000"/>
              <w:bottom w:val="single" w:sz="4" w:space="0" w:color="000000"/>
              <w:right w:val="single" w:sz="4" w:space="0" w:color="000000"/>
            </w:tcBorders>
            <w:shd w:val="clear" w:color="auto" w:fill="D2D2D2"/>
          </w:tcPr>
          <w:p>
            <w:pPr/>
          </w:p>
        </w:tc>
        <w:tc>
          <w:tcPr>
            <w:tcW w:w="11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105" w:type="dxa"/>
            <w:vMerge/>
            <w:tcBorders>
              <w:left w:val="single" w:sz="4" w:space="0" w:color="000000"/>
              <w:bottom w:val="single" w:sz="4" w:space="0" w:color="000000"/>
              <w:right w:val="single" w:sz="4" w:space="0" w:color="000000"/>
            </w:tcBorders>
            <w:shd w:val="clear" w:color="auto" w:fill="D2D2D2"/>
          </w:tcPr>
          <w:p>
            <w:pPr/>
          </w:p>
        </w:tc>
        <w:tc>
          <w:tcPr>
            <w:tcW w:w="1178" w:type="dxa"/>
            <w:vMerge/>
            <w:tcBorders>
              <w:left w:val="single" w:sz="4" w:space="0" w:color="000000"/>
              <w:bottom w:val="single" w:sz="4" w:space="0" w:color="000000"/>
              <w:right w:val="single" w:sz="4" w:space="0" w:color="000000"/>
            </w:tcBorders>
            <w:shd w:val="clear" w:color="auto" w:fill="D2D2D2"/>
          </w:tcPr>
          <w:p>
            <w:pPr/>
          </w:p>
        </w:tc>
        <w:tc>
          <w:tcPr>
            <w:tcW w:w="1351" w:type="dxa"/>
            <w:vMerge/>
            <w:tcBorders>
              <w:left w:val="single" w:sz="4" w:space="0" w:color="000000"/>
              <w:bottom w:val="single" w:sz="4" w:space="0" w:color="000000"/>
              <w:right w:val="single" w:sz="4" w:space="0" w:color="000000"/>
            </w:tcBorders>
            <w:shd w:val="clear" w:color="auto" w:fill="D2D2D2"/>
          </w:tcPr>
          <w:p>
            <w:pPr/>
          </w:p>
        </w:tc>
        <w:tc>
          <w:tcPr>
            <w:tcW w:w="135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2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73"/>
              <w:jc w:val="left"/>
              <w:rPr>
                <w:rFonts w:ascii="宋体" w:hAnsi="宋体" w:cs="宋体" w:eastAsia="宋体" w:hint="default"/>
                <w:sz w:val="18"/>
                <w:szCs w:val="18"/>
              </w:rPr>
            </w:pPr>
            <w:r>
              <w:rPr>
                <w:rFonts w:ascii="宋体" w:hAnsi="宋体" w:cs="宋体" w:eastAsia="宋体" w:hint="default"/>
                <w:sz w:val="18"/>
                <w:szCs w:val="18"/>
              </w:rPr>
              <w:t>单项金额重大并单独计提坏 账准备的其他应收款</w:t>
            </w:r>
          </w:p>
        </w:tc>
        <w:tc>
          <w:tcPr>
            <w:tcW w:w="11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32,000,000.00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73.02%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32,000,000.00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73"/>
              <w:jc w:val="left"/>
              <w:rPr>
                <w:rFonts w:ascii="宋体" w:hAnsi="宋体" w:cs="宋体" w:eastAsia="宋体" w:hint="default"/>
                <w:sz w:val="18"/>
                <w:szCs w:val="18"/>
              </w:rPr>
            </w:pPr>
            <w:r>
              <w:rPr>
                <w:rFonts w:ascii="宋体" w:hAnsi="宋体" w:cs="宋体" w:eastAsia="宋体" w:hint="default"/>
                <w:sz w:val="18"/>
                <w:szCs w:val="18"/>
              </w:rPr>
              <w:t>按信用风险特征组合计提坏 账准备的其他应收款</w:t>
            </w:r>
          </w:p>
        </w:tc>
        <w:tc>
          <w:tcPr>
            <w:tcW w:w="11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8,769,761.78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895,248.37</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10.21%</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7,874,513.41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17,272,689.78</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91.08%</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1,233,336.07</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7.14%</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16,039,353.71</w:t>
            </w:r>
          </w:p>
        </w:tc>
      </w:tr>
      <w:tr>
        <w:trPr>
          <w:trHeight w:val="713" w:hRule="exact"/>
        </w:trPr>
        <w:tc>
          <w:tcPr>
            <w:tcW w:w="2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73"/>
              <w:jc w:val="left"/>
              <w:rPr>
                <w:rFonts w:ascii="宋体" w:hAnsi="宋体" w:cs="宋体" w:eastAsia="宋体" w:hint="default"/>
                <w:sz w:val="18"/>
                <w:szCs w:val="18"/>
              </w:rPr>
            </w:pPr>
            <w:r>
              <w:rPr>
                <w:rFonts w:ascii="宋体" w:hAnsi="宋体" w:cs="宋体" w:eastAsia="宋体" w:hint="default"/>
                <w:sz w:val="18"/>
                <w:szCs w:val="18"/>
              </w:rPr>
              <w:t>单项金额不重大但单独计提 坏账准备的其他应收款</w:t>
            </w:r>
          </w:p>
        </w:tc>
        <w:tc>
          <w:tcPr>
            <w:tcW w:w="11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3,052,733.81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6.97%</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3,052,733.81</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1,690,672.22</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8.92%</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1,690,672.22</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43,822,495.59</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3,947,982.18</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9.01%</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39,874,513.41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18,963,362.00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2,924,008.29</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15.42%</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16,039,353.71</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060" w:bottom="1160" w:left="1300" w:right="1280"/>
        </w:sectPr>
      </w:pPr>
    </w:p>
    <w:p>
      <w:pPr>
        <w:pStyle w:val="BodyText"/>
        <w:spacing w:line="240" w:lineRule="auto" w:before="49"/>
        <w:ind w:left="140" w:right="-20"/>
        <w:jc w:val="left"/>
      </w:pPr>
      <w:r>
        <w:rPr/>
        <w:t>期末单项金额重大并单项计提坏账准备的其他应收款：</w:t>
      </w:r>
    </w:p>
    <w:p>
      <w:pPr>
        <w:pStyle w:val="BodyText"/>
        <w:spacing w:line="240" w:lineRule="auto" w:before="115"/>
        <w:ind w:left="140"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40" w:right="0"/>
        <w:jc w:val="left"/>
      </w:pPr>
      <w:r>
        <w:rPr/>
        <w:t>单位：</w:t>
      </w:r>
      <w:r>
        <w:rPr>
          <w:spacing w:val="1"/>
        </w:rPr>
        <w:t> </w:t>
      </w:r>
      <w:r>
        <w:rPr/>
        <w:t>元</w:t>
      </w:r>
    </w:p>
    <w:p>
      <w:pPr>
        <w:spacing w:after="0" w:line="240" w:lineRule="auto"/>
        <w:jc w:val="left"/>
        <w:sectPr>
          <w:type w:val="continuous"/>
          <w:pgSz w:w="16840" w:h="11910" w:orient="landscape"/>
          <w:pgMar w:top="1060" w:bottom="1160" w:left="1300" w:right="1280"/>
          <w:cols w:num="2" w:equalWidth="0">
            <w:col w:w="4461" w:space="8689"/>
            <w:col w:w="1110"/>
          </w:cols>
        </w:sectPr>
      </w:pP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801"/>
        <w:gridCol w:w="2806"/>
        <w:gridCol w:w="2804"/>
        <w:gridCol w:w="2804"/>
        <w:gridCol w:w="2804"/>
      </w:tblGrid>
      <w:tr>
        <w:trPr>
          <w:trHeight w:val="401" w:hRule="exact"/>
        </w:trPr>
        <w:tc>
          <w:tcPr>
            <w:tcW w:w="28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94"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1121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801" w:type="dxa"/>
            <w:vMerge/>
            <w:tcBorders>
              <w:left w:val="single" w:sz="4" w:space="0" w:color="000000"/>
              <w:bottom w:val="single" w:sz="4" w:space="0" w:color="000000"/>
              <w:right w:val="single" w:sz="4" w:space="0" w:color="000000"/>
            </w:tcBorders>
            <w:shd w:val="clear" w:color="auto" w:fill="D2D2D2"/>
          </w:tcPr>
          <w:p>
            <w:pPr/>
          </w:p>
        </w:tc>
        <w:tc>
          <w:tcPr>
            <w:tcW w:w="2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2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2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广州某公司</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12,000,000.00</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按协议约定，未达到收款时点</w:t>
            </w:r>
          </w:p>
        </w:tc>
      </w:tr>
      <w:tr>
        <w:trPr>
          <w:trHeight w:val="716"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珠海某公司</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70"/>
              <w:jc w:val="left"/>
              <w:rPr>
                <w:rFonts w:ascii="宋体" w:hAnsi="宋体" w:cs="宋体" w:eastAsia="宋体" w:hint="default"/>
                <w:sz w:val="18"/>
                <w:szCs w:val="18"/>
              </w:rPr>
            </w:pPr>
            <w:r>
              <w:rPr>
                <w:rFonts w:ascii="宋体" w:hAnsi="宋体" w:cs="宋体" w:eastAsia="宋体" w:hint="default"/>
                <w:sz w:val="18"/>
                <w:szCs w:val="18"/>
              </w:rPr>
              <w:t>广告费投标保证金按政策不计提减 值</w:t>
            </w:r>
          </w:p>
        </w:tc>
      </w:tr>
      <w:tr>
        <w:trPr>
          <w:trHeight w:val="401" w:hRule="exact"/>
        </w:trPr>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32,000,000.00</w:t>
            </w:r>
          </w:p>
        </w:tc>
        <w:tc>
          <w:tcPr>
            <w:tcW w:w="2804" w:type="dxa"/>
            <w:tcBorders>
              <w:top w:val="single" w:sz="4" w:space="0" w:color="000000"/>
              <w:left w:val="single" w:sz="4" w:space="0" w:color="000000"/>
              <w:bottom w:val="single" w:sz="4" w:space="0" w:color="000000"/>
              <w:right w:val="single" w:sz="12"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0.00</w:t>
            </w:r>
          </w:p>
        </w:tc>
        <w:tc>
          <w:tcPr>
            <w:tcW w:w="2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2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before="76"/>
        <w:ind w:left="6966" w:right="6981"/>
        <w:jc w:val="center"/>
        <w:rPr>
          <w:rFonts w:ascii="Times New Roman" w:hAnsi="Times New Roman" w:cs="Times New Roman" w:eastAsia="Times New Roman" w:hint="default"/>
        </w:rPr>
      </w:pPr>
      <w:r>
        <w:rPr>
          <w:rFonts w:ascii="Times New Roman"/>
        </w:rPr>
        <w:t>127</w:t>
      </w:r>
    </w:p>
    <w:p>
      <w:pPr>
        <w:spacing w:after="0" w:line="240" w:lineRule="auto"/>
        <w:jc w:val="center"/>
        <w:rPr>
          <w:rFonts w:ascii="Times New Roman" w:hAnsi="Times New Roman" w:cs="Times New Roman" w:eastAsia="Times New Roman" w:hint="default"/>
        </w:rPr>
        <w:sectPr>
          <w:type w:val="continuous"/>
          <w:pgSz w:w="16840" w:h="11910" w:orient="landscape"/>
          <w:pgMar w:top="1060" w:bottom="1160" w:left="1300" w:right="1280"/>
        </w:sectPr>
      </w:pPr>
    </w:p>
    <w:p>
      <w:pPr>
        <w:spacing w:line="240" w:lineRule="auto" w:before="10"/>
        <w:rPr>
          <w:rFonts w:ascii="Times New Roman" w:hAnsi="Times New Roman" w:cs="Times New Roman" w:eastAsia="Times New Roman" w:hint="default"/>
          <w:sz w:val="24"/>
          <w:szCs w:val="24"/>
        </w:rPr>
      </w:pPr>
    </w:p>
    <w:p>
      <w:pPr>
        <w:spacing w:after="0" w:line="240" w:lineRule="auto"/>
        <w:rPr>
          <w:rFonts w:ascii="Times New Roman" w:hAnsi="Times New Roman" w:cs="Times New Roman" w:eastAsia="Times New Roman" w:hint="default"/>
          <w:sz w:val="24"/>
          <w:szCs w:val="24"/>
        </w:rPr>
        <w:sectPr>
          <w:footerReference w:type="default" r:id="rId43"/>
          <w:pgSz w:w="11910" w:h="16840"/>
          <w:pgMar w:footer="979" w:header="0" w:top="1100" w:bottom="1160" w:left="980" w:right="980"/>
          <w:pgNumType w:start="128"/>
        </w:sectPr>
      </w:pPr>
    </w:p>
    <w:p>
      <w:pPr>
        <w:pStyle w:val="BodyText"/>
        <w:spacing w:line="240" w:lineRule="auto" w:before="44"/>
        <w:ind w:right="-20"/>
        <w:jc w:val="left"/>
      </w:pPr>
      <w:r>
        <w:rPr/>
        <w:t>组合中，按账龄分析法计提坏账准备的其他应收款：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2" w:hRule="exact"/>
        </w:trPr>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0"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7,026,955.16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351,347.74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7,026,955.16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351,347.74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1,034,644.15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103,464.42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11,719.84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2,343.97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612,445.17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354,094.78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57.82%</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83,997.46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83,997.46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8,769,761.78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895,248.37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10.21%</w:t>
            </w:r>
          </w:p>
        </w:tc>
      </w:tr>
    </w:tbl>
    <w:p>
      <w:pPr>
        <w:pStyle w:val="BodyText"/>
        <w:spacing w:line="240" w:lineRule="auto" w:before="49"/>
        <w:ind w:right="153"/>
        <w:jc w:val="left"/>
      </w:pPr>
      <w:r>
        <w:rPr/>
        <w:t>确定该组合依据的说明：其中：游戏行业按账龄分析法计提坏账准备的其他应收款：</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2146"/>
        <w:gridCol w:w="2828"/>
        <w:gridCol w:w="2393"/>
        <w:gridCol w:w="2293"/>
      </w:tblGrid>
      <w:tr>
        <w:trPr>
          <w:trHeight w:val="427" w:hRule="exact"/>
        </w:trPr>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751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5" w:hRule="exact"/>
        </w:trPr>
        <w:tc>
          <w:tcPr>
            <w:tcW w:w="2146" w:type="dxa"/>
            <w:tcBorders>
              <w:top w:val="single" w:sz="6" w:space="0" w:color="000000"/>
              <w:left w:val="single" w:sz="6" w:space="0" w:color="000000"/>
              <w:bottom w:val="single" w:sz="6" w:space="0" w:color="000000"/>
              <w:right w:val="single" w:sz="6" w:space="0" w:color="000000"/>
            </w:tcBorders>
          </w:tcPr>
          <w:p>
            <w:pPr/>
          </w:p>
        </w:tc>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righ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right"/>
              <w:rPr>
                <w:rFonts w:ascii="宋体" w:hAnsi="宋体" w:cs="宋体" w:eastAsia="宋体" w:hint="default"/>
                <w:sz w:val="18"/>
                <w:szCs w:val="18"/>
              </w:rPr>
            </w:pPr>
            <w:r>
              <w:rPr>
                <w:rFonts w:ascii="宋体" w:hAnsi="宋体" w:cs="宋体" w:eastAsia="宋体" w:hint="default"/>
                <w:sz w:val="18"/>
                <w:szCs w:val="18"/>
              </w:rPr>
              <w:t>坏账准备</w:t>
            </w:r>
          </w:p>
        </w:tc>
        <w:tc>
          <w:tcPr>
            <w:tcW w:w="22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right"/>
              <w:rPr>
                <w:rFonts w:ascii="宋体" w:hAnsi="宋体" w:cs="宋体" w:eastAsia="宋体" w:hint="default"/>
                <w:sz w:val="18"/>
                <w:szCs w:val="18"/>
              </w:rPr>
            </w:pPr>
            <w:r>
              <w:rPr>
                <w:rFonts w:ascii="宋体" w:hAnsi="宋体" w:cs="宋体" w:eastAsia="宋体" w:hint="default"/>
                <w:sz w:val="18"/>
                <w:szCs w:val="18"/>
              </w:rPr>
              <w:t>计提比例</w:t>
            </w:r>
          </w:p>
        </w:tc>
      </w:tr>
      <w:tr>
        <w:trPr>
          <w:trHeight w:val="427" w:hRule="exact"/>
        </w:trPr>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724,516.34</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36,225.80</w:t>
            </w:r>
          </w:p>
        </w:tc>
        <w:tc>
          <w:tcPr>
            <w:tcW w:w="22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5.00%</w:t>
            </w:r>
          </w:p>
        </w:tc>
      </w:tr>
      <w:tr>
        <w:trPr>
          <w:trHeight w:val="427" w:hRule="exact"/>
        </w:trPr>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17,000.00</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w w:val="95"/>
                <w:sz w:val="18"/>
              </w:rPr>
              <w:t>1,700.00</w:t>
            </w:r>
          </w:p>
        </w:tc>
        <w:tc>
          <w:tcPr>
            <w:tcW w:w="22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10.00%</w:t>
            </w:r>
          </w:p>
        </w:tc>
      </w:tr>
      <w:tr>
        <w:trPr>
          <w:trHeight w:val="427" w:hRule="exact"/>
        </w:trPr>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20.00%</w:t>
            </w:r>
          </w:p>
        </w:tc>
      </w:tr>
      <w:tr>
        <w:trPr>
          <w:trHeight w:val="427" w:hRule="exact"/>
        </w:trPr>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至</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243,373.18</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243,373.18</w:t>
            </w:r>
          </w:p>
        </w:tc>
        <w:tc>
          <w:tcPr>
            <w:tcW w:w="22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27" w:hRule="exact"/>
        </w:trPr>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984,889.52</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281,298.98</w:t>
            </w:r>
          </w:p>
        </w:tc>
        <w:tc>
          <w:tcPr>
            <w:tcW w:w="22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28.56%</w:t>
            </w:r>
          </w:p>
        </w:tc>
      </w:tr>
    </w:tbl>
    <w:p>
      <w:pPr>
        <w:pStyle w:val="BodyText"/>
        <w:spacing w:line="240" w:lineRule="auto" w:before="49"/>
        <w:ind w:right="153"/>
        <w:jc w:val="left"/>
      </w:pPr>
      <w:r>
        <w:rPr/>
        <w:t>电气及其他按账龄分析法计提坏账准备的其他应收款：</w:t>
      </w:r>
    </w:p>
    <w:p>
      <w:pPr>
        <w:pStyle w:val="BodyText"/>
        <w:spacing w:line="240" w:lineRule="auto" w:before="117"/>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5524"/>
        <w:gridCol w:w="1380"/>
        <w:gridCol w:w="1378"/>
        <w:gridCol w:w="1378"/>
      </w:tblGrid>
      <w:tr>
        <w:trPr>
          <w:trHeight w:val="428" w:hRule="exact"/>
        </w:trPr>
        <w:tc>
          <w:tcPr>
            <w:tcW w:w="5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13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7" w:hRule="exact"/>
        </w:trPr>
        <w:tc>
          <w:tcPr>
            <w:tcW w:w="5524"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hAnsi="宋体" w:cs="宋体" w:eastAsia="宋体" w:hint="default"/>
                <w:sz w:val="18"/>
                <w:szCs w:val="18"/>
              </w:rPr>
              <w:t>其他应收款</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宋体" w:hAnsi="宋体" w:cs="宋体" w:eastAsia="宋体" w:hint="default"/>
                <w:sz w:val="18"/>
                <w:szCs w:val="18"/>
              </w:rPr>
            </w:pPr>
            <w:r>
              <w:rPr>
                <w:rFonts w:ascii="宋体" w:hAnsi="宋体" w:cs="宋体" w:eastAsia="宋体" w:hint="default"/>
                <w:sz w:val="18"/>
                <w:szCs w:val="18"/>
              </w:rPr>
              <w:t>坏账准备</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hAnsi="宋体" w:cs="宋体" w:eastAsia="宋体" w:hint="default"/>
                <w:sz w:val="18"/>
                <w:szCs w:val="18"/>
              </w:rPr>
              <w:t>计提比例</w:t>
            </w:r>
          </w:p>
        </w:tc>
      </w:tr>
      <w:tr>
        <w:trPr>
          <w:trHeight w:val="427" w:hRule="exact"/>
        </w:trPr>
        <w:tc>
          <w:tcPr>
            <w:tcW w:w="5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6,302,438.82</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315,121.94</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5.00%</w:t>
            </w:r>
          </w:p>
        </w:tc>
      </w:tr>
      <w:tr>
        <w:trPr>
          <w:trHeight w:val="427" w:hRule="exact"/>
        </w:trPr>
        <w:tc>
          <w:tcPr>
            <w:tcW w:w="5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1,017,644.15</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101,764.42</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10.00%</w:t>
            </w:r>
          </w:p>
        </w:tc>
      </w:tr>
      <w:tr>
        <w:trPr>
          <w:trHeight w:val="427" w:hRule="exact"/>
        </w:trPr>
        <w:tc>
          <w:tcPr>
            <w:tcW w:w="5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11,719.84</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5"/>
                <w:sz w:val="18"/>
              </w:rPr>
              <w:t>2,343.97</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20.00%</w:t>
            </w:r>
          </w:p>
        </w:tc>
      </w:tr>
      <w:tr>
        <w:trPr>
          <w:trHeight w:val="427" w:hRule="exact"/>
        </w:trPr>
        <w:tc>
          <w:tcPr>
            <w:tcW w:w="5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至</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369,071.99</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110,721.60</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30.00%</w:t>
            </w:r>
          </w:p>
        </w:tc>
      </w:tr>
      <w:tr>
        <w:trPr>
          <w:trHeight w:val="427" w:hRule="exact"/>
        </w:trPr>
        <w:tc>
          <w:tcPr>
            <w:tcW w:w="5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至</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40.00%</w:t>
            </w:r>
          </w:p>
        </w:tc>
      </w:tr>
      <w:tr>
        <w:trPr>
          <w:trHeight w:val="428" w:hRule="exact"/>
        </w:trPr>
        <w:tc>
          <w:tcPr>
            <w:tcW w:w="5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83,997.46</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83,997.46</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27" w:hRule="exact"/>
        </w:trPr>
        <w:tc>
          <w:tcPr>
            <w:tcW w:w="5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7,784,872.26</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613,949.39</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7.89%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1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0" w:footer="979" w:top="1100" w:bottom="1160" w:left="980" w:right="980"/>
        </w:sectPr>
      </w:pPr>
    </w:p>
    <w:p>
      <w:pPr>
        <w:pStyle w:val="BodyText"/>
        <w:spacing w:line="240" w:lineRule="auto" w:before="44"/>
        <w:ind w:right="-20"/>
        <w:jc w:val="left"/>
      </w:pPr>
      <w:r>
        <w:rPr/>
        <w:t>组合中，采用余额百分比法计提坏账准备的其他应收款：</w:t>
      </w:r>
    </w:p>
    <w:p>
      <w:pPr>
        <w:pStyle w:val="BodyText"/>
        <w:spacing w:line="338" w:lineRule="auto" w:before="117"/>
        <w:ind w:right="3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340" w:lineRule="auto" w:before="43"/>
        <w:ind w:right="3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单项金额不重大但单独计提坏账准备其他应收账款：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5"/>
        <w:ind w:right="0"/>
        <w:jc w:val="left"/>
      </w:pPr>
      <w:r>
        <w:rPr/>
        <w:t>单位：元</w:t>
      </w:r>
    </w:p>
    <w:p>
      <w:pPr>
        <w:spacing w:after="0" w:line="240" w:lineRule="auto"/>
        <w:jc w:val="left"/>
        <w:sectPr>
          <w:type w:val="continuous"/>
          <w:pgSz w:w="11910" w:h="16840"/>
          <w:pgMar w:top="1060" w:bottom="1160" w:left="980" w:right="980"/>
          <w:cols w:num="2" w:equalWidth="0">
            <w:col w:w="4653" w:space="4267"/>
            <w:col w:w="1030"/>
          </w:cols>
        </w:sectPr>
      </w:pPr>
    </w:p>
    <w:p>
      <w:pPr>
        <w:spacing w:line="240" w:lineRule="auto" w:before="4"/>
        <w:rPr>
          <w:rFonts w:ascii="宋体" w:hAnsi="宋体" w:cs="宋体" w:eastAsia="宋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2799"/>
        <w:gridCol w:w="2679"/>
        <w:gridCol w:w="2177"/>
        <w:gridCol w:w="2005"/>
      </w:tblGrid>
      <w:tr>
        <w:trPr>
          <w:trHeight w:val="348" w:hRule="exact"/>
        </w:trPr>
        <w:tc>
          <w:tcPr>
            <w:tcW w:w="2799" w:type="dxa"/>
            <w:vMerge w:val="restart"/>
            <w:tcBorders>
              <w:top w:val="single" w:sz="6" w:space="0" w:color="000000"/>
              <w:left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686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6" w:hRule="exact"/>
        </w:trPr>
        <w:tc>
          <w:tcPr>
            <w:tcW w:w="2799" w:type="dxa"/>
            <w:vMerge/>
            <w:tcBorders>
              <w:left w:val="single" w:sz="6" w:space="0" w:color="000000"/>
              <w:bottom w:val="single" w:sz="6" w:space="0" w:color="000000"/>
              <w:right w:val="single" w:sz="6" w:space="0" w:color="000000"/>
            </w:tcBorders>
          </w:tcPr>
          <w:p>
            <w:pP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z w:val="18"/>
                <w:szCs w:val="18"/>
              </w:rPr>
              <w:t>比例</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8"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长期挂账预付款组合</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1,252,561.44</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1,252,561.44</w:t>
            </w:r>
          </w:p>
        </w:tc>
      </w:tr>
      <w:tr>
        <w:trPr>
          <w:trHeight w:val="346"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业务费组合</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559,788.59</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559,788.59</w:t>
            </w:r>
          </w:p>
        </w:tc>
      </w:tr>
      <w:tr>
        <w:trPr>
          <w:trHeight w:val="348"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认证费组合</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264,437.00</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264,437.00</w:t>
            </w:r>
          </w:p>
        </w:tc>
      </w:tr>
      <w:tr>
        <w:trPr>
          <w:trHeight w:val="346"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其他组合计提</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975,946.78</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975,946.78</w:t>
            </w:r>
          </w:p>
        </w:tc>
      </w:tr>
      <w:tr>
        <w:trPr>
          <w:trHeight w:val="348"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3,052,733.81</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3,052,733.81</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3611"/>
        <w:jc w:val="left"/>
      </w:pPr>
      <w:r>
        <w:rPr/>
        <w:t>本期计提坏账准备金额</w:t>
      </w:r>
      <w:r>
        <w:rPr>
          <w:spacing w:val="-46"/>
        </w:rPr>
        <w:t> </w:t>
      </w:r>
      <w:r>
        <w:rPr>
          <w:rFonts w:ascii="Times New Roman" w:hAnsi="Times New Roman" w:cs="Times New Roman" w:eastAsia="Times New Roman" w:hint="default"/>
        </w:rPr>
        <w:t>709,377.63</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本期合并哆可梦转入坏账准备</w:t>
      </w:r>
      <w:r>
        <w:rPr>
          <w:rFonts w:ascii="Times New Roman" w:hAnsi="Times New Roman" w:cs="Times New Roman" w:eastAsia="Times New Roman" w:hint="default"/>
        </w:rPr>
        <w:t>314,596.26</w:t>
      </w:r>
      <w:r>
        <w:rPr/>
        <w:t>元。</w:t>
      </w:r>
    </w:p>
    <w:p>
      <w:pPr>
        <w:spacing w:line="240" w:lineRule="auto" w:before="7"/>
        <w:rPr>
          <w:rFonts w:ascii="宋体" w:hAnsi="宋体" w:cs="宋体" w:eastAsia="宋体" w:hint="default"/>
          <w:sz w:val="19"/>
          <w:szCs w:val="19"/>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广告投放保证金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6,487,937.70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6,851,037.28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1,563,051.42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1,481,869.59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其他保证金、押金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1,565,047.94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453,480.10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970,077.90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531,989.48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187,785.14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132,474.04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232,657.29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房产处置款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9,220,000.00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916,121.45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148,728.26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43,822,495.59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18,963,362.00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广告投放保证金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27.38%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34,730,000.00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79.24%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136,500.00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8</w:t>
      </w:r>
      <w:r>
        <w:rPr/>
        <w:t>、存货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t>公司是否需要遵守房地产行业的披露要求：否</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207"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19,370,589.05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940,953.18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18,429,635.87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22,578,654.64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1,461,287.91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21,117,366.73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6,996,477.39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6,996,477.39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11,224,003.15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11,224,003.15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9,269,621.72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61,017.81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9,208,603.91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1,535,130.48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962,736.13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572,394.35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13,670,174.24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1,145,689.78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12,524,484.46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24,572,432.80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1,372,498.27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23,199,934.53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16,462,838.18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1,493,266.13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14,969,572.05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12,050,074.80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1,811,844.86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10,238,229.94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65,769,700.58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3,640,926.90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62,128,773.68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71,960,295.87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5,608,367.17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66,351,928.70</w:t>
            </w:r>
          </w:p>
        </w:tc>
      </w:tr>
    </w:tbl>
    <w:p>
      <w:pPr>
        <w:pStyle w:val="BodyText"/>
        <w:spacing w:line="240" w:lineRule="auto" w:before="49"/>
        <w:ind w:right="153"/>
        <w:jc w:val="left"/>
      </w:pPr>
      <w:r>
        <w:rPr/>
        <w:t>公司是否需遵守《深圳证券交易所行业信息披露指引第</w:t>
      </w:r>
      <w:r>
        <w:rPr>
          <w:spacing w:val="-45"/>
        </w:rPr>
        <w:t> </w:t>
      </w:r>
      <w:r>
        <w:rPr>
          <w:rFonts w:ascii="Times New Roman" w:hAnsi="Times New Roman" w:cs="Times New Roman" w:eastAsia="Times New Roman" w:hint="default"/>
        </w:rPr>
        <w:t>4 </w:t>
      </w:r>
      <w:r>
        <w:rPr/>
        <w:t>号</w:t>
      </w:r>
      <w:r>
        <w:rPr>
          <w:rFonts w:ascii="Times New Roman" w:hAnsi="Times New Roman" w:cs="Times New Roman" w:eastAsia="Times New Roman" w:hint="default"/>
        </w:rPr>
        <w:t>—</w:t>
      </w:r>
      <w:r>
        <w:rPr/>
        <w:t>上市公司从事种业、种植业务》的披露要求：否</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8"/>
        <w:gridCol w:w="1366"/>
        <w:gridCol w:w="1368"/>
        <w:gridCol w:w="1366"/>
        <w:gridCol w:w="1368"/>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1,461,287.91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520,334.73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940,953.18</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962,736.13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901,718.32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61,017.81</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1,372,498.27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226,808.49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1,145,689.78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1,811,844.86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318,578.73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1,493,266.13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5,608,367.17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1,967,440.27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3,640,926.90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9</w:t>
      </w:r>
      <w:r>
        <w:rPr/>
        <w:t>、其他流动资产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170,289,864.18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575,427,912.05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股本登记完成应收入资款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7,770,000.00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增值税留底税额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6,120,347.69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824,861.22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7,830,000.00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805,561.43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预付房租及物业费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214,485.82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266,375.64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141,176.45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其他预付款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73,348.74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184,600,062.44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585,168,059.08</w:t>
            </w:r>
          </w:p>
        </w:tc>
      </w:tr>
    </w:tbl>
    <w:p>
      <w:pPr>
        <w:pStyle w:val="BodyText"/>
        <w:spacing w:line="357" w:lineRule="auto" w:before="49"/>
        <w:ind w:right="7794"/>
        <w:jc w:val="left"/>
      </w:pPr>
      <w:r>
        <w:rPr/>
        <w:t>其他说明： 其中：金融理财产品明细</w:t>
      </w:r>
    </w:p>
    <w:tbl>
      <w:tblPr>
        <w:tblW w:w="0" w:type="auto"/>
        <w:jc w:val="left"/>
        <w:tblInd w:w="136" w:type="dxa"/>
        <w:tblLayout w:type="fixed"/>
        <w:tblCellMar>
          <w:top w:w="0" w:type="dxa"/>
          <w:left w:w="0" w:type="dxa"/>
          <w:bottom w:w="0" w:type="dxa"/>
          <w:right w:w="0" w:type="dxa"/>
        </w:tblCellMar>
        <w:tblLook w:val="01E0"/>
      </w:tblPr>
      <w:tblGrid>
        <w:gridCol w:w="4782"/>
        <w:gridCol w:w="2525"/>
        <w:gridCol w:w="2353"/>
      </w:tblGrid>
      <w:tr>
        <w:trPr>
          <w:trHeight w:val="428" w:hRule="exact"/>
        </w:trPr>
        <w:tc>
          <w:tcPr>
            <w:tcW w:w="4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年末余额（元）</w:t>
            </w:r>
          </w:p>
        </w:tc>
        <w:tc>
          <w:tcPr>
            <w:tcW w:w="2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年初余额（元）</w:t>
            </w:r>
          </w:p>
        </w:tc>
      </w:tr>
      <w:tr>
        <w:trPr>
          <w:trHeight w:val="427" w:hRule="exact"/>
        </w:trPr>
        <w:tc>
          <w:tcPr>
            <w:tcW w:w="4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兴业银行金雪球理财产品</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164,000,000.00</w:t>
            </w:r>
          </w:p>
        </w:tc>
        <w:tc>
          <w:tcPr>
            <w:tcW w:w="2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300,000,000.00</w:t>
            </w:r>
          </w:p>
        </w:tc>
      </w:tr>
      <w:tr>
        <w:trPr>
          <w:trHeight w:val="427" w:hRule="exact"/>
        </w:trPr>
        <w:tc>
          <w:tcPr>
            <w:tcW w:w="4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招商银行天添金理财产品</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2,950,500.00</w:t>
            </w:r>
          </w:p>
        </w:tc>
        <w:tc>
          <w:tcPr>
            <w:tcW w:w="2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4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招商银行点金公司理财计划</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230,390,000.00</w:t>
            </w:r>
          </w:p>
        </w:tc>
      </w:tr>
      <w:tr>
        <w:trPr>
          <w:trHeight w:val="427" w:hRule="exact"/>
        </w:trPr>
        <w:tc>
          <w:tcPr>
            <w:tcW w:w="4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招商银行朝招金理财计划</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35,050,000.00</w:t>
            </w:r>
          </w:p>
        </w:tc>
      </w:tr>
      <w:tr>
        <w:trPr>
          <w:trHeight w:val="427" w:hRule="exact"/>
        </w:trPr>
        <w:tc>
          <w:tcPr>
            <w:tcW w:w="4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陆家嘴信托</w:t>
            </w:r>
            <w:r>
              <w:rPr>
                <w:rFonts w:ascii="Times New Roman" w:hAnsi="Times New Roman" w:cs="Times New Roman" w:eastAsia="Times New Roman" w:hint="default"/>
                <w:sz w:val="18"/>
                <w:szCs w:val="18"/>
              </w:rPr>
              <w:t>-</w:t>
            </w:r>
            <w:r>
              <w:rPr>
                <w:rFonts w:ascii="宋体" w:hAnsi="宋体" w:cs="宋体" w:eastAsia="宋体" w:hint="default"/>
                <w:sz w:val="18"/>
                <w:szCs w:val="18"/>
              </w:rPr>
              <w:t>招同集合资金信托计划</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6,000,000.00</w:t>
            </w:r>
          </w:p>
        </w:tc>
      </w:tr>
      <w:tr>
        <w:trPr>
          <w:trHeight w:val="425" w:hRule="exact"/>
        </w:trPr>
        <w:tc>
          <w:tcPr>
            <w:tcW w:w="4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3,339,364.18</w:t>
            </w:r>
          </w:p>
        </w:tc>
        <w:tc>
          <w:tcPr>
            <w:tcW w:w="2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3,987,912.05</w:t>
            </w:r>
          </w:p>
        </w:tc>
      </w:tr>
      <w:tr>
        <w:trPr>
          <w:trHeight w:val="430" w:hRule="exact"/>
        </w:trPr>
        <w:tc>
          <w:tcPr>
            <w:tcW w:w="4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74" w:right="0"/>
              <w:jc w:val="left"/>
              <w:rPr>
                <w:rFonts w:ascii="Times New Roman" w:hAnsi="Times New Roman" w:cs="Times New Roman" w:eastAsia="Times New Roman" w:hint="default"/>
                <w:sz w:val="18"/>
                <w:szCs w:val="18"/>
              </w:rPr>
            </w:pPr>
            <w:r>
              <w:rPr>
                <w:rFonts w:ascii="Times New Roman"/>
                <w:sz w:val="18"/>
              </w:rPr>
              <w:t>170,289,864.18</w:t>
            </w:r>
          </w:p>
        </w:tc>
        <w:tc>
          <w:tcPr>
            <w:tcW w:w="2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76" w:right="0"/>
              <w:jc w:val="left"/>
              <w:rPr>
                <w:rFonts w:ascii="Times New Roman" w:hAnsi="Times New Roman" w:cs="Times New Roman" w:eastAsia="Times New Roman" w:hint="default"/>
                <w:sz w:val="18"/>
                <w:szCs w:val="18"/>
              </w:rPr>
            </w:pPr>
            <w:r>
              <w:rPr>
                <w:rFonts w:ascii="Times New Roman"/>
                <w:sz w:val="18"/>
              </w:rPr>
              <w:t>575,427,912.05</w:t>
            </w:r>
          </w:p>
        </w:tc>
      </w:tr>
    </w:tbl>
    <w:p>
      <w:pPr>
        <w:spacing w:line="240" w:lineRule="auto" w:before="11"/>
        <w:rPr>
          <w:rFonts w:ascii="宋体" w:hAnsi="宋体" w:cs="宋体" w:eastAsia="宋体" w:hint="default"/>
          <w:sz w:val="20"/>
          <w:szCs w:val="20"/>
        </w:rPr>
      </w:pPr>
    </w:p>
    <w:p>
      <w:pPr>
        <w:pStyle w:val="Heading3"/>
        <w:spacing w:line="240" w:lineRule="auto" w:before="36"/>
        <w:ind w:right="153"/>
        <w:jc w:val="left"/>
        <w:rPr>
          <w:b w:val="0"/>
          <w:bCs w:val="0"/>
        </w:rPr>
      </w:pPr>
      <w:r>
        <w:rPr>
          <w:rFonts w:ascii="Times New Roman" w:hAnsi="Times New Roman" w:cs="Times New Roman" w:eastAsia="Times New Roman" w:hint="default"/>
        </w:rPr>
        <w:t>10</w:t>
      </w:r>
      <w:r>
        <w:rPr/>
        <w:t>、可供出售金融资产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8"/>
        <w:gridCol w:w="1196"/>
        <w:gridCol w:w="1248"/>
        <w:gridCol w:w="1369"/>
        <w:gridCol w:w="1366"/>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3588"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67,518,000.00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67,518,000.00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67,518,000.00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67,518,000.00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67,518,000.00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67,518,000.00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4494"/>
        <w:gridCol w:w="1952"/>
        <w:gridCol w:w="1822"/>
        <w:gridCol w:w="1418"/>
      </w:tblGrid>
      <w:tr>
        <w:trPr>
          <w:trHeight w:val="403" w:hRule="exact"/>
        </w:trPr>
        <w:tc>
          <w:tcPr>
            <w:tcW w:w="4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42"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6"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4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债务工具的摊余成本</w:t>
            </w:r>
          </w:p>
        </w:tc>
        <w:tc>
          <w:tcPr>
            <w:tcW w:w="19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40,040,299.29</w:t>
            </w:r>
          </w:p>
        </w:tc>
        <w:tc>
          <w:tcPr>
            <w:tcW w:w="182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40,040,299.29</w:t>
            </w:r>
          </w:p>
        </w:tc>
      </w:tr>
      <w:tr>
        <w:trPr>
          <w:trHeight w:val="403" w:hRule="exact"/>
        </w:trPr>
        <w:tc>
          <w:tcPr>
            <w:tcW w:w="4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67,518,000.00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67,518,000.00</w:t>
            </w:r>
          </w:p>
        </w:tc>
      </w:tr>
      <w:tr>
        <w:trPr>
          <w:trHeight w:val="401" w:hRule="exact"/>
        </w:trPr>
        <w:tc>
          <w:tcPr>
            <w:tcW w:w="4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累计计入其他综合收益的公允价值变动金额</w:t>
            </w:r>
          </w:p>
        </w:tc>
        <w:tc>
          <w:tcPr>
            <w:tcW w:w="19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27,477,700.71</w:t>
            </w:r>
          </w:p>
        </w:tc>
        <w:tc>
          <w:tcPr>
            <w:tcW w:w="182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27,477,700.71</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11</w:t>
      </w:r>
      <w:r>
        <w:rPr/>
        <w:t>、长期股权投资</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584"/>
        <w:gridCol w:w="1181"/>
        <w:gridCol w:w="1001"/>
        <w:gridCol w:w="583"/>
        <w:gridCol w:w="1152"/>
        <w:gridCol w:w="583"/>
        <w:gridCol w:w="584"/>
        <w:gridCol w:w="1092"/>
        <w:gridCol w:w="586"/>
        <w:gridCol w:w="586"/>
        <w:gridCol w:w="1181"/>
        <w:gridCol w:w="586"/>
      </w:tblGrid>
      <w:tr>
        <w:trPr>
          <w:trHeight w:val="401" w:hRule="exact"/>
        </w:trPr>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108" w:right="104"/>
              <w:jc w:val="both"/>
              <w:rPr>
                <w:rFonts w:ascii="宋体" w:hAnsi="宋体" w:cs="宋体" w:eastAsia="宋体" w:hint="default"/>
                <w:sz w:val="18"/>
                <w:szCs w:val="18"/>
              </w:rPr>
            </w:pPr>
            <w:r>
              <w:rPr>
                <w:rFonts w:ascii="宋体" w:hAnsi="宋体" w:cs="宋体" w:eastAsia="宋体" w:hint="default"/>
                <w:sz w:val="18"/>
                <w:szCs w:val="18"/>
              </w:rPr>
              <w:t>被投 资单 位</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167"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08" w:right="107"/>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1339" w:hRule="exact"/>
        </w:trPr>
        <w:tc>
          <w:tcPr>
            <w:tcW w:w="584"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0" w:right="101"/>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20" w:right="29" w:hanging="89"/>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7" w:right="103"/>
              <w:jc w:val="both"/>
              <w:rPr>
                <w:rFonts w:ascii="宋体" w:hAnsi="宋体" w:cs="宋体" w:eastAsia="宋体" w:hint="default"/>
                <w:sz w:val="18"/>
                <w:szCs w:val="18"/>
              </w:rPr>
            </w:pPr>
            <w:r>
              <w:rPr>
                <w:rFonts w:ascii="宋体" w:hAnsi="宋体" w:cs="宋体" w:eastAsia="宋体" w:hint="default"/>
                <w:sz w:val="18"/>
                <w:szCs w:val="18"/>
              </w:rPr>
              <w:t>其他 综合 收益 调整</w:t>
            </w:r>
          </w:p>
        </w:tc>
        <w:tc>
          <w:tcPr>
            <w:tcW w:w="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7" w:right="105"/>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1" w:right="89"/>
              <w:jc w:val="center"/>
              <w:rPr>
                <w:rFonts w:ascii="宋体" w:hAnsi="宋体" w:cs="宋体" w:eastAsia="宋体" w:hint="default"/>
                <w:sz w:val="18"/>
                <w:szCs w:val="18"/>
              </w:rPr>
            </w:pPr>
            <w:r>
              <w:rPr>
                <w:rFonts w:ascii="宋体" w:hAnsi="宋体" w:cs="宋体" w:eastAsia="宋体" w:hint="default"/>
                <w:sz w:val="18"/>
                <w:szCs w:val="18"/>
              </w:rPr>
              <w:t>宣告发放现 金股利或利 润</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7" w:right="107"/>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69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69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5" w:hRule="exact"/>
        </w:trPr>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8"/>
              <w:jc w:val="both"/>
              <w:rPr>
                <w:rFonts w:ascii="宋体" w:hAnsi="宋体" w:cs="宋体" w:eastAsia="宋体" w:hint="default"/>
                <w:sz w:val="18"/>
                <w:szCs w:val="18"/>
              </w:rPr>
            </w:pPr>
            <w:r>
              <w:rPr>
                <w:rFonts w:ascii="宋体" w:hAnsi="宋体" w:cs="宋体" w:eastAsia="宋体" w:hint="default"/>
                <w:sz w:val="18"/>
                <w:szCs w:val="18"/>
              </w:rPr>
              <w:t>信中 利赞 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684,619,923.83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-57,554,579.31</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52,200,000.00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574,865,344.52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8"/>
              <w:jc w:val="left"/>
              <w:rPr>
                <w:rFonts w:ascii="宋体" w:hAnsi="宋体" w:cs="宋体" w:eastAsia="宋体" w:hint="default"/>
                <w:sz w:val="18"/>
                <w:szCs w:val="18"/>
              </w:rPr>
            </w:pPr>
            <w:r>
              <w:rPr>
                <w:rFonts w:ascii="宋体" w:hAnsi="宋体" w:cs="宋体" w:eastAsia="宋体" w:hint="default"/>
                <w:sz w:val="18"/>
                <w:szCs w:val="18"/>
              </w:rPr>
              <w:t>永耀 惠程</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-381,478.32</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3,618,521.68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684,619,923.83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-57,936,057.63</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52,200,000.00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578,483,866.20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684,619,923.83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-57,936,057.63</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52,200,000.00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578,483,866.20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12</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58"/>
              <w:jc w:val="right"/>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85"/>
              <w:jc w:val="right"/>
              <w:rPr>
                <w:rFonts w:ascii="宋体" w:hAnsi="宋体" w:cs="宋体" w:eastAsia="宋体" w:hint="default"/>
                <w:sz w:val="18"/>
                <w:szCs w:val="18"/>
              </w:rPr>
            </w:pPr>
            <w:r>
              <w:rPr>
                <w:rFonts w:ascii="宋体" w:hAnsi="宋体" w:cs="宋体" w:eastAsia="宋体" w:hint="default"/>
                <w:sz w:val="18"/>
                <w:szCs w:val="18"/>
              </w:rPr>
              <w:t>一、期初余额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264,912,386.01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264,912,386.01</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85"/>
              <w:jc w:val="right"/>
              <w:rPr>
                <w:rFonts w:ascii="宋体" w:hAnsi="宋体" w:cs="宋体" w:eastAsia="宋体" w:hint="default"/>
                <w:sz w:val="18"/>
                <w:szCs w:val="18"/>
              </w:rPr>
            </w:pPr>
            <w:r>
              <w:rPr>
                <w:rFonts w:ascii="宋体" w:hAnsi="宋体" w:cs="宋体" w:eastAsia="宋体" w:hint="default"/>
                <w:sz w:val="18"/>
                <w:szCs w:val="18"/>
              </w:rPr>
              <w:t>二、本期变动</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1,349,713.99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1,349,713.99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加：外购</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514,206.67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514,206.67</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p>
          <w:p>
            <w:pPr>
              <w:pStyle w:val="TableParagraph"/>
              <w:spacing w:line="240" w:lineRule="auto" w:before="6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2,209,018.75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2,209,018.75</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减：处置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5,125,602.41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5,125,602.41</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公允价值变动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970,119.73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970,119.73</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6" w:right="0"/>
              <w:jc w:val="left"/>
              <w:rPr>
                <w:rFonts w:ascii="宋体" w:hAnsi="宋体" w:cs="宋体" w:eastAsia="宋体" w:hint="default"/>
                <w:sz w:val="18"/>
                <w:szCs w:val="18"/>
              </w:rPr>
            </w:pPr>
            <w:r>
              <w:rPr>
                <w:rFonts w:ascii="宋体" w:hAnsi="宋体" w:cs="宋体" w:eastAsia="宋体" w:hint="default"/>
                <w:sz w:val="18"/>
                <w:szCs w:val="18"/>
              </w:rPr>
              <w:t>加：其他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2,781,971.25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2,781,971.25</w:t>
            </w:r>
          </w:p>
        </w:tc>
      </w:tr>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266,262,100.00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266,262,100.00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北京绿地中心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5106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26,507,700.00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办理中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北京绿地中心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5107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20,068,700.00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办理中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北京绿地中心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5101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26,333,800.00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办理中</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北京绿地中心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5108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20,068,700.00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办理中</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13</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2416"/>
        <w:gridCol w:w="1237"/>
        <w:gridCol w:w="1142"/>
        <w:gridCol w:w="1143"/>
        <w:gridCol w:w="1378"/>
        <w:gridCol w:w="1143"/>
        <w:gridCol w:w="1238"/>
      </w:tblGrid>
      <w:tr>
        <w:trPr>
          <w:trHeight w:val="401" w:hRule="exact"/>
        </w:trPr>
        <w:tc>
          <w:tcPr>
            <w:tcW w:w="2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3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7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4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0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4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7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电子及办公设备</w:t>
            </w:r>
          </w:p>
        </w:tc>
        <w:tc>
          <w:tcPr>
            <w:tcW w:w="114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38" w:type="dxa"/>
            <w:tcBorders>
              <w:top w:val="single" w:sz="4" w:space="0" w:color="000000"/>
              <w:left w:val="single" w:sz="10" w:space="0" w:color="E0FFFF"/>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37"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133,701,994.29</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71,192,564.75</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14,174,252.40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19,851,336.69</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17,796,036.85</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256,716,184.98</w:t>
            </w:r>
          </w:p>
        </w:tc>
      </w:tr>
      <w:tr>
        <w:trPr>
          <w:trHeight w:val="404" w:hRule="exact"/>
        </w:trPr>
        <w:tc>
          <w:tcPr>
            <w:tcW w:w="2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4,065,063.67</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2,324,654.45</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1,152,900.65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3,860,985.18</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11,403,603.95</w:t>
            </w:r>
          </w:p>
        </w:tc>
      </w:tr>
      <w:tr>
        <w:trPr>
          <w:trHeight w:val="401" w:hRule="exact"/>
        </w:trPr>
        <w:tc>
          <w:tcPr>
            <w:tcW w:w="2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1,296,273.51</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1,022,700.85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1,101,908.96</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3,420,883.32</w:t>
            </w:r>
          </w:p>
        </w:tc>
      </w:tr>
      <w:tr>
        <w:trPr>
          <w:trHeight w:val="403" w:hRule="exact"/>
        </w:trPr>
        <w:tc>
          <w:tcPr>
            <w:tcW w:w="2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1,028,380.94</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4,765.81</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1,033,146.75</w:t>
            </w:r>
          </w:p>
        </w:tc>
      </w:tr>
      <w:tr>
        <w:trPr>
          <w:trHeight w:val="401" w:hRule="exact"/>
        </w:trPr>
        <w:tc>
          <w:tcPr>
            <w:tcW w:w="2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4,065,063.67</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130,199.80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2,754,310.41</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6,949,573.88</w:t>
            </w:r>
          </w:p>
        </w:tc>
      </w:tr>
      <w:tr>
        <w:trPr>
          <w:trHeight w:val="403" w:hRule="exact"/>
        </w:trPr>
        <w:tc>
          <w:tcPr>
            <w:tcW w:w="2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5,120,143.46</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844,035.40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2,092,000.00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226,269.95</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45,367.68</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8,327,816.49</w:t>
            </w:r>
          </w:p>
        </w:tc>
      </w:tr>
      <w:tr>
        <w:trPr>
          <w:trHeight w:val="401" w:hRule="exact"/>
        </w:trPr>
        <w:tc>
          <w:tcPr>
            <w:tcW w:w="2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5,120,143.46</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844,035.40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2,092,000.00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226,269.95</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45,367.68</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8,327,816.49</w:t>
            </w:r>
          </w:p>
        </w:tc>
      </w:tr>
      <w:tr>
        <w:trPr>
          <w:trHeight w:val="403" w:hRule="exact"/>
        </w:trPr>
        <w:tc>
          <w:tcPr>
            <w:tcW w:w="24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8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）转入投资性房地产</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132,646,914.50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72,673,183.80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13,235,153.05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23,486,051.92</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17,750,669.17</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259,791,972.44</w:t>
            </w:r>
          </w:p>
        </w:tc>
      </w:tr>
      <w:tr>
        <w:trPr>
          <w:trHeight w:val="404" w:hRule="exact"/>
        </w:trPr>
        <w:tc>
          <w:tcPr>
            <w:tcW w:w="2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237"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52,158,950.04</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50,005,321.54</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8,904,147.33</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17,846,596.38</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15,793,327.41</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144,708,342.70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2416"/>
        <w:gridCol w:w="1237"/>
        <w:gridCol w:w="1142"/>
        <w:gridCol w:w="1143"/>
        <w:gridCol w:w="1378"/>
        <w:gridCol w:w="1143"/>
        <w:gridCol w:w="1238"/>
      </w:tblGrid>
      <w:tr>
        <w:trPr>
          <w:trHeight w:val="401" w:hRule="exact"/>
        </w:trPr>
        <w:tc>
          <w:tcPr>
            <w:tcW w:w="2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6,404,080.29</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2,257,684.40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1,155,058.12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2,582,332.01</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241,170.35</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12,640,325.17</w:t>
            </w:r>
          </w:p>
        </w:tc>
      </w:tr>
      <w:tr>
        <w:trPr>
          <w:trHeight w:val="403" w:hRule="exact"/>
        </w:trPr>
        <w:tc>
          <w:tcPr>
            <w:tcW w:w="2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5,943,143.27</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2,257,684.40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1,060,058.12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676,996.11</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241,170.35</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10,179,052.25</w:t>
            </w:r>
          </w:p>
        </w:tc>
      </w:tr>
      <w:tr>
        <w:trPr>
          <w:trHeight w:val="401" w:hRule="exact"/>
        </w:trPr>
        <w:tc>
          <w:tcPr>
            <w:tcW w:w="24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8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460,937.02</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95,000.00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1,905,335.90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2,461,272.92</w:t>
            </w:r>
          </w:p>
        </w:tc>
      </w:tr>
      <w:tr>
        <w:trPr>
          <w:trHeight w:val="403" w:hRule="exact"/>
        </w:trPr>
        <w:tc>
          <w:tcPr>
            <w:tcW w:w="2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2,404,456.57</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750,708.75</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1,837,265.87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216,963.39</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43,099.30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5,252,493.88</w:t>
            </w:r>
          </w:p>
        </w:tc>
      </w:tr>
      <w:tr>
        <w:trPr>
          <w:trHeight w:val="401" w:hRule="exact"/>
        </w:trPr>
        <w:tc>
          <w:tcPr>
            <w:tcW w:w="2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2,404,456.57</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750,708.75</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1,837,265.87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216,963.39</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43,099.30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5,252,493.88</w:t>
            </w:r>
          </w:p>
        </w:tc>
      </w:tr>
      <w:tr>
        <w:trPr>
          <w:trHeight w:val="403" w:hRule="exact"/>
        </w:trPr>
        <w:tc>
          <w:tcPr>
            <w:tcW w:w="2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56,158,573.76</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51,512,297.19</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8,221,939.58</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20,211,965.00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15,991,398.46</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152,096,173.99</w:t>
            </w:r>
          </w:p>
        </w:tc>
      </w:tr>
      <w:tr>
        <w:trPr>
          <w:trHeight w:val="401" w:hRule="exact"/>
        </w:trPr>
        <w:tc>
          <w:tcPr>
            <w:tcW w:w="2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37"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6,549,019.68</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201,916.97</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416,961.58</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7,167,898.23</w:t>
            </w:r>
          </w:p>
        </w:tc>
      </w:tr>
      <w:tr>
        <w:trPr>
          <w:trHeight w:val="401" w:hRule="exact"/>
        </w:trPr>
        <w:tc>
          <w:tcPr>
            <w:tcW w:w="2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6,549,019.68</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201,916.97</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416,961.58</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7,167,898.23</w:t>
            </w:r>
          </w:p>
        </w:tc>
      </w:tr>
      <w:tr>
        <w:trPr>
          <w:trHeight w:val="403" w:hRule="exact"/>
        </w:trPr>
        <w:tc>
          <w:tcPr>
            <w:tcW w:w="2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37"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76,488,340.74</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14,611,866.93</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5,013,213.47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3,072,169.95</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1,342,309.13</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100,527,900.22</w:t>
            </w:r>
          </w:p>
        </w:tc>
      </w:tr>
      <w:tr>
        <w:trPr>
          <w:trHeight w:val="403" w:hRule="exact"/>
        </w:trPr>
        <w:tc>
          <w:tcPr>
            <w:tcW w:w="2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81,543,044.25</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14,638,223.53</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5,270,105.07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1,802,823.34</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1,585,747.86</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104,839,944.05</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兆丰国际</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单元</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1106-1107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房</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1,465,868.02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办理中</w:t>
            </w:r>
          </w:p>
        </w:tc>
      </w:tr>
    </w:tbl>
    <w:p>
      <w:pPr>
        <w:pStyle w:val="BodyText"/>
        <w:spacing w:line="240" w:lineRule="auto" w:before="49"/>
        <w:ind w:right="153"/>
        <w:jc w:val="left"/>
      </w:pPr>
      <w:r>
        <w:rPr/>
        <w:t>其他说明：该房产系以前年度购买，未办妥证书系历史遗留问题。</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Times New Roman" w:hAnsi="Times New Roman" w:cs="Times New Roman" w:eastAsia="Times New Roman" w:hint="default"/>
        </w:rPr>
        <w:t>14</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装修工程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1,315,533.32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1,315,533.32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充电桩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903,218.56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903,218.56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1,315,533.32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1,315,533.32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903,218.56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903,218.56</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48"/>
        <w:gridCol w:w="1085"/>
        <w:gridCol w:w="869"/>
        <w:gridCol w:w="1018"/>
        <w:gridCol w:w="1106"/>
        <w:gridCol w:w="1064"/>
        <w:gridCol w:w="1001"/>
        <w:gridCol w:w="787"/>
        <w:gridCol w:w="300"/>
        <w:gridCol w:w="536"/>
        <w:gridCol w:w="638"/>
        <w:gridCol w:w="643"/>
        <w:gridCol w:w="302"/>
      </w:tblGrid>
      <w:tr>
        <w:trPr>
          <w:trHeight w:val="1649" w:hRule="exact"/>
        </w:trPr>
        <w:tc>
          <w:tcPr>
            <w:tcW w:w="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项 目 名 称</w:t>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预算数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65"/>
              <w:jc w:val="right"/>
              <w:rPr>
                <w:rFonts w:ascii="宋体" w:hAnsi="宋体" w:cs="宋体" w:eastAsia="宋体" w:hint="default"/>
                <w:sz w:val="18"/>
                <w:szCs w:val="18"/>
              </w:rPr>
            </w:pPr>
            <w:r>
              <w:rPr>
                <w:rFonts w:ascii="宋体" w:hAnsi="宋体" w:cs="宋体" w:eastAsia="宋体" w:hint="default"/>
                <w:sz w:val="18"/>
                <w:szCs w:val="18"/>
              </w:rPr>
              <w:t>期初余额</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415" w:right="51" w:hanging="361"/>
              <w:jc w:val="left"/>
              <w:rPr>
                <w:rFonts w:ascii="宋体" w:hAnsi="宋体" w:cs="宋体" w:eastAsia="宋体" w:hint="default"/>
                <w:sz w:val="18"/>
                <w:szCs w:val="18"/>
              </w:rPr>
            </w:pPr>
            <w:r>
              <w:rPr>
                <w:rFonts w:ascii="宋体" w:hAnsi="宋体" w:cs="宋体" w:eastAsia="宋体" w:hint="default"/>
                <w:sz w:val="18"/>
                <w:szCs w:val="18"/>
              </w:rPr>
              <w:t>本期增加金 额</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本期转入固 定资产金额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56" w:right="75" w:hanging="180"/>
              <w:jc w:val="left"/>
              <w:rPr>
                <w:rFonts w:ascii="宋体" w:hAnsi="宋体" w:cs="宋体" w:eastAsia="宋体" w:hint="default"/>
                <w:sz w:val="18"/>
                <w:szCs w:val="18"/>
              </w:rPr>
            </w:pPr>
            <w:r>
              <w:rPr>
                <w:rFonts w:ascii="宋体" w:hAnsi="宋体" w:cs="宋体" w:eastAsia="宋体" w:hint="default"/>
                <w:sz w:val="18"/>
                <w:szCs w:val="18"/>
              </w:rPr>
              <w:t>本期其他减 少金额</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8" w:right="26"/>
              <w:jc w:val="both"/>
              <w:rPr>
                <w:rFonts w:ascii="宋体" w:hAnsi="宋体" w:cs="宋体" w:eastAsia="宋体" w:hint="default"/>
                <w:sz w:val="18"/>
                <w:szCs w:val="18"/>
              </w:rPr>
            </w:pPr>
            <w:r>
              <w:rPr>
                <w:rFonts w:ascii="宋体" w:hAnsi="宋体" w:cs="宋体" w:eastAsia="宋体" w:hint="default"/>
                <w:sz w:val="18"/>
                <w:szCs w:val="18"/>
              </w:rPr>
              <w:t>工程累计 投入占预 算比例</w:t>
            </w:r>
          </w:p>
        </w:tc>
        <w:tc>
          <w:tcPr>
            <w:tcW w:w="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7" w:right="50"/>
              <w:jc w:val="both"/>
              <w:rPr>
                <w:rFonts w:ascii="宋体" w:hAnsi="宋体" w:cs="宋体" w:eastAsia="宋体" w:hint="default"/>
                <w:sz w:val="18"/>
                <w:szCs w:val="18"/>
              </w:rPr>
            </w:pPr>
            <w:r>
              <w:rPr>
                <w:rFonts w:ascii="宋体" w:hAnsi="宋体" w:cs="宋体" w:eastAsia="宋体" w:hint="default"/>
                <w:sz w:val="18"/>
                <w:szCs w:val="18"/>
              </w:rPr>
              <w:t>工 程 进 度</w:t>
            </w:r>
          </w:p>
        </w:tc>
        <w:tc>
          <w:tcPr>
            <w:tcW w:w="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4" w:right="80"/>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其中： 本期利 息资本 化金额</w:t>
            </w:r>
          </w:p>
        </w:tc>
        <w:tc>
          <w:tcPr>
            <w:tcW w:w="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45" w:right="47"/>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7" w:right="53"/>
              <w:jc w:val="both"/>
              <w:rPr>
                <w:rFonts w:ascii="宋体" w:hAnsi="宋体" w:cs="宋体" w:eastAsia="宋体" w:hint="default"/>
                <w:sz w:val="18"/>
                <w:szCs w:val="18"/>
              </w:rPr>
            </w:pPr>
            <w:r>
              <w:rPr>
                <w:rFonts w:ascii="宋体" w:hAnsi="宋体" w:cs="宋体" w:eastAsia="宋体" w:hint="default"/>
                <w:sz w:val="18"/>
                <w:szCs w:val="18"/>
              </w:rPr>
              <w:t>资 金 来 源</w:t>
            </w:r>
          </w:p>
        </w:tc>
      </w:tr>
      <w:tr>
        <w:trPr>
          <w:trHeight w:val="1651" w:hRule="exact"/>
        </w:trPr>
        <w:tc>
          <w:tcPr>
            <w:tcW w:w="3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2"/>
              <w:jc w:val="both"/>
              <w:rPr>
                <w:rFonts w:ascii="宋体" w:hAnsi="宋体" w:cs="宋体" w:eastAsia="宋体" w:hint="default"/>
                <w:sz w:val="18"/>
                <w:szCs w:val="18"/>
              </w:rPr>
            </w:pPr>
            <w:r>
              <w:rPr>
                <w:rFonts w:ascii="宋体" w:hAnsi="宋体" w:cs="宋体" w:eastAsia="宋体" w:hint="default"/>
                <w:sz w:val="18"/>
                <w:szCs w:val="18"/>
              </w:rPr>
              <w:t>充 电 桩 项 目</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1,100,000.00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903,218.56</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129,928.19</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1,033,146.75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93.92%</w:t>
            </w:r>
          </w:p>
        </w:tc>
        <w:tc>
          <w:tcPr>
            <w:tcW w:w="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4" w:right="84"/>
              <w:jc w:val="left"/>
              <w:rPr>
                <w:rFonts w:ascii="宋体" w:hAnsi="宋体" w:cs="宋体" w:eastAsia="宋体" w:hint="default"/>
                <w:sz w:val="18"/>
                <w:szCs w:val="18"/>
              </w:rPr>
            </w:pPr>
            <w:r>
              <w:rPr>
                <w:rFonts w:ascii="宋体" w:hAnsi="宋体" w:cs="宋体" w:eastAsia="宋体" w:hint="default"/>
                <w:sz w:val="18"/>
                <w:szCs w:val="18"/>
              </w:rPr>
              <w:t>完 工</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4" w:right="86"/>
              <w:jc w:val="left"/>
              <w:rPr>
                <w:rFonts w:ascii="宋体" w:hAnsi="宋体" w:cs="宋体" w:eastAsia="宋体" w:hint="default"/>
                <w:sz w:val="18"/>
                <w:szCs w:val="18"/>
              </w:rPr>
            </w:pPr>
            <w:r>
              <w:rPr>
                <w:rFonts w:ascii="宋体" w:hAnsi="宋体" w:cs="宋体" w:eastAsia="宋体" w:hint="default"/>
                <w:sz w:val="18"/>
                <w:szCs w:val="18"/>
              </w:rPr>
              <w:t>其 他</w:t>
            </w:r>
          </w:p>
        </w:tc>
      </w:tr>
      <w:tr>
        <w:trPr>
          <w:trHeight w:val="1025" w:hRule="exact"/>
        </w:trPr>
        <w:tc>
          <w:tcPr>
            <w:tcW w:w="3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2"/>
              <w:jc w:val="both"/>
              <w:rPr>
                <w:rFonts w:ascii="宋体" w:hAnsi="宋体" w:cs="宋体" w:eastAsia="宋体" w:hint="default"/>
                <w:sz w:val="18"/>
                <w:szCs w:val="18"/>
              </w:rPr>
            </w:pPr>
            <w:r>
              <w:rPr>
                <w:rFonts w:ascii="宋体" w:hAnsi="宋体" w:cs="宋体" w:eastAsia="宋体" w:hint="default"/>
                <w:sz w:val="18"/>
                <w:szCs w:val="18"/>
              </w:rPr>
              <w:t>装 修 费</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7,000,000.00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1,315,533.32</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1,315,533.32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18.79%</w:t>
            </w:r>
          </w:p>
        </w:tc>
        <w:tc>
          <w:tcPr>
            <w:tcW w:w="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84"/>
              <w:jc w:val="left"/>
              <w:rPr>
                <w:rFonts w:ascii="宋体" w:hAnsi="宋体" w:cs="宋体" w:eastAsia="宋体" w:hint="default"/>
                <w:sz w:val="18"/>
                <w:szCs w:val="18"/>
              </w:rPr>
            </w:pPr>
            <w:r>
              <w:rPr>
                <w:rFonts w:ascii="宋体" w:hAnsi="宋体" w:cs="宋体" w:eastAsia="宋体" w:hint="default"/>
                <w:sz w:val="18"/>
                <w:szCs w:val="18"/>
              </w:rPr>
              <w:t>在 建</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86"/>
              <w:jc w:val="left"/>
              <w:rPr>
                <w:rFonts w:ascii="宋体" w:hAnsi="宋体" w:cs="宋体" w:eastAsia="宋体" w:hint="default"/>
                <w:sz w:val="18"/>
                <w:szCs w:val="18"/>
              </w:rPr>
            </w:pPr>
            <w:r>
              <w:rPr>
                <w:rFonts w:ascii="宋体" w:hAnsi="宋体" w:cs="宋体" w:eastAsia="宋体" w:hint="default"/>
                <w:sz w:val="18"/>
                <w:szCs w:val="18"/>
              </w:rPr>
              <w:t>其 他</w:t>
            </w:r>
          </w:p>
        </w:tc>
      </w:tr>
      <w:tr>
        <w:trPr>
          <w:trHeight w:val="1963" w:hRule="exact"/>
        </w:trPr>
        <w:tc>
          <w:tcPr>
            <w:tcW w:w="3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2"/>
              <w:jc w:val="both"/>
              <w:rPr>
                <w:rFonts w:ascii="宋体" w:hAnsi="宋体" w:cs="宋体" w:eastAsia="宋体" w:hint="default"/>
                <w:sz w:val="18"/>
                <w:szCs w:val="18"/>
              </w:rPr>
            </w:pPr>
            <w:r>
              <w:rPr>
                <w:rFonts w:ascii="宋体" w:hAnsi="宋体" w:cs="宋体" w:eastAsia="宋体" w:hint="default"/>
                <w:sz w:val="18"/>
                <w:szCs w:val="18"/>
              </w:rPr>
              <w:t>公 司 展 示 中 心</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3,000,000.00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2,081,686.21</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2,081,686.21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69.39%</w:t>
            </w:r>
          </w:p>
        </w:tc>
        <w:tc>
          <w:tcPr>
            <w:tcW w:w="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24" w:right="84"/>
              <w:jc w:val="left"/>
              <w:rPr>
                <w:rFonts w:ascii="宋体" w:hAnsi="宋体" w:cs="宋体" w:eastAsia="宋体" w:hint="default"/>
                <w:sz w:val="18"/>
                <w:szCs w:val="18"/>
              </w:rPr>
            </w:pPr>
            <w:r>
              <w:rPr>
                <w:rFonts w:ascii="宋体" w:hAnsi="宋体" w:cs="宋体" w:eastAsia="宋体" w:hint="default"/>
                <w:sz w:val="18"/>
                <w:szCs w:val="18"/>
              </w:rPr>
              <w:t>完 工</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24" w:right="86"/>
              <w:jc w:val="left"/>
              <w:rPr>
                <w:rFonts w:ascii="宋体" w:hAnsi="宋体" w:cs="宋体" w:eastAsia="宋体" w:hint="default"/>
                <w:sz w:val="18"/>
                <w:szCs w:val="18"/>
              </w:rPr>
            </w:pPr>
            <w:r>
              <w:rPr>
                <w:rFonts w:ascii="宋体" w:hAnsi="宋体" w:cs="宋体" w:eastAsia="宋体" w:hint="default"/>
                <w:sz w:val="18"/>
                <w:szCs w:val="18"/>
              </w:rPr>
              <w:t>其 他</w:t>
            </w:r>
          </w:p>
        </w:tc>
      </w:tr>
      <w:tr>
        <w:trPr>
          <w:trHeight w:val="716" w:hRule="exact"/>
        </w:trPr>
        <w:tc>
          <w:tcPr>
            <w:tcW w:w="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32"/>
              <w:jc w:val="left"/>
              <w:rPr>
                <w:rFonts w:ascii="宋体" w:hAnsi="宋体" w:cs="宋体" w:eastAsia="宋体" w:hint="default"/>
                <w:sz w:val="18"/>
                <w:szCs w:val="18"/>
              </w:rPr>
            </w:pPr>
            <w:r>
              <w:rPr>
                <w:rFonts w:ascii="宋体" w:hAnsi="宋体" w:cs="宋体" w:eastAsia="宋体" w:hint="default"/>
                <w:sz w:val="18"/>
                <w:szCs w:val="18"/>
              </w:rPr>
              <w:t>合 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11,100,000.00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903,218.56</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3,527,147.72</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1,033,146.75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2,081,686.21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1,315,533.32</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pict>
          <v:shape style="position:absolute;margin-left:419.350006pt;margin-top:-48.356319pt;width:14.66913pt;height:35.25pt;mso-position-horizontal-relative:page;mso-position-vertical-relative:paragraph;z-index:2272" type="#_x0000_t75" stroked="false">
            <v:imagedata r:id="rId44" o:title=""/>
          </v:shape>
        </w:pict>
      </w:r>
      <w:r>
        <w:rPr/>
        <w:pict>
          <v:shape style="position:absolute;margin-left:525.219971pt;margin-top:-48.356319pt;width:14.66913pt;height:35.25pt;mso-position-horizontal-relative:page;mso-position-vertical-relative:paragraph;z-index:2296" type="#_x0000_t75" stroked="false">
            <v:imagedata r:id="rId44" o:title=""/>
          </v:shape>
        </w:pict>
      </w:r>
      <w:r>
        <w:rPr/>
        <w:t>（</w:t>
      </w:r>
      <w:r>
        <w:rPr>
          <w:rFonts w:ascii="Times New Roman" w:hAnsi="Times New Roman" w:cs="Times New Roman" w:eastAsia="Times New Roman" w:hint="default"/>
        </w:rPr>
        <w:t>3</w:t>
      </w:r>
      <w:r>
        <w:rPr/>
        <w:t>）</w:t>
      </w:r>
      <w:r>
        <w:rPr>
          <w:spacing w:val="-2"/>
        </w:rPr>
        <w:t> </w:t>
      </w:r>
      <w:r>
        <w:rPr/>
        <w:t>其他说明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月经公司总裁办公会审议批准，公司展示中心项目预算由</w:t>
      </w:r>
      <w:r>
        <w:rPr>
          <w:rFonts w:ascii="Times New Roman" w:hAnsi="Times New Roman" w:cs="Times New Roman" w:eastAsia="Times New Roman" w:hint="default"/>
        </w:rPr>
        <w:t>190</w:t>
      </w:r>
      <w:r>
        <w:rPr/>
        <w:t>万元追加至</w:t>
      </w:r>
      <w:r>
        <w:rPr>
          <w:rFonts w:ascii="Times New Roman" w:hAnsi="Times New Roman" w:cs="Times New Roman" w:eastAsia="Times New Roman" w:hint="default"/>
        </w:rPr>
        <w:t>300</w:t>
      </w:r>
      <w:r>
        <w:rPr/>
        <w:t>万元。</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15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2483"/>
        <w:gridCol w:w="1184"/>
        <w:gridCol w:w="1282"/>
        <w:gridCol w:w="1121"/>
        <w:gridCol w:w="1171"/>
        <w:gridCol w:w="1174"/>
        <w:gridCol w:w="1282"/>
      </w:tblGrid>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7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0"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1174" w:type="dxa"/>
            <w:tcBorders>
              <w:top w:val="single" w:sz="4" w:space="0" w:color="000000"/>
              <w:left w:val="single" w:sz="4" w:space="0" w:color="000000"/>
              <w:bottom w:val="single" w:sz="4" w:space="0" w:color="000000"/>
              <w:right w:val="single" w:sz="13" w:space="0" w:color="D2D2D2"/>
            </w:tcBorders>
            <w:shd w:val="clear" w:color="auto" w:fill="E0FFFF"/>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282" w:type="dxa"/>
            <w:tcBorders>
              <w:top w:val="single" w:sz="4" w:space="0" w:color="000000"/>
              <w:left w:val="single" w:sz="10" w:space="0" w:color="E0FFFF"/>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84" w:type="dxa"/>
            <w:tcBorders>
              <w:top w:val="single" w:sz="4" w:space="0" w:color="000000"/>
              <w:left w:val="single" w:sz="13" w:space="0" w:color="D2D2D2"/>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5,025,922.33</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11,616,358.01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3,270,646.33</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4,133,803.49</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24,046,730.16</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155,128.20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4,736,548.29</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4,891,676.49</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4,730,548.29</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4,730,548.29</w:t>
            </w:r>
          </w:p>
        </w:tc>
      </w:tr>
      <w:tr>
        <w:trPr>
          <w:trHeight w:val="404" w:hRule="exact"/>
        </w:trPr>
        <w:tc>
          <w:tcPr>
            <w:tcW w:w="24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7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4"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155,128.20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6,000.00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161,128.20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239,762.24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90,646.33</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330,408.57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2484"/>
        <w:gridCol w:w="1184"/>
        <w:gridCol w:w="1282"/>
        <w:gridCol w:w="1121"/>
        <w:gridCol w:w="1171"/>
        <w:gridCol w:w="1174"/>
        <w:gridCol w:w="1282"/>
      </w:tblGrid>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184"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239,762.24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90,646.33</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330,408.57</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5,025,922.33</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11,531,723.97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3,180,000.00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8,870,351.78</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28,607,998.08</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184" w:type="dxa"/>
            <w:tcBorders>
              <w:top w:val="single" w:sz="4" w:space="0" w:color="000000"/>
              <w:left w:val="single" w:sz="13" w:space="0" w:color="D2D2D2"/>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1,229,158.21</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9,454,864.83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2,025,146.33</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1,279,254.22</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13,988,423.59</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101,966.36</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954,787.01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318,000.00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3,218,987.98</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4,593,741.35</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101,966.36</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799,658.81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318,000.00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2,169,423.96</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3,389,049.13</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w:t>
            </w:r>
          </w:p>
        </w:tc>
        <w:tc>
          <w:tcPr>
            <w:tcW w:w="1184"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1,049,564.02</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1,049,564.02</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4"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155,128.20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155,128.20</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10,023.63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90,646.33</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100,669.96</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184"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10,023.63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90,646.33</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100,669.96</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1,331,124.57</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10,399,628.21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2,252,500.00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4,498,242.20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18,481,494.98</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84" w:type="dxa"/>
            <w:tcBorders>
              <w:top w:val="single" w:sz="4" w:space="0" w:color="000000"/>
              <w:left w:val="single" w:sz="13" w:space="0" w:color="D2D2D2"/>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84" w:type="dxa"/>
            <w:tcBorders>
              <w:top w:val="single" w:sz="4" w:space="0" w:color="000000"/>
              <w:left w:val="single" w:sz="13" w:space="0" w:color="D2D2D2"/>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3,694,797.76</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1,132,095.76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927,500.00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4,372,109.58</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10,126,503.10</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3,796,764.12</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2,161,493.18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1,245,500.00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2,854,549.27</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10,058,306.57</w:t>
            </w:r>
          </w:p>
        </w:tc>
      </w:tr>
    </w:tbl>
    <w:p>
      <w:pPr>
        <w:pStyle w:val="BodyText"/>
        <w:spacing w:line="240" w:lineRule="auto" w:before="49"/>
        <w:ind w:right="153"/>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line="240" w:lineRule="auto" w:before="0"/>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16</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385"/>
        <w:gridCol w:w="1385"/>
        <w:gridCol w:w="2770"/>
        <w:gridCol w:w="2773"/>
        <w:gridCol w:w="1385"/>
      </w:tblGrid>
      <w:tr>
        <w:trPr>
          <w:trHeight w:val="1027" w:hRule="exact"/>
        </w:trPr>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7" w:right="5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8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中汇同盈</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359,972.58</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359,972.58</w:t>
            </w:r>
          </w:p>
        </w:tc>
      </w:tr>
      <w:tr>
        <w:trPr>
          <w:trHeight w:val="404" w:hRule="exact"/>
        </w:trPr>
        <w:tc>
          <w:tcPr>
            <w:tcW w:w="138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哆可梦</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1,220,240,489.40</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1,220,240,489.40</w:t>
            </w:r>
          </w:p>
        </w:tc>
      </w:tr>
      <w:tr>
        <w:trPr>
          <w:trHeight w:val="401" w:hRule="exact"/>
        </w:trPr>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359,972.58</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1,220,240,489.40</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1,220,600,461.98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left="513" w:right="5094" w:hanging="361"/>
        <w:jc w:val="left"/>
      </w:pPr>
      <w:r>
        <w:rPr/>
        <w:t>说明商誉减值测试过程、参数及商誉减值损失的确认方法： 本公司测试商誉减值严格按以下步骤执行： </w:t>
      </w:r>
      <w:r>
        <w:rPr>
          <w:rFonts w:ascii="Times New Roman" w:hAnsi="Times New Roman" w:cs="Times New Roman" w:eastAsia="Times New Roman" w:hint="default"/>
        </w:rPr>
        <w:t>1.</w:t>
      </w:r>
      <w:r>
        <w:rPr/>
        <w:t>先计算不包含商誉在内的资产组是否发生减值；</w:t>
      </w:r>
    </w:p>
    <w:p>
      <w:pPr>
        <w:pStyle w:val="BodyText"/>
        <w:spacing w:line="240" w:lineRule="auto" w:before="6"/>
        <w:ind w:left="513" w:right="153"/>
        <w:jc w:val="left"/>
      </w:pPr>
      <w:r>
        <w:rPr>
          <w:rFonts w:ascii="Times New Roman" w:hAnsi="Times New Roman" w:cs="Times New Roman" w:eastAsia="Times New Roman" w:hint="default"/>
        </w:rPr>
        <w:t>2.</w:t>
      </w:r>
      <w:r>
        <w:rPr/>
        <w:t>比较包含商誉在内的资产组的账面价值与包含商誉在内的资产组的可收回金额确定资产组的整体减值损失；</w:t>
      </w:r>
    </w:p>
    <w:p>
      <w:pPr>
        <w:pStyle w:val="BodyText"/>
        <w:spacing w:line="240" w:lineRule="auto" w:before="101"/>
        <w:ind w:left="513" w:right="153"/>
        <w:jc w:val="left"/>
      </w:pPr>
      <w:r>
        <w:rPr>
          <w:rFonts w:ascii="Times New Roman" w:hAnsi="Times New Roman" w:cs="Times New Roman" w:eastAsia="Times New Roman" w:hint="default"/>
        </w:rPr>
        <w:t>3.</w:t>
      </w:r>
      <w:r>
        <w:rPr/>
        <w:t>计算出来的整体资产减值损失首先抵减商誉的账面价值，其余的减值再由子公司其他的可辨认资产来分担；</w:t>
      </w:r>
    </w:p>
    <w:p>
      <w:pPr>
        <w:pStyle w:val="BodyText"/>
        <w:spacing w:line="340" w:lineRule="auto" w:before="103"/>
        <w:ind w:right="5139" w:firstLine="360"/>
        <w:jc w:val="left"/>
      </w:pPr>
      <w:r>
        <w:rPr>
          <w:rFonts w:ascii="Times New Roman" w:hAnsi="Times New Roman" w:cs="Times New Roman" w:eastAsia="Times New Roman" w:hint="default"/>
        </w:rPr>
        <w:t>4.</w:t>
      </w:r>
      <w:r>
        <w:rPr/>
        <w:t>但是合并报表中只反映母公司承担的商誉减值损失。 其他说明</w:t>
      </w:r>
    </w:p>
    <w:p>
      <w:pPr>
        <w:pStyle w:val="BodyText"/>
        <w:spacing w:line="300" w:lineRule="auto" w:before="39"/>
        <w:ind w:right="148" w:firstLine="288"/>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月，公司以现金形式收购哆可梦</w:t>
      </w:r>
      <w:r>
        <w:rPr>
          <w:rFonts w:ascii="Times New Roman" w:hAnsi="Times New Roman" w:cs="Times New Roman" w:eastAsia="Times New Roman" w:hint="default"/>
        </w:rPr>
        <w:t>77.57%</w:t>
      </w:r>
      <w:r>
        <w:rPr/>
        <w:t>的股权，交易对价</w:t>
      </w:r>
      <w:r>
        <w:rPr>
          <w:rFonts w:ascii="Times New Roman" w:hAnsi="Times New Roman" w:cs="Times New Roman" w:eastAsia="Times New Roman" w:hint="default"/>
        </w:rPr>
        <w:t>138,346.10</w:t>
      </w:r>
      <w:r>
        <w:rPr/>
        <w:t>万元，截止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日，已向交易对 方支付了</w:t>
      </w:r>
      <w:r>
        <w:rPr>
          <w:rFonts w:ascii="Times New Roman" w:hAnsi="Times New Roman" w:cs="Times New Roman" w:eastAsia="Times New Roman" w:hint="default"/>
        </w:rPr>
        <w:t>31,521.09</w:t>
      </w:r>
      <w:r>
        <w:rPr/>
        <w:t>万元。哆可梦就本次交易项下的标的资产过户事宜于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日完成了工商变更登记。公司以</w:t>
      </w:r>
      <w:r>
        <w:rPr>
          <w:rFonts w:ascii="Times New Roman" w:hAnsi="Times New Roman" w:cs="Times New Roman" w:eastAsia="Times New Roman" w:hint="default"/>
        </w:rPr>
        <w:t>2017</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20</w:t>
      </w:r>
      <w:r>
        <w:rPr>
          <w:spacing w:val="-2"/>
        </w:rPr>
        <w:t>日作为并购日，并购日经确认的哆可梦账面各项可辨认资产、负债的公允价值净额为</w:t>
      </w:r>
      <w:r>
        <w:rPr>
          <w:rFonts w:ascii="Times New Roman" w:hAnsi="Times New Roman" w:cs="Times New Roman" w:eastAsia="Times New Roman" w:hint="default"/>
          <w:spacing w:val="-2"/>
        </w:rPr>
        <w:t>21,041.70</w:t>
      </w:r>
      <w:r>
        <w:rPr>
          <w:spacing w:val="-2"/>
        </w:rPr>
        <w:t>万元，公司按比例享</w:t>
      </w:r>
      <w:r>
        <w:rPr>
          <w:spacing w:val="-54"/>
        </w:rPr>
        <w:t> </w:t>
      </w:r>
      <w:r>
        <w:rPr>
          <w:spacing w:val="-54"/>
        </w:rPr>
      </w:r>
      <w:r>
        <w:rPr/>
        <w:t>有</w:t>
      </w:r>
      <w:r>
        <w:rPr>
          <w:rFonts w:ascii="Times New Roman" w:hAnsi="Times New Roman" w:cs="Times New Roman" w:eastAsia="Times New Roman" w:hint="default"/>
        </w:rPr>
        <w:t>16,322.05</w:t>
      </w:r>
      <w:r>
        <w:rPr/>
        <w:t>万元，最终交易对价与享有的并购日可辨认资产、负债的公允价值差额部分</w:t>
      </w:r>
      <w:r>
        <w:rPr>
          <w:rFonts w:ascii="Times New Roman" w:hAnsi="Times New Roman" w:cs="Times New Roman" w:eastAsia="Times New Roman" w:hint="default"/>
        </w:rPr>
        <w:t>122,024.05</w:t>
      </w:r>
      <w:r>
        <w:rPr/>
        <w:t>万元确认为商誉。</w:t>
      </w:r>
    </w:p>
    <w:p>
      <w:pPr>
        <w:spacing w:line="240" w:lineRule="auto" w:before="4"/>
        <w:rPr>
          <w:rFonts w:ascii="宋体" w:hAnsi="宋体" w:cs="宋体" w:eastAsia="宋体" w:hint="default"/>
          <w:sz w:val="22"/>
          <w:szCs w:val="22"/>
        </w:rPr>
      </w:pPr>
    </w:p>
    <w:p>
      <w:pPr>
        <w:pStyle w:val="Heading3"/>
        <w:spacing w:line="240" w:lineRule="auto"/>
        <w:ind w:right="153"/>
        <w:jc w:val="left"/>
        <w:rPr>
          <w:b w:val="0"/>
          <w:bCs w:val="0"/>
        </w:rPr>
      </w:pPr>
      <w:r>
        <w:rPr>
          <w:rFonts w:ascii="Times New Roman" w:hAnsi="Times New Roman" w:cs="Times New Roman" w:eastAsia="Times New Roman" w:hint="default"/>
        </w:rPr>
        <w:t>17</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房屋改造等</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582,759.11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867,115.94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125,814.23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337,929.72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986,131.10</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代言费及版权金</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14,497,066.41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275,304.76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14,221,761.65</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33,962.26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33,018.86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582,759.11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15,398,144.61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402,062.39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337,929.72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15,240,911.61</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18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049"/>
        <w:gridCol w:w="1766"/>
        <w:gridCol w:w="1558"/>
        <w:gridCol w:w="1769"/>
        <w:gridCol w:w="1555"/>
      </w:tblGrid>
      <w:tr>
        <w:trPr>
          <w:trHeight w:val="206" w:hRule="exact"/>
        </w:trPr>
        <w:tc>
          <w:tcPr>
            <w:tcW w:w="304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30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24" w:type="dxa"/>
            <w:gridSpan w:val="2"/>
            <w:vMerge/>
            <w:tcBorders>
              <w:left w:val="single" w:sz="4" w:space="0" w:color="000000"/>
              <w:bottom w:val="single" w:sz="4" w:space="0" w:color="000000"/>
              <w:right w:val="single" w:sz="4" w:space="0" w:color="000000"/>
            </w:tcBorders>
            <w:shd w:val="clear" w:color="auto" w:fill="D2D2D2"/>
          </w:tcPr>
          <w:p>
            <w:pPr/>
          </w:p>
        </w:tc>
        <w:tc>
          <w:tcPr>
            <w:tcW w:w="3325"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049" w:type="dxa"/>
            <w:vMerge/>
            <w:tcBorders>
              <w:left w:val="single" w:sz="4" w:space="0" w:color="000000"/>
              <w:bottom w:val="nil" w:sz="6" w:space="0" w:color="auto"/>
              <w:right w:val="single" w:sz="4" w:space="0" w:color="000000"/>
            </w:tcBorders>
            <w:shd w:val="clear" w:color="auto" w:fill="D2D2D2"/>
          </w:tcPr>
          <w:p>
            <w:pPr/>
          </w:p>
        </w:tc>
        <w:tc>
          <w:tcPr>
            <w:tcW w:w="17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58"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5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58"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5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30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66" w:type="dxa"/>
            <w:vMerge/>
            <w:tcBorders>
              <w:left w:val="single" w:sz="4" w:space="0" w:color="000000"/>
              <w:bottom w:val="single" w:sz="4" w:space="0" w:color="000000"/>
              <w:right w:val="single" w:sz="4" w:space="0" w:color="000000"/>
            </w:tcBorders>
            <w:shd w:val="clear" w:color="auto" w:fill="D2D2D2"/>
          </w:tcPr>
          <w:p>
            <w:pPr/>
          </w:p>
        </w:tc>
        <w:tc>
          <w:tcPr>
            <w:tcW w:w="1558"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55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7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37,045,575.27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5,558,942.31</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39,203,760.92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5,880,564.14</w:t>
            </w:r>
          </w:p>
        </w:tc>
      </w:tr>
      <w:tr>
        <w:trPr>
          <w:trHeight w:val="403" w:hRule="exact"/>
        </w:trPr>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7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7,817,725.08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1,954,431.27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19,426,974.52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3,073,314.42</w:t>
            </w:r>
          </w:p>
        </w:tc>
      </w:tr>
      <w:tr>
        <w:trPr>
          <w:trHeight w:val="401"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21,305,331.29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3,195,799.69</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16,143,162.53</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2,421,474.38</w:t>
            </w:r>
          </w:p>
        </w:tc>
      </w:tr>
      <w:tr>
        <w:trPr>
          <w:trHeight w:val="403"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76,126,794.17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11,419,019.13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43,322,661.38</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6,498,399.21</w:t>
            </w:r>
          </w:p>
        </w:tc>
      </w:tr>
      <w:tr>
        <w:trPr>
          <w:trHeight w:val="401"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权益法确认的有限合伙企业收益</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26,328,700.11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3,949,305.02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168,624,125.92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26,077,497.42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118,096,559.35</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17,873,752.15</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049"/>
        <w:gridCol w:w="1766"/>
        <w:gridCol w:w="1558"/>
        <w:gridCol w:w="1769"/>
        <w:gridCol w:w="1555"/>
      </w:tblGrid>
      <w:tr>
        <w:trPr>
          <w:trHeight w:val="402" w:hRule="exact"/>
        </w:trPr>
        <w:tc>
          <w:tcPr>
            <w:tcW w:w="30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049" w:type="dxa"/>
            <w:vMerge/>
            <w:tcBorders>
              <w:left w:val="single" w:sz="4" w:space="0" w:color="000000"/>
              <w:bottom w:val="single" w:sz="4" w:space="0" w:color="000000"/>
              <w:right w:val="single" w:sz="4" w:space="0" w:color="000000"/>
            </w:tcBorders>
            <w:shd w:val="clear" w:color="auto" w:fill="D2D2D2"/>
          </w:tcPr>
          <w:p>
            <w:pPr/>
          </w:p>
        </w:tc>
        <w:tc>
          <w:tcPr>
            <w:tcW w:w="1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8"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8"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1"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投资性房地产公允价值变动</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68,402,039.36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13,736,651.52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70,501,847.13</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13,558,623.34</w:t>
            </w:r>
          </w:p>
        </w:tc>
      </w:tr>
      <w:tr>
        <w:trPr>
          <w:trHeight w:val="403"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未实现的理财收益</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3,460,358.70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519,053.81</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3,987,912.05</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598,186.81</w:t>
            </w:r>
          </w:p>
        </w:tc>
      </w:tr>
      <w:tr>
        <w:trPr>
          <w:trHeight w:val="401"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权益法确认的有限合伙企业收益</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13,486,116.06</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2,022,917.41</w:t>
            </w:r>
          </w:p>
        </w:tc>
      </w:tr>
      <w:tr>
        <w:trPr>
          <w:trHeight w:val="403" w:hRule="exact"/>
        </w:trPr>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71,862,398.06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14,255,705.33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87,975,875.24</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16,179,727.56</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3209"/>
        <w:gridCol w:w="3246"/>
        <w:gridCol w:w="3231"/>
      </w:tblGrid>
      <w:tr>
        <w:trPr>
          <w:trHeight w:val="403" w:hRule="exact"/>
        </w:trPr>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2,993,565.11</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1,138,613.52</w:t>
            </w:r>
          </w:p>
        </w:tc>
      </w:tr>
      <w:tr>
        <w:trPr>
          <w:trHeight w:val="403" w:hRule="exact"/>
        </w:trPr>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209,929,779.59</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11,879,429.50</w:t>
            </w:r>
          </w:p>
        </w:tc>
      </w:tr>
      <w:tr>
        <w:trPr>
          <w:trHeight w:val="403" w:hRule="exact"/>
        </w:trPr>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212,923,344.70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13,018,043.02</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4</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389,046.23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54,945,897.72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442,271.09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418,219.11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418,219.11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252,008.62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524,750.35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6,554,742.02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7,598,548.72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145,108,583.56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无限期</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2,650,328.56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2,506,594.00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209,929,779.59</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11,879,429.50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19</w:t>
      </w:r>
      <w:r>
        <w:rPr/>
        <w:t>、其他非流动资产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8,804,092.31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5,256,696.97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9,018,592.31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5,288,696.97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94"/>
        <w:jc w:val="left"/>
        <w:rPr>
          <w:b w:val="0"/>
          <w:bCs w:val="0"/>
        </w:rPr>
      </w:pPr>
      <w:r>
        <w:rPr>
          <w:rFonts w:ascii="Times New Roman" w:hAnsi="Times New Roman" w:cs="Times New Roman" w:eastAsia="Times New Roman" w:hint="default"/>
        </w:rPr>
        <w:t>20</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16,481,627.61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53,650,554.82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66,481,627.61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53,650,554.82</w:t>
            </w:r>
          </w:p>
        </w:tc>
      </w:tr>
    </w:tbl>
    <w:p>
      <w:pPr>
        <w:pStyle w:val="BodyText"/>
        <w:spacing w:line="240" w:lineRule="auto" w:before="49"/>
        <w:ind w:right="94"/>
        <w:jc w:val="left"/>
      </w:pPr>
      <w:r>
        <w:rPr/>
        <w:t>短期借款分类的说明：</w:t>
      </w:r>
    </w:p>
    <w:p>
      <w:pPr>
        <w:pStyle w:val="BodyText"/>
        <w:spacing w:line="300" w:lineRule="auto" w:before="115"/>
        <w:ind w:right="100"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日，本公司与兴业银行股份有限公司深圳宝安支行签订合同编号为《兴银深宝流借字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10003</w:t>
      </w:r>
      <w:r>
        <w:rPr/>
        <w:t>号》 的授信合同，合同约定本公司在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01</w:t>
      </w:r>
      <w:r>
        <w:rPr/>
        <w:t>月</w:t>
      </w:r>
      <w:r>
        <w:rPr>
          <w:rFonts w:ascii="Times New Roman" w:hAnsi="Times New Roman" w:cs="Times New Roman" w:eastAsia="Times New Roman" w:hint="default"/>
        </w:rPr>
        <w:t>18</w:t>
      </w:r>
      <w:r>
        <w:rPr/>
        <w:t>日到</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01</w:t>
      </w:r>
      <w:r>
        <w:rPr/>
        <w:t>月</w:t>
      </w:r>
      <w:r>
        <w:rPr>
          <w:rFonts w:ascii="Times New Roman" w:hAnsi="Times New Roman" w:cs="Times New Roman" w:eastAsia="Times New Roman" w:hint="default"/>
        </w:rPr>
        <w:t>18</w:t>
      </w:r>
      <w:r>
        <w:rPr/>
        <w:t>日期间，可以向兴业银行股份有限公司深圳宝安支行申请</w:t>
      </w:r>
      <w:r>
        <w:rPr>
          <w:spacing w:val="-12"/>
        </w:rPr>
        <w:t> </w:t>
      </w:r>
      <w:r>
        <w:rPr>
          <w:spacing w:val="-12"/>
        </w:rPr>
      </w:r>
      <w:r>
        <w:rPr>
          <w:rFonts w:ascii="Times New Roman" w:hAnsi="Times New Roman" w:cs="Times New Roman" w:eastAsia="Times New Roman" w:hint="default"/>
        </w:rPr>
        <w:t>50,000,000.00</w:t>
      </w:r>
      <w:r>
        <w:rPr/>
        <w:t>元授信额度，额度使用仅限于流动周转，贷款利率为人民银行同档次贷款基准利率上浮</w:t>
      </w:r>
      <w:r>
        <w:rPr>
          <w:rFonts w:ascii="Times New Roman" w:hAnsi="Times New Roman" w:cs="Times New Roman" w:eastAsia="Times New Roman" w:hint="default"/>
        </w:rPr>
        <w:t>8%</w:t>
      </w:r>
      <w:r>
        <w:rPr/>
        <w:t>。截止资产负债表</w:t>
      </w:r>
      <w:r>
        <w:rPr>
          <w:spacing w:val="-15"/>
        </w:rPr>
        <w:t> </w:t>
      </w:r>
      <w:r>
        <w:rPr>
          <w:spacing w:val="-15"/>
        </w:rPr>
      </w:r>
      <w:r>
        <w:rPr>
          <w:spacing w:val="-2"/>
        </w:rPr>
        <w:t>日，本公司已向兴业银行股份有限公司深圳宝安支行申请贷款</w:t>
      </w:r>
      <w:r>
        <w:rPr>
          <w:rFonts w:ascii="Times New Roman" w:hAnsi="Times New Roman" w:cs="Times New Roman" w:eastAsia="Times New Roman" w:hint="default"/>
          <w:spacing w:val="-2"/>
        </w:rPr>
        <w:t>50,000,000.00</w:t>
      </w:r>
      <w:r>
        <w:rPr>
          <w:spacing w:val="-2"/>
        </w:rPr>
        <w:t>元，借款期限为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13</w:t>
      </w:r>
      <w:r>
        <w:rPr>
          <w:spacing w:val="-2"/>
        </w:rPr>
        <w:t>日至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18</w:t>
      </w:r>
      <w:r>
        <w:rPr>
          <w:spacing w:val="-2"/>
        </w:rPr>
        <w:t>日。</w:t>
      </w:r>
    </w:p>
    <w:p>
      <w:pPr>
        <w:pStyle w:val="BodyText"/>
        <w:spacing w:line="300" w:lineRule="auto" w:before="13"/>
        <w:ind w:right="102" w:firstLine="360"/>
        <w:jc w:val="left"/>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6</w:t>
      </w:r>
      <w:r>
        <w:rPr>
          <w:spacing w:val="-2"/>
        </w:rPr>
        <w:t>日，本公司与平安银行股份有限公司深圳分行签订合同编号为《平银龙岗额字</w:t>
      </w:r>
      <w:r>
        <w:rPr>
          <w:rFonts w:ascii="Times New Roman" w:hAnsi="Times New Roman" w:cs="Times New Roman" w:eastAsia="Times New Roman" w:hint="default"/>
          <w:spacing w:val="-2"/>
        </w:rPr>
        <w:t>20160829</w:t>
      </w:r>
      <w:r>
        <w:rPr>
          <w:spacing w:val="-2"/>
        </w:rPr>
        <w:t>第</w:t>
      </w:r>
      <w:r>
        <w:rPr>
          <w:rFonts w:ascii="Times New Roman" w:hAnsi="Times New Roman" w:cs="Times New Roman" w:eastAsia="Times New Roman" w:hint="default"/>
          <w:spacing w:val="-2"/>
        </w:rPr>
        <w:t>001</w:t>
      </w:r>
      <w:r>
        <w:rPr>
          <w:spacing w:val="-2"/>
        </w:rPr>
        <w:t>号》的授信</w:t>
      </w:r>
      <w:r>
        <w:rPr/>
        <w:t> </w:t>
      </w:r>
      <w:r>
        <w:rPr>
          <w:spacing w:val="7"/>
        </w:rPr>
        <w:t>合同，合同约定本公司在</w:t>
      </w:r>
      <w:r>
        <w:rPr>
          <w:rFonts w:ascii="Times New Roman" w:hAnsi="Times New Roman" w:cs="Times New Roman" w:eastAsia="Times New Roman" w:hint="default"/>
          <w:spacing w:val="7"/>
        </w:rPr>
        <w:t>2016</w:t>
      </w:r>
      <w:r>
        <w:rPr>
          <w:spacing w:val="7"/>
        </w:rPr>
        <w:t>年</w:t>
      </w:r>
      <w:r>
        <w:rPr>
          <w:rFonts w:ascii="Times New Roman" w:hAnsi="Times New Roman" w:cs="Times New Roman" w:eastAsia="Times New Roman" w:hint="default"/>
          <w:spacing w:val="7"/>
        </w:rPr>
        <w:t>09</w:t>
      </w:r>
      <w:r>
        <w:rPr>
          <w:spacing w:val="7"/>
        </w:rPr>
        <w:t>月</w:t>
      </w:r>
      <w:r>
        <w:rPr>
          <w:rFonts w:ascii="Times New Roman" w:hAnsi="Times New Roman" w:cs="Times New Roman" w:eastAsia="Times New Roman" w:hint="default"/>
          <w:spacing w:val="7"/>
        </w:rPr>
        <w:t>07</w:t>
      </w:r>
      <w:r>
        <w:rPr>
          <w:spacing w:val="7"/>
        </w:rPr>
        <w:t>日到</w:t>
      </w:r>
      <w:r>
        <w:rPr>
          <w:rFonts w:ascii="Times New Roman" w:hAnsi="Times New Roman" w:cs="Times New Roman" w:eastAsia="Times New Roman" w:hint="default"/>
          <w:spacing w:val="7"/>
        </w:rPr>
        <w:t>2017</w:t>
      </w:r>
      <w:r>
        <w:rPr>
          <w:spacing w:val="7"/>
        </w:rPr>
        <w:t>年</w:t>
      </w:r>
      <w:r>
        <w:rPr>
          <w:rFonts w:ascii="Times New Roman" w:hAnsi="Times New Roman" w:cs="Times New Roman" w:eastAsia="Times New Roman" w:hint="default"/>
          <w:spacing w:val="7"/>
        </w:rPr>
        <w:t>09</w:t>
      </w:r>
      <w:r>
        <w:rPr>
          <w:spacing w:val="7"/>
        </w:rPr>
        <w:t>月</w:t>
      </w:r>
      <w:r>
        <w:rPr>
          <w:rFonts w:ascii="Times New Roman" w:hAnsi="Times New Roman" w:cs="Times New Roman" w:eastAsia="Times New Roman" w:hint="default"/>
          <w:spacing w:val="7"/>
        </w:rPr>
        <w:t>06</w:t>
      </w:r>
      <w:r>
        <w:rPr>
          <w:spacing w:val="7"/>
        </w:rPr>
        <w:t>日期间，可以向平安银行股份有限公司深圳分行申请不超过</w:t>
      </w:r>
      <w:r>
        <w:rPr>
          <w:spacing w:val="-71"/>
        </w:rPr>
        <w:t> </w:t>
      </w:r>
      <w:r>
        <w:rPr>
          <w:spacing w:val="-71"/>
        </w:rPr>
      </w:r>
      <w:r>
        <w:rPr>
          <w:rFonts w:ascii="Times New Roman" w:hAnsi="Times New Roman" w:cs="Times New Roman" w:eastAsia="Times New Roman" w:hint="default"/>
        </w:rPr>
        <w:t>150,000,000.00</w:t>
      </w:r>
      <w:r>
        <w:rPr>
          <w:rFonts w:ascii="Times New Roman" w:hAnsi="Times New Roman" w:cs="Times New Roman" w:eastAsia="Times New Roman" w:hint="default"/>
          <w:spacing w:val="18"/>
        </w:rPr>
        <w:t> </w:t>
      </w:r>
      <w:r>
        <w:rPr/>
        <w:t>元综合授信额度，额度使用仅限于采购原材料及日常经营周转，贷款利率为贷款发放日的人民银行同档次贷 </w:t>
      </w:r>
      <w:r>
        <w:rPr>
          <w:spacing w:val="-1"/>
        </w:rPr>
        <w:t>款基准利率上浮</w:t>
      </w:r>
      <w:r>
        <w:rPr>
          <w:rFonts w:ascii="Times New Roman" w:hAnsi="Times New Roman" w:cs="Times New Roman" w:eastAsia="Times New Roman" w:hint="default"/>
          <w:spacing w:val="-1"/>
        </w:rPr>
        <w:t>5%-10%</w:t>
      </w:r>
      <w:r>
        <w:rPr>
          <w:spacing w:val="-1"/>
        </w:rPr>
        <w:t>。截止资产负债表日，本公司已向平安银行股份有限公司深圳分行申请贷款余额为</w:t>
      </w:r>
      <w:r>
        <w:rPr>
          <w:rFonts w:ascii="Times New Roman" w:hAnsi="Times New Roman" w:cs="Times New Roman" w:eastAsia="Times New Roman" w:hint="default"/>
          <w:spacing w:val="-1"/>
        </w:rPr>
        <w:t>16,481,627.61</w:t>
      </w:r>
      <w:r>
        <w:rPr>
          <w:spacing w:val="-1"/>
        </w:rPr>
        <w:t>元。</w:t>
      </w:r>
      <w:r>
        <w:rPr>
          <w:spacing w:val="-71"/>
        </w:rPr>
        <w:t> </w:t>
      </w:r>
      <w:r>
        <w:rPr/>
        <w:t>公司为本次贷款提供抵押保证，抵押合同编号为《平银龙岗额字</w:t>
      </w:r>
      <w:r>
        <w:rPr>
          <w:rFonts w:ascii="Times New Roman" w:hAnsi="Times New Roman" w:cs="Times New Roman" w:eastAsia="Times New Roman" w:hint="default"/>
        </w:rPr>
        <w:t>20160829</w:t>
      </w:r>
      <w:r>
        <w:rPr/>
        <w:t>第</w:t>
      </w:r>
      <w:r>
        <w:rPr>
          <w:rFonts w:ascii="Times New Roman" w:hAnsi="Times New Roman" w:cs="Times New Roman" w:eastAsia="Times New Roman" w:hint="default"/>
        </w:rPr>
        <w:t>001</w:t>
      </w:r>
      <w:r>
        <w:rPr/>
        <w:t>号》。本次抵押物为位于深圳市坪山新区大</w:t>
      </w:r>
      <w:r>
        <w:rPr>
          <w:spacing w:val="-86"/>
        </w:rPr>
        <w:t> </w:t>
      </w:r>
      <w:r>
        <w:rPr>
          <w:spacing w:val="-86"/>
        </w:rPr>
      </w:r>
      <w:r>
        <w:rPr>
          <w:spacing w:val="-2"/>
        </w:rPr>
        <w:t>工业区兰景路以东、锦绣路以南惠程科技工业厂区办公楼、</w:t>
      </w:r>
      <w:r>
        <w:rPr>
          <w:rFonts w:ascii="Times New Roman" w:hAnsi="Times New Roman" w:cs="Times New Roman" w:eastAsia="Times New Roman" w:hint="default"/>
          <w:spacing w:val="-2"/>
        </w:rPr>
        <w:t>1</w:t>
      </w:r>
      <w:r>
        <w:rPr>
          <w:spacing w:val="-2"/>
        </w:rPr>
        <w:t>号厂房、厂房、宿舍楼房地产，《房地产证》号为</w:t>
      </w:r>
      <w:r>
        <w:rPr>
          <w:rFonts w:ascii="Times New Roman" w:hAnsi="Times New Roman" w:cs="Times New Roman" w:eastAsia="Times New Roman" w:hint="default"/>
          <w:spacing w:val="-2"/>
        </w:rPr>
        <w:t>“</w:t>
      </w:r>
      <w:r>
        <w:rPr>
          <w:spacing w:val="-2"/>
        </w:rPr>
        <w:t>深房地字第</w:t>
      </w:r>
      <w:r>
        <w:rPr>
          <w:spacing w:val="-52"/>
        </w:rPr>
        <w:t> </w:t>
      </w:r>
      <w:r>
        <w:rPr>
          <w:rFonts w:ascii="Times New Roman" w:hAnsi="Times New Roman" w:cs="Times New Roman" w:eastAsia="Times New Roman" w:hint="default"/>
        </w:rPr>
        <w:t>6000495405</w:t>
      </w:r>
      <w:r>
        <w:rPr/>
        <w:t>号</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21</w:t>
      </w:r>
      <w:r>
        <w:rPr/>
        <w:t>、应付票据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13,039,418.63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54,579,317.75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34,501,968.28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67,618,736.38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34,501,968.28</w:t>
            </w:r>
          </w:p>
        </w:tc>
      </w:tr>
    </w:tbl>
    <w:p>
      <w:pPr>
        <w:pStyle w:val="BodyText"/>
        <w:spacing w:line="240" w:lineRule="auto" w:before="49"/>
        <w:ind w:right="94"/>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3"/>
        <w:spacing w:line="240" w:lineRule="auto"/>
        <w:ind w:right="94"/>
        <w:jc w:val="left"/>
        <w:rPr>
          <w:b w:val="0"/>
          <w:bCs w:val="0"/>
        </w:rPr>
      </w:pPr>
      <w:r>
        <w:rPr>
          <w:rFonts w:ascii="Times New Roman" w:hAnsi="Times New Roman" w:cs="Times New Roman" w:eastAsia="Times New Roman" w:hint="default"/>
        </w:rPr>
        <w:t>22</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124,600,596.66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72,626,449.67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2,677,992.36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1,321,541.17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236,383.91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94,046.38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94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2,180,833.65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3,528,916.54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129,695,806.58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77,570,953.76</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1,350,049.73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未到期尚未结算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1,350,049.73</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23</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1,722,770.16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3,297,605.88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524,173.31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344,763.68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3,523.00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2,250,466.47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3,642,369.56</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24</w:t>
      </w:r>
      <w:r>
        <w:rPr/>
        <w:t>、应付职工薪酬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3518"/>
        <w:gridCol w:w="1453"/>
        <w:gridCol w:w="1572"/>
        <w:gridCol w:w="1573"/>
        <w:gridCol w:w="1570"/>
      </w:tblGrid>
      <w:tr>
        <w:trPr>
          <w:trHeight w:val="401" w:hRule="exact"/>
        </w:trPr>
        <w:tc>
          <w:tcPr>
            <w:tcW w:w="3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3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4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8,678,252.48</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65,292,771.68</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58,759,104.09</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15,211,920.07</w:t>
            </w:r>
          </w:p>
        </w:tc>
      </w:tr>
      <w:tr>
        <w:trPr>
          <w:trHeight w:val="401" w:hRule="exact"/>
        </w:trPr>
        <w:tc>
          <w:tcPr>
            <w:tcW w:w="3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4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27,159.26</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4,064,106.09</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3,767,674.96</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323,590.39</w:t>
            </w:r>
          </w:p>
        </w:tc>
      </w:tr>
      <w:tr>
        <w:trPr>
          <w:trHeight w:val="403" w:hRule="exact"/>
        </w:trPr>
        <w:tc>
          <w:tcPr>
            <w:tcW w:w="3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8,705,411.74</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69,356,877.77</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62,526,779.05</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15,535,510.46</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3383"/>
        <w:gridCol w:w="1486"/>
        <w:gridCol w:w="1608"/>
        <w:gridCol w:w="1606"/>
        <w:gridCol w:w="1603"/>
      </w:tblGrid>
      <w:tr>
        <w:trPr>
          <w:trHeight w:val="403" w:hRule="exact"/>
        </w:trPr>
        <w:tc>
          <w:tcPr>
            <w:tcW w:w="3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3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4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8,576,648.24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57,890,780.40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51,612,390.40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14,855,038.24</w:t>
            </w:r>
          </w:p>
        </w:tc>
      </w:tr>
      <w:tr>
        <w:trPr>
          <w:trHeight w:val="404" w:hRule="exact"/>
        </w:trPr>
        <w:tc>
          <w:tcPr>
            <w:tcW w:w="3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4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2,841,190.05</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2,841,190.05</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3393"/>
        <w:gridCol w:w="1486"/>
        <w:gridCol w:w="1608"/>
        <w:gridCol w:w="1606"/>
        <w:gridCol w:w="1603"/>
      </w:tblGrid>
      <w:tr>
        <w:trPr>
          <w:trHeight w:val="401" w:hRule="exact"/>
        </w:trPr>
        <w:tc>
          <w:tcPr>
            <w:tcW w:w="3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4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15,400.44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1,241,105.22</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1,174,220.13</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82,285.53</w:t>
            </w:r>
          </w:p>
        </w:tc>
      </w:tr>
      <w:tr>
        <w:trPr>
          <w:trHeight w:val="403" w:hRule="exact"/>
        </w:trPr>
        <w:tc>
          <w:tcPr>
            <w:tcW w:w="3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4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14,000.40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911,205.80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867,996.42</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57,209.78</w:t>
            </w:r>
          </w:p>
        </w:tc>
      </w:tr>
      <w:tr>
        <w:trPr>
          <w:trHeight w:val="401" w:hRule="exact"/>
        </w:trPr>
        <w:tc>
          <w:tcPr>
            <w:tcW w:w="3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4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176,321.04</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163,139.19</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13,461.85</w:t>
            </w:r>
          </w:p>
        </w:tc>
      </w:tr>
      <w:tr>
        <w:trPr>
          <w:trHeight w:val="403" w:hRule="exact"/>
        </w:trPr>
        <w:tc>
          <w:tcPr>
            <w:tcW w:w="3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4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1,120.04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153,578.38</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143,084.52</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11,613.90</w:t>
            </w:r>
          </w:p>
        </w:tc>
      </w:tr>
      <w:tr>
        <w:trPr>
          <w:trHeight w:val="401" w:hRule="exact"/>
        </w:trPr>
        <w:tc>
          <w:tcPr>
            <w:tcW w:w="3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4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2,164,513.15</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2,014,741.76</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149,771.39</w:t>
            </w:r>
          </w:p>
        </w:tc>
      </w:tr>
      <w:tr>
        <w:trPr>
          <w:trHeight w:val="403" w:hRule="exact"/>
        </w:trPr>
        <w:tc>
          <w:tcPr>
            <w:tcW w:w="3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4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86,203.80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951,613.60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912,992.49</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124,824.91</w:t>
            </w:r>
          </w:p>
        </w:tc>
      </w:tr>
      <w:tr>
        <w:trPr>
          <w:trHeight w:val="401" w:hRule="exact"/>
        </w:trPr>
        <w:tc>
          <w:tcPr>
            <w:tcW w:w="3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203,569.26</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203,569.26</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8,678,252.48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65,292,771.68</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58,759,104.09</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15,211,920.07</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26,061.92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3,927,214.84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3,640,538.97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312,737.79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1,097.34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136,891.25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127,135.99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10,852.60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27,159.26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4,064,106.09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3,767,674.96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323,590.39</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25</w:t>
      </w:r>
      <w:r>
        <w:rPr/>
        <w:t>、应交税费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6"/>
        <w:gridCol w:w="3192"/>
        <w:gridCol w:w="3190"/>
      </w:tblGrid>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11,231,177.23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5,947,512.41</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6,455,153.81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2,243.27</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965,722.36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809,822.13</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746,657.60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363,311.50</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692,804.59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257,907.30</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410,390.55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220,711.36</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46,882.97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57,540.53</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2,175,412.51</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4,955.90</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20,548,789.11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9,839,416.91</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26</w:t>
      </w:r>
      <w:r>
        <w:rPr/>
        <w:t>、应付利息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7"/>
        <w:gridCol w:w="3191"/>
        <w:gridCol w:w="3190"/>
      </w:tblGrid>
      <w:tr>
        <w:trPr>
          <w:trHeight w:val="401"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94,929.22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68,404.96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94,929.22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68,404.96</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27</w:t>
      </w:r>
      <w:r>
        <w:rPr/>
        <w:t>、其他应付款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311,492.00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员工往来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3,745,474.59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974,743.27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21,305,331.29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16,143,162.53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407,519,462.80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463,253,424.80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3,646,840.09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596,037.73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968,289.58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194,245.47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749,993.49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81,531.43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157,802.57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373,634.96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440,343,194.41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481,928,272.19</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429"/>
        <w:gridCol w:w="1709"/>
        <w:gridCol w:w="5559"/>
      </w:tblGrid>
      <w:tr>
        <w:trPr>
          <w:trHeight w:val="401" w:hRule="exact"/>
        </w:trPr>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407,519,462.80</w:t>
            </w:r>
          </w:p>
        </w:tc>
        <w:tc>
          <w:tcPr>
            <w:tcW w:w="5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系员工股权激励限制性股票回购义务未解除所致</w:t>
            </w:r>
          </w:p>
        </w:tc>
      </w:tr>
      <w:tr>
        <w:trPr>
          <w:trHeight w:val="401" w:hRule="exact"/>
        </w:trPr>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407,519,462.80</w:t>
            </w:r>
          </w:p>
        </w:tc>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28</w:t>
      </w:r>
      <w:r>
        <w:rPr/>
        <w:t>、一年内到期的非流动负债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547,788,574.59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547,788,574.59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3294"/>
        <w:jc w:val="left"/>
      </w:pPr>
      <w:r>
        <w:rPr/>
        <w:t>其他说明： 收购哆可梦股权，按重组协议约定，在</w:t>
      </w:r>
      <w:r>
        <w:rPr>
          <w:rFonts w:ascii="Times New Roman" w:hAnsi="Times New Roman" w:cs="Times New Roman" w:eastAsia="Times New Roman" w:hint="default"/>
        </w:rPr>
        <w:t>2018</w:t>
      </w:r>
      <w:r>
        <w:rPr/>
        <w:t>年需向交易对手方支付的股权受让款。</w:t>
      </w:r>
    </w:p>
    <w:p>
      <w:pPr>
        <w:spacing w:line="240" w:lineRule="auto" w:before="5"/>
        <w:rPr>
          <w:rFonts w:ascii="宋体" w:hAnsi="宋体" w:cs="宋体" w:eastAsia="宋体" w:hint="default"/>
          <w:sz w:val="18"/>
          <w:szCs w:val="18"/>
        </w:rPr>
      </w:pPr>
    </w:p>
    <w:p>
      <w:pPr>
        <w:pStyle w:val="Heading3"/>
        <w:spacing w:line="240" w:lineRule="auto"/>
        <w:ind w:right="153"/>
        <w:jc w:val="left"/>
        <w:rPr>
          <w:b w:val="0"/>
          <w:bCs w:val="0"/>
        </w:rPr>
      </w:pPr>
      <w:r>
        <w:rPr>
          <w:rFonts w:ascii="Times New Roman" w:hAnsi="Times New Roman" w:cs="Times New Roman" w:eastAsia="Times New Roman" w:hint="default"/>
        </w:rPr>
        <w:t>29</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成都哆可梦股权受让款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5" w:right="0"/>
              <w:jc w:val="left"/>
              <w:rPr>
                <w:rFonts w:ascii="Times New Roman" w:hAnsi="Times New Roman" w:cs="Times New Roman" w:eastAsia="Times New Roman" w:hint="default"/>
                <w:sz w:val="18"/>
                <w:szCs w:val="18"/>
              </w:rPr>
            </w:pPr>
            <w:r>
              <w:rPr>
                <w:rFonts w:ascii="Times New Roman"/>
                <w:sz w:val="18"/>
              </w:rPr>
              <w:t>520,461,455.17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53"/>
        <w:jc w:val="left"/>
      </w:pPr>
      <w:r>
        <w:rPr/>
        <w:t>其他说明：</w:t>
      </w:r>
    </w:p>
    <w:p>
      <w:pPr>
        <w:pStyle w:val="BodyText"/>
        <w:spacing w:line="240" w:lineRule="auto" w:before="115"/>
        <w:ind w:right="153"/>
        <w:jc w:val="left"/>
      </w:pPr>
      <w:r>
        <w:rPr/>
        <w:t>收购哆可梦股权，按重组协议约定，在</w:t>
      </w:r>
      <w:r>
        <w:rPr>
          <w:rFonts w:ascii="Times New Roman" w:hAnsi="Times New Roman" w:cs="Times New Roman" w:eastAsia="Times New Roman" w:hint="default"/>
        </w:rPr>
        <w:t>2019-2020</w:t>
      </w:r>
      <w:r>
        <w:rPr/>
        <w:t>年需向交易对手方支付的股权受让款。</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30</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730"/>
        <w:gridCol w:w="1474"/>
        <w:gridCol w:w="1472"/>
        <w:gridCol w:w="1274"/>
        <w:gridCol w:w="1606"/>
        <w:gridCol w:w="1142"/>
      </w:tblGrid>
      <w:tr>
        <w:trPr>
          <w:trHeight w:val="401" w:hRule="exact"/>
        </w:trPr>
        <w:tc>
          <w:tcPr>
            <w:tcW w:w="2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4" w:hRule="exact"/>
        </w:trPr>
        <w:tc>
          <w:tcPr>
            <w:tcW w:w="2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4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1,850,517.87</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204,034.20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1,746,483.67</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未消耗金币（哆可梦）</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9,233,896.82</w:t>
            </w:r>
          </w:p>
        </w:tc>
        <w:tc>
          <w:tcPr>
            <w:tcW w:w="1274"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9,233,896.82</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1,850,517.87</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9,333,896.82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204,034.20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10,980,380.49</w:t>
            </w:r>
          </w:p>
        </w:tc>
        <w:tc>
          <w:tcPr>
            <w:tcW w:w="1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53"/>
        <w:jc w:val="left"/>
      </w:pPr>
      <w:r>
        <w:rPr/>
        <w:t>涉及政府补助的项目：</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745"/>
        <w:gridCol w:w="1001"/>
        <w:gridCol w:w="1130"/>
        <w:gridCol w:w="1356"/>
        <w:gridCol w:w="994"/>
        <w:gridCol w:w="991"/>
        <w:gridCol w:w="542"/>
        <w:gridCol w:w="1001"/>
        <w:gridCol w:w="936"/>
      </w:tblGrid>
      <w:tr>
        <w:trPr>
          <w:trHeight w:val="1025" w:hRule="exact"/>
        </w:trPr>
        <w:tc>
          <w:tcPr>
            <w:tcW w:w="1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06"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90" w:right="108"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14" w:right="41" w:hanging="272"/>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 w:right="41"/>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 w:right="38"/>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8" w:right="83"/>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76" w:right="77" w:firstLine="2"/>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716"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9"/>
              <w:jc w:val="left"/>
              <w:rPr>
                <w:rFonts w:ascii="宋体" w:hAnsi="宋体" w:cs="宋体" w:eastAsia="宋体" w:hint="default"/>
                <w:sz w:val="18"/>
                <w:szCs w:val="18"/>
              </w:rPr>
            </w:pPr>
            <w:r>
              <w:rPr>
                <w:rFonts w:ascii="宋体" w:hAnsi="宋体" w:cs="宋体" w:eastAsia="宋体" w:hint="default"/>
                <w:sz w:val="18"/>
                <w:szCs w:val="18"/>
              </w:rPr>
              <w:t>产学研合作项目资助 资金</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0"/>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025"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89"/>
              <w:jc w:val="left"/>
              <w:rPr>
                <w:rFonts w:ascii="宋体" w:hAnsi="宋体" w:cs="宋体" w:eastAsia="宋体" w:hint="default"/>
                <w:sz w:val="18"/>
                <w:szCs w:val="18"/>
              </w:rPr>
            </w:pPr>
            <w:r>
              <w:rPr>
                <w:rFonts w:ascii="宋体" w:hAnsi="宋体" w:cs="宋体" w:eastAsia="宋体" w:hint="default"/>
                <w:sz w:val="18"/>
                <w:szCs w:val="18"/>
              </w:rPr>
              <w:t>高性能聚酰亚胺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打印耗材的制备与应 用开发</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1,400,517.87</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199,034.20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1,201,483.67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80"/>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715"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电动中巴车补贴资金</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95,000.00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0"/>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403" w:hRule="exact"/>
        </w:trPr>
        <w:tc>
          <w:tcPr>
            <w:tcW w:w="1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1,850,517.87</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204,034.20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1,746,483.67</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53"/>
        <w:jc w:val="left"/>
      </w:pPr>
      <w:r>
        <w:rPr/>
        <w:t>其他说明：</w:t>
      </w:r>
    </w:p>
    <w:p>
      <w:pPr>
        <w:pStyle w:val="BodyText"/>
        <w:spacing w:line="300" w:lineRule="auto" w:before="115"/>
        <w:ind w:right="194" w:firstLine="360"/>
        <w:jc w:val="left"/>
      </w:pPr>
      <w:r>
        <w:rPr/>
        <w:t>本期减少的递延收益高性能聚酰亚胺</w:t>
      </w:r>
      <w:r>
        <w:rPr>
          <w:rFonts w:ascii="Times New Roman" w:hAnsi="Times New Roman" w:cs="Times New Roman" w:eastAsia="Times New Roman" w:hint="default"/>
        </w:rPr>
        <w:t>3D</w:t>
      </w:r>
      <w:r>
        <w:rPr/>
        <w:t>打印耗材的制备与应用开发项目，在</w:t>
      </w:r>
      <w:r>
        <w:rPr>
          <w:rFonts w:ascii="Times New Roman" w:hAnsi="Times New Roman" w:cs="Times New Roman" w:eastAsia="Times New Roman" w:hint="default"/>
        </w:rPr>
        <w:t>2013</w:t>
      </w:r>
      <w:r>
        <w:rPr/>
        <w:t>年度获得深圳市发展和改革委员会资 金补助</w:t>
      </w:r>
      <w:r>
        <w:rPr>
          <w:rFonts w:ascii="Times New Roman" w:hAnsi="Times New Roman" w:cs="Times New Roman" w:eastAsia="Times New Roman" w:hint="default"/>
        </w:rPr>
        <w:t>150</w:t>
      </w:r>
      <w:r>
        <w:rPr/>
        <w:t>万元，在</w:t>
      </w:r>
      <w:r>
        <w:rPr>
          <w:rFonts w:ascii="Times New Roman" w:hAnsi="Times New Roman" w:cs="Times New Roman" w:eastAsia="Times New Roman" w:hint="default"/>
        </w:rPr>
        <w:t>2016</w:t>
      </w:r>
      <w:r>
        <w:rPr/>
        <w:t>年度验收完成，公司按与资产相关的政府补助政策计入营业外收入。</w:t>
      </w:r>
    </w:p>
    <w:p>
      <w:pPr>
        <w:pStyle w:val="BodyText"/>
        <w:spacing w:line="300" w:lineRule="auto" w:before="13"/>
        <w:ind w:right="144" w:firstLine="360"/>
        <w:jc w:val="left"/>
      </w:pPr>
      <w:r>
        <w:rPr/>
        <w:t>本期减少的递延收益电动中巴补贴资金系在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月购入的纯电动中巴车地方补贴款</w:t>
      </w:r>
      <w:r>
        <w:rPr>
          <w:rFonts w:ascii="Times New Roman" w:hAnsi="Times New Roman" w:cs="Times New Roman" w:eastAsia="Times New Roman" w:hint="default"/>
        </w:rPr>
        <w:t>10</w:t>
      </w:r>
      <w:r>
        <w:rPr/>
        <w:t>万元，公司按与资产相关的政 府补助政策计入营业外收入。</w:t>
      </w:r>
    </w:p>
    <w:p>
      <w:pPr>
        <w:spacing w:line="240" w:lineRule="auto" w:before="10"/>
        <w:rPr>
          <w:rFonts w:ascii="宋体" w:hAnsi="宋体" w:cs="宋体" w:eastAsia="宋体" w:hint="default"/>
          <w:sz w:val="23"/>
          <w:szCs w:val="23"/>
        </w:rPr>
      </w:pPr>
    </w:p>
    <w:p>
      <w:pPr>
        <w:pStyle w:val="Heading3"/>
        <w:spacing w:line="240" w:lineRule="auto"/>
        <w:ind w:right="153"/>
        <w:jc w:val="left"/>
        <w:rPr>
          <w:b w:val="0"/>
          <w:bCs w:val="0"/>
        </w:rPr>
      </w:pPr>
      <w:r>
        <w:rPr>
          <w:rFonts w:ascii="Times New Roman" w:hAnsi="Times New Roman" w:cs="Times New Roman" w:eastAsia="Times New Roman" w:hint="default"/>
        </w:rPr>
        <w:t>31</w:t>
      </w:r>
      <w:r>
        <w:rPr/>
        <w:t>、股本</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10"/>
        <w:gridCol w:w="1184"/>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7"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825,744,768.00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3" w:right="0"/>
              <w:jc w:val="left"/>
              <w:rPr>
                <w:rFonts w:ascii="Times New Roman" w:hAnsi="Times New Roman" w:cs="Times New Roman" w:eastAsia="Times New Roman" w:hint="default"/>
                <w:sz w:val="18"/>
                <w:szCs w:val="18"/>
              </w:rPr>
            </w:pPr>
            <w:r>
              <w:rPr>
                <w:rFonts w:ascii="Times New Roman"/>
                <w:sz w:val="18"/>
              </w:rPr>
              <w:t>1,110,000.00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-6,265,000.00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-5,155,000.00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820,589,768.00</w:t>
            </w:r>
          </w:p>
        </w:tc>
      </w:tr>
    </w:tbl>
    <w:p>
      <w:pPr>
        <w:pStyle w:val="BodyText"/>
        <w:spacing w:line="240" w:lineRule="auto" w:before="49"/>
        <w:ind w:right="153"/>
        <w:jc w:val="left"/>
      </w:pPr>
      <w:r>
        <w:rPr/>
        <w:t>其他说明：</w:t>
      </w:r>
    </w:p>
    <w:p>
      <w:pPr>
        <w:pStyle w:val="BodyText"/>
        <w:spacing w:line="240" w:lineRule="auto" w:before="115"/>
        <w:ind w:left="513"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18</w:t>
      </w:r>
      <w:r>
        <w:rPr/>
        <w:t>日，公司董事会完成了</w:t>
      </w:r>
      <w:r>
        <w:rPr>
          <w:rFonts w:ascii="Times New Roman" w:hAnsi="Times New Roman" w:cs="Times New Roman" w:eastAsia="Times New Roman" w:hint="default"/>
        </w:rPr>
        <w:t>2015</w:t>
      </w:r>
      <w:r>
        <w:rPr/>
        <w:t>年第二期股权激励计划首次授予的股票期权第一个行权期</w:t>
      </w:r>
    </w:p>
    <w:p>
      <w:pPr>
        <w:spacing w:after="0" w:line="240" w:lineRule="auto"/>
        <w:jc w:val="left"/>
        <w:sectPr>
          <w:pgSz w:w="11910" w:h="16840"/>
          <w:pgMar w:header="0" w:footer="979" w:top="1100" w:bottom="1160" w:left="980" w:right="980"/>
        </w:sectPr>
      </w:pPr>
    </w:p>
    <w:p>
      <w:pPr>
        <w:spacing w:line="240" w:lineRule="auto" w:before="11"/>
        <w:rPr>
          <w:rFonts w:ascii="宋体" w:hAnsi="宋体" w:cs="宋体" w:eastAsia="宋体" w:hint="default"/>
          <w:sz w:val="21"/>
          <w:szCs w:val="21"/>
        </w:rPr>
      </w:pPr>
    </w:p>
    <w:p>
      <w:pPr>
        <w:pStyle w:val="BodyText"/>
        <w:spacing w:line="300" w:lineRule="auto" w:before="44"/>
        <w:ind w:right="148"/>
        <w:jc w:val="both"/>
      </w:pPr>
      <w:r>
        <w:rPr/>
        <w:t>自主行权登记工作，自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21</w:t>
      </w:r>
      <w:r>
        <w:rPr/>
        <w:t>日起</w:t>
      </w:r>
      <w:r>
        <w:rPr>
          <w:rFonts w:ascii="Times New Roman" w:hAnsi="Times New Roman" w:cs="Times New Roman" w:eastAsia="Times New Roman" w:hint="default"/>
        </w:rPr>
        <w:t>10</w:t>
      </w:r>
      <w:r>
        <w:rPr/>
        <w:t>名激励对象共计</w:t>
      </w:r>
      <w:r>
        <w:rPr>
          <w:rFonts w:ascii="Times New Roman" w:hAnsi="Times New Roman" w:cs="Times New Roman" w:eastAsia="Times New Roman" w:hint="default"/>
        </w:rPr>
        <w:t>195</w:t>
      </w:r>
      <w:r>
        <w:rPr/>
        <w:t>万份股票期权自主行权事宜可实施，截止</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日共</w:t>
      </w:r>
      <w:r>
        <w:rPr>
          <w:spacing w:val="-87"/>
        </w:rPr>
        <w:t> </w:t>
      </w:r>
      <w:r>
        <w:rPr>
          <w:spacing w:val="-2"/>
        </w:rPr>
        <w:t>计</w:t>
      </w:r>
      <w:r>
        <w:rPr>
          <w:rFonts w:ascii="Times New Roman" w:hAnsi="Times New Roman" w:cs="Times New Roman" w:eastAsia="Times New Roman" w:hint="default"/>
          <w:spacing w:val="-2"/>
        </w:rPr>
        <w:t>84</w:t>
      </w:r>
      <w:r>
        <w:rPr>
          <w:spacing w:val="-2"/>
        </w:rPr>
        <w:t>万份期权行权完毕，公司总股本变更为</w:t>
      </w:r>
      <w:r>
        <w:rPr>
          <w:rFonts w:ascii="Times New Roman" w:hAnsi="Times New Roman" w:cs="Times New Roman" w:eastAsia="Times New Roman" w:hint="default"/>
          <w:spacing w:val="-2"/>
        </w:rPr>
        <w:t>825,744,768</w:t>
      </w:r>
      <w:r>
        <w:rPr>
          <w:spacing w:val="-2"/>
        </w:rPr>
        <w:t>股；截止</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18</w:t>
      </w:r>
      <w:r>
        <w:rPr>
          <w:spacing w:val="-2"/>
        </w:rPr>
        <w:t>日剩余</w:t>
      </w:r>
      <w:r>
        <w:rPr>
          <w:rFonts w:ascii="Times New Roman" w:hAnsi="Times New Roman" w:cs="Times New Roman" w:eastAsia="Times New Roman" w:hint="default"/>
          <w:spacing w:val="-2"/>
        </w:rPr>
        <w:t>111</w:t>
      </w:r>
      <w:r>
        <w:rPr>
          <w:spacing w:val="-2"/>
        </w:rPr>
        <w:t>万份股票期权行权完毕，公司股份总</w:t>
      </w:r>
      <w:r>
        <w:rPr>
          <w:spacing w:val="-48"/>
        </w:rPr>
        <w:t> </w:t>
      </w:r>
      <w:r>
        <w:rPr>
          <w:spacing w:val="-48"/>
        </w:rPr>
      </w:r>
      <w:r>
        <w:rPr/>
        <w:t>数由</w:t>
      </w:r>
      <w:r>
        <w:rPr>
          <w:rFonts w:ascii="Times New Roman" w:hAnsi="Times New Roman" w:cs="Times New Roman" w:eastAsia="Times New Roman" w:hint="default"/>
        </w:rPr>
        <w:t>825,744,768</w:t>
      </w:r>
      <w:r>
        <w:rPr/>
        <w:t>股变更为</w:t>
      </w:r>
      <w:r>
        <w:rPr>
          <w:rFonts w:ascii="Times New Roman" w:hAnsi="Times New Roman" w:cs="Times New Roman" w:eastAsia="Times New Roman" w:hint="default"/>
        </w:rPr>
        <w:t>826,854,768</w:t>
      </w:r>
      <w:r>
        <w:rPr/>
        <w:t>股。上述股份增加已经上会会计师事务所（特殊普通合伙）于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17</w:t>
      </w:r>
      <w:r>
        <w:rPr/>
        <w:t>日出具上会 师报字（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0522</w:t>
      </w:r>
      <w:r>
        <w:rPr/>
        <w:t>号验资报告验证确认。</w:t>
      </w:r>
    </w:p>
    <w:p>
      <w:pPr>
        <w:pStyle w:val="BodyText"/>
        <w:spacing w:line="300" w:lineRule="auto" w:before="13"/>
        <w:ind w:right="149" w:firstLine="360"/>
        <w:jc w:val="both"/>
      </w:pPr>
      <w:r>
        <w:rPr>
          <w:rFonts w:ascii="Times New Roman" w:hAnsi="Times New Roman" w:cs="Times New Roman" w:eastAsia="Times New Roman" w:hint="default"/>
          <w:spacing w:val="-2"/>
        </w:rPr>
        <w:t>2</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18</w:t>
      </w:r>
      <w:r>
        <w:rPr>
          <w:spacing w:val="-2"/>
        </w:rPr>
        <w:t>日召开第五届董事会第四十一次会议审议通过了《关于回购注销</w:t>
      </w:r>
      <w:r>
        <w:rPr>
          <w:rFonts w:ascii="Times New Roman" w:hAnsi="Times New Roman" w:cs="Times New Roman" w:eastAsia="Times New Roman" w:hint="default"/>
          <w:spacing w:val="-2"/>
        </w:rPr>
        <w:t>2015</w:t>
      </w:r>
      <w:r>
        <w:rPr>
          <w:spacing w:val="-2"/>
        </w:rPr>
        <w:t>年两期股权激励计划部分限</w:t>
      </w:r>
      <w:r>
        <w:rPr/>
        <w:t> </w:t>
      </w:r>
      <w:r>
        <w:rPr>
          <w:spacing w:val="-2"/>
        </w:rPr>
        <w:t>制性股票和股票期权的议案》，鉴于公司</w:t>
      </w:r>
      <w:r>
        <w:rPr>
          <w:rFonts w:ascii="Times New Roman" w:hAnsi="Times New Roman" w:cs="Times New Roman" w:eastAsia="Times New Roman" w:hint="default"/>
          <w:spacing w:val="-2"/>
        </w:rPr>
        <w:t>2015</w:t>
      </w:r>
      <w:r>
        <w:rPr>
          <w:spacing w:val="-2"/>
        </w:rPr>
        <w:t>年两期股权激励计划授予的激励对象纪晓文先生近日离职，不再满足成为激励</w:t>
      </w:r>
      <w:r>
        <w:rPr>
          <w:spacing w:val="-60"/>
        </w:rPr>
        <w:t> </w:t>
      </w:r>
      <w:r>
        <w:rPr>
          <w:spacing w:val="-60"/>
        </w:rPr>
      </w:r>
      <w:r>
        <w:rPr>
          <w:spacing w:val="-2"/>
        </w:rPr>
        <w:t>对象的条件，根据公司</w:t>
      </w:r>
      <w:r>
        <w:rPr>
          <w:rFonts w:ascii="Times New Roman" w:hAnsi="Times New Roman" w:cs="Times New Roman" w:eastAsia="Times New Roman" w:hint="default"/>
          <w:spacing w:val="-2"/>
        </w:rPr>
        <w:t>2015</w:t>
      </w:r>
      <w:r>
        <w:rPr>
          <w:spacing w:val="-2"/>
        </w:rPr>
        <w:t>年两期股权激励计划的相关规定和股东大会的授权，公司董事会同意回购注销纪晓文先生已获授</w:t>
      </w:r>
      <w:r>
        <w:rPr>
          <w:spacing w:val="-62"/>
        </w:rPr>
        <w:t> </w:t>
      </w:r>
      <w:r>
        <w:rPr>
          <w:spacing w:val="-62"/>
        </w:rPr>
      </w:r>
      <w:r>
        <w:rPr/>
        <w:t>未解锁的</w:t>
      </w:r>
      <w:r>
        <w:rPr>
          <w:rFonts w:ascii="Times New Roman" w:hAnsi="Times New Roman" w:cs="Times New Roman" w:eastAsia="Times New Roman" w:hint="default"/>
        </w:rPr>
        <w:t>626.5</w:t>
      </w:r>
      <w:r>
        <w:rPr/>
        <w:t>万股限制性股票并注销纪晓文先生已获授未行权的</w:t>
      </w:r>
      <w:r>
        <w:rPr>
          <w:rFonts w:ascii="Times New Roman" w:hAnsi="Times New Roman" w:cs="Times New Roman" w:eastAsia="Times New Roman" w:hint="default"/>
        </w:rPr>
        <w:t>129.5</w:t>
      </w:r>
      <w:r>
        <w:rPr/>
        <w:t>万份股票期权，公司本次部分限制性股票回购注销和</w:t>
      </w:r>
      <w:r>
        <w:rPr>
          <w:spacing w:val="-83"/>
        </w:rPr>
        <w:t> </w:t>
      </w:r>
      <w:r>
        <w:rPr>
          <w:spacing w:val="-83"/>
        </w:rPr>
      </w:r>
      <w:r>
        <w:rPr>
          <w:spacing w:val="-2"/>
        </w:rPr>
        <w:t>股票期权注销事宜已于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5</w:t>
      </w:r>
      <w:r>
        <w:rPr>
          <w:spacing w:val="-2"/>
        </w:rPr>
        <w:t>日办理完成，公司股份总数由</w:t>
      </w:r>
      <w:r>
        <w:rPr>
          <w:rFonts w:ascii="Times New Roman" w:hAnsi="Times New Roman" w:cs="Times New Roman" w:eastAsia="Times New Roman" w:hint="default"/>
          <w:spacing w:val="-2"/>
        </w:rPr>
        <w:t>826,854,768</w:t>
      </w:r>
      <w:r>
        <w:rPr>
          <w:spacing w:val="-2"/>
        </w:rPr>
        <w:t>股变更为</w:t>
      </w:r>
      <w:r>
        <w:rPr>
          <w:rFonts w:ascii="Times New Roman" w:hAnsi="Times New Roman" w:cs="Times New Roman" w:eastAsia="Times New Roman" w:hint="default"/>
          <w:spacing w:val="-2"/>
        </w:rPr>
        <w:t>820,589,768</w:t>
      </w:r>
      <w:r>
        <w:rPr>
          <w:spacing w:val="-2"/>
        </w:rPr>
        <w:t>股。上述股份减少已经上会</w:t>
      </w:r>
      <w:r>
        <w:rPr>
          <w:spacing w:val="-43"/>
        </w:rPr>
        <w:t> </w:t>
      </w:r>
      <w:r>
        <w:rPr>
          <w:spacing w:val="-43"/>
        </w:rPr>
      </w:r>
      <w:r>
        <w:rPr/>
        <w:t>会计师事务所（特殊普通合伙）于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日出具上会师报字（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1331</w:t>
      </w:r>
      <w:r>
        <w:rPr/>
        <w:t>号验资报告验资确认。</w:t>
      </w:r>
    </w:p>
    <w:p>
      <w:pPr>
        <w:spacing w:line="240" w:lineRule="auto" w:before="5"/>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32</w:t>
      </w:r>
      <w:r>
        <w:rPr/>
        <w:t>、资本公积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416,081,039.13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19,592,403.44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28,707,414.05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406,966,028.52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43,322,661.38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43,238,439.94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10,434,307.15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76,126,794.17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459,403,700.51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62,830,843.38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39,141,721.20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483,092,822.69</w:t>
            </w:r>
          </w:p>
        </w:tc>
      </w:tr>
    </w:tbl>
    <w:p>
      <w:pPr>
        <w:pStyle w:val="BodyText"/>
        <w:spacing w:line="240" w:lineRule="auto" w:before="49"/>
        <w:ind w:right="153"/>
        <w:jc w:val="left"/>
      </w:pPr>
      <w:r>
        <w:rPr/>
        <w:t>其他说明，包括本期增减变动情况、变动原因说明：</w:t>
      </w:r>
    </w:p>
    <w:p>
      <w:pPr>
        <w:pStyle w:val="BodyText"/>
        <w:spacing w:line="300" w:lineRule="auto" w:before="117"/>
        <w:ind w:right="153" w:firstLine="360"/>
        <w:jc w:val="left"/>
      </w:pPr>
      <w:r>
        <w:rPr>
          <w:spacing w:val="-2"/>
        </w:rPr>
        <w:t>（</w:t>
      </w:r>
      <w:r>
        <w:rPr>
          <w:rFonts w:ascii="Times New Roman" w:hAnsi="Times New Roman" w:cs="Times New Roman" w:eastAsia="Times New Roman" w:hint="default"/>
          <w:spacing w:val="-2"/>
        </w:rPr>
        <w:t>1</w:t>
      </w:r>
      <w:r>
        <w:rPr>
          <w:spacing w:val="-2"/>
        </w:rPr>
        <w:t>）股本溢价本期增加</w:t>
      </w:r>
      <w:r>
        <w:rPr>
          <w:rFonts w:ascii="Times New Roman" w:hAnsi="Times New Roman" w:cs="Times New Roman" w:eastAsia="Times New Roman" w:hint="default"/>
          <w:spacing w:val="-2"/>
        </w:rPr>
        <w:t>19,592,403.44</w:t>
      </w:r>
      <w:r>
        <w:rPr>
          <w:spacing w:val="-2"/>
        </w:rPr>
        <w:t>元：其中因股权激励行权或解锁从其他资本公积转入</w:t>
      </w:r>
      <w:r>
        <w:rPr>
          <w:rFonts w:ascii="Times New Roman" w:hAnsi="Times New Roman" w:cs="Times New Roman" w:eastAsia="Times New Roman" w:hint="default"/>
          <w:spacing w:val="-2"/>
        </w:rPr>
        <w:t>10,434,307.15</w:t>
      </w:r>
      <w:r>
        <w:rPr>
          <w:spacing w:val="-2"/>
        </w:rPr>
        <w:t>元；因公司</w:t>
      </w:r>
      <w:r>
        <w:rPr>
          <w:rFonts w:ascii="Times New Roman" w:hAnsi="Times New Roman" w:cs="Times New Roman" w:eastAsia="Times New Roman" w:hint="default"/>
          <w:spacing w:val="-2"/>
        </w:rPr>
        <w:t>2015</w:t>
      </w:r>
      <w:r>
        <w:rPr>
          <w:rFonts w:ascii="Times New Roman" w:hAnsi="Times New Roman" w:cs="Times New Roman" w:eastAsia="Times New Roman" w:hint="default"/>
        </w:rPr>
        <w:t> </w:t>
      </w:r>
      <w:r>
        <w:rPr/>
        <w:t>年第二期股权激励计划部分授予对象截止本年末已自主行权完成股份登记增加股本溢价</w:t>
      </w:r>
      <w:r>
        <w:rPr>
          <w:rFonts w:ascii="Times New Roman" w:hAnsi="Times New Roman" w:cs="Times New Roman" w:eastAsia="Times New Roman" w:hint="default"/>
        </w:rPr>
        <w:t>9,158,096.29</w:t>
      </w:r>
      <w:r>
        <w:rPr/>
        <w:t>元。本期减少 </w:t>
      </w:r>
      <w:r>
        <w:rPr>
          <w:rFonts w:ascii="Times New Roman" w:hAnsi="Times New Roman" w:cs="Times New Roman" w:eastAsia="Times New Roman" w:hint="default"/>
        </w:rPr>
        <w:t>28,707,414.05</w:t>
      </w:r>
      <w:r>
        <w:rPr/>
        <w:t>元，系回购纪晓文</w:t>
      </w:r>
      <w:r>
        <w:rPr>
          <w:rFonts w:ascii="宋体" w:hAnsi="宋体" w:cs="宋体" w:eastAsia="宋体" w:hint="default"/>
        </w:rPr>
        <w:t>2015</w:t>
      </w:r>
      <w:r>
        <w:rPr/>
        <w:t>年两期股权激励计划已获授未解锁的限制性股票所致。</w:t>
      </w:r>
    </w:p>
    <w:p>
      <w:pPr>
        <w:pStyle w:val="BodyText"/>
        <w:spacing w:line="300" w:lineRule="auto" w:before="53"/>
        <w:ind w:right="149" w:firstLine="360"/>
        <w:jc w:val="both"/>
      </w:pPr>
      <w:r>
        <w:rPr/>
        <w:t>（</w:t>
      </w:r>
      <w:r>
        <w:rPr>
          <w:rFonts w:ascii="Times New Roman" w:hAnsi="Times New Roman" w:cs="Times New Roman" w:eastAsia="Times New Roman" w:hint="default"/>
        </w:rPr>
        <w:t>2</w:t>
      </w:r>
      <w:r>
        <w:rPr/>
        <w:t>）其他资本公积本期增加系股权激励确认期权费用所致。本期减少</w:t>
      </w:r>
      <w:r>
        <w:rPr>
          <w:rFonts w:ascii="Times New Roman" w:hAnsi="Times New Roman" w:cs="Times New Roman" w:eastAsia="Times New Roman" w:hint="default"/>
        </w:rPr>
        <w:t>10,434,307.15</w:t>
      </w:r>
      <w:r>
        <w:rPr/>
        <w:t>元：其中因公司</w:t>
      </w:r>
      <w:r>
        <w:rPr>
          <w:rFonts w:ascii="Times New Roman" w:hAnsi="Times New Roman" w:cs="Times New Roman" w:eastAsia="Times New Roman" w:hint="default"/>
        </w:rPr>
        <w:t>2015</w:t>
      </w:r>
      <w:r>
        <w:rPr/>
        <w:t>年第一期股权 </w:t>
      </w:r>
      <w:r>
        <w:rPr>
          <w:spacing w:val="3"/>
        </w:rPr>
        <w:t>激励计划部分限制性股票解锁转入股本溢价</w:t>
      </w:r>
      <w:r>
        <w:rPr>
          <w:rFonts w:ascii="Times New Roman" w:hAnsi="Times New Roman" w:cs="Times New Roman" w:eastAsia="Times New Roman" w:hint="default"/>
          <w:spacing w:val="3"/>
        </w:rPr>
        <w:t>6,596,900.00</w:t>
      </w:r>
      <w:r>
        <w:rPr>
          <w:spacing w:val="3"/>
        </w:rPr>
        <w:t>元，</w:t>
      </w:r>
      <w:r>
        <w:rPr>
          <w:rFonts w:ascii="Times New Roman" w:hAnsi="Times New Roman" w:cs="Times New Roman" w:eastAsia="Times New Roman" w:hint="default"/>
          <w:spacing w:val="3"/>
        </w:rPr>
        <w:t>2015</w:t>
      </w:r>
      <w:r>
        <w:rPr>
          <w:spacing w:val="3"/>
        </w:rPr>
        <w:t>年第二期股权激励计划部分股票期权行权转入股本溢价</w:t>
      </w:r>
      <w:r>
        <w:rPr>
          <w:spacing w:val="-74"/>
        </w:rPr>
        <w:t> </w:t>
      </w:r>
      <w:r>
        <w:rPr>
          <w:spacing w:val="-74"/>
        </w:rPr>
      </w:r>
      <w:r>
        <w:rPr>
          <w:rFonts w:ascii="Times New Roman" w:hAnsi="Times New Roman" w:cs="Times New Roman" w:eastAsia="Times New Roman" w:hint="default"/>
        </w:rPr>
        <w:t>3,837,407.15</w:t>
      </w:r>
      <w:r>
        <w:rPr/>
        <w:t>元。</w:t>
      </w:r>
    </w:p>
    <w:p>
      <w:pPr>
        <w:spacing w:line="240" w:lineRule="auto" w:before="4"/>
        <w:rPr>
          <w:rFonts w:ascii="宋体" w:hAnsi="宋体" w:cs="宋体" w:eastAsia="宋体" w:hint="default"/>
          <w:sz w:val="22"/>
          <w:szCs w:val="22"/>
        </w:rPr>
      </w:pPr>
    </w:p>
    <w:p>
      <w:pPr>
        <w:pStyle w:val="Heading3"/>
        <w:spacing w:line="240" w:lineRule="auto"/>
        <w:ind w:right="153"/>
        <w:jc w:val="left"/>
        <w:rPr>
          <w:b w:val="0"/>
          <w:bCs w:val="0"/>
        </w:rPr>
      </w:pPr>
      <w:r>
        <w:rPr>
          <w:rFonts w:ascii="Times New Roman" w:hAnsi="Times New Roman" w:cs="Times New Roman" w:eastAsia="Times New Roman" w:hint="default"/>
        </w:rPr>
        <w:t>33</w:t>
      </w:r>
      <w:r>
        <w:rPr/>
        <w:t>、库存股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股份回购义务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463,253,424.80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55,733,962.00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407,519,462.80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463,253,424.80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55,733,962.00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407,519,462.80</w:t>
            </w:r>
          </w:p>
        </w:tc>
      </w:tr>
    </w:tbl>
    <w:p>
      <w:pPr>
        <w:pStyle w:val="BodyText"/>
        <w:spacing w:line="240" w:lineRule="auto" w:before="49"/>
        <w:ind w:right="153"/>
        <w:jc w:val="left"/>
      </w:pPr>
      <w:r>
        <w:rPr/>
        <w:t>其他说明，包括本期增减变动情况、变动原因说明：</w:t>
      </w:r>
    </w:p>
    <w:p>
      <w:pPr>
        <w:pStyle w:val="BodyText"/>
        <w:spacing w:line="240" w:lineRule="auto" w:before="117"/>
        <w:ind w:left="513" w:right="15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rFonts w:ascii="Times New Roman" w:hAnsi="Times New Roman" w:cs="Times New Roman" w:eastAsia="Times New Roman" w:hint="default"/>
        </w:rPr>
        <w:t>2015</w:t>
      </w:r>
      <w:r>
        <w:rPr/>
        <w:t>年第一期股权激励计划部分限制性股票解锁导致本期减少股份回购义务</w:t>
      </w:r>
      <w:r>
        <w:rPr>
          <w:rFonts w:ascii="Times New Roman" w:hAnsi="Times New Roman" w:cs="Times New Roman" w:eastAsia="Times New Roman" w:hint="default"/>
        </w:rPr>
        <w:t>16,731,936.00</w:t>
      </w:r>
      <w:r>
        <w:rPr/>
        <w:t>元。</w:t>
      </w:r>
    </w:p>
    <w:p>
      <w:pPr>
        <w:pStyle w:val="BodyText"/>
        <w:spacing w:line="240" w:lineRule="auto" w:before="63"/>
        <w:ind w:left="513" w:right="15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2"/>
        </w:rPr>
        <w:t> </w:t>
      </w:r>
      <w:r>
        <w:rPr/>
        <w:t>因回购纪晓文</w:t>
      </w:r>
      <w:r>
        <w:rPr>
          <w:rFonts w:ascii="Times New Roman" w:hAnsi="Times New Roman" w:cs="Times New Roman" w:eastAsia="Times New Roman" w:hint="default"/>
        </w:rPr>
        <w:t>2015</w:t>
      </w:r>
      <w:r>
        <w:rPr/>
        <w:t>年两期股权激励计划已获授未解锁的限制性股票导致本期减少股份回购义务</w:t>
      </w:r>
      <w:r>
        <w:rPr>
          <w:rFonts w:ascii="Times New Roman" w:hAnsi="Times New Roman" w:cs="Times New Roman" w:eastAsia="Times New Roman" w:hint="default"/>
        </w:rPr>
        <w:t>39,002,026.00</w:t>
      </w:r>
      <w:r>
        <w:rPr/>
        <w:t>元。</w:t>
      </w:r>
    </w:p>
    <w:p>
      <w:pPr>
        <w:spacing w:after="0" w:line="240" w:lineRule="auto"/>
        <w:jc w:val="left"/>
        <w:sectPr>
          <w:pgSz w:w="11910" w:h="16840"/>
          <w:pgMar w:header="0" w:footer="979"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153"/>
        <w:jc w:val="left"/>
        <w:rPr>
          <w:b w:val="0"/>
          <w:bCs w:val="0"/>
        </w:rPr>
      </w:pPr>
      <w:r>
        <w:rPr>
          <w:rFonts w:ascii="Times New Roman" w:hAnsi="Times New Roman" w:cs="Times New Roman" w:eastAsia="Times New Roman" w:hint="default"/>
        </w:rPr>
        <w:t>34</w:t>
      </w:r>
      <w:r>
        <w:rPr/>
        <w:t>、其他综合收益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701"/>
        <w:gridCol w:w="1092"/>
        <w:gridCol w:w="1092"/>
        <w:gridCol w:w="1020"/>
        <w:gridCol w:w="866"/>
        <w:gridCol w:w="1093"/>
        <w:gridCol w:w="742"/>
        <w:gridCol w:w="1092"/>
      </w:tblGrid>
      <w:tr>
        <w:trPr>
          <w:trHeight w:val="398" w:hRule="exact"/>
        </w:trPr>
        <w:tc>
          <w:tcPr>
            <w:tcW w:w="2701" w:type="dxa"/>
            <w:vMerge w:val="restart"/>
            <w:tcBorders>
              <w:top w:val="single" w:sz="4" w:space="0" w:color="000000"/>
              <w:left w:val="single" w:sz="4" w:space="0" w:color="000000"/>
              <w:right w:val="single" w:sz="4" w:space="0" w:color="000000"/>
            </w:tcBorders>
            <w:shd w:val="clear" w:color="auto" w:fill="D2D2D2"/>
          </w:tcPr>
          <w:p>
            <w:pPr/>
          </w:p>
        </w:tc>
        <w:tc>
          <w:tcPr>
            <w:tcW w:w="1092" w:type="dxa"/>
            <w:vMerge w:val="restart"/>
            <w:tcBorders>
              <w:top w:val="single" w:sz="4" w:space="0" w:color="000000"/>
              <w:left w:val="single" w:sz="4" w:space="0" w:color="000000"/>
              <w:right w:val="single" w:sz="4" w:space="0" w:color="000000"/>
            </w:tcBorders>
            <w:shd w:val="clear" w:color="auto" w:fill="D2D2D2"/>
          </w:tcPr>
          <w:p>
            <w:pPr/>
          </w:p>
        </w:tc>
        <w:tc>
          <w:tcPr>
            <w:tcW w:w="481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092" w:type="dxa"/>
            <w:vMerge w:val="restart"/>
            <w:tcBorders>
              <w:top w:val="single" w:sz="4" w:space="0" w:color="000000"/>
              <w:left w:val="single" w:sz="4" w:space="0" w:color="000000"/>
              <w:right w:val="single" w:sz="4" w:space="0" w:color="000000"/>
            </w:tcBorders>
            <w:shd w:val="clear" w:color="auto" w:fill="D2D2D2"/>
          </w:tcPr>
          <w:p>
            <w:pPr/>
          </w:p>
        </w:tc>
      </w:tr>
      <w:tr>
        <w:trPr>
          <w:trHeight w:val="166" w:hRule="exact"/>
        </w:trPr>
        <w:tc>
          <w:tcPr>
            <w:tcW w:w="2701"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right w:val="single" w:sz="4" w:space="0" w:color="000000"/>
            </w:tcBorders>
            <w:shd w:val="clear" w:color="auto" w:fill="D2D2D2"/>
          </w:tcPr>
          <w:p>
            <w:pPr/>
          </w:p>
        </w:tc>
        <w:tc>
          <w:tcPr>
            <w:tcW w:w="1092" w:type="dxa"/>
            <w:vMerge w:val="restart"/>
            <w:tcBorders>
              <w:top w:val="single" w:sz="4" w:space="0" w:color="000000"/>
              <w:left w:val="single" w:sz="4" w:space="0" w:color="000000"/>
              <w:right w:val="single" w:sz="4" w:space="0" w:color="000000"/>
            </w:tcBorders>
            <w:shd w:val="clear" w:color="auto" w:fill="D2D2D2"/>
          </w:tcPr>
          <w:p>
            <w:pPr/>
          </w:p>
        </w:tc>
        <w:tc>
          <w:tcPr>
            <w:tcW w:w="102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55" w:right="53"/>
              <w:jc w:val="center"/>
              <w:rPr>
                <w:rFonts w:ascii="宋体" w:hAnsi="宋体" w:cs="宋体" w:eastAsia="宋体" w:hint="default"/>
                <w:sz w:val="18"/>
                <w:szCs w:val="18"/>
              </w:rPr>
            </w:pPr>
            <w:r>
              <w:rPr>
                <w:rFonts w:ascii="宋体" w:hAnsi="宋体" w:cs="宋体" w:eastAsia="宋体" w:hint="default"/>
                <w:sz w:val="18"/>
                <w:szCs w:val="18"/>
              </w:rPr>
              <w:t>减：前期计 入其他综合 收益当期转 入损益</w:t>
            </w:r>
          </w:p>
        </w:tc>
        <w:tc>
          <w:tcPr>
            <w:tcW w:w="866" w:type="dxa"/>
            <w:vMerge w:val="restart"/>
            <w:tcBorders>
              <w:top w:val="single" w:sz="4" w:space="0" w:color="000000"/>
              <w:left w:val="single" w:sz="4" w:space="0" w:color="000000"/>
              <w:right w:val="single" w:sz="4" w:space="0" w:color="000000"/>
            </w:tcBorders>
            <w:shd w:val="clear" w:color="auto" w:fill="D2D2D2"/>
          </w:tcPr>
          <w:p>
            <w:pPr/>
          </w:p>
        </w:tc>
        <w:tc>
          <w:tcPr>
            <w:tcW w:w="1093" w:type="dxa"/>
            <w:vMerge w:val="restart"/>
            <w:tcBorders>
              <w:top w:val="single" w:sz="4" w:space="0" w:color="000000"/>
              <w:left w:val="single" w:sz="4" w:space="0" w:color="000000"/>
              <w:right w:val="single" w:sz="4" w:space="0" w:color="000000"/>
            </w:tcBorders>
            <w:shd w:val="clear" w:color="auto" w:fill="D2D2D2"/>
          </w:tcPr>
          <w:p>
            <w:pPr/>
          </w:p>
        </w:tc>
        <w:tc>
          <w:tcPr>
            <w:tcW w:w="74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2" w:type="dxa"/>
            <w:vMerge/>
            <w:tcBorders>
              <w:left w:val="single" w:sz="4" w:space="0" w:color="000000"/>
              <w:right w:val="single" w:sz="4" w:space="0" w:color="000000"/>
            </w:tcBorders>
            <w:shd w:val="clear" w:color="auto" w:fill="D2D2D2"/>
          </w:tcPr>
          <w:p>
            <w:pPr/>
          </w:p>
        </w:tc>
      </w:tr>
      <w:tr>
        <w:trPr>
          <w:trHeight w:val="110" w:hRule="exact"/>
        </w:trPr>
        <w:tc>
          <w:tcPr>
            <w:tcW w:w="2701" w:type="dxa"/>
            <w:vMerge/>
            <w:tcBorders>
              <w:left w:val="single" w:sz="4" w:space="0" w:color="000000"/>
              <w:bottom w:val="nil" w:sz="6" w:space="0" w:color="auto"/>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1020" w:type="dxa"/>
            <w:vMerge/>
            <w:tcBorders>
              <w:left w:val="single" w:sz="4" w:space="0" w:color="000000"/>
              <w:right w:val="single" w:sz="4" w:space="0" w:color="000000"/>
            </w:tcBorders>
            <w:shd w:val="clear" w:color="auto" w:fill="D2D2D2"/>
          </w:tcPr>
          <w:p>
            <w:pPr/>
          </w:p>
        </w:tc>
        <w:tc>
          <w:tcPr>
            <w:tcW w:w="866" w:type="dxa"/>
            <w:vMerge/>
            <w:tcBorders>
              <w:left w:val="single" w:sz="4" w:space="0" w:color="000000"/>
              <w:bottom w:val="nil" w:sz="6" w:space="0" w:color="auto"/>
              <w:right w:val="single" w:sz="4" w:space="0" w:color="000000"/>
            </w:tcBorders>
            <w:shd w:val="clear" w:color="auto" w:fill="D2D2D2"/>
          </w:tcPr>
          <w:p>
            <w:pPr/>
          </w:p>
        </w:tc>
        <w:tc>
          <w:tcPr>
            <w:tcW w:w="1093" w:type="dxa"/>
            <w:vMerge/>
            <w:tcBorders>
              <w:left w:val="single" w:sz="4" w:space="0" w:color="000000"/>
              <w:bottom w:val="nil" w:sz="6" w:space="0" w:color="auto"/>
              <w:right w:val="single" w:sz="4" w:space="0" w:color="000000"/>
            </w:tcBorders>
            <w:shd w:val="clear" w:color="auto" w:fill="D2D2D2"/>
          </w:tcPr>
          <w:p>
            <w:pPr/>
          </w:p>
        </w:tc>
        <w:tc>
          <w:tcPr>
            <w:tcW w:w="74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95" w:right="95"/>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1092" w:type="dxa"/>
            <w:vMerge/>
            <w:tcBorders>
              <w:left w:val="single" w:sz="4" w:space="0" w:color="000000"/>
              <w:bottom w:val="nil" w:sz="6" w:space="0" w:color="auto"/>
              <w:right w:val="single" w:sz="4" w:space="0" w:color="000000"/>
            </w:tcBorders>
            <w:shd w:val="clear" w:color="auto" w:fill="D2D2D2"/>
          </w:tcPr>
          <w:p>
            <w:pPr/>
          </w:p>
        </w:tc>
      </w:tr>
      <w:tr>
        <w:trPr>
          <w:trHeight w:val="368" w:hRule="exact"/>
        </w:trPr>
        <w:tc>
          <w:tcPr>
            <w:tcW w:w="27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94"/>
              <w:ind w:left="179" w:right="89" w:hanging="89"/>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1020" w:type="dxa"/>
            <w:vMerge/>
            <w:tcBorders>
              <w:left w:val="single" w:sz="4" w:space="0" w:color="000000"/>
              <w:right w:val="single" w:sz="4" w:space="0" w:color="000000"/>
            </w:tcBorders>
            <w:shd w:val="clear" w:color="auto" w:fill="D2D2D2"/>
          </w:tcPr>
          <w:p>
            <w:pPr/>
          </w:p>
        </w:tc>
        <w:tc>
          <w:tcPr>
            <w:tcW w:w="8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249" w:right="19" w:hanging="226"/>
              <w:jc w:val="left"/>
              <w:rPr>
                <w:rFonts w:ascii="宋体" w:hAnsi="宋体" w:cs="宋体" w:eastAsia="宋体" w:hint="default"/>
                <w:sz w:val="18"/>
                <w:szCs w:val="18"/>
              </w:rPr>
            </w:pPr>
            <w:r>
              <w:rPr>
                <w:rFonts w:ascii="宋体" w:hAnsi="宋体" w:cs="宋体" w:eastAsia="宋体" w:hint="default"/>
                <w:spacing w:val="-18"/>
                <w:sz w:val="18"/>
                <w:szCs w:val="18"/>
              </w:rPr>
              <w:t>减：所得税</w:t>
            </w:r>
            <w:r>
              <w:rPr>
                <w:rFonts w:ascii="宋体" w:hAnsi="宋体" w:cs="宋体" w:eastAsia="宋体" w:hint="default"/>
                <w:sz w:val="18"/>
                <w:szCs w:val="18"/>
              </w:rPr>
              <w:t> 费用</w:t>
            </w:r>
          </w:p>
        </w:tc>
        <w:tc>
          <w:tcPr>
            <w:tcW w:w="10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271" w:right="89" w:hanging="180"/>
              <w:jc w:val="left"/>
              <w:rPr>
                <w:rFonts w:ascii="宋体" w:hAnsi="宋体" w:cs="宋体" w:eastAsia="宋体" w:hint="default"/>
                <w:sz w:val="18"/>
                <w:szCs w:val="18"/>
              </w:rPr>
            </w:pPr>
            <w:r>
              <w:rPr>
                <w:rFonts w:ascii="宋体" w:hAnsi="宋体" w:cs="宋体" w:eastAsia="宋体" w:hint="default"/>
                <w:sz w:val="18"/>
                <w:szCs w:val="18"/>
              </w:rPr>
              <w:t>税后归属于 母公司</w:t>
            </w:r>
          </w:p>
        </w:tc>
        <w:tc>
          <w:tcPr>
            <w:tcW w:w="742" w:type="dxa"/>
            <w:vMerge/>
            <w:tcBorders>
              <w:left w:val="single" w:sz="4" w:space="0" w:color="000000"/>
              <w:right w:val="single" w:sz="4" w:space="0" w:color="000000"/>
            </w:tcBorders>
            <w:shd w:val="clear" w:color="auto" w:fill="D2D2D2"/>
          </w:tcPr>
          <w:p>
            <w:pPr/>
          </w:p>
        </w:tc>
        <w:tc>
          <w:tcPr>
            <w:tcW w:w="10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8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01" w:type="dxa"/>
            <w:vMerge w:val="restart"/>
            <w:tcBorders>
              <w:top w:val="nil" w:sz="6" w:space="0" w:color="auto"/>
              <w:left w:val="single" w:sz="4" w:space="0" w:color="000000"/>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1020" w:type="dxa"/>
            <w:vMerge/>
            <w:tcBorders>
              <w:left w:val="single" w:sz="4" w:space="0" w:color="000000"/>
              <w:right w:val="single" w:sz="4" w:space="0" w:color="000000"/>
            </w:tcBorders>
            <w:shd w:val="clear" w:color="auto" w:fill="D2D2D2"/>
          </w:tcPr>
          <w:p>
            <w:pPr/>
          </w:p>
        </w:tc>
        <w:tc>
          <w:tcPr>
            <w:tcW w:w="866" w:type="dxa"/>
            <w:vMerge/>
            <w:tcBorders>
              <w:left w:val="single" w:sz="4" w:space="0" w:color="000000"/>
              <w:bottom w:val="nil" w:sz="6" w:space="0" w:color="auto"/>
              <w:right w:val="single" w:sz="4" w:space="0" w:color="000000"/>
            </w:tcBorders>
            <w:shd w:val="clear" w:color="auto" w:fill="D2D2D2"/>
          </w:tcPr>
          <w:p>
            <w:pPr/>
          </w:p>
        </w:tc>
        <w:tc>
          <w:tcPr>
            <w:tcW w:w="1093" w:type="dxa"/>
            <w:vMerge/>
            <w:tcBorders>
              <w:left w:val="single" w:sz="4" w:space="0" w:color="000000"/>
              <w:bottom w:val="nil" w:sz="6" w:space="0" w:color="auto"/>
              <w:right w:val="single" w:sz="4" w:space="0" w:color="000000"/>
            </w:tcBorders>
            <w:shd w:val="clear" w:color="auto" w:fill="D2D2D2"/>
          </w:tcPr>
          <w:p>
            <w:pPr/>
          </w:p>
        </w:tc>
        <w:tc>
          <w:tcPr>
            <w:tcW w:w="742" w:type="dxa"/>
            <w:vMerge/>
            <w:tcBorders>
              <w:left w:val="single" w:sz="4" w:space="0" w:color="000000"/>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2701"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
        </w:tc>
        <w:tc>
          <w:tcPr>
            <w:tcW w:w="1020" w:type="dxa"/>
            <w:vMerge/>
            <w:tcBorders>
              <w:left w:val="single" w:sz="4" w:space="0" w:color="000000"/>
              <w:right w:val="single" w:sz="4" w:space="0" w:color="000000"/>
            </w:tcBorders>
            <w:shd w:val="clear" w:color="auto" w:fill="D2D2D2"/>
          </w:tcPr>
          <w:p>
            <w:pPr/>
          </w:p>
        </w:tc>
        <w:tc>
          <w:tcPr>
            <w:tcW w:w="866" w:type="dxa"/>
            <w:vMerge w:val="restart"/>
            <w:tcBorders>
              <w:top w:val="nil" w:sz="6" w:space="0" w:color="auto"/>
              <w:left w:val="single" w:sz="4" w:space="0" w:color="000000"/>
              <w:right w:val="single" w:sz="4" w:space="0" w:color="000000"/>
            </w:tcBorders>
            <w:shd w:val="clear" w:color="auto" w:fill="D2D2D2"/>
          </w:tcPr>
          <w:p>
            <w:pPr/>
          </w:p>
        </w:tc>
        <w:tc>
          <w:tcPr>
            <w:tcW w:w="1093" w:type="dxa"/>
            <w:vMerge w:val="restart"/>
            <w:tcBorders>
              <w:top w:val="nil" w:sz="6" w:space="0" w:color="auto"/>
              <w:left w:val="single" w:sz="4" w:space="0" w:color="000000"/>
              <w:right w:val="single" w:sz="4" w:space="0" w:color="000000"/>
            </w:tcBorders>
            <w:shd w:val="clear" w:color="auto" w:fill="D2D2D2"/>
          </w:tcPr>
          <w:p>
            <w:pPr/>
          </w:p>
        </w:tc>
        <w:tc>
          <w:tcPr>
            <w:tcW w:w="742" w:type="dxa"/>
            <w:vMerge/>
            <w:tcBorders>
              <w:left w:val="single" w:sz="4" w:space="0" w:color="000000"/>
              <w:bottom w:val="nil" w:sz="6" w:space="0" w:color="auto"/>
              <w:right w:val="single" w:sz="4" w:space="0" w:color="000000"/>
            </w:tcBorders>
            <w:shd w:val="clear" w:color="auto" w:fill="D2D2D2"/>
          </w:tcPr>
          <w:p>
            <w:pPr/>
          </w:p>
        </w:tc>
        <w:tc>
          <w:tcPr>
            <w:tcW w:w="1092" w:type="dxa"/>
            <w:vMerge/>
            <w:tcBorders>
              <w:left w:val="single" w:sz="4" w:space="0" w:color="000000"/>
              <w:right w:val="single" w:sz="4" w:space="0" w:color="000000"/>
            </w:tcBorders>
            <w:shd w:val="clear" w:color="auto" w:fill="D2D2D2"/>
          </w:tcPr>
          <w:p>
            <w:pPr/>
          </w:p>
        </w:tc>
      </w:tr>
      <w:tr>
        <w:trPr>
          <w:trHeight w:val="161" w:hRule="exact"/>
        </w:trPr>
        <w:tc>
          <w:tcPr>
            <w:tcW w:w="2701" w:type="dxa"/>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1020" w:type="dxa"/>
            <w:vMerge/>
            <w:tcBorders>
              <w:left w:val="single" w:sz="4" w:space="0" w:color="000000"/>
              <w:bottom w:val="single" w:sz="4" w:space="0" w:color="000000"/>
              <w:right w:val="single" w:sz="4" w:space="0" w:color="000000"/>
            </w:tcBorders>
            <w:shd w:val="clear" w:color="auto" w:fill="D2D2D2"/>
          </w:tcPr>
          <w:p>
            <w:pPr/>
          </w:p>
        </w:tc>
        <w:tc>
          <w:tcPr>
            <w:tcW w:w="866" w:type="dxa"/>
            <w:vMerge/>
            <w:tcBorders>
              <w:left w:val="single" w:sz="4" w:space="0" w:color="000000"/>
              <w:bottom w:val="single" w:sz="4" w:space="0" w:color="000000"/>
              <w:right w:val="single" w:sz="4" w:space="0" w:color="000000"/>
            </w:tcBorders>
            <w:shd w:val="clear" w:color="auto" w:fill="D2D2D2"/>
          </w:tcPr>
          <w:p>
            <w:pPr/>
          </w:p>
        </w:tc>
        <w:tc>
          <w:tcPr>
            <w:tcW w:w="1093" w:type="dxa"/>
            <w:vMerge/>
            <w:tcBorders>
              <w:left w:val="single" w:sz="4" w:space="0" w:color="000000"/>
              <w:bottom w:val="single" w:sz="4" w:space="0" w:color="000000"/>
              <w:right w:val="single" w:sz="4" w:space="0" w:color="000000"/>
            </w:tcBorders>
            <w:shd w:val="clear" w:color="auto" w:fill="D2D2D2"/>
          </w:tcPr>
          <w:p>
            <w:pPr/>
          </w:p>
        </w:tc>
        <w:tc>
          <w:tcPr>
            <w:tcW w:w="74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4"/>
                <w:sz w:val="18"/>
                <w:szCs w:val="18"/>
              </w:rPr>
              <w:t>二、以后将重分类进损益的其他综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合收益</w:t>
            </w:r>
          </w:p>
        </w:tc>
        <w:tc>
          <w:tcPr>
            <w:tcW w:w="10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28,285,930.87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30,326,722.72</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1,509,999.18</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190,795.82</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28,625,927.72</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56,911,858.59</w:t>
            </w:r>
          </w:p>
        </w:tc>
      </w:tr>
      <w:tr>
        <w:trPr>
          <w:trHeight w:val="1025" w:hRule="exact"/>
        </w:trPr>
        <w:tc>
          <w:tcPr>
            <w:tcW w:w="2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4"/>
                <w:sz w:val="18"/>
                <w:szCs w:val="18"/>
              </w:rPr>
              <w:t>其中：权益法下在被投资单位以后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将重分类进损益的其他综合收益 中享有的份额</w:t>
            </w:r>
          </w:p>
        </w:tc>
        <w:tc>
          <w:tcPr>
            <w:tcW w:w="10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10,799,355.00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10,799,355.00</w:t>
            </w:r>
          </w:p>
        </w:tc>
      </w:tr>
      <w:tr>
        <w:trPr>
          <w:trHeight w:val="715" w:hRule="exact"/>
        </w:trPr>
        <w:tc>
          <w:tcPr>
            <w:tcW w:w="2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可供出售金融资产公允价值变动 损益</w:t>
            </w:r>
          </w:p>
        </w:tc>
        <w:tc>
          <w:tcPr>
            <w:tcW w:w="10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27,477,700.71</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27,477,700.71</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27,477,700.71</w:t>
            </w:r>
          </w:p>
        </w:tc>
      </w:tr>
      <w:tr>
        <w:trPr>
          <w:trHeight w:val="401" w:hRule="exact"/>
        </w:trPr>
        <w:tc>
          <w:tcPr>
            <w:tcW w:w="2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-149,041.56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67,050.76</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67,050.76</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-81,990.80</w:t>
            </w:r>
          </w:p>
        </w:tc>
      </w:tr>
      <w:tr>
        <w:trPr>
          <w:trHeight w:val="403"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投资性房地产公允价值变动损益</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17,635,617.43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2,781,971.25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1,509,999.18</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190,795.82</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1,081,176.25</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18,716,793.68</w:t>
            </w:r>
          </w:p>
        </w:tc>
      </w:tr>
      <w:tr>
        <w:trPr>
          <w:trHeight w:val="401" w:hRule="exact"/>
        </w:trPr>
        <w:tc>
          <w:tcPr>
            <w:tcW w:w="2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28,285,930.87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30,326,722.72</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1,509,999.18</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190,795.82</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28,625,927.72</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56,911,858.59</w:t>
            </w:r>
          </w:p>
        </w:tc>
      </w:tr>
    </w:tbl>
    <w:p>
      <w:pPr>
        <w:pStyle w:val="BodyText"/>
        <w:spacing w:line="240" w:lineRule="auto" w:before="49"/>
        <w:ind w:right="153"/>
        <w:jc w:val="left"/>
      </w:pPr>
      <w:r>
        <w:rPr/>
        <w:t>其他说明，包括对现金流量套期损益的有效部分转为被套期项目初始确认金额调整：无。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Times New Roman" w:hAnsi="Times New Roman" w:cs="Times New Roman" w:eastAsia="Times New Roman" w:hint="default"/>
        </w:rPr>
        <w:t>35</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65,497,325.92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65,497,325.92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12,154,775.66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12,154,775.66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77,652,101.58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77,652,101.58</w:t>
            </w:r>
          </w:p>
        </w:tc>
      </w:tr>
    </w:tbl>
    <w:p>
      <w:pPr>
        <w:pStyle w:val="BodyText"/>
        <w:spacing w:line="240" w:lineRule="auto" w:before="49"/>
        <w:ind w:right="153"/>
        <w:jc w:val="left"/>
      </w:pPr>
      <w:r>
        <w:rPr/>
        <w:t>盈余公积说明，包括本期增减变动情况、变动原因说明：无。</w:t>
      </w:r>
    </w:p>
    <w:p>
      <w:pPr>
        <w:spacing w:line="240" w:lineRule="auto" w:before="0"/>
        <w:rPr>
          <w:rFonts w:ascii="宋体" w:hAnsi="宋体" w:cs="宋体" w:eastAsia="宋体" w:hint="default"/>
          <w:sz w:val="18"/>
          <w:szCs w:val="18"/>
        </w:rPr>
      </w:pPr>
    </w:p>
    <w:p>
      <w:pPr>
        <w:pStyle w:val="Heading3"/>
        <w:spacing w:line="240" w:lineRule="auto" w:before="121"/>
        <w:ind w:right="153"/>
        <w:jc w:val="left"/>
        <w:rPr>
          <w:b w:val="0"/>
          <w:bCs w:val="0"/>
        </w:rPr>
      </w:pPr>
      <w:r>
        <w:rPr>
          <w:rFonts w:ascii="Times New Roman" w:hAnsi="Times New Roman" w:cs="Times New Roman" w:eastAsia="Times New Roman" w:hint="default"/>
        </w:rPr>
        <w:t>36</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426,517,704.65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329,522,674.41</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27,910,592.65</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426,517,704.65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357,433,267.06</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-107,607,635.77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75,912,490.21</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6,828,052.62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9"/>
      </w:tblGrid>
      <w:tr>
        <w:trPr>
          <w:trHeight w:val="404"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6" w:right="0"/>
              <w:jc w:val="left"/>
              <w:rPr>
                <w:rFonts w:ascii="Times New Roman" w:hAnsi="Times New Roman" w:cs="Times New Roman" w:eastAsia="Times New Roman" w:hint="default"/>
                <w:sz w:val="18"/>
                <w:szCs w:val="18"/>
              </w:rPr>
            </w:pPr>
            <w:r>
              <w:rPr>
                <w:rFonts w:ascii="Times New Roman"/>
                <w:sz w:val="18"/>
              </w:rPr>
              <w:t>318,910,068.88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426,517,704.65</w:t>
            </w:r>
          </w:p>
        </w:tc>
      </w:tr>
    </w:tbl>
    <w:p>
      <w:pPr>
        <w:pStyle w:val="BodyText"/>
        <w:spacing w:line="240" w:lineRule="auto" w:before="49"/>
        <w:ind w:right="153"/>
        <w:jc w:val="left"/>
      </w:pPr>
      <w:r>
        <w:rPr/>
        <w:t>调整期初未分配利润明细：</w:t>
      </w:r>
    </w:p>
    <w:p>
      <w:pPr>
        <w:pStyle w:val="BodyText"/>
        <w:spacing w:line="240" w:lineRule="auto" w:before="115"/>
        <w:ind w:right="153"/>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53"/>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153"/>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53"/>
        <w:jc w:val="left"/>
      </w:pPr>
      <w:r>
        <w:rPr>
          <w:rFonts w:ascii="Times New Roman" w:hAnsi="Times New Roman" w:cs="Times New Roman" w:eastAsia="Times New Roman" w:hint="default"/>
        </w:rPr>
        <w:t>4)</w:t>
      </w:r>
      <w:r>
        <w:rPr/>
        <w:t>、由于同一控制导致的合并范围变更，影响期初未分配利润</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53"/>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rFonts w:ascii="Times New Roman" w:hAnsi="Times New Roman" w:cs="Times New Roman" w:eastAsia="Times New Roman" w:hint="default"/>
        </w:rPr>
        <w:t>37</w:t>
      </w:r>
      <w:r>
        <w:rPr/>
        <w:t>、营业收入和营业成本</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1"/>
        <w:gridCol w:w="1928"/>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3"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电气业务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313,522,139.09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222,532,515.27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259,441,546.48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164,346,451.69</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游戏业务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46,979,219.61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7,084,967.74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12,671,367.55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6,064,401.15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29,176,879.00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12,483,248.35</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373,172,726.25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235,681,884.16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288,618,425.48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176,829,700.04</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38</w:t>
      </w:r>
      <w:r>
        <w:rPr/>
        <w:t>、税金及附加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1,205,730.41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1,475,941.92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537,661.61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632,546.54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1,881,914.28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1,303,426.28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103,337.68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310,903.02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37,042.48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36,226.80</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1,030,819.91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359,967.06</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359,020.67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421,697.69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2,028,879.84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6,313.94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5,155,815.95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6,575,903.09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153"/>
        <w:jc w:val="left"/>
        <w:rPr>
          <w:b w:val="0"/>
          <w:bCs w:val="0"/>
        </w:rPr>
      </w:pPr>
      <w:r>
        <w:rPr>
          <w:rFonts w:ascii="Times New Roman" w:hAnsi="Times New Roman" w:cs="Times New Roman" w:eastAsia="Times New Roman" w:hint="default"/>
        </w:rPr>
        <w:t>39</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64,284,679.66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33,833,078.27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7,863,849.26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6,387,753.56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3,673,555.75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3,225,290.69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1,691,187.54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2,497,604.49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195,659.33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1,616,566.32</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1,259,226.93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812,746.78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115,163.61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122,626.03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工程施工费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972,373.97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57,905.85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19,683.77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1,252,485.74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832,746.60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81,308,181.79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49,406,002.36</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40</w:t>
      </w:r>
      <w:r>
        <w:rPr/>
        <w:t>、管理费用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期权费用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43,238,439.94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57,311,972.89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29,632,536.37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24,264,874.46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研究开发费用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14,706,548.62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9,990,729.58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8,174,506.29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6,815,185.96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6,639,091.56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6,070,206.54</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9,611,917.40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3,355,424.01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2,004,915.54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2,353,399.88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813,752.91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1,626,728.29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619,245.96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1,183,184.11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车辆交通费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1,034,406.62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1,069,649.83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582,726.01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207,548.96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427,769.66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429,325.63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235,325.23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156,361.49</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劳保用品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11,261.72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51,908.42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6,260,069.18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4,373,502.20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1,806,759.99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1,415,094.29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125,799,273.00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120,675,096.54</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41</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5,096,051.98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297,211.13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4,091,984.94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3,589,580.62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163,840.55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-416,430.03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241,642.86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191,378.15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1,409,550.45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-3,517,421.37</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42</w:t>
      </w:r>
      <w:r>
        <w:rPr/>
        <w:t>、资产减值损失</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2,905,224.00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5,468,329.82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-1,967,440.27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1,946,199.63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937,783.73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7,414,529.45</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43</w:t>
      </w:r>
      <w:r>
        <w:rPr/>
        <w:t>、公允价值变动收益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-1,070,891.90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-851,963.34</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按公允价值计量的投资性房地产</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970,119.73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16,819,549.37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-100,772.17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15,967,586.03</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44</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6898"/>
        <w:gridCol w:w="1382"/>
        <w:gridCol w:w="1406"/>
      </w:tblGrid>
      <w:tr>
        <w:trPr>
          <w:trHeight w:val="402" w:hRule="exact"/>
        </w:trPr>
        <w:tc>
          <w:tcPr>
            <w:tcW w:w="6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6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13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-57,936,057.63</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93,820,568.83</w:t>
            </w:r>
          </w:p>
        </w:tc>
      </w:tr>
      <w:tr>
        <w:trPr>
          <w:trHeight w:val="402" w:hRule="exact"/>
        </w:trPr>
        <w:tc>
          <w:tcPr>
            <w:tcW w:w="6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13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-64,093.66</w:t>
            </w:r>
          </w:p>
        </w:tc>
      </w:tr>
      <w:tr>
        <w:trPr>
          <w:trHeight w:val="402" w:hRule="exact"/>
        </w:trPr>
        <w:tc>
          <w:tcPr>
            <w:tcW w:w="6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以公允价值计量且其变动计入当期损益的金融资产在持有期间的投资收益</w:t>
            </w:r>
          </w:p>
        </w:tc>
        <w:tc>
          <w:tcPr>
            <w:tcW w:w="13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-851,963.34</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-20,019,886.99</w:t>
            </w:r>
          </w:p>
        </w:tc>
      </w:tr>
      <w:tr>
        <w:trPr>
          <w:trHeight w:val="402" w:hRule="exact"/>
        </w:trPr>
        <w:tc>
          <w:tcPr>
            <w:tcW w:w="6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处置以公允价值计量且其变动计入当期损益的金融资产取得的投资收益</w:t>
            </w:r>
          </w:p>
        </w:tc>
        <w:tc>
          <w:tcPr>
            <w:tcW w:w="13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-30,421,455.30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4,279,998.32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6921"/>
        <w:gridCol w:w="1371"/>
        <w:gridCol w:w="1406"/>
      </w:tblGrid>
      <w:tr>
        <w:trPr>
          <w:trHeight w:val="401" w:hRule="exact"/>
        </w:trPr>
        <w:tc>
          <w:tcPr>
            <w:tcW w:w="6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25,400,000.00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17,000,000.00</w:t>
            </w:r>
          </w:p>
        </w:tc>
      </w:tr>
      <w:tr>
        <w:trPr>
          <w:trHeight w:val="403" w:hRule="exact"/>
        </w:trPr>
        <w:tc>
          <w:tcPr>
            <w:tcW w:w="6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19,161,858.64</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25,112,896.22</w:t>
            </w:r>
          </w:p>
        </w:tc>
      </w:tr>
      <w:tr>
        <w:trPr>
          <w:trHeight w:val="402" w:hRule="exact"/>
        </w:trPr>
        <w:tc>
          <w:tcPr>
            <w:tcW w:w="6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-44,647,617.63</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120,129,482.72</w:t>
            </w:r>
          </w:p>
        </w:tc>
      </w:tr>
    </w:tbl>
    <w:p>
      <w:pPr>
        <w:spacing w:line="240" w:lineRule="auto" w:before="4"/>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45</w:t>
      </w:r>
      <w:r>
        <w:rPr/>
        <w:t>、资产处置收益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2,560,428.35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13,588,436.43</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46</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480"/>
        <w:gridCol w:w="1661"/>
        <w:gridCol w:w="1584"/>
        <w:gridCol w:w="3973"/>
      </w:tblGrid>
      <w:tr>
        <w:trPr>
          <w:trHeight w:val="403" w:hRule="exact"/>
        </w:trPr>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3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1"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1" w:hRule="exact"/>
        </w:trPr>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6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712,443.23</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326,493.93</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712,443.23</w:t>
            </w:r>
          </w:p>
        </w:tc>
      </w:tr>
      <w:tr>
        <w:trPr>
          <w:trHeight w:val="403" w:hRule="exact"/>
        </w:trPr>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无法支付的应付款</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400,877.41</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440,393.65</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400,877.41</w:t>
            </w:r>
          </w:p>
        </w:tc>
      </w:tr>
      <w:tr>
        <w:trPr>
          <w:trHeight w:val="401" w:hRule="exact"/>
        </w:trPr>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129,736.27</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129,736.27</w:t>
            </w:r>
          </w:p>
        </w:tc>
      </w:tr>
      <w:tr>
        <w:trPr>
          <w:trHeight w:val="403" w:hRule="exact"/>
        </w:trPr>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违约金收入</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98,000.00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98,000.00</w:t>
            </w:r>
          </w:p>
        </w:tc>
      </w:tr>
      <w:tr>
        <w:trPr>
          <w:trHeight w:val="401" w:hRule="exact"/>
        </w:trPr>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10,624.32</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25,853.77</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10,624.32</w:t>
            </w:r>
          </w:p>
        </w:tc>
      </w:tr>
      <w:tr>
        <w:trPr>
          <w:trHeight w:val="403" w:hRule="exact"/>
        </w:trPr>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1,351,681.23</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792,741.35</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1,351,681.23</w:t>
            </w:r>
          </w:p>
        </w:tc>
      </w:tr>
    </w:tbl>
    <w:p>
      <w:pPr>
        <w:pStyle w:val="BodyText"/>
        <w:spacing w:line="240" w:lineRule="auto" w:before="49"/>
        <w:ind w:right="153"/>
        <w:jc w:val="left"/>
      </w:pPr>
      <w:r>
        <w:rPr/>
        <w:t>计入当期损益的政府补助：</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709"/>
        <w:gridCol w:w="1988"/>
        <w:gridCol w:w="372"/>
        <w:gridCol w:w="1995"/>
        <w:gridCol w:w="646"/>
        <w:gridCol w:w="461"/>
        <w:gridCol w:w="937"/>
        <w:gridCol w:w="936"/>
        <w:gridCol w:w="655"/>
      </w:tblGrid>
      <w:tr>
        <w:trPr>
          <w:trHeight w:val="1337"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28"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9"/>
              <w:jc w:val="both"/>
              <w:rPr>
                <w:rFonts w:ascii="宋体" w:hAnsi="宋体" w:cs="宋体" w:eastAsia="宋体" w:hint="default"/>
                <w:sz w:val="18"/>
                <w:szCs w:val="18"/>
              </w:rPr>
            </w:pPr>
            <w:r>
              <w:rPr>
                <w:rFonts w:ascii="宋体" w:hAnsi="宋体" w:cs="宋体" w:eastAsia="宋体" w:hint="default"/>
                <w:sz w:val="18"/>
                <w:szCs w:val="18"/>
              </w:rPr>
              <w:t>发 放 原 因</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33"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7"/>
              <w:jc w:val="center"/>
              <w:rPr>
                <w:rFonts w:ascii="宋体" w:hAnsi="宋体" w:cs="宋体" w:eastAsia="宋体" w:hint="default"/>
                <w:sz w:val="18"/>
                <w:szCs w:val="18"/>
              </w:rPr>
            </w:pPr>
            <w:r>
              <w:rPr>
                <w:rFonts w:ascii="宋体" w:hAnsi="宋体" w:cs="宋体" w:eastAsia="宋体" w:hint="default"/>
                <w:sz w:val="18"/>
                <w:szCs w:val="18"/>
              </w:rPr>
              <w:t>补贴是 否影响 当年盈 亏</w:t>
            </w:r>
          </w:p>
        </w:tc>
        <w:tc>
          <w:tcPr>
            <w:tcW w:w="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5" w:right="43"/>
              <w:jc w:val="both"/>
              <w:rPr>
                <w:rFonts w:ascii="宋体" w:hAnsi="宋体" w:cs="宋体" w:eastAsia="宋体" w:hint="default"/>
                <w:sz w:val="18"/>
                <w:szCs w:val="18"/>
              </w:rPr>
            </w:pPr>
            <w:r>
              <w:rPr>
                <w:rFonts w:ascii="宋体" w:hAnsi="宋体" w:cs="宋体" w:eastAsia="宋体" w:hint="default"/>
                <w:sz w:val="18"/>
                <w:szCs w:val="18"/>
              </w:rPr>
              <w:t>是否 特殊 补贴</w:t>
            </w:r>
          </w:p>
        </w:tc>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83" w:right="101" w:hanging="180"/>
              <w:jc w:val="left"/>
              <w:rPr>
                <w:rFonts w:ascii="宋体" w:hAnsi="宋体" w:cs="宋体" w:eastAsia="宋体" w:hint="default"/>
                <w:sz w:val="18"/>
                <w:szCs w:val="18"/>
              </w:rPr>
            </w:pPr>
            <w:r>
              <w:rPr>
                <w:rFonts w:ascii="宋体" w:hAnsi="宋体" w:cs="宋体" w:eastAsia="宋体" w:hint="default"/>
                <w:sz w:val="18"/>
                <w:szCs w:val="18"/>
              </w:rPr>
              <w:t>本期发生 金额</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83" w:right="101" w:hanging="180"/>
              <w:jc w:val="left"/>
              <w:rPr>
                <w:rFonts w:ascii="宋体" w:hAnsi="宋体" w:cs="宋体" w:eastAsia="宋体" w:hint="default"/>
                <w:sz w:val="18"/>
                <w:szCs w:val="18"/>
              </w:rPr>
            </w:pPr>
            <w:r>
              <w:rPr>
                <w:rFonts w:ascii="宋体" w:hAnsi="宋体" w:cs="宋体" w:eastAsia="宋体" w:hint="default"/>
                <w:sz w:val="18"/>
                <w:szCs w:val="18"/>
              </w:rPr>
              <w:t>上期发生 金额</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8" w:right="24" w:hanging="3"/>
              <w:jc w:val="center"/>
              <w:rPr>
                <w:rFonts w:ascii="宋体" w:hAnsi="宋体" w:cs="宋体" w:eastAsia="宋体" w:hint="default"/>
                <w:sz w:val="18"/>
                <w:szCs w:val="18"/>
              </w:rPr>
            </w:pPr>
            <w:r>
              <w:rPr>
                <w:rFonts w:ascii="宋体" w:hAnsi="宋体" w:cs="宋体" w:eastAsia="宋体" w:hint="default"/>
                <w:sz w:val="18"/>
                <w:szCs w:val="18"/>
              </w:rPr>
              <w:t>与资产 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 收益相 关</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97" w:lineRule="auto"/>
              <w:ind w:left="24" w:right="139"/>
              <w:jc w:val="left"/>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年度稳 岗补贴</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52"/>
              <w:jc w:val="left"/>
              <w:rPr>
                <w:rFonts w:ascii="宋体" w:hAnsi="宋体" w:cs="宋体" w:eastAsia="宋体" w:hint="default"/>
                <w:sz w:val="18"/>
                <w:szCs w:val="18"/>
              </w:rPr>
            </w:pPr>
            <w:r>
              <w:rPr>
                <w:rFonts w:ascii="宋体" w:hAnsi="宋体" w:cs="宋体" w:eastAsia="宋体" w:hint="default"/>
                <w:sz w:val="18"/>
                <w:szCs w:val="18"/>
              </w:rPr>
              <w:t>深圳市社会保险基金管 理局</w:t>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56"/>
              <w:jc w:val="left"/>
              <w:rPr>
                <w:rFonts w:ascii="宋体" w:hAnsi="宋体" w:cs="宋体" w:eastAsia="宋体" w:hint="default"/>
                <w:sz w:val="18"/>
                <w:szCs w:val="18"/>
              </w:rPr>
            </w:pPr>
            <w:r>
              <w:rPr>
                <w:rFonts w:ascii="宋体" w:hAnsi="宋体" w:cs="宋体" w:eastAsia="宋体" w:hint="default"/>
                <w:sz w:val="18"/>
                <w:szCs w:val="18"/>
              </w:rPr>
              <w:t>补 助</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9"/>
              <w:jc w:val="both"/>
              <w:rPr>
                <w:rFonts w:ascii="宋体" w:hAnsi="宋体" w:cs="宋体" w:eastAsia="宋体" w:hint="default"/>
                <w:sz w:val="18"/>
                <w:szCs w:val="18"/>
              </w:rPr>
            </w:pPr>
            <w:r>
              <w:rPr>
                <w:rFonts w:ascii="宋体" w:hAnsi="宋体" w:cs="宋体" w:eastAsia="宋体" w:hint="default"/>
                <w:sz w:val="18"/>
                <w:szCs w:val="18"/>
              </w:rPr>
              <w:t>因符合地方政府招商引 资等地方性扶持政策而 获得的补助</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72,721.73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128,625.78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79"/>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9"/>
              <w:jc w:val="center"/>
              <w:rPr>
                <w:rFonts w:ascii="宋体" w:hAnsi="宋体" w:cs="宋体" w:eastAsia="宋体" w:hint="default"/>
                <w:sz w:val="18"/>
                <w:szCs w:val="18"/>
              </w:rPr>
            </w:pPr>
            <w:r>
              <w:rPr>
                <w:rFonts w:ascii="宋体" w:hAnsi="宋体" w:cs="宋体" w:eastAsia="宋体" w:hint="default"/>
                <w:sz w:val="18"/>
                <w:szCs w:val="18"/>
              </w:rPr>
              <w:t>深圳市生育保险津贴</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52"/>
              <w:jc w:val="left"/>
              <w:rPr>
                <w:rFonts w:ascii="宋体" w:hAnsi="宋体" w:cs="宋体" w:eastAsia="宋体" w:hint="default"/>
                <w:sz w:val="18"/>
                <w:szCs w:val="18"/>
              </w:rPr>
            </w:pPr>
            <w:r>
              <w:rPr>
                <w:rFonts w:ascii="宋体" w:hAnsi="宋体" w:cs="宋体" w:eastAsia="宋体" w:hint="default"/>
                <w:sz w:val="18"/>
                <w:szCs w:val="18"/>
              </w:rPr>
              <w:t>深圳市社会保险基金管 理局</w:t>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56"/>
              <w:jc w:val="left"/>
              <w:rPr>
                <w:rFonts w:ascii="宋体" w:hAnsi="宋体" w:cs="宋体" w:eastAsia="宋体" w:hint="default"/>
                <w:sz w:val="18"/>
                <w:szCs w:val="18"/>
              </w:rPr>
            </w:pPr>
            <w:r>
              <w:rPr>
                <w:rFonts w:ascii="宋体" w:hAnsi="宋体" w:cs="宋体" w:eastAsia="宋体" w:hint="default"/>
                <w:sz w:val="18"/>
                <w:szCs w:val="18"/>
              </w:rPr>
              <w:t>补 助</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both"/>
              <w:rPr>
                <w:rFonts w:ascii="宋体" w:hAnsi="宋体" w:cs="宋体" w:eastAsia="宋体" w:hint="default"/>
                <w:sz w:val="18"/>
                <w:szCs w:val="18"/>
              </w:rPr>
            </w:pPr>
            <w:r>
              <w:rPr>
                <w:rFonts w:ascii="宋体" w:hAnsi="宋体" w:cs="宋体" w:eastAsia="宋体" w:hint="default"/>
                <w:sz w:val="18"/>
                <w:szCs w:val="18"/>
              </w:rPr>
              <w:t>因符合地方政府招商引 资等地方性扶持政策而 获得的补助</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76,644.93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28,386.02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79"/>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133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7" w:lineRule="auto"/>
              <w:ind w:left="24" w:right="53"/>
              <w:jc w:val="left"/>
              <w:rPr>
                <w:rFonts w:ascii="宋体" w:hAnsi="宋体" w:cs="宋体" w:eastAsia="宋体" w:hint="default"/>
                <w:sz w:val="18"/>
                <w:szCs w:val="18"/>
              </w:rPr>
            </w:pPr>
            <w:r>
              <w:rPr>
                <w:rFonts w:ascii="宋体" w:hAnsi="宋体" w:cs="宋体" w:eastAsia="宋体" w:hint="default"/>
                <w:sz w:val="18"/>
                <w:szCs w:val="18"/>
              </w:rPr>
              <w:t>高性能聚酰亚胺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打印耗材的制备与应 用开发</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152"/>
              <w:jc w:val="left"/>
              <w:rPr>
                <w:rFonts w:ascii="宋体" w:hAnsi="宋体" w:cs="宋体" w:eastAsia="宋体" w:hint="default"/>
                <w:sz w:val="18"/>
                <w:szCs w:val="18"/>
              </w:rPr>
            </w:pPr>
            <w:r>
              <w:rPr>
                <w:rFonts w:ascii="宋体" w:hAnsi="宋体" w:cs="宋体" w:eastAsia="宋体" w:hint="default"/>
                <w:sz w:val="18"/>
                <w:szCs w:val="18"/>
              </w:rPr>
              <w:t>（深圳市科技创新委员 会）深圳国库</w:t>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156"/>
              <w:jc w:val="left"/>
              <w:rPr>
                <w:rFonts w:ascii="宋体" w:hAnsi="宋体" w:cs="宋体" w:eastAsia="宋体" w:hint="default"/>
                <w:sz w:val="18"/>
                <w:szCs w:val="18"/>
              </w:rPr>
            </w:pPr>
            <w:r>
              <w:rPr>
                <w:rFonts w:ascii="宋体" w:hAnsi="宋体" w:cs="宋体" w:eastAsia="宋体" w:hint="default"/>
                <w:sz w:val="18"/>
                <w:szCs w:val="18"/>
              </w:rPr>
              <w:t>补 助</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因从事国家鼓励和扶持 </w:t>
            </w:r>
            <w:r>
              <w:rPr>
                <w:rFonts w:ascii="宋体" w:hAnsi="宋体" w:cs="宋体" w:eastAsia="宋体" w:hint="default"/>
                <w:spacing w:val="-4"/>
                <w:sz w:val="18"/>
                <w:szCs w:val="18"/>
              </w:rPr>
              <w:t>特定行业、产业而获得的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补助（按国家级政策规定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依法取得）</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199,034.20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99,482.13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79"/>
              <w:jc w:val="left"/>
              <w:rPr>
                <w:rFonts w:ascii="宋体" w:hAnsi="宋体" w:cs="宋体" w:eastAsia="宋体" w:hint="default"/>
                <w:sz w:val="18"/>
                <w:szCs w:val="18"/>
              </w:rPr>
            </w:pPr>
            <w:r>
              <w:rPr>
                <w:rFonts w:ascii="宋体" w:hAnsi="宋体" w:cs="宋体" w:eastAsia="宋体" w:hint="default"/>
                <w:sz w:val="18"/>
                <w:szCs w:val="18"/>
              </w:rPr>
              <w:t>与资产 相关</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53"/>
              <w:jc w:val="left"/>
              <w:rPr>
                <w:rFonts w:ascii="宋体" w:hAnsi="宋体" w:cs="宋体" w:eastAsia="宋体" w:hint="default"/>
                <w:sz w:val="18"/>
                <w:szCs w:val="18"/>
              </w:rPr>
            </w:pPr>
            <w:r>
              <w:rPr>
                <w:rFonts w:ascii="宋体" w:hAnsi="宋体" w:cs="宋体" w:eastAsia="宋体" w:hint="default"/>
                <w:sz w:val="18"/>
                <w:szCs w:val="18"/>
              </w:rPr>
              <w:t>坪山新区创新创业专 项资金补助</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52"/>
              <w:jc w:val="left"/>
              <w:rPr>
                <w:rFonts w:ascii="宋体" w:hAnsi="宋体" w:cs="宋体" w:eastAsia="宋体" w:hint="default"/>
                <w:sz w:val="18"/>
                <w:szCs w:val="18"/>
              </w:rPr>
            </w:pPr>
            <w:r>
              <w:rPr>
                <w:rFonts w:ascii="宋体" w:hAnsi="宋体" w:cs="宋体" w:eastAsia="宋体" w:hint="default"/>
                <w:sz w:val="18"/>
                <w:szCs w:val="18"/>
              </w:rPr>
              <w:t>深圳市坪山新区发展和 财政局</w:t>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56"/>
              <w:jc w:val="left"/>
              <w:rPr>
                <w:rFonts w:ascii="宋体" w:hAnsi="宋体" w:cs="宋体" w:eastAsia="宋体" w:hint="default"/>
                <w:sz w:val="18"/>
                <w:szCs w:val="18"/>
              </w:rPr>
            </w:pPr>
            <w:r>
              <w:rPr>
                <w:rFonts w:ascii="宋体" w:hAnsi="宋体" w:cs="宋体" w:eastAsia="宋体" w:hint="default"/>
                <w:sz w:val="18"/>
                <w:szCs w:val="18"/>
              </w:rPr>
              <w:t>补 助</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59"/>
              <w:jc w:val="both"/>
              <w:rPr>
                <w:rFonts w:ascii="宋体" w:hAnsi="宋体" w:cs="宋体" w:eastAsia="宋体" w:hint="default"/>
                <w:sz w:val="18"/>
                <w:szCs w:val="18"/>
              </w:rPr>
            </w:pPr>
            <w:r>
              <w:rPr>
                <w:rFonts w:ascii="宋体" w:hAnsi="宋体" w:cs="宋体" w:eastAsia="宋体" w:hint="default"/>
                <w:sz w:val="18"/>
                <w:szCs w:val="18"/>
              </w:rPr>
              <w:t>因符合地方政府招商引 资等地方性扶持政策而 获得的补助</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79"/>
              <w:jc w:val="left"/>
              <w:rPr>
                <w:rFonts w:ascii="宋体" w:hAnsi="宋体" w:cs="宋体" w:eastAsia="宋体" w:hint="default"/>
                <w:sz w:val="18"/>
                <w:szCs w:val="18"/>
              </w:rPr>
            </w:pPr>
            <w:r>
              <w:rPr>
                <w:rFonts w:ascii="宋体" w:hAnsi="宋体" w:cs="宋体" w:eastAsia="宋体" w:hint="default"/>
                <w:sz w:val="18"/>
                <w:szCs w:val="18"/>
              </w:rPr>
              <w:t>与收益 相关</w:t>
            </w:r>
          </w:p>
        </w:tc>
      </w:tr>
    </w:tbl>
    <w:p>
      <w:pPr>
        <w:spacing w:after="0" w:line="316" w:lineRule="auto"/>
        <w:jc w:val="left"/>
        <w:rPr>
          <w:rFonts w:ascii="宋体" w:hAnsi="宋体" w:cs="宋体" w:eastAsia="宋体" w:hint="default"/>
          <w:sz w:val="18"/>
          <w:szCs w:val="18"/>
        </w:rPr>
        <w:sectPr>
          <w:pgSz w:w="11910" w:h="16840"/>
          <w:pgMar w:header="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1709"/>
        <w:gridCol w:w="1988"/>
        <w:gridCol w:w="372"/>
        <w:gridCol w:w="1995"/>
        <w:gridCol w:w="646"/>
        <w:gridCol w:w="461"/>
        <w:gridCol w:w="937"/>
        <w:gridCol w:w="936"/>
        <w:gridCol w:w="655"/>
      </w:tblGrid>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成都市软件著作权登 记资助</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2"/>
              <w:jc w:val="left"/>
              <w:rPr>
                <w:rFonts w:ascii="宋体" w:hAnsi="宋体" w:cs="宋体" w:eastAsia="宋体" w:hint="default"/>
                <w:sz w:val="18"/>
                <w:szCs w:val="18"/>
              </w:rPr>
            </w:pPr>
            <w:r>
              <w:rPr>
                <w:rFonts w:ascii="宋体" w:hAnsi="宋体" w:cs="宋体" w:eastAsia="宋体" w:hint="default"/>
                <w:sz w:val="18"/>
                <w:szCs w:val="18"/>
              </w:rPr>
              <w:t>成都高新技术产业开发 区科技与新经济发展局</w:t>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6"/>
              <w:jc w:val="left"/>
              <w:rPr>
                <w:rFonts w:ascii="宋体" w:hAnsi="宋体" w:cs="宋体" w:eastAsia="宋体" w:hint="default"/>
                <w:sz w:val="18"/>
                <w:szCs w:val="18"/>
              </w:rPr>
            </w:pPr>
            <w:r>
              <w:rPr>
                <w:rFonts w:ascii="宋体" w:hAnsi="宋体" w:cs="宋体" w:eastAsia="宋体" w:hint="default"/>
                <w:sz w:val="18"/>
                <w:szCs w:val="18"/>
              </w:rPr>
              <w:t>补 助</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4"/>
                <w:sz w:val="18"/>
                <w:szCs w:val="18"/>
              </w:rPr>
              <w:t>因研究开发、技术更新及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改造等获得的补助</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13,800.00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9"/>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133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36"/>
              <w:jc w:val="both"/>
              <w:rPr>
                <w:rFonts w:ascii="宋体" w:hAnsi="宋体" w:cs="宋体" w:eastAsia="宋体" w:hint="default"/>
                <w:sz w:val="18"/>
                <w:szCs w:val="18"/>
              </w:rPr>
            </w:pPr>
            <w:r>
              <w:rPr>
                <w:rFonts w:ascii="宋体" w:hAnsi="宋体" w:cs="宋体" w:eastAsia="宋体" w:hint="default"/>
                <w:sz w:val="18"/>
                <w:szCs w:val="18"/>
              </w:rPr>
              <w:t>企业缴纳个人所得税 款按照地方留存部分 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申请兑现奖励 资金</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喀什经济开发区财政局</w:t>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156"/>
              <w:jc w:val="left"/>
              <w:rPr>
                <w:rFonts w:ascii="宋体" w:hAnsi="宋体" w:cs="宋体" w:eastAsia="宋体" w:hint="default"/>
                <w:sz w:val="18"/>
                <w:szCs w:val="18"/>
              </w:rPr>
            </w:pPr>
            <w:r>
              <w:rPr>
                <w:rFonts w:ascii="宋体" w:hAnsi="宋体" w:cs="宋体" w:eastAsia="宋体" w:hint="default"/>
                <w:sz w:val="18"/>
                <w:szCs w:val="18"/>
              </w:rPr>
              <w:t>奖 励</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59"/>
              <w:jc w:val="both"/>
              <w:rPr>
                <w:rFonts w:ascii="宋体" w:hAnsi="宋体" w:cs="宋体" w:eastAsia="宋体" w:hint="default"/>
                <w:sz w:val="18"/>
                <w:szCs w:val="18"/>
              </w:rPr>
            </w:pPr>
            <w:r>
              <w:rPr>
                <w:rFonts w:ascii="宋体" w:hAnsi="宋体" w:cs="宋体" w:eastAsia="宋体" w:hint="default"/>
                <w:sz w:val="18"/>
                <w:szCs w:val="18"/>
              </w:rPr>
              <w:t>因符合地方政府招商引 资等地方性扶持政策而 获得的补助</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300,414.37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79"/>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深圳市高技能人才公 共实训管理服务中心</w:t>
            </w:r>
          </w:p>
          <w:p>
            <w:pPr>
              <w:pStyle w:val="TableParagraph"/>
              <w:spacing w:line="300" w:lineRule="auto" w:before="19"/>
              <w:ind w:left="24"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年企业岗前培</w:t>
            </w:r>
            <w:r>
              <w:rPr>
                <w:rFonts w:ascii="宋体" w:hAnsi="宋体" w:cs="宋体" w:eastAsia="宋体" w:hint="default"/>
                <w:w w:val="99"/>
                <w:sz w:val="18"/>
                <w:szCs w:val="18"/>
              </w:rPr>
              <w:t> </w:t>
            </w:r>
            <w:r>
              <w:rPr>
                <w:rFonts w:ascii="宋体" w:hAnsi="宋体" w:cs="宋体" w:eastAsia="宋体" w:hint="default"/>
                <w:sz w:val="18"/>
                <w:szCs w:val="18"/>
              </w:rPr>
              <w:t>训补贴</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59"/>
              <w:jc w:val="both"/>
              <w:rPr>
                <w:rFonts w:ascii="宋体" w:hAnsi="宋体" w:cs="宋体" w:eastAsia="宋体" w:hint="default"/>
                <w:sz w:val="18"/>
                <w:szCs w:val="18"/>
              </w:rPr>
            </w:pPr>
            <w:r>
              <w:rPr>
                <w:rFonts w:ascii="宋体" w:hAnsi="宋体" w:cs="宋体" w:eastAsia="宋体" w:hint="default"/>
                <w:sz w:val="18"/>
                <w:szCs w:val="18"/>
              </w:rPr>
              <w:t>深圳市高技能人才公共 实训管理服务中心</w:t>
            </w:r>
            <w:r>
              <w:rPr>
                <w:rFonts w:ascii="Times New Roman" w:hAnsi="Times New Roman" w:cs="Times New Roman" w:eastAsia="Times New Roman" w:hint="default"/>
                <w:sz w:val="18"/>
                <w:szCs w:val="18"/>
              </w:rPr>
              <w:t>-</w:t>
            </w:r>
            <w:r>
              <w:rPr>
                <w:rFonts w:ascii="宋体" w:hAnsi="宋体" w:cs="宋体" w:eastAsia="宋体" w:hint="default"/>
                <w:sz w:val="18"/>
                <w:szCs w:val="18"/>
              </w:rPr>
              <w:t>人事 行政部申请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年企业 岗前培训补贴</w:t>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56"/>
              <w:jc w:val="left"/>
              <w:rPr>
                <w:rFonts w:ascii="宋体" w:hAnsi="宋体" w:cs="宋体" w:eastAsia="宋体" w:hint="default"/>
                <w:sz w:val="18"/>
                <w:szCs w:val="18"/>
              </w:rPr>
            </w:pPr>
            <w:r>
              <w:rPr>
                <w:rFonts w:ascii="宋体" w:hAnsi="宋体" w:cs="宋体" w:eastAsia="宋体" w:hint="default"/>
                <w:sz w:val="18"/>
                <w:szCs w:val="18"/>
              </w:rPr>
              <w:t>补 助</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59"/>
              <w:jc w:val="both"/>
              <w:rPr>
                <w:rFonts w:ascii="宋体" w:hAnsi="宋体" w:cs="宋体" w:eastAsia="宋体" w:hint="default"/>
                <w:sz w:val="18"/>
                <w:szCs w:val="18"/>
              </w:rPr>
            </w:pPr>
            <w:r>
              <w:rPr>
                <w:rFonts w:ascii="宋体" w:hAnsi="宋体" w:cs="宋体" w:eastAsia="宋体" w:hint="default"/>
                <w:sz w:val="18"/>
                <w:szCs w:val="18"/>
              </w:rPr>
              <w:t>因符合地方政府招商引 资等地方性扶持政策而 获得的补助</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9,800.00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79"/>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53"/>
              <w:jc w:val="both"/>
              <w:rPr>
                <w:rFonts w:ascii="宋体" w:hAnsi="宋体" w:cs="宋体" w:eastAsia="宋体" w:hint="default"/>
                <w:sz w:val="18"/>
                <w:szCs w:val="18"/>
              </w:rPr>
            </w:pPr>
            <w:r>
              <w:rPr>
                <w:rFonts w:ascii="宋体" w:hAnsi="宋体" w:cs="宋体" w:eastAsia="宋体" w:hint="default"/>
                <w:sz w:val="18"/>
                <w:szCs w:val="18"/>
              </w:rPr>
              <w:t>深圳市经济贸易和信 息化委员会展会补贴 费</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3" w:right="151"/>
              <w:jc w:val="left"/>
              <w:rPr>
                <w:rFonts w:ascii="宋体" w:hAnsi="宋体" w:cs="宋体" w:eastAsia="宋体" w:hint="default"/>
                <w:sz w:val="18"/>
                <w:szCs w:val="18"/>
              </w:rPr>
            </w:pPr>
            <w:r>
              <w:rPr>
                <w:rFonts w:ascii="宋体" w:hAnsi="宋体" w:cs="宋体" w:eastAsia="宋体" w:hint="default"/>
                <w:sz w:val="18"/>
                <w:szCs w:val="18"/>
              </w:rPr>
              <w:t>深圳市经济贸易和信息 化委员会</w:t>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3" w:right="156"/>
              <w:jc w:val="left"/>
              <w:rPr>
                <w:rFonts w:ascii="宋体" w:hAnsi="宋体" w:cs="宋体" w:eastAsia="宋体" w:hint="default"/>
                <w:sz w:val="18"/>
                <w:szCs w:val="18"/>
              </w:rPr>
            </w:pPr>
            <w:r>
              <w:rPr>
                <w:rFonts w:ascii="宋体" w:hAnsi="宋体" w:cs="宋体" w:eastAsia="宋体" w:hint="default"/>
                <w:sz w:val="18"/>
                <w:szCs w:val="18"/>
              </w:rPr>
              <w:t>补 助</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59"/>
              <w:jc w:val="both"/>
              <w:rPr>
                <w:rFonts w:ascii="宋体" w:hAnsi="宋体" w:cs="宋体" w:eastAsia="宋体" w:hint="default"/>
                <w:sz w:val="18"/>
                <w:szCs w:val="18"/>
              </w:rPr>
            </w:pPr>
            <w:r>
              <w:rPr>
                <w:rFonts w:ascii="宋体" w:hAnsi="宋体" w:cs="宋体" w:eastAsia="宋体" w:hint="default"/>
                <w:sz w:val="18"/>
                <w:szCs w:val="18"/>
              </w:rPr>
              <w:t>因符合地方政府招商引 资等地方性扶持政策而 获得的补助</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35,028.00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3" w:right="79"/>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电动中巴车补贴</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深圳市发改委</w:t>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56"/>
              <w:jc w:val="left"/>
              <w:rPr>
                <w:rFonts w:ascii="宋体" w:hAnsi="宋体" w:cs="宋体" w:eastAsia="宋体" w:hint="default"/>
                <w:sz w:val="18"/>
                <w:szCs w:val="18"/>
              </w:rPr>
            </w:pPr>
            <w:r>
              <w:rPr>
                <w:rFonts w:ascii="宋体" w:hAnsi="宋体" w:cs="宋体" w:eastAsia="宋体" w:hint="default"/>
                <w:sz w:val="18"/>
                <w:szCs w:val="18"/>
              </w:rPr>
              <w:t>补 助</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both"/>
              <w:rPr>
                <w:rFonts w:ascii="宋体" w:hAnsi="宋体" w:cs="宋体" w:eastAsia="宋体" w:hint="default"/>
                <w:sz w:val="18"/>
                <w:szCs w:val="18"/>
              </w:rPr>
            </w:pPr>
            <w:r>
              <w:rPr>
                <w:rFonts w:ascii="宋体" w:hAnsi="宋体" w:cs="宋体" w:eastAsia="宋体" w:hint="default"/>
                <w:sz w:val="18"/>
                <w:szCs w:val="18"/>
              </w:rPr>
              <w:t>因符合地方政府招商引 资等地方性扶持政策而 获得的补助</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5,000.00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79"/>
              <w:jc w:val="left"/>
              <w:rPr>
                <w:rFonts w:ascii="宋体" w:hAnsi="宋体" w:cs="宋体" w:eastAsia="宋体" w:hint="default"/>
                <w:sz w:val="18"/>
                <w:szCs w:val="18"/>
              </w:rPr>
            </w:pPr>
            <w:r>
              <w:rPr>
                <w:rFonts w:ascii="宋体" w:hAnsi="宋体" w:cs="宋体" w:eastAsia="宋体" w:hint="default"/>
                <w:sz w:val="18"/>
                <w:szCs w:val="18"/>
              </w:rPr>
              <w:t>与资产 相关</w:t>
            </w:r>
          </w:p>
        </w:tc>
      </w:tr>
      <w:tr>
        <w:trPr>
          <w:trHeight w:val="402"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2" w:right="0"/>
              <w:jc w:val="left"/>
              <w:rPr>
                <w:rFonts w:ascii="Times New Roman" w:hAnsi="Times New Roman" w:cs="Times New Roman" w:eastAsia="Times New Roman" w:hint="default"/>
                <w:sz w:val="18"/>
                <w:szCs w:val="18"/>
              </w:rPr>
            </w:pPr>
            <w:r>
              <w:rPr>
                <w:rFonts w:ascii="Times New Roman"/>
                <w:sz w:val="18"/>
              </w:rPr>
              <w:t>--</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712,443.23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326,493.93</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47</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009"/>
        <w:gridCol w:w="1688"/>
        <w:gridCol w:w="1769"/>
        <w:gridCol w:w="4232"/>
      </w:tblGrid>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40"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16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19,177.50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19,177.50</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29,137.18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303,504.71</w:t>
            </w:r>
          </w:p>
        </w:tc>
        <w:tc>
          <w:tcPr>
            <w:tcW w:w="4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29,137.18</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违约金</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53,694.00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841,714.24</w:t>
            </w:r>
          </w:p>
        </w:tc>
        <w:tc>
          <w:tcPr>
            <w:tcW w:w="4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53,694.00</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诉讼费</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45,908.16</w:t>
            </w:r>
          </w:p>
        </w:tc>
        <w:tc>
          <w:tcPr>
            <w:tcW w:w="4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33,333.33</w:t>
            </w:r>
          </w:p>
        </w:tc>
        <w:tc>
          <w:tcPr>
            <w:tcW w:w="4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102,008.68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1,224,460.44</w:t>
            </w:r>
          </w:p>
        </w:tc>
        <w:tc>
          <w:tcPr>
            <w:tcW w:w="4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102,008.68</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48</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-1,562,977.02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4,204,578.08</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-10,127,767.50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371,333.17</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-11,690,744.52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4,575,911.25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7884"/>
        <w:gridCol w:w="1802"/>
      </w:tblGrid>
      <w:tr>
        <w:trPr>
          <w:trHeight w:val="403" w:hRule="exact"/>
        </w:trPr>
        <w:tc>
          <w:tcPr>
            <w:tcW w:w="7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7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-118,058,051.73</w:t>
            </w:r>
          </w:p>
        </w:tc>
      </w:tr>
      <w:tr>
        <w:trPr>
          <w:trHeight w:val="403" w:hRule="exact"/>
        </w:trPr>
        <w:tc>
          <w:tcPr>
            <w:tcW w:w="7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1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-17,708,707.76</w:t>
            </w:r>
          </w:p>
        </w:tc>
      </w:tr>
      <w:tr>
        <w:trPr>
          <w:trHeight w:val="401" w:hRule="exact"/>
        </w:trPr>
        <w:tc>
          <w:tcPr>
            <w:tcW w:w="7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1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5,614,121.28</w:t>
            </w:r>
          </w:p>
        </w:tc>
      </w:tr>
      <w:tr>
        <w:trPr>
          <w:trHeight w:val="403" w:hRule="exact"/>
        </w:trPr>
        <w:tc>
          <w:tcPr>
            <w:tcW w:w="7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1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2,672,740.62</w:t>
            </w:r>
          </w:p>
        </w:tc>
      </w:tr>
      <w:tr>
        <w:trPr>
          <w:trHeight w:val="401" w:hRule="exact"/>
        </w:trPr>
        <w:tc>
          <w:tcPr>
            <w:tcW w:w="7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1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-5,545,969.04</w:t>
            </w:r>
          </w:p>
        </w:tc>
      </w:tr>
      <w:tr>
        <w:trPr>
          <w:trHeight w:val="404" w:hRule="exact"/>
        </w:trPr>
        <w:tc>
          <w:tcPr>
            <w:tcW w:w="7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1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3,277,070.38</w:t>
            </w:r>
          </w:p>
        </w:tc>
      </w:tr>
      <w:tr>
        <w:trPr>
          <w:trHeight w:val="401" w:hRule="exact"/>
        </w:trPr>
        <w:tc>
          <w:tcPr>
            <w:tcW w:w="7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-11,690,744.52</w:t>
            </w:r>
          </w:p>
        </w:tc>
      </w:tr>
    </w:tbl>
    <w:p>
      <w:pPr>
        <w:spacing w:line="240" w:lineRule="auto" w:before="3"/>
        <w:rPr>
          <w:rFonts w:ascii="宋体" w:hAnsi="宋体" w:cs="宋体" w:eastAsia="宋体" w:hint="default"/>
          <w:sz w:val="19"/>
          <w:szCs w:val="19"/>
        </w:rPr>
      </w:pPr>
    </w:p>
    <w:p>
      <w:pPr>
        <w:spacing w:line="547" w:lineRule="auto" w:before="36"/>
        <w:ind w:left="152" w:right="787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49</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详见附注七、</w:t>
      </w:r>
      <w:r>
        <w:rPr>
          <w:rFonts w:ascii="Times New Roman" w:hAnsi="Times New Roman" w:cs="Times New Roman" w:eastAsia="Times New Roman" w:hint="default"/>
          <w:sz w:val="18"/>
          <w:szCs w:val="18"/>
        </w:rPr>
        <w:t>34</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50</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3"/>
        <w:ind w:right="153"/>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收到与收益相关的政府补助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608,409.03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227,011.80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497,059.44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外部单位往来款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927,765.65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收回的投标保证金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50,443,399.28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29,018,444.06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3,951,664.03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4,064,181.13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收回员工借支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827,386.19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租金收入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1,048,618.49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138,360.59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384,901.76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55,638,892.37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36,498,309.08</w:t>
            </w:r>
          </w:p>
        </w:tc>
      </w:tr>
    </w:tbl>
    <w:p>
      <w:pPr>
        <w:pStyle w:val="BodyText"/>
        <w:spacing w:line="240" w:lineRule="auto" w:before="49"/>
        <w:ind w:right="153"/>
        <w:jc w:val="left"/>
      </w:pPr>
      <w:r>
        <w:rPr/>
        <w:t>收到的其他与经营活动有关的现金说明：无。</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付现销管费用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80,993,301.44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55,796,015.06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支付的投标保证金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23,197,046.66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27,477,423.00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支付的保函保证金、票据保证金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40,437,223.65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外部单位往来款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6,495,950.63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1,923,876.45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支付的手续费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241,642.86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18,819.11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员工借支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49,092.23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1,156,711.13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303,558.10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3,037,799.58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151,717,815.57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89,410,644.33</w:t>
            </w:r>
          </w:p>
        </w:tc>
      </w:tr>
    </w:tbl>
    <w:p>
      <w:pPr>
        <w:pStyle w:val="BodyText"/>
        <w:spacing w:line="240" w:lineRule="auto" w:before="49"/>
        <w:ind w:right="153"/>
        <w:jc w:val="left"/>
      </w:pPr>
      <w:r>
        <w:rPr/>
        <w:t>支付的其他与经营活动有关的现金说明：无。</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t>（</w:t>
      </w:r>
      <w:r>
        <w:rPr>
          <w:rFonts w:ascii="Times New Roman" w:hAnsi="Times New Roman" w:cs="Times New Roman" w:eastAsia="Times New Roman" w:hint="default"/>
        </w:rPr>
        <w:t>3</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股份回购</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34,972,414.05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34,972,414.05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53"/>
        <w:jc w:val="left"/>
      </w:pPr>
      <w:r>
        <w:rPr/>
        <w:t>支付的其他与筹资活动有关的现金说明：无。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Times New Roman" w:hAnsi="Times New Roman" w:cs="Times New Roman" w:eastAsia="Times New Roman" w:hint="default"/>
        </w:rPr>
        <w:t>51</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6714"/>
        <w:gridCol w:w="1497"/>
        <w:gridCol w:w="1486"/>
      </w:tblGrid>
      <w:tr>
        <w:trPr>
          <w:trHeight w:val="401" w:hRule="exact"/>
        </w:trPr>
        <w:tc>
          <w:tcPr>
            <w:tcW w:w="6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7"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6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6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-106,367,307.21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75,912,490.21</w:t>
            </w:r>
          </w:p>
        </w:tc>
      </w:tr>
      <w:tr>
        <w:trPr>
          <w:trHeight w:val="403" w:hRule="exact"/>
        </w:trPr>
        <w:tc>
          <w:tcPr>
            <w:tcW w:w="6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4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937,783.73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7,414,529.45</w:t>
            </w:r>
          </w:p>
        </w:tc>
      </w:tr>
      <w:tr>
        <w:trPr>
          <w:trHeight w:val="401" w:hRule="exact"/>
        </w:trPr>
        <w:tc>
          <w:tcPr>
            <w:tcW w:w="6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4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10,179,052.25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11,087,750.31</w:t>
            </w:r>
          </w:p>
        </w:tc>
      </w:tr>
      <w:tr>
        <w:trPr>
          <w:trHeight w:val="404" w:hRule="exact"/>
        </w:trPr>
        <w:tc>
          <w:tcPr>
            <w:tcW w:w="6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4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3,389,049.13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1,627,739.07</w:t>
            </w:r>
          </w:p>
        </w:tc>
      </w:tr>
      <w:tr>
        <w:trPr>
          <w:trHeight w:val="401" w:hRule="exact"/>
        </w:trPr>
        <w:tc>
          <w:tcPr>
            <w:tcW w:w="6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4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402,062.39</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769,486.65</w:t>
            </w:r>
          </w:p>
        </w:tc>
      </w:tr>
      <w:tr>
        <w:trPr>
          <w:trHeight w:val="403" w:hRule="exact"/>
        </w:trPr>
        <w:tc>
          <w:tcPr>
            <w:tcW w:w="6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-2,330,689.74</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-13,588,436.43</w:t>
            </w:r>
          </w:p>
        </w:tc>
      </w:tr>
      <w:tr>
        <w:trPr>
          <w:trHeight w:val="401" w:hRule="exact"/>
        </w:trPr>
        <w:tc>
          <w:tcPr>
            <w:tcW w:w="6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100,772.17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-15,967,586.03</w:t>
            </w:r>
          </w:p>
        </w:tc>
      </w:tr>
      <w:tr>
        <w:trPr>
          <w:trHeight w:val="403" w:hRule="exact"/>
        </w:trPr>
        <w:tc>
          <w:tcPr>
            <w:tcW w:w="6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5,259,892.53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297,211.13</w:t>
            </w:r>
          </w:p>
        </w:tc>
      </w:tr>
      <w:tr>
        <w:trPr>
          <w:trHeight w:val="401" w:hRule="exact"/>
        </w:trPr>
        <w:tc>
          <w:tcPr>
            <w:tcW w:w="6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44,647,617.63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-120,129,482.72</w:t>
            </w:r>
          </w:p>
        </w:tc>
      </w:tr>
      <w:tr>
        <w:trPr>
          <w:trHeight w:val="403" w:hRule="exact"/>
        </w:trPr>
        <w:tc>
          <w:tcPr>
            <w:tcW w:w="6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-8,203,745.27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-7,129,047.77</w:t>
            </w:r>
          </w:p>
        </w:tc>
      </w:tr>
      <w:tr>
        <w:trPr>
          <w:trHeight w:val="401" w:hRule="exact"/>
        </w:trPr>
        <w:tc>
          <w:tcPr>
            <w:tcW w:w="6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-2,114,818.05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12,116,415.66</w:t>
            </w:r>
          </w:p>
        </w:tc>
      </w:tr>
      <w:tr>
        <w:trPr>
          <w:trHeight w:val="404" w:hRule="exact"/>
        </w:trPr>
        <w:tc>
          <w:tcPr>
            <w:tcW w:w="6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6,190,595.29</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-18,050,582.64</w:t>
            </w:r>
          </w:p>
        </w:tc>
      </w:tr>
      <w:tr>
        <w:trPr>
          <w:trHeight w:val="401" w:hRule="exact"/>
        </w:trPr>
        <w:tc>
          <w:tcPr>
            <w:tcW w:w="6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-62,703,644.61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-26,618,933.34</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6714"/>
        <w:gridCol w:w="1497"/>
        <w:gridCol w:w="1486"/>
      </w:tblGrid>
      <w:tr>
        <w:trPr>
          <w:trHeight w:val="402" w:hRule="exact"/>
        </w:trPr>
        <w:tc>
          <w:tcPr>
            <w:tcW w:w="6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62,117,809.26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34,300,263.28</w:t>
            </w:r>
          </w:p>
        </w:tc>
      </w:tr>
      <w:tr>
        <w:trPr>
          <w:trHeight w:val="402" w:hRule="exact"/>
        </w:trPr>
        <w:tc>
          <w:tcPr>
            <w:tcW w:w="6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43,025,023.70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57,311,972.89</w:t>
            </w:r>
          </w:p>
        </w:tc>
      </w:tr>
      <w:tr>
        <w:trPr>
          <w:trHeight w:val="402" w:hRule="exact"/>
        </w:trPr>
        <w:tc>
          <w:tcPr>
            <w:tcW w:w="6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4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-5,470,546.80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-646,210.28</w:t>
            </w:r>
          </w:p>
        </w:tc>
      </w:tr>
      <w:tr>
        <w:trPr>
          <w:trHeight w:val="402" w:hRule="exact"/>
        </w:trPr>
        <w:tc>
          <w:tcPr>
            <w:tcW w:w="6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6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6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4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289,312,815.48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50,592,813.82</w:t>
            </w:r>
          </w:p>
        </w:tc>
      </w:tr>
      <w:tr>
        <w:trPr>
          <w:trHeight w:val="402" w:hRule="exact"/>
        </w:trPr>
        <w:tc>
          <w:tcPr>
            <w:tcW w:w="6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4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50,592,813.82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367,477,462.51</w:t>
            </w:r>
          </w:p>
        </w:tc>
      </w:tr>
      <w:tr>
        <w:trPr>
          <w:trHeight w:val="402" w:hRule="exact"/>
        </w:trPr>
        <w:tc>
          <w:tcPr>
            <w:tcW w:w="6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4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238,720,001.66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-316,884,648.69</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315,210,920.24</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哆可梦</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315,210,920.24</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87,906,388.14</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哆可梦</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87,906,388.14</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227,304,532.10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289,312,815.48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50,592,813.82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2,843.67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9,481.09</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272,620,373.68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50,575,040.17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16,689,598.13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8,292.56</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289,312,815.48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50,592,813.82</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52</w:t>
      </w:r>
      <w:r>
        <w:rPr/>
        <w:t>、所有权或使用权受到限制的资产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57,247,143.35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保函、银行承兑汇票保证金</w:t>
            </w:r>
          </w:p>
        </w:tc>
      </w:tr>
    </w:tbl>
    <w:p>
      <w:pPr>
        <w:spacing w:after="0" w:line="240" w:lineRule="auto"/>
        <w:jc w:val="left"/>
        <w:rPr>
          <w:rFonts w:ascii="宋体" w:hAnsi="宋体" w:cs="宋体" w:eastAsia="宋体" w:hint="default"/>
          <w:sz w:val="18"/>
          <w:szCs w:val="18"/>
        </w:rPr>
        <w:sectPr>
          <w:pgSz w:w="11910" w:h="16840"/>
          <w:pgMar w:header="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26"/>
        <w:gridCol w:w="3058"/>
        <w:gridCol w:w="3185"/>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62,780,067.56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借款抵押</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3,694,797.76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借款抵押</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123,722,008.67</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53</w:t>
      </w:r>
      <w:r>
        <w:rPr/>
        <w:t>、外币货币性项目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648,163.64</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98,831.52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645,784.92</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2,845.66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0.83591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2,378.72</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8,527,163.52</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1,299,106.91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8,488,624.37</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4,939.46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7.8023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38,539.15</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212,854.56</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24,566.19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160,520.40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6,707.53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7.8023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52,334.16</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1,023,008.10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1,223,825.65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0.83591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1,023,008.10</w:t>
            </w:r>
          </w:p>
        </w:tc>
      </w:tr>
    </w:tbl>
    <w:p>
      <w:pPr>
        <w:spacing w:line="240" w:lineRule="auto" w:before="3"/>
        <w:rPr>
          <w:rFonts w:ascii="宋体" w:hAnsi="宋体" w:cs="宋体" w:eastAsia="宋体" w:hint="default"/>
          <w:sz w:val="19"/>
          <w:szCs w:val="19"/>
        </w:rPr>
      </w:pPr>
    </w:p>
    <w:p>
      <w:pPr>
        <w:pStyle w:val="Heading3"/>
        <w:spacing w:line="256" w:lineRule="auto" w:before="36"/>
        <w:ind w:right="153"/>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153"/>
        <w:jc w:val="left"/>
        <w:rPr>
          <w:b w:val="0"/>
          <w:bCs w:val="0"/>
        </w:rPr>
      </w:pP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646"/>
        <w:gridCol w:w="926"/>
        <w:gridCol w:w="1321"/>
        <w:gridCol w:w="852"/>
        <w:gridCol w:w="646"/>
        <w:gridCol w:w="927"/>
        <w:gridCol w:w="972"/>
        <w:gridCol w:w="1688"/>
        <w:gridCol w:w="1721"/>
      </w:tblGrid>
      <w:tr>
        <w:trPr>
          <w:trHeight w:val="713" w:hRule="exact"/>
        </w:trPr>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6"/>
              <w:jc w:val="left"/>
              <w:rPr>
                <w:rFonts w:ascii="宋体" w:hAnsi="宋体" w:cs="宋体" w:eastAsia="宋体" w:hint="default"/>
                <w:sz w:val="18"/>
                <w:szCs w:val="18"/>
              </w:rPr>
            </w:pPr>
            <w:r>
              <w:rPr>
                <w:rFonts w:ascii="宋体" w:hAnsi="宋体" w:cs="宋体" w:eastAsia="宋体" w:hint="default"/>
                <w:sz w:val="18"/>
                <w:szCs w:val="18"/>
              </w:rPr>
              <w:t>被购买 方名称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8" w:right="96"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股权取得成本</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9" w:right="60" w:hanging="180"/>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7"/>
              <w:jc w:val="left"/>
              <w:rPr>
                <w:rFonts w:ascii="宋体" w:hAnsi="宋体" w:cs="宋体" w:eastAsia="宋体" w:hint="default"/>
                <w:sz w:val="18"/>
                <w:szCs w:val="18"/>
              </w:rPr>
            </w:pPr>
            <w:r>
              <w:rPr>
                <w:rFonts w:ascii="宋体" w:hAnsi="宋体" w:cs="宋体" w:eastAsia="宋体" w:hint="default"/>
                <w:sz w:val="18"/>
                <w:szCs w:val="18"/>
              </w:rPr>
              <w:t>股权取 得方式</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1" w:right="29"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9" w:right="27" w:hanging="452"/>
              <w:jc w:val="left"/>
              <w:rPr>
                <w:rFonts w:ascii="宋体" w:hAnsi="宋体" w:cs="宋体" w:eastAsia="宋体" w:hint="default"/>
                <w:sz w:val="18"/>
                <w:szCs w:val="18"/>
              </w:rPr>
            </w:pPr>
            <w:r>
              <w:rPr>
                <w:rFonts w:ascii="宋体" w:hAnsi="宋体" w:cs="宋体" w:eastAsia="宋体" w:hint="default"/>
                <w:sz w:val="18"/>
                <w:szCs w:val="18"/>
              </w:rPr>
              <w:t>购买日至期末被购买 方的收入</w:t>
            </w:r>
          </w:p>
        </w:tc>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5" w:right="43" w:hanging="360"/>
              <w:jc w:val="left"/>
              <w:rPr>
                <w:rFonts w:ascii="宋体" w:hAnsi="宋体" w:cs="宋体" w:eastAsia="宋体" w:hint="default"/>
                <w:sz w:val="18"/>
                <w:szCs w:val="18"/>
              </w:rPr>
            </w:pPr>
            <w:r>
              <w:rPr>
                <w:rFonts w:ascii="宋体" w:hAnsi="宋体" w:cs="宋体" w:eastAsia="宋体" w:hint="default"/>
                <w:sz w:val="18"/>
                <w:szCs w:val="18"/>
              </w:rPr>
              <w:t>购买日至期末被购买 方的净利润</w:t>
            </w:r>
          </w:p>
        </w:tc>
      </w:tr>
      <w:tr>
        <w:trPr>
          <w:trHeight w:val="716"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哆可梦</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1,383,460,950.00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77.57%</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36"/>
              <w:jc w:val="left"/>
              <w:rPr>
                <w:rFonts w:ascii="宋体" w:hAnsi="宋体" w:cs="宋体" w:eastAsia="宋体" w:hint="default"/>
                <w:sz w:val="18"/>
                <w:szCs w:val="18"/>
              </w:rPr>
            </w:pPr>
            <w:r>
              <w:rPr>
                <w:rFonts w:ascii="宋体" w:hAnsi="宋体" w:cs="宋体" w:eastAsia="宋体" w:hint="default"/>
                <w:sz w:val="18"/>
                <w:szCs w:val="18"/>
              </w:rPr>
              <w:t>能够对购买 方实施控制</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1" w:right="0"/>
              <w:jc w:val="left"/>
              <w:rPr>
                <w:rFonts w:ascii="Times New Roman" w:hAnsi="Times New Roman" w:cs="Times New Roman" w:eastAsia="Times New Roman" w:hint="default"/>
                <w:sz w:val="18"/>
                <w:szCs w:val="18"/>
              </w:rPr>
            </w:pPr>
            <w:r>
              <w:rPr>
                <w:rFonts w:ascii="Times New Roman"/>
                <w:sz w:val="18"/>
              </w:rPr>
              <w:t>46,979,219.61</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41" w:right="0"/>
              <w:jc w:val="left"/>
              <w:rPr>
                <w:rFonts w:ascii="Times New Roman" w:hAnsi="Times New Roman" w:cs="Times New Roman" w:eastAsia="Times New Roman" w:hint="default"/>
                <w:sz w:val="18"/>
                <w:szCs w:val="18"/>
              </w:rPr>
            </w:pPr>
            <w:r>
              <w:rPr>
                <w:rFonts w:ascii="Times New Roman"/>
                <w:sz w:val="18"/>
              </w:rPr>
              <w:t>5,529,775.15</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7606"/>
        <w:gridCol w:w="2091"/>
      </w:tblGrid>
      <w:tr>
        <w:trPr>
          <w:trHeight w:val="403" w:hRule="exact"/>
        </w:trPr>
        <w:tc>
          <w:tcPr>
            <w:tcW w:w="7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209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哆可梦</w:t>
            </w:r>
          </w:p>
        </w:tc>
      </w:tr>
      <w:tr>
        <w:trPr>
          <w:trHeight w:val="401" w:hRule="exact"/>
        </w:trPr>
        <w:tc>
          <w:tcPr>
            <w:tcW w:w="7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1,383,460,950.00</w:t>
            </w:r>
          </w:p>
        </w:tc>
      </w:tr>
      <w:tr>
        <w:trPr>
          <w:trHeight w:val="403" w:hRule="exact"/>
        </w:trPr>
        <w:tc>
          <w:tcPr>
            <w:tcW w:w="7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1,383,460,950.00</w:t>
            </w:r>
          </w:p>
        </w:tc>
      </w:tr>
      <w:tr>
        <w:trPr>
          <w:trHeight w:val="401" w:hRule="exact"/>
        </w:trPr>
        <w:tc>
          <w:tcPr>
            <w:tcW w:w="7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163,220,460.60</w:t>
            </w:r>
          </w:p>
        </w:tc>
      </w:tr>
      <w:tr>
        <w:trPr>
          <w:trHeight w:val="403" w:hRule="exact"/>
        </w:trPr>
        <w:tc>
          <w:tcPr>
            <w:tcW w:w="7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合并成本小于取得的可辨认净资产公允价值份额的金额</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1,220,240,489.40</w:t>
            </w:r>
          </w:p>
        </w:tc>
      </w:tr>
    </w:tbl>
    <w:p>
      <w:pPr>
        <w:pStyle w:val="BodyText"/>
        <w:spacing w:line="357" w:lineRule="auto" w:before="49"/>
        <w:ind w:left="532" w:right="214" w:hanging="380"/>
        <w:jc w:val="left"/>
      </w:pPr>
      <w:r>
        <w:rPr/>
        <w:t>合并成本公允价值的确定方法、或有对价及其变动的说明： 评估师采用未来收益法对哆可梦全部权益价值进行评估后，公司将本次交易取得的股权比例乘以哆可梦全部股东权益</w:t>
      </w:r>
    </w:p>
    <w:p>
      <w:pPr>
        <w:pStyle w:val="BodyText"/>
        <w:spacing w:line="224" w:lineRule="exact"/>
        <w:ind w:right="153"/>
        <w:jc w:val="left"/>
      </w:pPr>
      <w:r>
        <w:rPr/>
        <w:t>价值，确认本次合并成本的公允价值。</w:t>
      </w:r>
    </w:p>
    <w:p>
      <w:pPr>
        <w:pStyle w:val="BodyText"/>
        <w:spacing w:line="240" w:lineRule="auto" w:before="117"/>
        <w:ind w:right="153"/>
        <w:jc w:val="left"/>
      </w:pPr>
      <w:r>
        <w:rPr/>
        <w:t>大额商誉形成的主要原因：非同一控制下企业合并。</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3"/>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3" w:type="dxa"/>
            <w:gridSpan w:val="2"/>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哆可梦</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87,906,388.14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87,906,388.14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233,119,016.52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233,119,016.52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4,488,300.96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1,996,308.22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3,680,984.27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335,749.71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15,364,182.35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15,364,182.35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5,005,022.60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5,005,022.60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115,529,767.65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115,529,767.65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5,226,689.03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5,226,689.03</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8,835,530.86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8,835,530.86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9,554,915.41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9,554,915.41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210,416,991.89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204,579,764.59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47,196,531.29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45,887,241.20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163,220,460.60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158,692,523.39</w:t>
            </w:r>
          </w:p>
        </w:tc>
      </w:tr>
    </w:tbl>
    <w:p>
      <w:pPr>
        <w:pStyle w:val="BodyText"/>
        <w:spacing w:line="357" w:lineRule="auto" w:before="49"/>
        <w:ind w:left="441" w:right="153" w:hanging="289"/>
        <w:jc w:val="left"/>
      </w:pPr>
      <w:r>
        <w:rPr/>
        <w:t>可辨认资产、负债公允价值的确定方法： </w:t>
      </w:r>
      <w:r>
        <w:rPr>
          <w:spacing w:val="-1"/>
        </w:rPr>
        <w:t>按照上海众华资产评估有限公司出具的《深圳市惠程电气股份有限公司拟进行合并对价分摊所涉及的成都哆可梦网络科</w:t>
      </w:r>
    </w:p>
    <w:p>
      <w:pPr>
        <w:pStyle w:val="BodyText"/>
        <w:spacing w:line="224" w:lineRule="exact"/>
        <w:ind w:right="153"/>
        <w:jc w:val="left"/>
      </w:pPr>
      <w:r>
        <w:rPr/>
        <w:t>技有限公司可辨认净资产公允价值资产评估报告》确认可辨认资产及负债的公允价值。</w:t>
      </w:r>
    </w:p>
    <w:p>
      <w:pPr>
        <w:pStyle w:val="BodyText"/>
        <w:spacing w:line="240" w:lineRule="auto" w:before="117"/>
        <w:ind w:right="153"/>
        <w:jc w:val="left"/>
      </w:pPr>
      <w:r>
        <w:rPr/>
        <w:t>企业合并中承担的被购买方的或有负债：无。</w:t>
      </w:r>
    </w:p>
    <w:p>
      <w:pPr>
        <w:spacing w:after="0" w:line="240" w:lineRule="auto"/>
        <w:jc w:val="left"/>
        <w:sectPr>
          <w:pgSz w:w="11910" w:h="16840"/>
          <w:pgMar w:header="0" w:footer="979"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94"/>
        <w:jc w:val="left"/>
        <w:rPr>
          <w:b w:val="0"/>
          <w:bCs w:val="0"/>
        </w:rPr>
      </w:pPr>
      <w:r>
        <w:rPr>
          <w:rFonts w:ascii="Times New Roman" w:hAnsi="Times New Roman" w:cs="Times New Roman" w:eastAsia="Times New Roman" w:hint="default"/>
        </w:rPr>
        <w:t>2</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left="513" w:right="94" w:hanging="361"/>
        <w:jc w:val="left"/>
      </w:pPr>
      <w:r>
        <w:rPr/>
        <w:t>说明其他原因导致的合并范围变动（如，新设子公司、清算子公司等）及其相关情况： </w:t>
      </w:r>
      <w:r>
        <w:rPr>
          <w:spacing w:val="-2"/>
        </w:rPr>
        <w:t>永耀惠程于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27</w:t>
      </w:r>
      <w:r>
        <w:rPr>
          <w:spacing w:val="-2"/>
        </w:rPr>
        <w:t>日完成工商注册，截至</w:t>
      </w:r>
      <w:r>
        <w:rPr>
          <w:rFonts w:ascii="Times New Roman" w:hAnsi="Times New Roman" w:cs="Times New Roman" w:eastAsia="Times New Roman" w:hint="default"/>
          <w:spacing w:val="-2"/>
        </w:rPr>
        <w:t>2016</w:t>
      </w:r>
      <w:r>
        <w:rPr>
          <w:spacing w:val="-2"/>
        </w:rPr>
        <w:t>年末各股东尚未完成出资义务，根据永耀惠程章程约定的股权比例</w:t>
      </w:r>
    </w:p>
    <w:p>
      <w:pPr>
        <w:pStyle w:val="BodyText"/>
        <w:spacing w:line="214" w:lineRule="exact"/>
        <w:ind w:right="0"/>
        <w:jc w:val="left"/>
      </w:pPr>
      <w:r>
        <w:rPr/>
        <w:t>和董事会成员构成，公司认为对永耀惠程具有实际控制权，将其纳入公司财务报表合并范围；</w:t>
      </w:r>
      <w:r>
        <w:rPr>
          <w:rFonts w:ascii="Times New Roman" w:hAnsi="Times New Roman" w:cs="Times New Roman" w:eastAsia="Times New Roman" w:hint="default"/>
        </w:rPr>
        <w:t>2017</w:t>
      </w:r>
      <w:r>
        <w:rPr/>
        <w:t>年实际经营中，公司未能</w:t>
      </w:r>
    </w:p>
    <w:p>
      <w:pPr>
        <w:pStyle w:val="BodyText"/>
        <w:spacing w:line="300" w:lineRule="auto" w:before="63"/>
        <w:ind w:right="94"/>
        <w:jc w:val="left"/>
      </w:pPr>
      <w:r>
        <w:rPr/>
        <w:t>实现对永耀惠程的控制而只能起到重大影响，根据实质重于形式的原则，故在</w:t>
      </w:r>
      <w:r>
        <w:rPr>
          <w:rFonts w:ascii="Times New Roman" w:hAnsi="Times New Roman" w:cs="Times New Roman" w:eastAsia="Times New Roman" w:hint="default"/>
        </w:rPr>
        <w:t>2017</w:t>
      </w:r>
      <w:r>
        <w:rPr/>
        <w:t>年未将永耀惠程纳入财务报表合并范围， 改按以长期股权投资权益法进行核算。</w:t>
      </w:r>
    </w:p>
    <w:p>
      <w:pPr>
        <w:spacing w:line="240" w:lineRule="auto" w:before="11"/>
        <w:rPr>
          <w:rFonts w:ascii="宋体" w:hAnsi="宋体" w:cs="宋体" w:eastAsia="宋体" w:hint="default"/>
          <w:sz w:val="21"/>
          <w:szCs w:val="21"/>
        </w:rPr>
      </w:pPr>
    </w:p>
    <w:p>
      <w:pPr>
        <w:pStyle w:val="Heading2"/>
        <w:spacing w:line="240" w:lineRule="auto"/>
        <w:ind w:right="94"/>
        <w:jc w:val="left"/>
        <w:rPr>
          <w:b w:val="0"/>
          <w:bCs w:val="0"/>
        </w:rPr>
      </w:pP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1462"/>
        <w:gridCol w:w="1231"/>
        <w:gridCol w:w="769"/>
        <w:gridCol w:w="2158"/>
        <w:gridCol w:w="902"/>
        <w:gridCol w:w="787"/>
        <w:gridCol w:w="2389"/>
      </w:tblGrid>
      <w:tr>
        <w:trPr>
          <w:trHeight w:val="401" w:hRule="exact"/>
        </w:trPr>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2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1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715"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6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23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462" w:type="dxa"/>
            <w:vMerge/>
            <w:tcBorders>
              <w:left w:val="single" w:sz="4" w:space="0" w:color="000000"/>
              <w:bottom w:val="single" w:sz="4" w:space="0" w:color="000000"/>
              <w:right w:val="single" w:sz="4" w:space="0" w:color="000000"/>
            </w:tcBorders>
            <w:shd w:val="clear" w:color="auto" w:fill="D2D2D2"/>
          </w:tcPr>
          <w:p>
            <w:pPr/>
          </w:p>
        </w:tc>
        <w:tc>
          <w:tcPr>
            <w:tcW w:w="1231" w:type="dxa"/>
            <w:vMerge/>
            <w:tcBorders>
              <w:left w:val="single" w:sz="4" w:space="0" w:color="000000"/>
              <w:bottom w:val="single" w:sz="4" w:space="0" w:color="000000"/>
              <w:right w:val="single" w:sz="4" w:space="0" w:color="000000"/>
            </w:tcBorders>
            <w:shd w:val="clear" w:color="auto" w:fill="D2D2D2"/>
          </w:tcPr>
          <w:p>
            <w:pPr/>
          </w:p>
        </w:tc>
        <w:tc>
          <w:tcPr>
            <w:tcW w:w="769" w:type="dxa"/>
            <w:vMerge/>
            <w:tcBorders>
              <w:left w:val="single" w:sz="4" w:space="0" w:color="000000"/>
              <w:bottom w:val="single" w:sz="4" w:space="0" w:color="000000"/>
              <w:right w:val="single" w:sz="4" w:space="0" w:color="000000"/>
            </w:tcBorders>
            <w:shd w:val="clear" w:color="auto" w:fill="D2D2D2"/>
          </w:tcPr>
          <w:p>
            <w:pPr/>
          </w:p>
        </w:tc>
        <w:tc>
          <w:tcPr>
            <w:tcW w:w="2158" w:type="dxa"/>
            <w:vMerge/>
            <w:tcBorders>
              <w:left w:val="single" w:sz="4" w:space="0" w:color="000000"/>
              <w:bottom w:val="single" w:sz="4" w:space="0" w:color="000000"/>
              <w:right w:val="single" w:sz="4" w:space="0" w:color="000000"/>
            </w:tcBorders>
            <w:shd w:val="clear" w:color="auto" w:fill="D2D2D2"/>
          </w:tcPr>
          <w:p>
            <w:pPr/>
          </w:p>
        </w:tc>
        <w:tc>
          <w:tcPr>
            <w:tcW w:w="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6"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8"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238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惠程智能</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香港惠程</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贸易业</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1" w:hRule="exact"/>
        </w:trPr>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中汇联银</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投资公司</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4" w:hRule="exact"/>
        </w:trPr>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喀什中汇联银</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喀什市</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喀什市</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投资公司</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中汇联鑫</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投资公司</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哆可梦</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互联网及相关服务业</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77.57%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bl>
    <w:p>
      <w:pPr>
        <w:pStyle w:val="BodyText"/>
        <w:spacing w:line="357" w:lineRule="auto" w:before="49"/>
        <w:ind w:right="1534"/>
        <w:jc w:val="left"/>
      </w:pPr>
      <w:r>
        <w:rPr/>
        <w:t>在子公司的持股比例不同于表决权比例的说明：无。 持有半数或以下表决权但仍控制被投资单位、以及持有半数以上表决权但不控制被投资单位的依据：无。 对于纳入合并范围的重要的结构化主体，控制的依据：无。</w:t>
      </w:r>
    </w:p>
    <w:p>
      <w:pPr>
        <w:pStyle w:val="BodyText"/>
        <w:spacing w:line="357" w:lineRule="auto" w:before="29"/>
        <w:ind w:right="4954"/>
        <w:jc w:val="left"/>
      </w:pPr>
      <w:r>
        <w:rPr/>
        <w:t>确定公司是代理人还是委托人的依据：无。 其他说明：上述企业集团的构成涵盖公司所有的二级子公司。</w:t>
      </w:r>
    </w:p>
    <w:p>
      <w:pPr>
        <w:spacing w:line="240" w:lineRule="auto" w:before="6"/>
        <w:rPr>
          <w:rFonts w:ascii="宋体" w:hAnsi="宋体" w:cs="宋体" w:eastAsia="宋体" w:hint="default"/>
          <w:sz w:val="20"/>
          <w:szCs w:val="20"/>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019"/>
        <w:gridCol w:w="1594"/>
        <w:gridCol w:w="2360"/>
        <w:gridCol w:w="2744"/>
        <w:gridCol w:w="1981"/>
      </w:tblGrid>
      <w:tr>
        <w:trPr>
          <w:trHeight w:val="763" w:hRule="exact"/>
        </w:trPr>
        <w:tc>
          <w:tcPr>
            <w:tcW w:w="10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本期归属于少数股东的损益</w:t>
            </w:r>
          </w:p>
        </w:tc>
        <w:tc>
          <w:tcPr>
            <w:tcW w:w="2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本期向少数股东宣告分派的股利</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3" w:hRule="exact"/>
        </w:trPr>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哆可梦</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22.43%</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83" w:right="0"/>
              <w:jc w:val="left"/>
              <w:rPr>
                <w:rFonts w:ascii="Times New Roman" w:hAnsi="Times New Roman" w:cs="Times New Roman" w:eastAsia="Times New Roman" w:hint="default"/>
                <w:sz w:val="18"/>
                <w:szCs w:val="18"/>
              </w:rPr>
            </w:pPr>
            <w:r>
              <w:rPr>
                <w:rFonts w:ascii="Times New Roman"/>
                <w:sz w:val="18"/>
              </w:rPr>
              <w:t>1,240,328.56</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2" w:right="0"/>
              <w:jc w:val="left"/>
              <w:rPr>
                <w:rFonts w:ascii="Times New Roman" w:hAnsi="Times New Roman" w:cs="Times New Roman" w:eastAsia="Times New Roman" w:hint="default"/>
                <w:sz w:val="18"/>
                <w:szCs w:val="18"/>
              </w:rPr>
            </w:pPr>
            <w:r>
              <w:rPr>
                <w:rFonts w:ascii="Times New Roman"/>
                <w:sz w:val="18"/>
              </w:rPr>
              <w:t>48,436,859.85</w:t>
            </w:r>
          </w:p>
        </w:tc>
      </w:tr>
    </w:tbl>
    <w:p>
      <w:pPr>
        <w:pStyle w:val="BodyText"/>
        <w:spacing w:line="240" w:lineRule="auto" w:before="49"/>
        <w:ind w:right="94"/>
        <w:jc w:val="left"/>
      </w:pPr>
      <w:r>
        <w:rPr/>
        <w:t>子公司少数股东的持股比例不同于表决权比例的说明：无。</w:t>
      </w:r>
    </w:p>
    <w:p>
      <w:pPr>
        <w:spacing w:after="0" w:line="240" w:lineRule="auto"/>
        <w:jc w:val="left"/>
        <w:sectPr>
          <w:pgSz w:w="11910" w:h="16840"/>
          <w:pgMar w:header="0" w:footer="979" w:top="1100" w:bottom="1160" w:left="980" w:right="940"/>
        </w:sectPr>
      </w:pPr>
    </w:p>
    <w:p>
      <w:pPr>
        <w:spacing w:line="240" w:lineRule="auto" w:before="0"/>
        <w:rPr>
          <w:rFonts w:ascii="宋体" w:hAnsi="宋体" w:cs="宋体" w:eastAsia="宋体" w:hint="default"/>
          <w:sz w:val="24"/>
          <w:szCs w:val="24"/>
        </w:rPr>
      </w:pPr>
    </w:p>
    <w:p>
      <w:pPr>
        <w:pStyle w:val="Heading3"/>
        <w:spacing w:line="240" w:lineRule="auto"/>
        <w:ind w:left="140" w:right="0"/>
        <w:jc w:val="left"/>
        <w:rPr>
          <w:b w:val="0"/>
          <w:bCs w:val="0"/>
        </w:rPr>
      </w:pPr>
      <w:r>
        <w:rPr/>
        <w:pict>
          <v:group style="position:absolute;margin-left:70.559998pt;margin-top:-.476309pt;width:700.95pt;height:.1pt;mso-position-horizontal-relative:page;mso-position-vertical-relative:paragraph;z-index:2320" coordorigin="1411,-10" coordsize="14019,2">
            <v:shape style="position:absolute;left:1411;top:-10;width:14019;height:2" coordorigin="1411,-10" coordsize="14019,0" path="m1411,-10l15430,-10e" filled="false" stroked="true" strokeweight=".72pt" strokecolor="#000000">
              <v:path arrowok="t"/>
            </v:shape>
            <w10:wrap type="none"/>
          </v:group>
        </w:pict>
      </w:r>
      <w:r>
        <w:rPr>
          <w:spacing w:val="-1"/>
        </w:rPr>
        <w:t>（</w:t>
      </w:r>
      <w:r>
        <w:rPr>
          <w:rFonts w:ascii="Times New Roman" w:hAnsi="Times New Roman" w:cs="Times New Roman" w:eastAsia="Times New Roman" w:hint="default"/>
          <w:spacing w:val="-1"/>
        </w:rPr>
        <w:t>3</w:t>
      </w:r>
      <w:r>
        <w:rPr>
          <w:spacing w:val="-1"/>
        </w:rPr>
        <w:t>）重要非全资子公司的主要财务信息</w:t>
      </w:r>
      <w:r>
        <w:rPr>
          <w:b w:val="0"/>
          <w:bCs w:val="0"/>
          <w:spacing w:val="-1"/>
        </w:rPr>
      </w:r>
    </w:p>
    <w:p>
      <w:pPr>
        <w:pStyle w:val="BodyText"/>
        <w:spacing w:line="240" w:lineRule="auto" w:before="15"/>
        <w:ind w:left="140" w:right="0"/>
        <w:jc w:val="left"/>
      </w:pPr>
      <w:r>
        <w:rPr/>
        <w:br w:type="column"/>
      </w:r>
      <w:r>
        <w:rPr/>
        <w:t>深圳市惠程电气股份有限公司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p>
      <w:pPr>
        <w:spacing w:after="0" w:line="240" w:lineRule="auto"/>
        <w:jc w:val="left"/>
        <w:sectPr>
          <w:headerReference w:type="default" r:id="rId45"/>
          <w:footerReference w:type="default" r:id="rId46"/>
          <w:pgSz w:w="16840" w:h="11910" w:orient="landscape"/>
          <w:pgMar w:header="0" w:footer="0" w:top="800" w:bottom="280" w:left="1300" w:right="1280"/>
          <w:cols w:num="2" w:equalWidth="0">
            <w:col w:w="3832" w:space="6076"/>
            <w:col w:w="4352"/>
          </w:cols>
        </w:sectPr>
      </w:pPr>
    </w:p>
    <w:p>
      <w:pPr>
        <w:spacing w:line="240" w:lineRule="auto" w:before="12"/>
        <w:rPr>
          <w:rFonts w:ascii="宋体" w:hAnsi="宋体" w:cs="宋体" w:eastAsia="宋体" w:hint="default"/>
          <w:sz w:val="22"/>
          <w:szCs w:val="22"/>
        </w:rPr>
      </w:pPr>
    </w:p>
    <w:p>
      <w:pPr>
        <w:pStyle w:val="BodyText"/>
        <w:spacing w:line="240" w:lineRule="auto" w:before="44"/>
        <w:ind w:left="0" w:right="155"/>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924"/>
        <w:gridCol w:w="1181"/>
        <w:gridCol w:w="1090"/>
        <w:gridCol w:w="1181"/>
        <w:gridCol w:w="1092"/>
        <w:gridCol w:w="1001"/>
        <w:gridCol w:w="1181"/>
        <w:gridCol w:w="1092"/>
        <w:gridCol w:w="1001"/>
        <w:gridCol w:w="1090"/>
        <w:gridCol w:w="1092"/>
        <w:gridCol w:w="1001"/>
        <w:gridCol w:w="1091"/>
      </w:tblGrid>
      <w:tr>
        <w:trPr>
          <w:trHeight w:val="401" w:hRule="exact"/>
        </w:trPr>
        <w:tc>
          <w:tcPr>
            <w:tcW w:w="92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367" w:right="96" w:hanging="272"/>
              <w:jc w:val="left"/>
              <w:rPr>
                <w:rFonts w:ascii="宋体" w:hAnsi="宋体" w:cs="宋体" w:eastAsia="宋体" w:hint="default"/>
                <w:sz w:val="18"/>
                <w:szCs w:val="18"/>
              </w:rPr>
            </w:pPr>
            <w:r>
              <w:rPr>
                <w:rFonts w:ascii="宋体" w:hAnsi="宋体" w:cs="宋体" w:eastAsia="宋体" w:hint="default"/>
                <w:sz w:val="18"/>
                <w:szCs w:val="18"/>
              </w:rPr>
              <w:t>子公司名 称</w:t>
            </w:r>
          </w:p>
        </w:tc>
        <w:tc>
          <w:tcPr>
            <w:tcW w:w="672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36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924"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非流动资产</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非流动资产</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非流动负债</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负债合计</w:t>
            </w:r>
          </w:p>
        </w:tc>
      </w:tr>
      <w:tr>
        <w:trPr>
          <w:trHeight w:val="401"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哆可梦</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296,437,060.40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21,604,579.50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318,041,639.90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92,860,976.04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9,233,896.82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102,094,872.86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80,951,246.99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1,757,174.52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82,708,421.51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15,426,336.23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4,821,144.74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20,247,480.97</w:t>
            </w:r>
          </w:p>
        </w:tc>
      </w:tr>
    </w:tbl>
    <w:p>
      <w:pPr>
        <w:pStyle w:val="BodyText"/>
        <w:spacing w:line="240" w:lineRule="auto" w:before="49"/>
        <w:ind w:left="0" w:right="155"/>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556"/>
        <w:gridCol w:w="1553"/>
        <w:gridCol w:w="1556"/>
        <w:gridCol w:w="1558"/>
        <w:gridCol w:w="1563"/>
        <w:gridCol w:w="1555"/>
        <w:gridCol w:w="1558"/>
        <w:gridCol w:w="1555"/>
        <w:gridCol w:w="1564"/>
      </w:tblGrid>
      <w:tr>
        <w:trPr>
          <w:trHeight w:val="401" w:hRule="exact"/>
        </w:trPr>
        <w:tc>
          <w:tcPr>
            <w:tcW w:w="15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2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623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556" w:type="dxa"/>
            <w:vMerge/>
            <w:tcBorders>
              <w:left w:val="single" w:sz="4" w:space="0" w:color="000000"/>
              <w:bottom w:val="single" w:sz="4" w:space="0" w:color="000000"/>
              <w:right w:val="single" w:sz="4" w:space="0" w:color="000000"/>
            </w:tcBorders>
            <w:shd w:val="clear" w:color="auto" w:fill="D2D2D2"/>
          </w:tcPr>
          <w:p>
            <w:pP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7"/>
              <w:jc w:val="right"/>
              <w:rPr>
                <w:rFonts w:ascii="宋体" w:hAnsi="宋体" w:cs="宋体" w:eastAsia="宋体" w:hint="default"/>
                <w:sz w:val="18"/>
                <w:szCs w:val="18"/>
              </w:rPr>
            </w:pPr>
            <w:r>
              <w:rPr>
                <w:rFonts w:ascii="宋体" w:hAnsi="宋体" w:cs="宋体" w:eastAsia="宋体" w:hint="default"/>
                <w:sz w:val="18"/>
                <w:szCs w:val="18"/>
              </w:rPr>
              <w:t>经营活动现金流量</w:t>
            </w: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4"/>
              <w:jc w:val="righ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401"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哆可梦</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4" w:right="0"/>
              <w:jc w:val="left"/>
              <w:rPr>
                <w:rFonts w:ascii="Times New Roman" w:hAnsi="Times New Roman" w:cs="Times New Roman" w:eastAsia="Times New Roman" w:hint="default"/>
                <w:sz w:val="18"/>
                <w:szCs w:val="18"/>
              </w:rPr>
            </w:pPr>
            <w:r>
              <w:rPr>
                <w:rFonts w:ascii="Times New Roman"/>
                <w:sz w:val="18"/>
              </w:rPr>
              <w:t>46,979,219.61</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8" w:right="0"/>
              <w:jc w:val="left"/>
              <w:rPr>
                <w:rFonts w:ascii="Times New Roman" w:hAnsi="Times New Roman" w:cs="Times New Roman" w:eastAsia="Times New Roman" w:hint="default"/>
                <w:sz w:val="18"/>
                <w:szCs w:val="18"/>
              </w:rPr>
            </w:pPr>
            <w:r>
              <w:rPr>
                <w:rFonts w:ascii="Times New Roman"/>
                <w:sz w:val="18"/>
              </w:rPr>
              <w:t>5,529,775.15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0" w:right="0"/>
              <w:jc w:val="left"/>
              <w:rPr>
                <w:rFonts w:ascii="Times New Roman" w:hAnsi="Times New Roman" w:cs="Times New Roman" w:eastAsia="Times New Roman" w:hint="default"/>
                <w:sz w:val="18"/>
                <w:szCs w:val="18"/>
              </w:rPr>
            </w:pPr>
            <w:r>
              <w:rPr>
                <w:rFonts w:ascii="Times New Roman"/>
                <w:sz w:val="18"/>
              </w:rPr>
              <w:t>5,529,775.15</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64,848,338.73</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5" w:right="0"/>
              <w:jc w:val="left"/>
              <w:rPr>
                <w:rFonts w:ascii="Times New Roman" w:hAnsi="Times New Roman" w:cs="Times New Roman" w:eastAsia="Times New Roman" w:hint="default"/>
                <w:sz w:val="18"/>
                <w:szCs w:val="18"/>
              </w:rPr>
            </w:pPr>
            <w:r>
              <w:rPr>
                <w:rFonts w:ascii="Times New Roman"/>
                <w:sz w:val="18"/>
              </w:rPr>
              <w:t>165,195,988.03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9" w:right="0"/>
              <w:jc w:val="left"/>
              <w:rPr>
                <w:rFonts w:ascii="Times New Roman" w:hAnsi="Times New Roman" w:cs="Times New Roman" w:eastAsia="Times New Roman" w:hint="default"/>
                <w:sz w:val="18"/>
                <w:szCs w:val="18"/>
              </w:rPr>
            </w:pPr>
            <w:r>
              <w:rPr>
                <w:rFonts w:ascii="Times New Roman"/>
                <w:sz w:val="18"/>
              </w:rPr>
              <w:t>33,502,452.90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7" w:right="0"/>
              <w:jc w:val="left"/>
              <w:rPr>
                <w:rFonts w:ascii="Times New Roman" w:hAnsi="Times New Roman" w:cs="Times New Roman" w:eastAsia="Times New Roman" w:hint="default"/>
                <w:sz w:val="18"/>
                <w:szCs w:val="18"/>
              </w:rPr>
            </w:pPr>
            <w:r>
              <w:rPr>
                <w:rFonts w:ascii="Times New Roman"/>
                <w:sz w:val="18"/>
              </w:rPr>
              <w:t>33,502,452.90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23,145,051.37</w:t>
            </w:r>
          </w:p>
        </w:tc>
      </w:tr>
    </w:tbl>
    <w:p>
      <w:pPr>
        <w:pStyle w:val="BodyText"/>
        <w:spacing w:line="360" w:lineRule="auto" w:before="49"/>
        <w:ind w:left="140" w:right="8338"/>
        <w:jc w:val="left"/>
      </w:pPr>
      <w:r>
        <w:rPr/>
        <w:t>其他说明： 哆可梦本期发生额为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日形成的损益部分。</w:t>
      </w:r>
    </w:p>
    <w:p>
      <w:pPr>
        <w:spacing w:line="240" w:lineRule="auto" w:before="7"/>
        <w:rPr>
          <w:rFonts w:ascii="宋体" w:hAnsi="宋体" w:cs="宋体" w:eastAsia="宋体" w:hint="default"/>
          <w:sz w:val="18"/>
          <w:szCs w:val="18"/>
        </w:rPr>
      </w:pPr>
    </w:p>
    <w:p>
      <w:pPr>
        <w:pStyle w:val="Heading3"/>
        <w:spacing w:line="240" w:lineRule="auto"/>
        <w:ind w:left="140" w:right="148"/>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40" w:right="148"/>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2009"/>
        <w:gridCol w:w="2002"/>
        <w:gridCol w:w="2002"/>
        <w:gridCol w:w="2000"/>
        <w:gridCol w:w="2002"/>
        <w:gridCol w:w="2002"/>
        <w:gridCol w:w="2002"/>
      </w:tblGrid>
      <w:tr>
        <w:trPr>
          <w:trHeight w:val="401" w:hRule="exact"/>
        </w:trPr>
        <w:tc>
          <w:tcPr>
            <w:tcW w:w="200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909" w:right="99" w:hanging="812"/>
              <w:jc w:val="left"/>
              <w:rPr>
                <w:rFonts w:ascii="宋体" w:hAnsi="宋体" w:cs="宋体" w:eastAsia="宋体" w:hint="default"/>
                <w:sz w:val="18"/>
                <w:szCs w:val="18"/>
              </w:rPr>
            </w:pPr>
            <w:r>
              <w:rPr>
                <w:rFonts w:ascii="宋体" w:hAnsi="宋体" w:cs="宋体" w:eastAsia="宋体" w:hint="default"/>
                <w:sz w:val="18"/>
                <w:szCs w:val="18"/>
              </w:rPr>
              <w:t>合营企业或联营企业名 称</w:t>
            </w:r>
          </w:p>
        </w:tc>
        <w:tc>
          <w:tcPr>
            <w:tcW w:w="2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44"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2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注册地</w:t>
            </w:r>
          </w:p>
        </w:tc>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63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40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200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182" w:right="96" w:hanging="89"/>
              <w:jc w:val="left"/>
              <w:rPr>
                <w:rFonts w:ascii="宋体" w:hAnsi="宋体" w:cs="宋体" w:eastAsia="宋体" w:hint="default"/>
                <w:sz w:val="18"/>
                <w:szCs w:val="18"/>
              </w:rPr>
            </w:pPr>
            <w:r>
              <w:rPr>
                <w:rFonts w:ascii="宋体" w:hAnsi="宋体" w:cs="宋体" w:eastAsia="宋体" w:hint="default"/>
                <w:sz w:val="18"/>
                <w:szCs w:val="18"/>
              </w:rPr>
              <w:t>对合营企业或联营企业 投资的会计处理方法</w:t>
            </w:r>
          </w:p>
        </w:tc>
      </w:tr>
      <w:tr>
        <w:trPr>
          <w:trHeight w:val="403" w:hRule="exact"/>
        </w:trPr>
        <w:tc>
          <w:tcPr>
            <w:tcW w:w="2009" w:type="dxa"/>
            <w:vMerge/>
            <w:tcBorders>
              <w:left w:val="single" w:sz="4" w:space="0" w:color="000000"/>
              <w:bottom w:val="single" w:sz="4" w:space="0" w:color="000000"/>
              <w:right w:val="single" w:sz="4" w:space="0" w:color="000000"/>
            </w:tcBorders>
            <w:shd w:val="clear" w:color="auto" w:fill="D2D2D2"/>
          </w:tcPr>
          <w:p>
            <w:pPr/>
          </w:p>
        </w:tc>
        <w:tc>
          <w:tcPr>
            <w:tcW w:w="2002" w:type="dxa"/>
            <w:vMerge/>
            <w:tcBorders>
              <w:left w:val="single" w:sz="4" w:space="0" w:color="000000"/>
              <w:bottom w:val="single" w:sz="4" w:space="0" w:color="000000"/>
              <w:right w:val="single" w:sz="4" w:space="0" w:color="000000"/>
            </w:tcBorders>
            <w:shd w:val="clear" w:color="auto" w:fill="D2D2D2"/>
          </w:tcPr>
          <w:p>
            <w:pPr/>
          </w:p>
        </w:tc>
        <w:tc>
          <w:tcPr>
            <w:tcW w:w="2002" w:type="dxa"/>
            <w:vMerge/>
            <w:tcBorders>
              <w:left w:val="single" w:sz="4" w:space="0" w:color="000000"/>
              <w:bottom w:val="single" w:sz="4" w:space="0" w:color="000000"/>
              <w:right w:val="single" w:sz="4" w:space="0" w:color="000000"/>
            </w:tcBorders>
            <w:shd w:val="clear" w:color="auto" w:fill="D2D2D2"/>
          </w:tcPr>
          <w:p>
            <w:pPr/>
          </w:p>
        </w:tc>
        <w:tc>
          <w:tcPr>
            <w:tcW w:w="2000" w:type="dxa"/>
            <w:vMerge/>
            <w:tcBorders>
              <w:left w:val="single" w:sz="4" w:space="0" w:color="000000"/>
              <w:bottom w:val="single" w:sz="4" w:space="0" w:color="000000"/>
              <w:right w:val="single" w:sz="4" w:space="0" w:color="000000"/>
            </w:tcBorders>
            <w:shd w:val="clear" w:color="auto" w:fill="D2D2D2"/>
          </w:tcPr>
          <w:p>
            <w:pPr/>
          </w:p>
        </w:tc>
        <w:tc>
          <w:tcPr>
            <w:tcW w:w="2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2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200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信中利赞信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投资公司</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32.22%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永耀惠程</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贸易业</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49"/>
        <w:ind w:left="140" w:right="148"/>
        <w:jc w:val="left"/>
      </w:pPr>
      <w:r>
        <w:rPr/>
        <w:t>在合营企业或联营企业的持股比例不同于表决权比例的说明：无。</w:t>
      </w:r>
    </w:p>
    <w:p>
      <w:pPr>
        <w:pStyle w:val="BodyText"/>
        <w:spacing w:line="240" w:lineRule="auto" w:before="115"/>
        <w:ind w:left="140" w:right="148"/>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ind w:left="6966" w:right="6981"/>
        <w:jc w:val="center"/>
        <w:rPr>
          <w:rFonts w:ascii="Times New Roman" w:hAnsi="Times New Roman" w:cs="Times New Roman" w:eastAsia="Times New Roman" w:hint="default"/>
        </w:rPr>
      </w:pPr>
      <w:r>
        <w:rPr>
          <w:rFonts w:ascii="Times New Roman"/>
        </w:rPr>
        <w:t>157</w:t>
      </w:r>
    </w:p>
    <w:p>
      <w:pPr>
        <w:spacing w:after="0" w:line="240" w:lineRule="auto"/>
        <w:jc w:val="center"/>
        <w:rPr>
          <w:rFonts w:ascii="Times New Roman" w:hAnsi="Times New Roman" w:cs="Times New Roman" w:eastAsia="Times New Roman" w:hint="default"/>
        </w:rPr>
        <w:sectPr>
          <w:type w:val="continuous"/>
          <w:pgSz w:w="16840" w:h="11910" w:orient="landscape"/>
          <w:pgMar w:top="1060" w:bottom="1160" w:left="1300" w:right="1280"/>
        </w:sectPr>
      </w:pPr>
    </w:p>
    <w:p>
      <w:pPr>
        <w:spacing w:line="240" w:lineRule="auto" w:before="9"/>
        <w:rPr>
          <w:rFonts w:ascii="Times New Roman" w:hAnsi="Times New Roman" w:cs="Times New Roman" w:eastAsia="Times New Roman" w:hint="default"/>
          <w:sz w:val="23"/>
          <w:szCs w:val="23"/>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3"/>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970,592,481.69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800,583,247.98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1,013,259,856.12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1,336,775,700.46</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1,983,852,337.81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2,137,358,948.44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150,899,432.07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64,047,938.91</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32,493,485.00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108,987,904.05</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183,392,917.07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173,035,842.96</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1,800,459,420.73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1,964,323,105.48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574,865,344.52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684,619,923.83</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574,865,344.52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684,619,923.83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-10,863,684.73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148,895,455.48</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201" w:type="dxa"/>
            <w:tcBorders>
              <w:top w:val="single" w:sz="4" w:space="0" w:color="000000"/>
              <w:left w:val="single" w:sz="10"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15,427,650.00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-10,863,684.73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164,323,105.48</w:t>
            </w:r>
          </w:p>
        </w:tc>
      </w:tr>
    </w:tbl>
    <w:p>
      <w:pPr>
        <w:spacing w:after="0" w:line="240" w:lineRule="auto"/>
        <w:jc w:val="right"/>
        <w:rPr>
          <w:rFonts w:ascii="Times New Roman" w:hAnsi="Times New Roman" w:cs="Times New Roman" w:eastAsia="Times New Roman" w:hint="default"/>
          <w:sz w:val="18"/>
          <w:szCs w:val="18"/>
        </w:rPr>
        <w:sectPr>
          <w:footerReference w:type="default" r:id="rId47"/>
          <w:pgSz w:w="11910" w:h="16840"/>
          <w:pgMar w:footer="979" w:header="0" w:top="1100" w:bottom="1160" w:left="980" w:right="980"/>
          <w:pgNumType w:start="158"/>
        </w:sectPr>
      </w:pPr>
    </w:p>
    <w:p>
      <w:pPr>
        <w:pStyle w:val="BodyText"/>
        <w:spacing w:line="357" w:lineRule="auto" w:before="49"/>
        <w:ind w:right="-20"/>
        <w:jc w:val="left"/>
      </w:pPr>
      <w:r>
        <w:rPr/>
        <w:t>其他说明 以上为信中利赞信的主要财务信息。 以下为永耀惠程的主要财务信息：</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3033" w:space="5887"/>
            <w:col w:w="1030"/>
          </w:cols>
        </w:sectPr>
      </w:pPr>
    </w:p>
    <w:p>
      <w:pPr>
        <w:spacing w:line="240" w:lineRule="auto" w:before="2"/>
        <w:rPr>
          <w:rFonts w:ascii="宋体" w:hAnsi="宋体" w:cs="宋体" w:eastAsia="宋体" w:hint="default"/>
          <w:sz w:val="9"/>
          <w:szCs w:val="9"/>
        </w:rPr>
      </w:pPr>
    </w:p>
    <w:tbl>
      <w:tblPr>
        <w:tblW w:w="0" w:type="auto"/>
        <w:jc w:val="left"/>
        <w:tblInd w:w="136" w:type="dxa"/>
        <w:tblLayout w:type="fixed"/>
        <w:tblCellMar>
          <w:top w:w="0" w:type="dxa"/>
          <w:left w:w="0" w:type="dxa"/>
          <w:bottom w:w="0" w:type="dxa"/>
          <w:right w:w="0" w:type="dxa"/>
        </w:tblCellMar>
        <w:tblLook w:val="01E0"/>
      </w:tblPr>
      <w:tblGrid>
        <w:gridCol w:w="3222"/>
        <w:gridCol w:w="3219"/>
        <w:gridCol w:w="3219"/>
      </w:tblGrid>
      <w:tr>
        <w:trPr>
          <w:trHeight w:val="414" w:hRule="exact"/>
        </w:trPr>
        <w:tc>
          <w:tcPr>
            <w:tcW w:w="322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2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76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2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767"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27" w:hRule="exact"/>
        </w:trPr>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10,566,573.07</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441,305.10</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11,007,878.17</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1,961,573.96</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8" w:hRule="exact"/>
        </w:trPr>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1,961,573.96</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9,046,304.21</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5" w:hRule="exact"/>
        </w:trPr>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3,618,521.68</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3,618,521.68</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-953,695.79</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-953,695.79</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19"/>
          <w:szCs w:val="19"/>
        </w:rPr>
      </w:pPr>
    </w:p>
    <w:p>
      <w:pPr>
        <w:pStyle w:val="Heading2"/>
        <w:spacing w:line="240" w:lineRule="auto" w:before="26"/>
        <w:ind w:right="94"/>
        <w:jc w:val="left"/>
        <w:rPr>
          <w:b w:val="0"/>
          <w:bCs w:val="0"/>
        </w:rPr>
      </w:pP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92" w:firstLine="360"/>
        <w:jc w:val="both"/>
      </w:pPr>
      <w:r>
        <w:rPr>
          <w:spacing w:val="-2"/>
        </w:rPr>
        <w:t>本公司在经营过程中面临各种金融风险：信用风险、市场风险和流动性风险。公司董事会全面负责风险管理目标和政策</w:t>
      </w:r>
      <w:r>
        <w:rPr/>
        <w:t> </w:t>
      </w:r>
      <w:r>
        <w:rPr>
          <w:spacing w:val="-2"/>
        </w:rPr>
        <w:t>的确定，并对风险管理目标和政策承担最终责任，但是董事会已授权本公司战略部门设计和实施能够确保风险管理目标和政</w:t>
      </w:r>
      <w:r>
        <w:rPr>
          <w:spacing w:val="-64"/>
        </w:rPr>
        <w:t> </w:t>
      </w:r>
      <w:r>
        <w:rPr>
          <w:spacing w:val="-64"/>
        </w:rPr>
      </w:r>
      <w:r>
        <w:rPr/>
        <w:t>策得以有效执行的程序。本公司的内部审计师审查风险管理的政策和程序，并且将有关发现汇报给审计委员会。</w:t>
      </w:r>
    </w:p>
    <w:p>
      <w:pPr>
        <w:pStyle w:val="BodyText"/>
        <w:spacing w:line="309" w:lineRule="auto" w:before="19"/>
        <w:ind w:left="513" w:right="94"/>
        <w:jc w:val="left"/>
      </w:pPr>
      <w:r>
        <w:rPr/>
        <w:t>本公司风险管理的总体目标是在不过度影响公司竞争力和应变力的情况下，制定尽可能降低风险的风险管理政策。 </w:t>
      </w:r>
      <w:r>
        <w:rPr>
          <w:rFonts w:ascii="Times New Roman" w:hAnsi="Times New Roman" w:cs="Times New Roman" w:eastAsia="Times New Roman" w:hint="default"/>
          <w:b/>
          <w:bCs/>
        </w:rPr>
        <w:t>1</w:t>
      </w:r>
      <w:r>
        <w:rPr>
          <w:rFonts w:ascii="宋体" w:hAnsi="宋体" w:cs="宋体" w:eastAsia="宋体" w:hint="default"/>
          <w:b/>
          <w:bCs/>
        </w:rPr>
        <w:t>、信用风险</w:t>
      </w:r>
      <w:r>
        <w:rPr>
          <w:rFonts w:ascii="宋体" w:hAnsi="宋体" w:cs="宋体" w:eastAsia="宋体" w:hint="default"/>
          <w:b/>
          <w:bCs/>
          <w:w w:val="99"/>
        </w:rPr>
        <w:t> </w:t>
      </w:r>
      <w:r>
        <w:rPr>
          <w:spacing w:val="-4"/>
        </w:rPr>
        <w:t>信用风险是指金融工具的一方不履行义务，造成另一方发生财务损失的风险。本公司主要面临赊销导致的客户信用风险。</w:t>
      </w:r>
    </w:p>
    <w:p>
      <w:pPr>
        <w:pStyle w:val="BodyText"/>
        <w:spacing w:line="316" w:lineRule="auto" w:before="24"/>
        <w:ind w:right="94"/>
        <w:jc w:val="left"/>
      </w:pPr>
      <w:r>
        <w:rPr>
          <w:spacing w:val="-2"/>
        </w:rPr>
        <w:t>在签订新合同之前，本公司会对新客户的信用风险进行评估，包括外部信用评级和在某些情况下的银行资信证明（当此信息</w:t>
      </w:r>
      <w:r>
        <w:rPr>
          <w:spacing w:val="-63"/>
        </w:rPr>
        <w:t> </w:t>
      </w:r>
      <w:r>
        <w:rPr>
          <w:spacing w:val="-63"/>
        </w:rPr>
      </w:r>
      <w:r>
        <w:rPr/>
        <w:t>可获取时）。</w:t>
      </w:r>
    </w:p>
    <w:p>
      <w:pPr>
        <w:pStyle w:val="BodyText"/>
        <w:spacing w:line="309" w:lineRule="auto" w:before="19"/>
        <w:ind w:right="185" w:firstLine="360"/>
        <w:jc w:val="both"/>
      </w:pPr>
      <w:r>
        <w:rPr/>
        <w:t>公司通过对已有客户信用评级的季度监控以及应收账款账龄分析的月度审核来确保公司的整体信用风险在可控的范围</w:t>
      </w:r>
      <w:r>
        <w:rPr>
          <w:spacing w:val="2"/>
        </w:rPr>
        <w:t> </w:t>
      </w:r>
      <w:r>
        <w:rPr>
          <w:spacing w:val="-2"/>
        </w:rPr>
        <w:t>内。在监控客户的信用风险时，按照客户的信用特征对其分组。被评为</w:t>
      </w:r>
      <w:r>
        <w:rPr>
          <w:rFonts w:ascii="Times New Roman" w:hAnsi="Times New Roman" w:cs="Times New Roman" w:eastAsia="Times New Roman" w:hint="default"/>
          <w:spacing w:val="-2"/>
        </w:rPr>
        <w:t>“</w:t>
      </w:r>
      <w:r>
        <w:rPr>
          <w:spacing w:val="-2"/>
        </w:rPr>
        <w:t>高风险</w:t>
      </w:r>
      <w:r>
        <w:rPr>
          <w:rFonts w:ascii="Times New Roman" w:hAnsi="Times New Roman" w:cs="Times New Roman" w:eastAsia="Times New Roman" w:hint="default"/>
          <w:spacing w:val="-2"/>
        </w:rPr>
        <w:t>”</w:t>
      </w:r>
      <w:r>
        <w:rPr>
          <w:spacing w:val="-2"/>
        </w:rPr>
        <w:t>级别的客户会放在受限制客户名单里，并且</w:t>
      </w:r>
      <w:r>
        <w:rPr>
          <w:spacing w:val="-41"/>
        </w:rPr>
        <w:t> </w:t>
      </w:r>
      <w:r>
        <w:rPr>
          <w:spacing w:val="-41"/>
        </w:rPr>
      </w:r>
      <w:r>
        <w:rPr/>
        <w:t>只有在额外批准的前提下，公司才可在未来期间内对其赊销，否则必须要求其提前支付相应款项。</w:t>
      </w:r>
    </w:p>
    <w:p>
      <w:pPr>
        <w:pStyle w:val="BodyText"/>
        <w:spacing w:line="300" w:lineRule="auto" w:before="24"/>
        <w:ind w:left="513" w:right="94"/>
        <w:jc w:val="left"/>
      </w:pPr>
      <w:r>
        <w:rPr>
          <w:rFonts w:ascii="Times New Roman" w:hAnsi="Times New Roman" w:cs="Times New Roman" w:eastAsia="Times New Roman" w:hint="default"/>
          <w:b/>
          <w:bCs/>
        </w:rPr>
        <w:t>2</w:t>
      </w:r>
      <w:r>
        <w:rPr>
          <w:rFonts w:ascii="宋体" w:hAnsi="宋体" w:cs="宋体" w:eastAsia="宋体" w:hint="default"/>
          <w:b/>
          <w:bCs/>
        </w:rPr>
        <w:t>、市场风险</w:t>
      </w:r>
      <w:r>
        <w:rPr>
          <w:rFonts w:ascii="宋体" w:hAnsi="宋体" w:cs="宋体" w:eastAsia="宋体" w:hint="default"/>
          <w:b/>
          <w:bCs/>
          <w:w w:val="99"/>
        </w:rPr>
        <w:t> </w:t>
      </w:r>
      <w:r>
        <w:rPr>
          <w:spacing w:val="-2"/>
        </w:rPr>
        <w:t>金融工具的市场风险，是指金融工具的公允价值或未来现金流量因市场价格变动而发生波动的风险，包括汇率风险、利</w:t>
      </w:r>
    </w:p>
    <w:p>
      <w:pPr>
        <w:pStyle w:val="BodyText"/>
        <w:spacing w:line="240" w:lineRule="auto" w:before="31"/>
        <w:ind w:right="94"/>
        <w:jc w:val="left"/>
      </w:pPr>
      <w:r>
        <w:rPr/>
        <w:t>率风险和其他价格风险。</w:t>
      </w:r>
    </w:p>
    <w:p>
      <w:pPr>
        <w:pStyle w:val="BodyText"/>
        <w:spacing w:line="300" w:lineRule="auto" w:before="76"/>
        <w:ind w:left="513" w:right="94"/>
        <w:jc w:val="left"/>
      </w:pPr>
      <w:r>
        <w:rPr/>
        <w:t>（</w:t>
      </w:r>
      <w:r>
        <w:rPr>
          <w:rFonts w:ascii="Times New Roman" w:hAnsi="Times New Roman" w:cs="Times New Roman" w:eastAsia="Times New Roman" w:hint="default"/>
        </w:rPr>
        <w:t>1</w:t>
      </w:r>
      <w:r>
        <w:rPr/>
        <w:t>）利率风险 </w:t>
      </w:r>
      <w:r>
        <w:rPr>
          <w:spacing w:val="-2"/>
        </w:rPr>
        <w:t>利率风险，是指金融工具的公允价值或未来现金流量因市场利率变动而发生波动的风险。本公司面临的利率风险主要来</w:t>
      </w:r>
    </w:p>
    <w:p>
      <w:pPr>
        <w:pStyle w:val="BodyText"/>
        <w:spacing w:line="240" w:lineRule="auto" w:before="31"/>
        <w:ind w:right="94"/>
        <w:jc w:val="left"/>
      </w:pPr>
      <w:r>
        <w:rPr/>
        <w:t>源于银行短期借款。公司目前短期借款是固定利率借款，因此不存在利率风险。</w:t>
      </w:r>
    </w:p>
    <w:p>
      <w:pPr>
        <w:pStyle w:val="BodyText"/>
        <w:spacing w:line="340" w:lineRule="auto" w:before="76"/>
        <w:ind w:left="441" w:right="94" w:firstLine="72"/>
        <w:jc w:val="left"/>
      </w:pPr>
      <w:r>
        <w:rPr/>
        <w:t>（</w:t>
      </w:r>
      <w:r>
        <w:rPr>
          <w:rFonts w:ascii="Times New Roman" w:hAnsi="Times New Roman" w:cs="Times New Roman" w:eastAsia="Times New Roman" w:hint="default"/>
        </w:rPr>
        <w:t>2</w:t>
      </w:r>
      <w:r>
        <w:rPr/>
        <w:t>）汇率风险 </w:t>
      </w:r>
      <w:r>
        <w:rPr>
          <w:spacing w:val="-1"/>
        </w:rPr>
        <w:t>汇率风险，是指金融工具的公允价值或未来现金流量因外汇汇率变动而发生波动的风险。本公司尽可能将外币收入与外</w:t>
      </w:r>
    </w:p>
    <w:p>
      <w:pPr>
        <w:pStyle w:val="BodyText"/>
        <w:spacing w:line="316" w:lineRule="auto"/>
        <w:ind w:right="94"/>
        <w:jc w:val="left"/>
      </w:pPr>
      <w:r>
        <w:rPr>
          <w:spacing w:val="-2"/>
        </w:rPr>
        <w:t>币支出相匹配以降低汇率风险。本公司未签署任何远期外汇合约或货币互换合约。本公司以美元计价的金融资产和金融负债</w:t>
      </w:r>
      <w:r>
        <w:rPr>
          <w:spacing w:val="-62"/>
        </w:rPr>
        <w:t> </w:t>
      </w:r>
      <w:r>
        <w:rPr>
          <w:spacing w:val="-62"/>
        </w:rPr>
      </w:r>
      <w:r>
        <w:rPr/>
        <w:t>金额较小，因此不存在重大汇率风险。</w:t>
      </w:r>
    </w:p>
    <w:p>
      <w:pPr>
        <w:pStyle w:val="BodyText"/>
        <w:spacing w:line="240" w:lineRule="auto" w:before="59"/>
        <w:ind w:left="0" w:right="191"/>
        <w:jc w:val="right"/>
      </w:pPr>
      <w:r>
        <w:rPr/>
        <w:t>单位：元</w:t>
      </w:r>
    </w:p>
    <w:p>
      <w:pPr>
        <w:spacing w:line="240" w:lineRule="auto" w:before="4"/>
        <w:rPr>
          <w:rFonts w:ascii="宋体" w:hAnsi="宋体" w:cs="宋体" w:eastAsia="宋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1256"/>
        <w:gridCol w:w="1219"/>
        <w:gridCol w:w="1011"/>
        <w:gridCol w:w="1296"/>
        <w:gridCol w:w="1217"/>
        <w:gridCol w:w="1219"/>
        <w:gridCol w:w="1220"/>
        <w:gridCol w:w="1222"/>
      </w:tblGrid>
      <w:tr>
        <w:trPr>
          <w:trHeight w:val="425" w:hRule="exact"/>
        </w:trPr>
        <w:tc>
          <w:tcPr>
            <w:tcW w:w="1256" w:type="dxa"/>
            <w:vMerge w:val="restart"/>
            <w:tcBorders>
              <w:top w:val="single" w:sz="6" w:space="0" w:color="000000"/>
              <w:left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43"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366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27" w:hRule="exact"/>
        </w:trPr>
        <w:tc>
          <w:tcPr>
            <w:tcW w:w="1256" w:type="dxa"/>
            <w:vMerge/>
            <w:tcBorders>
              <w:left w:val="single" w:sz="6" w:space="0" w:color="000000"/>
              <w:bottom w:val="single" w:sz="6" w:space="0" w:color="000000"/>
              <w:right w:val="single" w:sz="6" w:space="0" w:color="000000"/>
            </w:tcBorders>
          </w:tcPr>
          <w:p>
            <w:pP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17"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港币</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27" w:hRule="exact"/>
        </w:trPr>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59"/>
              <w:jc w:val="right"/>
              <w:rPr>
                <w:rFonts w:ascii="宋体" w:hAnsi="宋体" w:cs="宋体" w:eastAsia="宋体" w:hint="default"/>
                <w:sz w:val="18"/>
                <w:szCs w:val="18"/>
              </w:rPr>
            </w:pPr>
            <w:r>
              <w:rPr>
                <w:rFonts w:ascii="宋体" w:hAnsi="宋体" w:cs="宋体" w:eastAsia="宋体" w:hint="default"/>
                <w:sz w:val="18"/>
                <w:szCs w:val="18"/>
              </w:rPr>
              <w:t>货币资金</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645,784.92</w:t>
            </w:r>
          </w:p>
        </w:tc>
        <w:tc>
          <w:tcPr>
            <w:tcW w:w="1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w w:val="95"/>
                <w:sz w:val="18"/>
              </w:rPr>
              <w:t>2,378.72</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648,163.64</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4,830,315.44</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927,761.42</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5,758,076.86</w:t>
            </w:r>
          </w:p>
        </w:tc>
      </w:tr>
      <w:tr>
        <w:trPr>
          <w:trHeight w:val="427" w:hRule="exact"/>
        </w:trPr>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59"/>
              <w:jc w:val="right"/>
              <w:rPr>
                <w:rFonts w:ascii="宋体" w:hAnsi="宋体" w:cs="宋体" w:eastAsia="宋体" w:hint="default"/>
                <w:sz w:val="18"/>
                <w:szCs w:val="18"/>
              </w:rPr>
            </w:pPr>
            <w:r>
              <w:rPr>
                <w:rFonts w:ascii="宋体" w:hAnsi="宋体" w:cs="宋体" w:eastAsia="宋体" w:hint="default"/>
                <w:sz w:val="18"/>
                <w:szCs w:val="18"/>
              </w:rPr>
              <w:t>应收账款</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8,488,624.37</w:t>
            </w:r>
          </w:p>
        </w:tc>
        <w:tc>
          <w:tcPr>
            <w:tcW w:w="1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38,539.15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8,527,163.52</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283,174.93</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477,255.55</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760,430.48</w:t>
            </w:r>
          </w:p>
        </w:tc>
      </w:tr>
      <w:tr>
        <w:trPr>
          <w:trHeight w:val="427" w:hRule="exact"/>
        </w:trPr>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6"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160,520.40</w:t>
            </w:r>
          </w:p>
        </w:tc>
        <w:tc>
          <w:tcPr>
            <w:tcW w:w="1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52,334.16</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212,854.56</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28" w:hRule="exact"/>
        </w:trPr>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1,023,008.10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1,023,008.10</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27" w:hRule="exact"/>
        </w:trPr>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8,973,888.89</w:t>
            </w:r>
          </w:p>
        </w:tc>
        <w:tc>
          <w:tcPr>
            <w:tcW w:w="1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-13,795.01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-1,020,629.38</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7,939,464.50</w:t>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5,113,490.37</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1,405,016.97</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6,518,507.34</w:t>
            </w:r>
          </w:p>
        </w:tc>
      </w:tr>
    </w:tbl>
    <w:p>
      <w:pPr>
        <w:pStyle w:val="BodyText"/>
        <w:spacing w:line="300" w:lineRule="auto" w:before="8"/>
        <w:ind w:left="513" w:right="94" w:hanging="72"/>
        <w:jc w:val="left"/>
      </w:pPr>
      <w:r>
        <w:rPr/>
        <w:t>（</w:t>
      </w:r>
      <w:r>
        <w:rPr>
          <w:rFonts w:ascii="Times New Roman" w:hAnsi="Times New Roman" w:cs="Times New Roman" w:eastAsia="Times New Roman" w:hint="default"/>
        </w:rPr>
        <w:t>3</w:t>
      </w:r>
      <w:r>
        <w:rPr/>
        <w:t>）流动性风险 </w:t>
      </w:r>
      <w:r>
        <w:rPr>
          <w:spacing w:val="-2"/>
        </w:rPr>
        <w:t>流动风险，是指企业在履行以交付现金或其他金融资产的方式结算的义务时发生资金短缺的风险。本公司的政策是确保</w:t>
      </w:r>
    </w:p>
    <w:p>
      <w:pPr>
        <w:pStyle w:val="BodyText"/>
        <w:spacing w:line="338" w:lineRule="auto" w:before="31"/>
        <w:ind w:right="94"/>
        <w:jc w:val="left"/>
      </w:pPr>
      <w:r>
        <w:rPr>
          <w:spacing w:val="-2"/>
        </w:rPr>
        <w:t>拥有充足的现金以偿还到期债务。流动性风险由本公司的财务部门集中控制。财务部门通过监控现金余额、可随时变现的有</w:t>
      </w:r>
      <w:r>
        <w:rPr>
          <w:spacing w:val="-63"/>
        </w:rPr>
        <w:t> </w:t>
      </w:r>
      <w:r>
        <w:rPr>
          <w:spacing w:val="-63"/>
        </w:rPr>
      </w:r>
      <w:r>
        <w:rPr/>
        <w:t>价证券以及对未来现金流量的滚动预测，确保公司在所有合理预测的情况下拥有充足的资金偿还债务。 本公司各项金融负债以未折现的合同现金流量按到期日列示如下：</w:t>
      </w:r>
    </w:p>
    <w:p>
      <w:pPr>
        <w:pStyle w:val="BodyText"/>
        <w:spacing w:line="240" w:lineRule="auto" w:before="41"/>
        <w:ind w:left="0" w:right="191"/>
        <w:jc w:val="right"/>
      </w:pPr>
      <w:r>
        <w:rPr/>
        <w:t>单位：元</w:t>
      </w:r>
    </w:p>
    <w:p>
      <w:pPr>
        <w:spacing w:line="240" w:lineRule="auto" w:before="4"/>
        <w:rPr>
          <w:rFonts w:ascii="宋体" w:hAnsi="宋体" w:cs="宋体" w:eastAsia="宋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2045"/>
        <w:gridCol w:w="1913"/>
        <w:gridCol w:w="1448"/>
        <w:gridCol w:w="1514"/>
        <w:gridCol w:w="1201"/>
        <w:gridCol w:w="1538"/>
      </w:tblGrid>
      <w:tr>
        <w:trPr>
          <w:trHeight w:val="348" w:hRule="exact"/>
        </w:trPr>
        <w:tc>
          <w:tcPr>
            <w:tcW w:w="2045" w:type="dxa"/>
            <w:vMerge w:val="restart"/>
            <w:tcBorders>
              <w:top w:val="single" w:sz="6" w:space="0" w:color="000000"/>
              <w:left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614"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46" w:hRule="exact"/>
        </w:trPr>
        <w:tc>
          <w:tcPr>
            <w:tcW w:w="2045" w:type="dxa"/>
            <w:vMerge/>
            <w:tcBorders>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个月以内</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年</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8"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5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59" w:right="0"/>
              <w:jc w:val="left"/>
              <w:rPr>
                <w:rFonts w:ascii="Times New Roman" w:hAnsi="Times New Roman" w:cs="Times New Roman" w:eastAsia="Times New Roman" w:hint="default"/>
                <w:sz w:val="18"/>
                <w:szCs w:val="18"/>
              </w:rPr>
            </w:pPr>
            <w:r>
              <w:rPr>
                <w:rFonts w:ascii="Times New Roman"/>
                <w:sz w:val="18"/>
              </w:rPr>
              <w:t>66,481,627.61</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84" w:right="0"/>
              <w:jc w:val="left"/>
              <w:rPr>
                <w:rFonts w:ascii="Times New Roman" w:hAnsi="Times New Roman" w:cs="Times New Roman" w:eastAsia="Times New Roman" w:hint="default"/>
                <w:sz w:val="18"/>
                <w:szCs w:val="18"/>
              </w:rPr>
            </w:pPr>
            <w:r>
              <w:rPr>
                <w:rFonts w:ascii="Times New Roman"/>
                <w:sz w:val="18"/>
              </w:rPr>
              <w:t>66,481,627.61</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79" w:top="1100" w:bottom="1160" w:left="980" w:right="940"/>
        </w:sectPr>
      </w:pPr>
    </w:p>
    <w:p>
      <w:pPr>
        <w:spacing w:line="240" w:lineRule="auto" w:before="8"/>
        <w:rPr>
          <w:rFonts w:ascii="宋体" w:hAnsi="宋体" w:cs="宋体" w:eastAsia="宋体" w:hint="default"/>
          <w:sz w:val="24"/>
          <w:szCs w:val="24"/>
        </w:rPr>
      </w:pPr>
    </w:p>
    <w:tbl>
      <w:tblPr>
        <w:tblW w:w="0" w:type="auto"/>
        <w:jc w:val="left"/>
        <w:tblInd w:w="136" w:type="dxa"/>
        <w:tblLayout w:type="fixed"/>
        <w:tblCellMar>
          <w:top w:w="0" w:type="dxa"/>
          <w:left w:w="0" w:type="dxa"/>
          <w:bottom w:w="0" w:type="dxa"/>
          <w:right w:w="0" w:type="dxa"/>
        </w:tblCellMar>
        <w:tblLook w:val="01E0"/>
      </w:tblPr>
      <w:tblGrid>
        <w:gridCol w:w="2045"/>
        <w:gridCol w:w="1913"/>
        <w:gridCol w:w="1448"/>
        <w:gridCol w:w="1514"/>
        <w:gridCol w:w="1201"/>
        <w:gridCol w:w="1538"/>
      </w:tblGrid>
      <w:tr>
        <w:trPr>
          <w:trHeight w:val="348"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应付票据</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67,618,736.38</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67,618,736.38</w:t>
            </w:r>
          </w:p>
        </w:tc>
      </w:tr>
      <w:tr>
        <w:trPr>
          <w:trHeight w:val="346"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129,695,806.58</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129,695,806.58</w:t>
            </w:r>
          </w:p>
        </w:tc>
      </w:tr>
      <w:tr>
        <w:trPr>
          <w:trHeight w:val="348"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应付职工薪酬</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15,535,510.46</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15,535,510.46</w:t>
            </w:r>
          </w:p>
        </w:tc>
      </w:tr>
      <w:tr>
        <w:trPr>
          <w:trHeight w:val="346"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198,549,419.61</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150,951,374.80</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90,842,400.00</w:t>
            </w:r>
          </w:p>
        </w:tc>
        <w:tc>
          <w:tcPr>
            <w:tcW w:w="1201" w:type="dxa"/>
            <w:tcBorders>
              <w:top w:val="single" w:sz="6" w:space="0" w:color="000000"/>
              <w:left w:val="single" w:sz="6" w:space="0" w:color="000000"/>
              <w:bottom w:val="single" w:sz="6" w:space="0" w:color="000000"/>
              <w:right w:val="single" w:sz="6" w:space="0" w:color="000000"/>
            </w:tcBorders>
          </w:tcPr>
          <w:p>
            <w:pP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440,343,194.41</w:t>
            </w:r>
          </w:p>
        </w:tc>
      </w:tr>
      <w:tr>
        <w:trPr>
          <w:trHeight w:val="348"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应付利息</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94,929.22</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94,929.22</w:t>
            </w:r>
          </w:p>
        </w:tc>
      </w:tr>
      <w:tr>
        <w:trPr>
          <w:trHeight w:val="348"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一年内到期流动负债</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547,788,574.59</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547,788,574.59</w:t>
            </w:r>
          </w:p>
        </w:tc>
      </w:tr>
      <w:tr>
        <w:trPr>
          <w:trHeight w:val="346"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1,025,764,604.45</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150,951,374.80</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90,842,400.00</w:t>
            </w:r>
          </w:p>
        </w:tc>
        <w:tc>
          <w:tcPr>
            <w:tcW w:w="1201" w:type="dxa"/>
            <w:tcBorders>
              <w:top w:val="single" w:sz="6" w:space="0" w:color="000000"/>
              <w:left w:val="single" w:sz="6" w:space="0" w:color="000000"/>
              <w:bottom w:val="single" w:sz="6" w:space="0" w:color="000000"/>
              <w:right w:val="single" w:sz="6" w:space="0" w:color="000000"/>
            </w:tcBorders>
          </w:tcPr>
          <w:p>
            <w:pP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1,267,558,379.25</w:t>
            </w:r>
          </w:p>
        </w:tc>
      </w:tr>
    </w:tbl>
    <w:p>
      <w:pPr>
        <w:pStyle w:val="BodyText"/>
        <w:spacing w:line="240" w:lineRule="auto" w:before="8"/>
        <w:ind w:right="94"/>
        <w:jc w:val="left"/>
      </w:pPr>
      <w:r>
        <w:rPr/>
        <w:t>注：其他应付款包含股权激励回购义务</w:t>
      </w:r>
      <w:r>
        <w:rPr>
          <w:rFonts w:ascii="Times New Roman" w:hAnsi="Times New Roman" w:cs="Times New Roman" w:eastAsia="Times New Roman" w:hint="default"/>
        </w:rPr>
        <w:t>407,519,462.80</w:t>
      </w:r>
      <w:r>
        <w:rPr/>
        <w:t>元。</w:t>
      </w:r>
    </w:p>
    <w:p>
      <w:pPr>
        <w:spacing w:line="240" w:lineRule="auto" w:before="3"/>
        <w:rPr>
          <w:rFonts w:ascii="宋体" w:hAnsi="宋体" w:cs="宋体" w:eastAsia="宋体" w:hint="default"/>
          <w:sz w:val="24"/>
          <w:szCs w:val="24"/>
        </w:rPr>
      </w:pPr>
    </w:p>
    <w:p>
      <w:pPr>
        <w:pStyle w:val="Heading2"/>
        <w:spacing w:line="240" w:lineRule="auto"/>
        <w:ind w:right="94"/>
        <w:jc w:val="left"/>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4969"/>
        <w:gridCol w:w="1287"/>
        <w:gridCol w:w="1274"/>
        <w:gridCol w:w="973"/>
        <w:gridCol w:w="1183"/>
      </w:tblGrid>
      <w:tr>
        <w:trPr>
          <w:trHeight w:val="380" w:hRule="exact"/>
        </w:trPr>
        <w:tc>
          <w:tcPr>
            <w:tcW w:w="4969"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4717" w:type="dxa"/>
            <w:gridSpan w:val="4"/>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84" w:hRule="exact"/>
        </w:trPr>
        <w:tc>
          <w:tcPr>
            <w:tcW w:w="4969"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7" w:type="dxa"/>
            <w:vMerge w:val="restart"/>
            <w:tcBorders>
              <w:top w:val="single" w:sz="14" w:space="0" w:color="FFFFFF"/>
              <w:left w:val="single" w:sz="4" w:space="0" w:color="000000"/>
              <w:right w:val="single" w:sz="4" w:space="0" w:color="000000"/>
            </w:tcBorders>
            <w:shd w:val="clear" w:color="auto" w:fill="D2D2D2"/>
          </w:tcPr>
          <w:p>
            <w:pPr>
              <w:pStyle w:val="TableParagraph"/>
              <w:spacing w:line="314" w:lineRule="auto" w:before="58"/>
              <w:ind w:left="285" w:right="89" w:hanging="181"/>
              <w:jc w:val="left"/>
              <w:rPr>
                <w:rFonts w:ascii="宋体" w:hAnsi="宋体" w:cs="宋体" w:eastAsia="宋体" w:hint="default"/>
                <w:sz w:val="18"/>
                <w:szCs w:val="18"/>
              </w:rPr>
            </w:pPr>
            <w:r>
              <w:rPr>
                <w:rFonts w:ascii="宋体" w:hAnsi="宋体" w:cs="宋体" w:eastAsia="宋体" w:hint="default"/>
                <w:sz w:val="18"/>
                <w:szCs w:val="18"/>
              </w:rPr>
              <w:t>第一层次公允 价值计量</w:t>
            </w:r>
          </w:p>
        </w:tc>
        <w:tc>
          <w:tcPr>
            <w:tcW w:w="1274" w:type="dxa"/>
            <w:vMerge w:val="restart"/>
            <w:tcBorders>
              <w:top w:val="single" w:sz="14" w:space="0" w:color="FFFFFF"/>
              <w:left w:val="single" w:sz="4" w:space="0" w:color="000000"/>
              <w:right w:val="single" w:sz="4" w:space="0" w:color="000000"/>
            </w:tcBorders>
            <w:shd w:val="clear" w:color="auto" w:fill="D2D2D2"/>
          </w:tcPr>
          <w:p>
            <w:pPr>
              <w:pStyle w:val="TableParagraph"/>
              <w:spacing w:line="314" w:lineRule="auto" w:before="58"/>
              <w:ind w:left="273" w:right="89" w:hanging="180"/>
              <w:jc w:val="left"/>
              <w:rPr>
                <w:rFonts w:ascii="宋体" w:hAnsi="宋体" w:cs="宋体" w:eastAsia="宋体" w:hint="default"/>
                <w:sz w:val="18"/>
                <w:szCs w:val="18"/>
              </w:rPr>
            </w:pPr>
            <w:r>
              <w:rPr>
                <w:rFonts w:ascii="宋体" w:hAnsi="宋体" w:cs="宋体" w:eastAsia="宋体" w:hint="default"/>
                <w:sz w:val="18"/>
                <w:szCs w:val="18"/>
              </w:rPr>
              <w:t>第二层次公允 价值计量</w:t>
            </w:r>
          </w:p>
        </w:tc>
        <w:tc>
          <w:tcPr>
            <w:tcW w:w="973" w:type="dxa"/>
            <w:vMerge w:val="restart"/>
            <w:tcBorders>
              <w:top w:val="single" w:sz="14" w:space="0" w:color="FFFFFF"/>
              <w:left w:val="single" w:sz="4" w:space="0" w:color="000000"/>
              <w:right w:val="single" w:sz="4" w:space="0" w:color="000000"/>
            </w:tcBorders>
            <w:shd w:val="clear" w:color="auto" w:fill="D2D2D2"/>
          </w:tcPr>
          <w:p>
            <w:pPr>
              <w:pStyle w:val="TableParagraph"/>
              <w:spacing w:line="314" w:lineRule="auto" w:before="58"/>
              <w:ind w:left="33" w:right="27"/>
              <w:jc w:val="left"/>
              <w:rPr>
                <w:rFonts w:ascii="宋体" w:hAnsi="宋体" w:cs="宋体" w:eastAsia="宋体" w:hint="default"/>
                <w:sz w:val="18"/>
                <w:szCs w:val="18"/>
              </w:rPr>
            </w:pPr>
            <w:r>
              <w:rPr>
                <w:rFonts w:ascii="宋体" w:hAnsi="宋体" w:cs="宋体" w:eastAsia="宋体" w:hint="default"/>
                <w:sz w:val="18"/>
                <w:szCs w:val="18"/>
              </w:rPr>
              <w:t>第三层次公 允价值计量</w:t>
            </w:r>
          </w:p>
        </w:tc>
        <w:tc>
          <w:tcPr>
            <w:tcW w:w="1183" w:type="dxa"/>
            <w:tcBorders>
              <w:top w:val="single" w:sz="14" w:space="0" w:color="FFFFFF"/>
              <w:left w:val="single" w:sz="4" w:space="0" w:color="000000"/>
              <w:bottom w:val="nil" w:sz="6" w:space="0" w:color="auto"/>
              <w:right w:val="single" w:sz="4" w:space="0" w:color="000000"/>
            </w:tcBorders>
            <w:shd w:val="clear" w:color="auto" w:fill="D2D2D2"/>
          </w:tcPr>
          <w:p>
            <w:pPr/>
          </w:p>
        </w:tc>
      </w:tr>
      <w:tr>
        <w:trPr>
          <w:trHeight w:val="190" w:hRule="exact"/>
        </w:trPr>
        <w:tc>
          <w:tcPr>
            <w:tcW w:w="4969" w:type="dxa"/>
            <w:vMerge/>
            <w:tcBorders>
              <w:left w:val="single" w:sz="4" w:space="0" w:color="000000"/>
              <w:bottom w:val="nil" w:sz="6" w:space="0" w:color="auto"/>
              <w:right w:val="single" w:sz="4" w:space="0" w:color="000000"/>
            </w:tcBorders>
            <w:shd w:val="clear" w:color="auto" w:fill="D2D2D2"/>
          </w:tcPr>
          <w:p>
            <w:pPr/>
          </w:p>
        </w:tc>
        <w:tc>
          <w:tcPr>
            <w:tcW w:w="1287"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c>
          <w:tcPr>
            <w:tcW w:w="973" w:type="dxa"/>
            <w:vMerge/>
            <w:tcBorders>
              <w:left w:val="single" w:sz="4" w:space="0" w:color="000000"/>
              <w:right w:val="single" w:sz="4" w:space="0" w:color="000000"/>
            </w:tcBorders>
            <w:shd w:val="clear" w:color="auto" w:fill="D2D2D2"/>
          </w:tcPr>
          <w:p>
            <w:pPr/>
          </w:p>
        </w:tc>
        <w:tc>
          <w:tcPr>
            <w:tcW w:w="11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2" w:hRule="exact"/>
        </w:trPr>
        <w:tc>
          <w:tcPr>
            <w:tcW w:w="4969" w:type="dxa"/>
            <w:vMerge w:val="restart"/>
            <w:tcBorders>
              <w:top w:val="nil" w:sz="6" w:space="0" w:color="auto"/>
              <w:left w:val="single" w:sz="4" w:space="0" w:color="000000"/>
              <w:right w:val="single" w:sz="4" w:space="0" w:color="000000"/>
            </w:tcBorders>
            <w:shd w:val="clear" w:color="auto" w:fill="D2D2D2"/>
          </w:tcPr>
          <w:p>
            <w:pPr/>
          </w:p>
        </w:tc>
        <w:tc>
          <w:tcPr>
            <w:tcW w:w="1287"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c>
          <w:tcPr>
            <w:tcW w:w="973" w:type="dxa"/>
            <w:vMerge/>
            <w:tcBorders>
              <w:left w:val="single" w:sz="4" w:space="0" w:color="000000"/>
              <w:right w:val="single" w:sz="4" w:space="0" w:color="000000"/>
            </w:tcBorders>
            <w:shd w:val="clear" w:color="auto" w:fill="D2D2D2"/>
          </w:tcPr>
          <w:p>
            <w:pPr/>
          </w:p>
        </w:tc>
        <w:tc>
          <w:tcPr>
            <w:tcW w:w="118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4969" w:type="dxa"/>
            <w:vMerge/>
            <w:tcBorders>
              <w:left w:val="single" w:sz="4" w:space="0" w:color="000000"/>
              <w:bottom w:val="single" w:sz="4" w:space="0" w:color="000000"/>
              <w:right w:val="single" w:sz="4" w:space="0" w:color="000000"/>
            </w:tcBorders>
            <w:shd w:val="clear" w:color="auto" w:fill="D2D2D2"/>
          </w:tcPr>
          <w:p>
            <w:pPr/>
          </w:p>
        </w:tc>
        <w:tc>
          <w:tcPr>
            <w:tcW w:w="1287"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973" w:type="dxa"/>
            <w:vMerge/>
            <w:tcBorders>
              <w:left w:val="single" w:sz="4" w:space="0" w:color="000000"/>
              <w:bottom w:val="single" w:sz="4" w:space="0" w:color="000000"/>
              <w:right w:val="single" w:sz="4" w:space="0" w:color="000000"/>
            </w:tcBorders>
            <w:shd w:val="clear" w:color="auto" w:fill="D2D2D2"/>
          </w:tcPr>
          <w:p>
            <w:pPr/>
          </w:p>
        </w:tc>
        <w:tc>
          <w:tcPr>
            <w:tcW w:w="11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4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1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25" w:right="0"/>
              <w:jc w:val="left"/>
              <w:rPr>
                <w:rFonts w:ascii="Times New Roman" w:hAnsi="Times New Roman" w:cs="Times New Roman" w:eastAsia="Times New Roman" w:hint="default"/>
                <w:sz w:val="18"/>
                <w:szCs w:val="18"/>
              </w:rPr>
            </w:pPr>
            <w:r>
              <w:rPr>
                <w:rFonts w:ascii="Times New Roman"/>
                <w:sz w:val="18"/>
              </w:rPr>
              <w:t>--</w:t>
            </w: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（一）以公允价值计量且变动计入当期损益的金融资产</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52,697,854.32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52,697,854.32</w:t>
            </w:r>
          </w:p>
        </w:tc>
      </w:tr>
      <w:tr>
        <w:trPr>
          <w:trHeight w:val="404" w:hRule="exact"/>
        </w:trPr>
        <w:tc>
          <w:tcPr>
            <w:tcW w:w="4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交易性金融资产</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52,697,854.32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52,697,854.32</w:t>
            </w:r>
          </w:p>
        </w:tc>
      </w:tr>
      <w:tr>
        <w:trPr>
          <w:trHeight w:val="401" w:hRule="exact"/>
        </w:trPr>
        <w:tc>
          <w:tcPr>
            <w:tcW w:w="4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52,697,854.32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52,697,854.32</w:t>
            </w:r>
          </w:p>
        </w:tc>
      </w:tr>
      <w:tr>
        <w:trPr>
          <w:trHeight w:val="403" w:hRule="exact"/>
        </w:trPr>
        <w:tc>
          <w:tcPr>
            <w:tcW w:w="4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（二）可供出售金融资产</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67,518,000.00</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67,518,000.00</w:t>
            </w:r>
          </w:p>
        </w:tc>
      </w:tr>
      <w:tr>
        <w:trPr>
          <w:trHeight w:val="401" w:hRule="exact"/>
        </w:trPr>
        <w:tc>
          <w:tcPr>
            <w:tcW w:w="4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67,518,000.00</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67,518,000.00</w:t>
            </w:r>
          </w:p>
        </w:tc>
      </w:tr>
      <w:tr>
        <w:trPr>
          <w:trHeight w:val="403" w:hRule="exact"/>
        </w:trPr>
        <w:tc>
          <w:tcPr>
            <w:tcW w:w="4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（三）投资性房地产</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266,262,100.00</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266,262,100.00</w:t>
            </w:r>
          </w:p>
        </w:tc>
      </w:tr>
      <w:tr>
        <w:trPr>
          <w:trHeight w:val="401" w:hRule="exact"/>
        </w:trPr>
        <w:tc>
          <w:tcPr>
            <w:tcW w:w="4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出租的建筑物</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266,262,100.00</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266,262,100.00</w:t>
            </w:r>
          </w:p>
        </w:tc>
      </w:tr>
      <w:tr>
        <w:trPr>
          <w:trHeight w:val="403" w:hRule="exact"/>
        </w:trPr>
        <w:tc>
          <w:tcPr>
            <w:tcW w:w="4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持续以公允价值计量的资产总额</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52,697,854.32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333,780,100.00</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386,477,954.32</w:t>
            </w:r>
          </w:p>
        </w:tc>
      </w:tr>
      <w:tr>
        <w:trPr>
          <w:trHeight w:val="401" w:hRule="exact"/>
        </w:trPr>
        <w:tc>
          <w:tcPr>
            <w:tcW w:w="4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二、非持续的公允价值计量</w:t>
            </w:r>
          </w:p>
        </w:tc>
        <w:tc>
          <w:tcPr>
            <w:tcW w:w="1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25" w:right="0"/>
              <w:jc w:val="left"/>
              <w:rPr>
                <w:rFonts w:ascii="Times New Roman" w:hAnsi="Times New Roman" w:cs="Times New Roman" w:eastAsia="Times New Roman" w:hint="default"/>
                <w:sz w:val="18"/>
                <w:szCs w:val="18"/>
              </w:rPr>
            </w:pPr>
            <w:r>
              <w:rPr>
                <w:rFonts w:ascii="Times New Roman"/>
                <w:sz w:val="18"/>
              </w:rPr>
              <w:t>--</w:t>
            </w: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94"/>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firstLine="360"/>
        <w:jc w:val="left"/>
      </w:pPr>
      <w:r>
        <w:rPr>
          <w:spacing w:val="-2"/>
        </w:rPr>
        <w:t>第一层次输入值是企业在计量日能够取得的相同资产或负债在活跃市场上未经调整的报价。活跃市场，是指相关资产或</w:t>
      </w:r>
      <w:r>
        <w:rPr/>
        <w:t> 负债交易量及交易频率足以持续提供定价信息的市场。</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4" w:firstLine="360"/>
        <w:jc w:val="left"/>
      </w:pPr>
      <w:r>
        <w:rPr/>
        <w:t>第二层次输入值是除第一层次输入值外相关资产或负债直接或间接可观察的输入值。对于具有特定期限（如合同期限） 的相关资产或负债，第二层次输入值必须在其几乎整个期限内是可观察的。第二层次输入值包括：</w:t>
      </w:r>
    </w:p>
    <w:p>
      <w:pPr>
        <w:pStyle w:val="BodyText"/>
        <w:spacing w:line="240" w:lineRule="auto" w:before="19"/>
        <w:ind w:left="513" w:right="94"/>
        <w:jc w:val="left"/>
      </w:pPr>
      <w:r>
        <w:rPr/>
        <w:t>（</w:t>
      </w:r>
      <w:r>
        <w:rPr>
          <w:rFonts w:ascii="Times New Roman" w:hAnsi="Times New Roman" w:cs="Times New Roman" w:eastAsia="Times New Roman" w:hint="default"/>
        </w:rPr>
        <w:t>1</w:t>
      </w:r>
      <w:r>
        <w:rPr/>
        <w:t>）活跃市场中类似资产或负债的报价；</w:t>
      </w:r>
    </w:p>
    <w:p>
      <w:pPr>
        <w:pStyle w:val="BodyText"/>
        <w:spacing w:line="240" w:lineRule="auto" w:before="63"/>
        <w:ind w:left="513" w:right="94"/>
        <w:jc w:val="left"/>
      </w:pPr>
      <w:r>
        <w:rPr/>
        <w:t>（</w:t>
      </w:r>
      <w:r>
        <w:rPr>
          <w:rFonts w:ascii="Times New Roman" w:hAnsi="Times New Roman" w:cs="Times New Roman" w:eastAsia="Times New Roman" w:hint="default"/>
        </w:rPr>
        <w:t>2</w:t>
      </w:r>
      <w:r>
        <w:rPr/>
        <w:t>）非活跃市场中相同或类似资产或负债的报价；</w:t>
      </w:r>
    </w:p>
    <w:p>
      <w:pPr>
        <w:pStyle w:val="BodyText"/>
        <w:spacing w:line="240" w:lineRule="auto" w:before="103"/>
        <w:ind w:left="441" w:right="94"/>
        <w:jc w:val="left"/>
      </w:pPr>
      <w:r>
        <w:rPr/>
        <w:t>（</w:t>
      </w:r>
      <w:r>
        <w:rPr>
          <w:rFonts w:ascii="Times New Roman" w:hAnsi="Times New Roman" w:cs="Times New Roman" w:eastAsia="Times New Roman" w:hint="default"/>
        </w:rPr>
        <w:t>3</w:t>
      </w:r>
      <w:r>
        <w:rPr/>
        <w:t>）除报价以外的其他可观察输入值，包括在正常报价间隔期间可观察的利率和收益率曲线等。</w:t>
      </w:r>
    </w:p>
    <w:p>
      <w:pPr>
        <w:spacing w:after="0" w:line="240" w:lineRule="auto"/>
        <w:jc w:val="left"/>
        <w:sectPr>
          <w:pgSz w:w="11910" w:h="16840"/>
          <w:pgMar w:header="0" w:footer="979" w:top="1100" w:bottom="1160" w:left="980" w:right="940"/>
        </w:sectPr>
      </w:pPr>
    </w:p>
    <w:p>
      <w:pPr>
        <w:spacing w:line="240" w:lineRule="auto" w:before="12"/>
        <w:rPr>
          <w:rFonts w:ascii="宋体" w:hAnsi="宋体" w:cs="宋体" w:eastAsia="宋体" w:hint="default"/>
          <w:sz w:val="20"/>
          <w:szCs w:val="20"/>
        </w:rPr>
      </w:pPr>
    </w:p>
    <w:p>
      <w:pPr>
        <w:pStyle w:val="Heading3"/>
        <w:spacing w:line="240" w:lineRule="auto" w:before="36"/>
        <w:ind w:right="153"/>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60"/>
        <w:jc w:val="left"/>
      </w:pPr>
      <w:r>
        <w:rPr>
          <w:spacing w:val="-2"/>
        </w:rPr>
        <w:t>第三层次输入值是相关资产或负债的不可观察输入值。第三层次输入值包括不能直接观察和无法由可观察市场数据验证</w:t>
      </w:r>
      <w:r>
        <w:rPr/>
        <w:t> 的利率、股票波动率、企业合并中承担的弃置义务的未来现金流量、企业使用自身数据作出的财务预测等。</w:t>
      </w:r>
    </w:p>
    <w:p>
      <w:pPr>
        <w:spacing w:line="240" w:lineRule="auto" w:before="10"/>
        <w:rPr>
          <w:rFonts w:ascii="宋体" w:hAnsi="宋体" w:cs="宋体" w:eastAsia="宋体" w:hint="default"/>
          <w:sz w:val="22"/>
          <w:szCs w:val="22"/>
        </w:rPr>
      </w:pPr>
    </w:p>
    <w:p>
      <w:pPr>
        <w:pStyle w:val="Heading3"/>
        <w:spacing w:line="240" w:lineRule="auto"/>
        <w:ind w:right="153"/>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firstLine="360"/>
        <w:jc w:val="left"/>
      </w:pPr>
      <w:r>
        <w:rPr>
          <w:spacing w:val="-2"/>
        </w:rPr>
        <w:t>权益工具的估值系管理层综合考虑未来的回报和折现以及经营判断而预计该等权利的价值，管理层认为，该权益工具的</w:t>
      </w:r>
      <w:r>
        <w:rPr/>
        <w:t> 账面价值与公允价值相当。</w:t>
      </w:r>
    </w:p>
    <w:p>
      <w:pPr>
        <w:spacing w:line="240" w:lineRule="auto" w:before="11"/>
        <w:rPr>
          <w:rFonts w:ascii="宋体" w:hAnsi="宋体" w:cs="宋体" w:eastAsia="宋体" w:hint="default"/>
          <w:sz w:val="20"/>
          <w:szCs w:val="20"/>
        </w:rPr>
      </w:pPr>
    </w:p>
    <w:p>
      <w:pPr>
        <w:pStyle w:val="Heading2"/>
        <w:spacing w:line="240" w:lineRule="auto"/>
        <w:ind w:right="153"/>
        <w:jc w:val="left"/>
        <w:rPr>
          <w:b w:val="0"/>
          <w:bCs w:val="0"/>
        </w:rPr>
      </w:pPr>
      <w:r>
        <w:rPr/>
        <w:t>十二、关联方及关联交易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7"/>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2290"/>
        <w:gridCol w:w="617"/>
        <w:gridCol w:w="802"/>
        <w:gridCol w:w="1222"/>
        <w:gridCol w:w="2290"/>
        <w:gridCol w:w="2477"/>
      </w:tblGrid>
      <w:tr>
        <w:trPr>
          <w:trHeight w:val="403" w:hRule="exact"/>
        </w:trPr>
        <w:tc>
          <w:tcPr>
            <w:tcW w:w="2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母公司名称</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2"/>
              <w:jc w:val="right"/>
              <w:rPr>
                <w:rFonts w:ascii="宋体" w:hAnsi="宋体" w:cs="宋体" w:eastAsia="宋体" w:hint="default"/>
                <w:sz w:val="18"/>
                <w:szCs w:val="18"/>
              </w:rPr>
            </w:pPr>
            <w:r>
              <w:rPr>
                <w:rFonts w:ascii="宋体" w:hAnsi="宋体" w:cs="宋体" w:eastAsia="宋体" w:hint="default"/>
                <w:sz w:val="18"/>
                <w:szCs w:val="18"/>
              </w:rPr>
              <w:t>注册地</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业务性质</w:t>
            </w:r>
          </w:p>
        </w:tc>
        <w:tc>
          <w:tcPr>
            <w:tcW w:w="1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2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8"/>
              <w:jc w:val="right"/>
              <w:rPr>
                <w:rFonts w:ascii="宋体" w:hAnsi="宋体" w:cs="宋体" w:eastAsia="宋体" w:hint="default"/>
                <w:sz w:val="18"/>
                <w:szCs w:val="18"/>
              </w:rPr>
            </w:pPr>
            <w:r>
              <w:rPr>
                <w:rFonts w:ascii="宋体" w:hAnsi="宋体" w:cs="宋体" w:eastAsia="宋体" w:hint="default"/>
                <w:sz w:val="18"/>
                <w:szCs w:val="18"/>
              </w:rPr>
              <w:t>母公司对本企业的持股比例</w:t>
            </w:r>
          </w:p>
        </w:tc>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3"/>
              <w:jc w:val="right"/>
              <w:rPr>
                <w:rFonts w:ascii="宋体" w:hAnsi="宋体" w:cs="宋体" w:eastAsia="宋体" w:hint="default"/>
                <w:sz w:val="18"/>
                <w:szCs w:val="18"/>
              </w:rPr>
            </w:pPr>
            <w:r>
              <w:rPr>
                <w:rFonts w:ascii="宋体" w:hAnsi="宋体" w:cs="宋体" w:eastAsia="宋体" w:hint="default"/>
                <w:sz w:val="18"/>
                <w:szCs w:val="18"/>
              </w:rPr>
              <w:t>母公司对本企业的表决权比例</w:t>
            </w:r>
          </w:p>
        </w:tc>
      </w:tr>
      <w:tr>
        <w:trPr>
          <w:trHeight w:val="401" w:hRule="exac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0"/>
              <w:jc w:val="center"/>
              <w:rPr>
                <w:rFonts w:ascii="宋体" w:hAnsi="宋体" w:cs="宋体" w:eastAsia="宋体" w:hint="default"/>
                <w:sz w:val="18"/>
                <w:szCs w:val="18"/>
              </w:rPr>
            </w:pPr>
            <w:r>
              <w:rPr>
                <w:rFonts w:ascii="宋体" w:hAnsi="宋体" w:cs="宋体" w:eastAsia="宋体" w:hint="default"/>
                <w:sz w:val="18"/>
                <w:szCs w:val="18"/>
              </w:rPr>
              <w:t>中驰惠程企业管理有限公司</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北京市</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企业管理</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5"/>
              <w:jc w:val="center"/>
              <w:rPr>
                <w:rFonts w:ascii="宋体" w:hAnsi="宋体" w:cs="宋体" w:eastAsia="宋体" w:hint="default"/>
                <w:sz w:val="18"/>
                <w:szCs w:val="18"/>
              </w:rPr>
            </w:pPr>
            <w:r>
              <w:rPr>
                <w:rFonts w:ascii="Times New Roman" w:hAnsi="Times New Roman" w:cs="Times New Roman" w:eastAsia="Times New Roman" w:hint="default"/>
                <w:sz w:val="18"/>
                <w:szCs w:val="18"/>
              </w:rPr>
              <w:t>25,000.00 </w:t>
            </w:r>
            <w:r>
              <w:rPr>
                <w:rFonts w:ascii="宋体" w:hAnsi="宋体" w:cs="宋体" w:eastAsia="宋体" w:hint="default"/>
                <w:sz w:val="18"/>
                <w:szCs w:val="18"/>
              </w:rPr>
              <w:t>万元</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10.02%</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10.02%</w:t>
            </w:r>
          </w:p>
        </w:tc>
      </w:tr>
    </w:tbl>
    <w:p>
      <w:pPr>
        <w:pStyle w:val="BodyText"/>
        <w:spacing w:line="240" w:lineRule="auto" w:before="49"/>
        <w:ind w:right="153"/>
        <w:jc w:val="left"/>
      </w:pPr>
      <w:r>
        <w:rPr/>
        <w:t>本企业的母公司情况的说明</w:t>
      </w:r>
    </w:p>
    <w:p>
      <w:pPr>
        <w:pStyle w:val="BodyText"/>
        <w:spacing w:line="300" w:lineRule="auto" w:before="117"/>
        <w:ind w:right="147" w:firstLine="36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月，公司原实际控制人何平女士和任金生先生与中驰惠程企业管理有限公司（以下简称</w:t>
      </w:r>
      <w:r>
        <w:rPr>
          <w:rFonts w:ascii="Times New Roman" w:hAnsi="Times New Roman" w:cs="Times New Roman" w:eastAsia="Times New Roman" w:hint="default"/>
        </w:rPr>
        <w:t>“</w:t>
      </w:r>
      <w:r>
        <w:rPr/>
        <w:t>中驰惠程</w:t>
      </w:r>
      <w:r>
        <w:rPr>
          <w:rFonts w:ascii="Times New Roman" w:hAnsi="Times New Roman" w:cs="Times New Roman" w:eastAsia="Times New Roman" w:hint="default"/>
        </w:rPr>
        <w:t>”</w:t>
      </w:r>
      <w:r>
        <w:rPr/>
        <w:t>，原中驰极 </w:t>
      </w:r>
      <w:r>
        <w:rPr>
          <w:spacing w:val="-2"/>
        </w:rPr>
        <w:t>速体育文化发展有限公司）、共青城中源信投资管理合伙企业（有限合伙）（以下简称</w:t>
      </w:r>
      <w:r>
        <w:rPr>
          <w:rFonts w:ascii="Times New Roman" w:hAnsi="Times New Roman" w:cs="Times New Roman" w:eastAsia="Times New Roman" w:hint="default"/>
          <w:spacing w:val="-2"/>
        </w:rPr>
        <w:t>“</w:t>
      </w:r>
      <w:r>
        <w:rPr>
          <w:spacing w:val="-2"/>
        </w:rPr>
        <w:t>中源信</w:t>
      </w:r>
      <w:r>
        <w:rPr>
          <w:rFonts w:ascii="Times New Roman" w:hAnsi="Times New Roman" w:cs="Times New Roman" w:eastAsia="Times New Roman" w:hint="default"/>
          <w:spacing w:val="-2"/>
        </w:rPr>
        <w:t>”</w:t>
      </w:r>
      <w:r>
        <w:rPr>
          <w:spacing w:val="-2"/>
        </w:rPr>
        <w:t>）签署了股份转让协议及补</w:t>
      </w:r>
      <w:r>
        <w:rPr>
          <w:spacing w:val="-48"/>
        </w:rPr>
        <w:t> </w:t>
      </w:r>
      <w:r>
        <w:rPr>
          <w:spacing w:val="-48"/>
        </w:rPr>
      </w:r>
      <w:r>
        <w:rPr>
          <w:spacing w:val="-4"/>
        </w:rPr>
        <w:t>充协议，何平将持有的本公司</w:t>
      </w:r>
      <w:r>
        <w:rPr>
          <w:rFonts w:ascii="Times New Roman" w:hAnsi="Times New Roman" w:cs="Times New Roman" w:eastAsia="Times New Roman" w:hint="default"/>
          <w:spacing w:val="-4"/>
        </w:rPr>
        <w:t>70,167,755</w:t>
      </w:r>
      <w:r>
        <w:rPr>
          <w:spacing w:val="-4"/>
        </w:rPr>
        <w:t>股股份转让给中驰惠程，任金生将持有的本公司</w:t>
      </w:r>
      <w:r>
        <w:rPr>
          <w:rFonts w:ascii="Times New Roman" w:hAnsi="Times New Roman" w:cs="Times New Roman" w:eastAsia="Times New Roman" w:hint="default"/>
          <w:spacing w:val="-4"/>
        </w:rPr>
        <w:t>16,568,662</w:t>
      </w:r>
      <w:r>
        <w:rPr>
          <w:spacing w:val="-4"/>
        </w:rPr>
        <w:t>股股份转让给中源信。</w:t>
      </w:r>
      <w:r>
        <w:rPr>
          <w:rFonts w:ascii="Times New Roman" w:hAnsi="Times New Roman" w:cs="Times New Roman" w:eastAsia="Times New Roman" w:hint="default"/>
          <w:spacing w:val="-4"/>
        </w:rPr>
        <w:t>2016</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年</w:t>
      </w:r>
      <w:r>
        <w:rPr>
          <w:rFonts w:ascii="Times New Roman" w:hAnsi="Times New Roman" w:cs="Times New Roman" w:eastAsia="Times New Roman" w:hint="default"/>
        </w:rPr>
        <w:t>6</w:t>
      </w:r>
      <w:r>
        <w:rPr/>
        <w:t>月完成上述股转转让，公司控股股东变为中驰惠程。截止报告期末，公司母公司中驰惠程及其一致行动人中源信、北京 </w:t>
      </w:r>
      <w:r>
        <w:rPr>
          <w:spacing w:val="-2"/>
        </w:rPr>
        <w:t>信中利投资股份有限公司、华宝信托有限责任公司</w:t>
      </w:r>
      <w:r>
        <w:rPr>
          <w:rFonts w:ascii="Times New Roman" w:hAnsi="Times New Roman" w:cs="Times New Roman" w:eastAsia="Times New Roman" w:hint="default"/>
          <w:spacing w:val="-2"/>
        </w:rPr>
        <w:t>—</w:t>
      </w:r>
      <w:r>
        <w:rPr>
          <w:spacing w:val="-2"/>
        </w:rPr>
        <w:t>大地</w:t>
      </w:r>
      <w:r>
        <w:rPr>
          <w:rFonts w:ascii="Times New Roman" w:hAnsi="Times New Roman" w:cs="Times New Roman" w:eastAsia="Times New Roman" w:hint="default"/>
          <w:spacing w:val="-2"/>
        </w:rPr>
        <w:t>6</w:t>
      </w:r>
      <w:r>
        <w:rPr>
          <w:spacing w:val="-2"/>
        </w:rPr>
        <w:t>号单一资金信托、华宝信托有限责任公司</w:t>
      </w:r>
      <w:r>
        <w:rPr>
          <w:rFonts w:ascii="Times New Roman" w:hAnsi="Times New Roman" w:cs="Times New Roman" w:eastAsia="Times New Roman" w:hint="default"/>
          <w:spacing w:val="-2"/>
        </w:rPr>
        <w:t>—</w:t>
      </w:r>
      <w:r>
        <w:rPr>
          <w:spacing w:val="-2"/>
        </w:rPr>
        <w:t>大地</w:t>
      </w:r>
      <w:r>
        <w:rPr>
          <w:rFonts w:ascii="Times New Roman" w:hAnsi="Times New Roman" w:cs="Times New Roman" w:eastAsia="Times New Roman" w:hint="default"/>
          <w:spacing w:val="-2"/>
        </w:rPr>
        <w:t>9</w:t>
      </w:r>
      <w:r>
        <w:rPr>
          <w:spacing w:val="-2"/>
        </w:rPr>
        <w:t>号单一资金信托</w:t>
      </w:r>
      <w:r>
        <w:rPr>
          <w:spacing w:val="-58"/>
        </w:rPr>
        <w:t> </w:t>
      </w:r>
      <w:r>
        <w:rPr/>
        <w:t>合计持有公司股份</w:t>
      </w:r>
      <w:r>
        <w:rPr>
          <w:rFonts w:ascii="Times New Roman" w:hAnsi="Times New Roman" w:cs="Times New Roman" w:eastAsia="Times New Roman" w:hint="default"/>
        </w:rPr>
        <w:t>126,608,444</w:t>
      </w:r>
      <w:r>
        <w:rPr/>
        <w:t>股，占公司总股本的比例为</w:t>
      </w:r>
      <w:r>
        <w:rPr>
          <w:rFonts w:ascii="Times New Roman" w:hAnsi="Times New Roman" w:cs="Times New Roman" w:eastAsia="Times New Roman" w:hint="default"/>
        </w:rPr>
        <w:t>15.43%</w:t>
      </w:r>
      <w:r>
        <w:rPr/>
        <w:t>。</w:t>
      </w:r>
    </w:p>
    <w:p>
      <w:pPr>
        <w:pStyle w:val="BodyText"/>
        <w:spacing w:line="357" w:lineRule="auto" w:before="53"/>
        <w:ind w:right="5634" w:firstLine="360"/>
        <w:jc w:val="left"/>
      </w:pPr>
      <w:r>
        <w:rPr/>
        <w:t>本企业最终控制方是汪超涌先生、李亦非女士。 其他说明：</w:t>
      </w:r>
    </w:p>
    <w:p>
      <w:pPr>
        <w:pStyle w:val="BodyText"/>
        <w:spacing w:line="309" w:lineRule="auto" w:before="29"/>
        <w:ind w:right="149" w:firstLine="360"/>
        <w:jc w:val="both"/>
      </w:pPr>
      <w:r>
        <w:rPr>
          <w:spacing w:val="-2"/>
        </w:rPr>
        <w:t>中驰惠程企业管理有限公司成立于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02</w:t>
      </w:r>
      <w:r>
        <w:rPr>
          <w:spacing w:val="-2"/>
        </w:rPr>
        <w:t>月</w:t>
      </w:r>
      <w:r>
        <w:rPr>
          <w:rFonts w:ascii="Times New Roman" w:hAnsi="Times New Roman" w:cs="Times New Roman" w:eastAsia="Times New Roman" w:hint="default"/>
          <w:spacing w:val="-2"/>
        </w:rPr>
        <w:t>17</w:t>
      </w:r>
      <w:r>
        <w:rPr>
          <w:spacing w:val="-2"/>
        </w:rPr>
        <w:t>日，注册资本为</w:t>
      </w:r>
      <w:r>
        <w:rPr>
          <w:rFonts w:ascii="Times New Roman" w:hAnsi="Times New Roman" w:cs="Times New Roman" w:eastAsia="Times New Roman" w:hint="default"/>
          <w:spacing w:val="-2"/>
        </w:rPr>
        <w:t>25,000.00</w:t>
      </w:r>
      <w:r>
        <w:rPr>
          <w:spacing w:val="-2"/>
        </w:rPr>
        <w:t>万元，公司的经营范围为企业管理；企业营销</w:t>
      </w:r>
      <w:r>
        <w:rPr/>
        <w:t> </w:t>
      </w:r>
      <w:r>
        <w:rPr>
          <w:spacing w:val="-2"/>
        </w:rPr>
        <w:t>策划；企业管理咨询；技术开发、技术转让、技术咨询、技术服务。（企业依法自主选择经营项目，开展经营活动；依法须</w:t>
      </w:r>
      <w:r>
        <w:rPr>
          <w:spacing w:val="-70"/>
        </w:rPr>
        <w:t> </w:t>
      </w:r>
      <w:r>
        <w:rPr>
          <w:spacing w:val="-70"/>
        </w:rPr>
      </w:r>
      <w:r>
        <w:rPr/>
        <w:t>经批准的项目，经相关部门批准后依批准的内容开展经营活动；不得从事本市产业政策禁止和限制类项目的经营活动。）</w:t>
      </w:r>
    </w:p>
    <w:p>
      <w:pPr>
        <w:pStyle w:val="BodyText"/>
        <w:spacing w:line="240" w:lineRule="auto" w:before="24"/>
        <w:ind w:left="513" w:right="153"/>
        <w:jc w:val="left"/>
      </w:pPr>
      <w:r>
        <w:rPr/>
        <w:t>中驰惠程实际控制人为汪超涌先生与李亦非女士。</w:t>
      </w:r>
    </w:p>
    <w:p>
      <w:pPr>
        <w:spacing w:line="240" w:lineRule="auto" w:before="0"/>
        <w:rPr>
          <w:rFonts w:ascii="宋体" w:hAnsi="宋体" w:cs="宋体" w:eastAsia="宋体" w:hint="default"/>
          <w:sz w:val="18"/>
          <w:szCs w:val="18"/>
        </w:rPr>
      </w:pPr>
    </w:p>
    <w:p>
      <w:pPr>
        <w:spacing w:line="547" w:lineRule="auto" w:before="120"/>
        <w:ind w:left="152" w:right="54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pacing w:val="-13"/>
          <w:sz w:val="18"/>
          <w:szCs w:val="18"/>
        </w:rPr>
        <w:t>本企业子公司的情况详见附注九、</w:t>
      </w: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w:t>
      </w:r>
      <w:r>
        <w:rPr>
          <w:rFonts w:ascii="宋体" w:hAnsi="宋体" w:cs="宋体" w:eastAsia="宋体" w:hint="default"/>
          <w:spacing w:val="-92"/>
          <w:sz w:val="18"/>
          <w:szCs w:val="18"/>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240" w:lineRule="auto" w:before="46"/>
        <w:ind w:right="153"/>
        <w:jc w:val="left"/>
      </w:pPr>
      <w:r>
        <w:rPr/>
        <w:t>本企业重要的合营或联营企业详见附注九、</w:t>
      </w:r>
      <w:r>
        <w:rPr>
          <w:rFonts w:ascii="Times New Roman" w:hAnsi="Times New Roman" w:cs="Times New Roman" w:eastAsia="Times New Roman" w:hint="default"/>
        </w:rPr>
        <w:t>2</w:t>
      </w:r>
      <w:r>
        <w:rPr/>
        <w:t>。</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6366"/>
        <w:gridCol w:w="3332"/>
      </w:tblGrid>
      <w:tr>
        <w:trPr>
          <w:trHeight w:val="403" w:hRule="exact"/>
        </w:trPr>
        <w:tc>
          <w:tcPr>
            <w:tcW w:w="6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3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1"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6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共青城中源信投资管理合伙企业（有限合伙）</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同一控制下关联企业</w:t>
            </w:r>
          </w:p>
        </w:tc>
      </w:tr>
      <w:tr>
        <w:trPr>
          <w:trHeight w:val="403" w:hRule="exact"/>
        </w:trPr>
        <w:tc>
          <w:tcPr>
            <w:tcW w:w="6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田勇</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控股股东一致行动人</w:t>
            </w:r>
          </w:p>
        </w:tc>
      </w:tr>
    </w:tbl>
    <w:p>
      <w:pPr>
        <w:spacing w:after="0" w:line="240" w:lineRule="auto"/>
        <w:jc w:val="left"/>
        <w:rPr>
          <w:rFonts w:ascii="宋体" w:hAnsi="宋体" w:cs="宋体" w:eastAsia="宋体" w:hint="default"/>
          <w:sz w:val="18"/>
          <w:szCs w:val="18"/>
        </w:rPr>
        <w:sectPr>
          <w:pgSz w:w="11910" w:h="16840"/>
          <w:pgMar w:header="0" w:footer="979" w:top="1100" w:bottom="1160" w:left="980" w:right="980"/>
        </w:sectPr>
      </w:pPr>
    </w:p>
    <w:p>
      <w:pPr>
        <w:spacing w:line="240" w:lineRule="auto" w:before="8"/>
        <w:rPr>
          <w:rFonts w:ascii="宋体" w:hAnsi="宋体" w:cs="宋体" w:eastAsia="宋体" w:hint="default"/>
          <w:b/>
          <w:bCs/>
          <w:sz w:val="24"/>
          <w:szCs w:val="24"/>
        </w:rPr>
      </w:pPr>
    </w:p>
    <w:tbl>
      <w:tblPr>
        <w:tblW w:w="0" w:type="auto"/>
        <w:jc w:val="left"/>
        <w:tblInd w:w="119" w:type="dxa"/>
        <w:tblLayout w:type="fixed"/>
        <w:tblCellMar>
          <w:top w:w="0" w:type="dxa"/>
          <w:left w:w="0" w:type="dxa"/>
          <w:bottom w:w="0" w:type="dxa"/>
          <w:right w:w="0" w:type="dxa"/>
        </w:tblCellMar>
        <w:tblLook w:val="01E0"/>
      </w:tblPr>
      <w:tblGrid>
        <w:gridCol w:w="6366"/>
        <w:gridCol w:w="3332"/>
      </w:tblGrid>
      <w:tr>
        <w:trPr>
          <w:trHeight w:val="401" w:hRule="exact"/>
        </w:trPr>
        <w:tc>
          <w:tcPr>
            <w:tcW w:w="6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华宝信托有限责任公司</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控股股东一致行动人</w:t>
            </w:r>
          </w:p>
        </w:tc>
      </w:tr>
      <w:tr>
        <w:trPr>
          <w:trHeight w:val="403" w:hRule="exact"/>
        </w:trPr>
        <w:tc>
          <w:tcPr>
            <w:tcW w:w="6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北京信中利投资股份有限公司</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同一控制下关联企业</w:t>
            </w:r>
          </w:p>
        </w:tc>
      </w:tr>
      <w:tr>
        <w:trPr>
          <w:trHeight w:val="401" w:hRule="exact"/>
        </w:trPr>
        <w:tc>
          <w:tcPr>
            <w:tcW w:w="6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北京信中利股权投资管理有限公司</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同一控制下关联企业</w:t>
            </w:r>
          </w:p>
        </w:tc>
      </w:tr>
      <w:tr>
        <w:trPr>
          <w:trHeight w:val="403" w:hRule="exact"/>
        </w:trPr>
        <w:tc>
          <w:tcPr>
            <w:tcW w:w="6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北京九立方投资管理有限公司（原名</w:t>
            </w:r>
            <w:r>
              <w:rPr>
                <w:rFonts w:ascii="Times New Roman" w:hAnsi="Times New Roman" w:cs="Times New Roman" w:eastAsia="Times New Roman" w:hint="default"/>
                <w:sz w:val="18"/>
                <w:szCs w:val="18"/>
              </w:rPr>
              <w:t>“</w:t>
            </w:r>
            <w:r>
              <w:rPr>
                <w:rFonts w:ascii="宋体" w:hAnsi="宋体" w:cs="宋体" w:eastAsia="宋体" w:hint="default"/>
                <w:sz w:val="18"/>
                <w:szCs w:val="18"/>
              </w:rPr>
              <w:t>北京博利恒投资管理有限公司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控股股东一致行动人田勇控制的企业</w:t>
            </w:r>
          </w:p>
        </w:tc>
      </w:tr>
      <w:tr>
        <w:trPr>
          <w:trHeight w:val="401" w:hRule="exact"/>
        </w:trPr>
        <w:tc>
          <w:tcPr>
            <w:tcW w:w="6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中视环球汽车赛事管理有限公司</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同一控制下关联企业</w:t>
            </w:r>
          </w:p>
        </w:tc>
      </w:tr>
      <w:tr>
        <w:trPr>
          <w:trHeight w:val="403" w:hRule="exact"/>
        </w:trPr>
        <w:tc>
          <w:tcPr>
            <w:tcW w:w="6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汪超涌</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实际控制人</w:t>
            </w:r>
          </w:p>
        </w:tc>
      </w:tr>
      <w:tr>
        <w:trPr>
          <w:trHeight w:val="401" w:hRule="exact"/>
        </w:trPr>
        <w:tc>
          <w:tcPr>
            <w:tcW w:w="6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李亦非</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实际控制人</w:t>
            </w:r>
          </w:p>
        </w:tc>
      </w:tr>
      <w:tr>
        <w:trPr>
          <w:trHeight w:val="403" w:hRule="exact"/>
        </w:trPr>
        <w:tc>
          <w:tcPr>
            <w:tcW w:w="6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张晶</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公司董事、副总裁</w:t>
            </w:r>
          </w:p>
        </w:tc>
      </w:tr>
      <w:tr>
        <w:trPr>
          <w:trHeight w:val="401" w:hRule="exact"/>
        </w:trPr>
        <w:tc>
          <w:tcPr>
            <w:tcW w:w="6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徐海啸</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公司董事长、总裁、财务总监</w:t>
            </w:r>
          </w:p>
        </w:tc>
      </w:tr>
      <w:tr>
        <w:trPr>
          <w:trHeight w:val="403" w:hRule="exact"/>
        </w:trPr>
        <w:tc>
          <w:tcPr>
            <w:tcW w:w="6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沈晓超</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公司董事</w:t>
            </w:r>
          </w:p>
        </w:tc>
      </w:tr>
      <w:tr>
        <w:trPr>
          <w:trHeight w:val="401" w:hRule="exact"/>
        </w:trPr>
        <w:tc>
          <w:tcPr>
            <w:tcW w:w="6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WAN </w:t>
            </w:r>
            <w:r>
              <w:rPr>
                <w:rFonts w:ascii="Times New Roman" w:hAnsi="Times New Roman" w:cs="Times New Roman" w:eastAsia="Times New Roman" w:hint="default"/>
                <w:sz w:val="18"/>
                <w:szCs w:val="18"/>
              </w:rPr>
              <w:t>XIAO</w:t>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z w:val="18"/>
                <w:szCs w:val="18"/>
              </w:rPr>
              <w:t>YANG</w:t>
            </w:r>
            <w:r>
              <w:rPr>
                <w:rFonts w:ascii="宋体" w:hAnsi="宋体" w:cs="宋体" w:eastAsia="宋体" w:hint="default"/>
                <w:sz w:val="18"/>
                <w:szCs w:val="18"/>
              </w:rPr>
              <w:t>（中文名：万晓阳）</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公司董事</w:t>
            </w:r>
          </w:p>
        </w:tc>
      </w:tr>
      <w:tr>
        <w:trPr>
          <w:trHeight w:val="403" w:hRule="exact"/>
        </w:trPr>
        <w:tc>
          <w:tcPr>
            <w:tcW w:w="6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陈丹</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公司董事</w:t>
            </w:r>
          </w:p>
        </w:tc>
      </w:tr>
      <w:tr>
        <w:trPr>
          <w:trHeight w:val="401" w:hRule="exact"/>
        </w:trPr>
        <w:tc>
          <w:tcPr>
            <w:tcW w:w="6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叶陈刚</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公司独立董事</w:t>
            </w:r>
          </w:p>
        </w:tc>
      </w:tr>
      <w:tr>
        <w:trPr>
          <w:trHeight w:val="403" w:hRule="exact"/>
        </w:trPr>
        <w:tc>
          <w:tcPr>
            <w:tcW w:w="6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钟晓林</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公司独立董事</w:t>
            </w:r>
          </w:p>
        </w:tc>
      </w:tr>
      <w:tr>
        <w:trPr>
          <w:trHeight w:val="401" w:hRule="exact"/>
        </w:trPr>
        <w:tc>
          <w:tcPr>
            <w:tcW w:w="6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Key Ke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Liu</w:t>
            </w:r>
            <w:r>
              <w:rPr>
                <w:rFonts w:ascii="宋体" w:hAnsi="宋体" w:cs="宋体" w:eastAsia="宋体" w:hint="default"/>
                <w:sz w:val="18"/>
                <w:szCs w:val="18"/>
              </w:rPr>
              <w:t>（中文名：刘科）</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公司独立董事</w:t>
            </w:r>
          </w:p>
        </w:tc>
      </w:tr>
      <w:tr>
        <w:trPr>
          <w:trHeight w:val="403" w:hRule="exact"/>
        </w:trPr>
        <w:tc>
          <w:tcPr>
            <w:tcW w:w="6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方莉</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公司副总裁</w:t>
            </w:r>
          </w:p>
        </w:tc>
      </w:tr>
      <w:tr>
        <w:trPr>
          <w:trHeight w:val="401" w:hRule="exact"/>
        </w:trPr>
        <w:tc>
          <w:tcPr>
            <w:tcW w:w="6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刘扬</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公司副总裁、董事会秘书</w:t>
            </w:r>
          </w:p>
        </w:tc>
      </w:tr>
      <w:tr>
        <w:trPr>
          <w:trHeight w:val="403" w:hRule="exact"/>
        </w:trPr>
        <w:tc>
          <w:tcPr>
            <w:tcW w:w="6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迟永军</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公司副总裁</w:t>
            </w:r>
          </w:p>
        </w:tc>
      </w:tr>
      <w:tr>
        <w:trPr>
          <w:trHeight w:val="401" w:hRule="exact"/>
        </w:trPr>
        <w:tc>
          <w:tcPr>
            <w:tcW w:w="6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梅绍华</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公司监事会主席</w:t>
            </w:r>
          </w:p>
        </w:tc>
      </w:tr>
      <w:tr>
        <w:trPr>
          <w:trHeight w:val="403" w:hRule="exact"/>
        </w:trPr>
        <w:tc>
          <w:tcPr>
            <w:tcW w:w="6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于奔</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公司原监事</w:t>
            </w:r>
          </w:p>
        </w:tc>
      </w:tr>
      <w:tr>
        <w:trPr>
          <w:trHeight w:val="401" w:hRule="exact"/>
        </w:trPr>
        <w:tc>
          <w:tcPr>
            <w:tcW w:w="6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夏云飞</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公司监事</w:t>
            </w:r>
          </w:p>
        </w:tc>
      </w:tr>
      <w:tr>
        <w:trPr>
          <w:trHeight w:val="403" w:hRule="exact"/>
        </w:trPr>
        <w:tc>
          <w:tcPr>
            <w:tcW w:w="6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温秋萍</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公司职工代表监事</w:t>
            </w:r>
          </w:p>
        </w:tc>
      </w:tr>
      <w:tr>
        <w:trPr>
          <w:trHeight w:val="401" w:hRule="exact"/>
        </w:trPr>
        <w:tc>
          <w:tcPr>
            <w:tcW w:w="6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刘小峰</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信中利董事</w:t>
            </w:r>
          </w:p>
        </w:tc>
      </w:tr>
      <w:tr>
        <w:trPr>
          <w:trHeight w:val="403" w:hRule="exact"/>
        </w:trPr>
        <w:tc>
          <w:tcPr>
            <w:tcW w:w="6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刘朝晨</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信中利董事、总经理</w:t>
            </w:r>
          </w:p>
        </w:tc>
      </w:tr>
      <w:tr>
        <w:trPr>
          <w:trHeight w:val="401" w:hRule="exact"/>
        </w:trPr>
        <w:tc>
          <w:tcPr>
            <w:tcW w:w="6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王旭东</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信中利董事、副总经理</w:t>
            </w:r>
          </w:p>
        </w:tc>
      </w:tr>
      <w:tr>
        <w:trPr>
          <w:trHeight w:val="403" w:hRule="exact"/>
        </w:trPr>
        <w:tc>
          <w:tcPr>
            <w:tcW w:w="6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魏勤</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信中利监事会主席</w:t>
            </w:r>
          </w:p>
        </w:tc>
      </w:tr>
      <w:tr>
        <w:trPr>
          <w:trHeight w:val="401" w:hRule="exact"/>
        </w:trPr>
        <w:tc>
          <w:tcPr>
            <w:tcW w:w="6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刘俊辉</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信中利监事</w:t>
            </w:r>
          </w:p>
        </w:tc>
      </w:tr>
      <w:tr>
        <w:trPr>
          <w:trHeight w:val="403" w:hRule="exact"/>
        </w:trPr>
        <w:tc>
          <w:tcPr>
            <w:tcW w:w="6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张洁</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信中利副总经理</w:t>
            </w:r>
          </w:p>
        </w:tc>
      </w:tr>
      <w:tr>
        <w:trPr>
          <w:trHeight w:val="401" w:hRule="exact"/>
        </w:trPr>
        <w:tc>
          <w:tcPr>
            <w:tcW w:w="6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王卫红</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信中利原董事会秘书</w:t>
            </w:r>
          </w:p>
        </w:tc>
      </w:tr>
      <w:tr>
        <w:trPr>
          <w:trHeight w:val="403" w:hRule="exact"/>
        </w:trPr>
        <w:tc>
          <w:tcPr>
            <w:tcW w:w="6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赵丽</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信中利董事会秘书</w:t>
            </w:r>
          </w:p>
        </w:tc>
      </w:tr>
    </w:tbl>
    <w:p>
      <w:pPr>
        <w:spacing w:line="240" w:lineRule="auto" w:before="3"/>
        <w:rPr>
          <w:rFonts w:ascii="宋体" w:hAnsi="宋体" w:cs="宋体" w:eastAsia="宋体" w:hint="default"/>
          <w:b/>
          <w:bCs/>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t>采购商品</w:t>
      </w:r>
      <w:r>
        <w:rPr>
          <w:rFonts w:ascii="Times New Roman" w:hAnsi="Times New Roman" w:cs="Times New Roman" w:eastAsia="Times New Roman" w:hint="default"/>
        </w:rPr>
        <w:t>/</w:t>
      </w:r>
      <w:r>
        <w:rPr/>
        <w:t>接受劳务情况表</w:t>
      </w:r>
    </w:p>
    <w:p>
      <w:pPr>
        <w:spacing w:after="0" w:line="240" w:lineRule="auto"/>
        <w:jc w:val="left"/>
        <w:sectPr>
          <w:pgSz w:w="11910" w:h="16840"/>
          <w:pgMar w:header="0" w:footer="979" w:top="1100" w:bottom="1160" w:left="980" w:right="980"/>
        </w:sectPr>
      </w:pPr>
    </w:p>
    <w:p>
      <w:pPr>
        <w:spacing w:line="240" w:lineRule="auto" w:before="11"/>
        <w:rPr>
          <w:rFonts w:ascii="宋体" w:hAnsi="宋体" w:cs="宋体" w:eastAsia="宋体" w:hint="default"/>
          <w:sz w:val="21"/>
          <w:szCs w:val="21"/>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946"/>
        <w:gridCol w:w="1301"/>
        <w:gridCol w:w="1092"/>
        <w:gridCol w:w="1505"/>
        <w:gridCol w:w="1712"/>
        <w:gridCol w:w="1142"/>
      </w:tblGrid>
      <w:tr>
        <w:trPr>
          <w:trHeight w:val="401"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中视环球汽车赛事管理有限公司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业务宣传服务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8" w:right="0"/>
              <w:jc w:val="left"/>
              <w:rPr>
                <w:rFonts w:ascii="Times New Roman" w:hAnsi="Times New Roman" w:cs="Times New Roman" w:eastAsia="Times New Roman" w:hint="default"/>
                <w:sz w:val="18"/>
                <w:szCs w:val="18"/>
              </w:rPr>
            </w:pPr>
            <w:r>
              <w:rPr>
                <w:rFonts w:ascii="Times New Roman"/>
                <w:sz w:val="18"/>
              </w:rPr>
              <w:t>1,500,000.00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否</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5" w:right="0"/>
              <w:jc w:val="left"/>
              <w:rPr>
                <w:rFonts w:ascii="Times New Roman" w:hAnsi="Times New Roman" w:cs="Times New Roman" w:eastAsia="Times New Roman" w:hint="default"/>
                <w:sz w:val="18"/>
                <w:szCs w:val="18"/>
              </w:rPr>
            </w:pPr>
            <w:r>
              <w:rPr>
                <w:rFonts w:ascii="Times New Roman"/>
                <w:sz w:val="18"/>
              </w:rPr>
              <w:t>1,500,000.00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）关联租赁情况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53"/>
        <w:jc w:val="left"/>
      </w:pPr>
      <w:r>
        <w:rPr/>
        <w:t>本公司作为承租方：</w:t>
      </w:r>
    </w:p>
    <w:p>
      <w:pPr>
        <w:pStyle w:val="BodyText"/>
        <w:spacing w:line="240" w:lineRule="auto" w:before="117"/>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422"/>
        <w:gridCol w:w="2427"/>
        <w:gridCol w:w="2424"/>
        <w:gridCol w:w="2425"/>
      </w:tblGrid>
      <w:tr>
        <w:trPr>
          <w:trHeight w:val="401" w:hRule="exact"/>
        </w:trPr>
        <w:tc>
          <w:tcPr>
            <w:tcW w:w="2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出租方名称</w:t>
            </w:r>
          </w:p>
        </w:tc>
        <w:tc>
          <w:tcPr>
            <w:tcW w:w="2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7"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7"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7"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4"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center"/>
              <w:rPr>
                <w:rFonts w:ascii="宋体" w:hAnsi="宋体" w:cs="宋体" w:eastAsia="宋体" w:hint="default"/>
                <w:sz w:val="18"/>
                <w:szCs w:val="18"/>
              </w:rPr>
            </w:pPr>
            <w:r>
              <w:rPr>
                <w:rFonts w:ascii="宋体" w:hAnsi="宋体" w:cs="宋体" w:eastAsia="宋体" w:hint="default"/>
                <w:sz w:val="18"/>
                <w:szCs w:val="18"/>
              </w:rPr>
              <w:t>北京信中利投资股份有限公司</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1,941,500.00</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495,000.00</w:t>
            </w:r>
          </w:p>
        </w:tc>
      </w:tr>
      <w:tr>
        <w:trPr>
          <w:trHeight w:val="401"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center"/>
              <w:rPr>
                <w:rFonts w:ascii="宋体" w:hAnsi="宋体" w:cs="宋体" w:eastAsia="宋体" w:hint="default"/>
                <w:sz w:val="18"/>
                <w:szCs w:val="18"/>
              </w:rPr>
            </w:pPr>
            <w:r>
              <w:rPr>
                <w:rFonts w:ascii="宋体" w:hAnsi="宋体" w:cs="宋体" w:eastAsia="宋体" w:hint="default"/>
                <w:sz w:val="18"/>
                <w:szCs w:val="18"/>
              </w:rPr>
              <w:t>北京九立方投资管理有限公司</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1,669,200.00</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53"/>
        <w:jc w:val="left"/>
      </w:pPr>
      <w:r>
        <w:rPr/>
        <w:t>关联租赁情况说明：无。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Times New Roman" w:hAnsi="Times New Roman" w:cs="Times New Roman" w:eastAsia="Times New Roman" w:hint="default"/>
        </w:rPr>
        <w:t>3</w:t>
      </w:r>
      <w:r>
        <w:rPr/>
        <w:t>）关键管理人员报酬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9,707,349.74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7,205,027.52</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4</w:t>
      </w:r>
      <w:r>
        <w:rPr/>
        <w:t>）其他关联交易</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47" w:firstLine="36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23</w:t>
      </w:r>
      <w:r>
        <w:rPr>
          <w:spacing w:val="-1"/>
        </w:rPr>
        <w:t>日，公司开始筹划重大资产购买事项，交易标的为哆可梦</w:t>
      </w:r>
      <w:r>
        <w:rPr>
          <w:rFonts w:ascii="Times New Roman" w:hAnsi="Times New Roman" w:cs="Times New Roman" w:eastAsia="Times New Roman" w:hint="default"/>
          <w:spacing w:val="-1"/>
        </w:rPr>
        <w:t>77.57%</w:t>
      </w:r>
      <w:r>
        <w:rPr>
          <w:spacing w:val="-1"/>
        </w:rPr>
        <w:t>股权。北京信中利赞信股权投资中心（有</w:t>
      </w:r>
      <w:r>
        <w:rPr/>
        <w:t> 限合伙）（以下简称</w:t>
      </w:r>
      <w:r>
        <w:rPr>
          <w:rFonts w:ascii="Times New Roman" w:hAnsi="Times New Roman" w:cs="Times New Roman" w:eastAsia="Times New Roman" w:hint="default"/>
        </w:rPr>
        <w:t>“</w:t>
      </w:r>
      <w:r>
        <w:rPr/>
        <w:t>信中利赞信</w:t>
      </w:r>
      <w:r>
        <w:rPr>
          <w:rFonts w:ascii="Times New Roman" w:hAnsi="Times New Roman" w:cs="Times New Roman" w:eastAsia="Times New Roman" w:hint="default"/>
        </w:rPr>
        <w:t>”</w:t>
      </w:r>
      <w:r>
        <w:rPr/>
        <w:t>）为公司担任有限合伙人并持有</w:t>
      </w:r>
      <w:r>
        <w:rPr>
          <w:spacing w:val="-21"/>
        </w:rPr>
        <w:t> </w:t>
      </w:r>
      <w:r>
        <w:rPr>
          <w:rFonts w:ascii="Times New Roman" w:hAnsi="Times New Roman" w:cs="Times New Roman" w:eastAsia="Times New Roman" w:hint="default"/>
        </w:rPr>
        <w:t>32.22%</w:t>
      </w:r>
      <w:r>
        <w:rPr/>
        <w:t>份额的合伙企业，为公司关联方。本次重大资产 购买交易前，信中利赞信持有哆可梦 </w:t>
      </w:r>
      <w:r>
        <w:rPr>
          <w:rFonts w:ascii="Times New Roman" w:hAnsi="Times New Roman" w:cs="Times New Roman" w:eastAsia="Times New Roman" w:hint="default"/>
        </w:rPr>
        <w:t>22.43%</w:t>
      </w:r>
      <w:r>
        <w:rPr/>
        <w:t>股权；本次交易项下，公司向无关联第三方收购哆可梦</w:t>
      </w:r>
      <w:r>
        <w:rPr>
          <w:spacing w:val="-72"/>
        </w:rPr>
        <w:t> </w:t>
      </w:r>
      <w:r>
        <w:rPr>
          <w:rFonts w:ascii="Times New Roman" w:hAnsi="Times New Roman" w:cs="Times New Roman" w:eastAsia="Times New Roman" w:hint="default"/>
          <w:spacing w:val="-3"/>
        </w:rPr>
        <w:t>77.57%</w:t>
      </w:r>
      <w:r>
        <w:rPr>
          <w:spacing w:val="-3"/>
        </w:rPr>
        <w:t>股权。根据《深</w:t>
      </w:r>
      <w:r>
        <w:rPr/>
        <w:t> </w:t>
      </w:r>
      <w:r>
        <w:rPr>
          <w:spacing w:val="-5"/>
        </w:rPr>
        <w:t>圳证券交易所股票上市规则》并基于谨慎性原则，公司认为本次交易构成与关联方信中利赞信共同投资的关联交易。截止</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日，公司本次重大资产购买暨关联交易已实施完毕。</w:t>
      </w:r>
    </w:p>
    <w:p>
      <w:pPr>
        <w:spacing w:line="240" w:lineRule="auto" w:before="5"/>
        <w:rPr>
          <w:rFonts w:ascii="宋体" w:hAnsi="宋体" w:cs="宋体" w:eastAsia="宋体" w:hint="default"/>
          <w:sz w:val="20"/>
          <w:szCs w:val="20"/>
        </w:rPr>
      </w:pPr>
    </w:p>
    <w:p>
      <w:pPr>
        <w:pStyle w:val="Heading2"/>
        <w:spacing w:line="240" w:lineRule="auto"/>
        <w:ind w:right="153"/>
        <w:jc w:val="left"/>
        <w:rPr>
          <w:b w:val="0"/>
          <w:bCs w:val="0"/>
        </w:rPr>
      </w:pPr>
      <w:r>
        <w:rPr/>
        <w:t>十三、股份支付</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单位：股</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3,570,000.00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7,560,000.00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详见以下说明</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详见以下说明</w:t>
            </w:r>
          </w:p>
        </w:tc>
      </w:tr>
    </w:tbl>
    <w:p>
      <w:pPr>
        <w:pStyle w:val="BodyText"/>
        <w:spacing w:line="240" w:lineRule="auto" w:before="49"/>
        <w:ind w:right="153"/>
        <w:jc w:val="left"/>
      </w:pPr>
      <w:r>
        <w:rPr/>
        <w:t>其他说明</w:t>
      </w:r>
    </w:p>
    <w:p>
      <w:pPr>
        <w:pStyle w:val="BodyText"/>
        <w:spacing w:line="240" w:lineRule="auto" w:before="115"/>
        <w:ind w:left="513" w:right="0"/>
        <w:jc w:val="left"/>
      </w:pPr>
      <w:r>
        <w:rPr/>
        <w:t>公司</w:t>
      </w:r>
      <w:r>
        <w:rPr>
          <w:rFonts w:ascii="Times New Roman" w:hAnsi="Times New Roman" w:cs="Times New Roman" w:eastAsia="Times New Roman" w:hint="default"/>
        </w:rPr>
        <w:t>2016</w:t>
      </w:r>
      <w:r>
        <w:rPr/>
        <w:t>年共实施一期股权激励计划、</w:t>
      </w:r>
      <w:r>
        <w:rPr>
          <w:rFonts w:ascii="Times New Roman" w:hAnsi="Times New Roman" w:cs="Times New Roman" w:eastAsia="Times New Roman" w:hint="default"/>
        </w:rPr>
        <w:t>2015</w:t>
      </w:r>
      <w:r>
        <w:rPr/>
        <w:t>年共实施两期股权激励计划，截止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日，上述实施的三期股权激</w:t>
      </w:r>
    </w:p>
    <w:p>
      <w:pPr>
        <w:spacing w:after="0" w:line="240" w:lineRule="auto"/>
        <w:jc w:val="left"/>
        <w:sectPr>
          <w:pgSz w:w="11910" w:h="16840"/>
          <w:pgMar w:header="0" w:footer="979" w:top="1100" w:bottom="1160" w:left="980" w:right="980"/>
        </w:sectPr>
      </w:pPr>
    </w:p>
    <w:p>
      <w:pPr>
        <w:spacing w:line="240" w:lineRule="auto" w:before="11"/>
        <w:rPr>
          <w:rFonts w:ascii="宋体" w:hAnsi="宋体" w:cs="宋体" w:eastAsia="宋体" w:hint="default"/>
          <w:sz w:val="21"/>
          <w:szCs w:val="21"/>
        </w:rPr>
      </w:pPr>
    </w:p>
    <w:p>
      <w:pPr>
        <w:pStyle w:val="BodyText"/>
        <w:spacing w:line="316" w:lineRule="auto" w:before="44"/>
        <w:ind w:left="513" w:right="6713" w:hanging="361"/>
        <w:jc w:val="left"/>
      </w:pPr>
      <w:r>
        <w:rPr/>
        <w:t>励计划均已经完成授予登记。 公司本期无授予的各项权益工具。</w:t>
      </w:r>
    </w:p>
    <w:p>
      <w:pPr>
        <w:pStyle w:val="BodyText"/>
        <w:spacing w:line="300" w:lineRule="auto" w:before="19"/>
        <w:ind w:right="152" w:firstLine="360"/>
        <w:jc w:val="left"/>
      </w:pPr>
      <w:r>
        <w:rPr/>
        <w:t>公司本期解锁或行权的各项权益工具为：</w:t>
      </w:r>
      <w:r>
        <w:rPr>
          <w:rFonts w:ascii="Times New Roman" w:hAnsi="Times New Roman" w:cs="Times New Roman" w:eastAsia="Times New Roman" w:hint="default"/>
        </w:rPr>
        <w:t>2015</w:t>
      </w:r>
      <w:r>
        <w:rPr/>
        <w:t>年第一期股权激励计划首次授予的限制性股票于报告期内解锁上市流通 </w:t>
      </w:r>
      <w:r>
        <w:rPr>
          <w:rFonts w:ascii="Times New Roman" w:hAnsi="Times New Roman" w:cs="Times New Roman" w:eastAsia="Times New Roman" w:hint="default"/>
          <w:spacing w:val="-2"/>
        </w:rPr>
        <w:t>246</w:t>
      </w:r>
      <w:r>
        <w:rPr>
          <w:spacing w:val="-2"/>
        </w:rPr>
        <w:t>万股，其授予价格为</w:t>
      </w:r>
      <w:r>
        <w:rPr>
          <w:rFonts w:ascii="Times New Roman" w:hAnsi="Times New Roman" w:cs="Times New Roman" w:eastAsia="Times New Roman" w:hint="default"/>
          <w:spacing w:val="-2"/>
        </w:rPr>
        <w:t>6.24</w:t>
      </w:r>
      <w:r>
        <w:rPr>
          <w:spacing w:val="-2"/>
        </w:rPr>
        <w:t>元</w:t>
      </w:r>
      <w:r>
        <w:rPr>
          <w:rFonts w:ascii="Times New Roman" w:hAnsi="Times New Roman" w:cs="Times New Roman" w:eastAsia="Times New Roman" w:hint="default"/>
          <w:spacing w:val="-2"/>
        </w:rPr>
        <w:t>/</w:t>
      </w:r>
      <w:r>
        <w:rPr>
          <w:spacing w:val="-2"/>
        </w:rPr>
        <w:t>股；</w:t>
      </w:r>
      <w:r>
        <w:rPr>
          <w:rFonts w:ascii="Times New Roman" w:hAnsi="Times New Roman" w:cs="Times New Roman" w:eastAsia="Times New Roman" w:hint="default"/>
          <w:spacing w:val="-2"/>
        </w:rPr>
        <w:t>2015</w:t>
      </w:r>
      <w:r>
        <w:rPr>
          <w:spacing w:val="-2"/>
        </w:rPr>
        <w:t>年第二期股权激励计划首次授予的股票期权于报告期内行权上市流通</w:t>
      </w:r>
      <w:r>
        <w:rPr>
          <w:rFonts w:ascii="Times New Roman" w:hAnsi="Times New Roman" w:cs="Times New Roman" w:eastAsia="Times New Roman" w:hint="default"/>
          <w:spacing w:val="-2"/>
        </w:rPr>
        <w:t>111</w:t>
      </w:r>
      <w:r>
        <w:rPr>
          <w:spacing w:val="-2"/>
        </w:rPr>
        <w:t>万股，其授</w:t>
      </w:r>
      <w:r>
        <w:rPr>
          <w:spacing w:val="-60"/>
        </w:rPr>
        <w:t> </w:t>
      </w:r>
      <w:r>
        <w:rPr>
          <w:spacing w:val="-60"/>
        </w:rPr>
      </w:r>
      <w:r>
        <w:rPr/>
        <w:t>权价格为</w:t>
      </w:r>
      <w:r>
        <w:rPr>
          <w:rFonts w:ascii="Times New Roman" w:hAnsi="Times New Roman" w:cs="Times New Roman" w:eastAsia="Times New Roman" w:hint="default"/>
        </w:rPr>
        <w:t>9.25</w:t>
      </w:r>
      <w:r>
        <w:rPr/>
        <w:t>元</w:t>
      </w:r>
      <w:r>
        <w:rPr>
          <w:rFonts w:ascii="Times New Roman" w:hAnsi="Times New Roman" w:cs="Times New Roman" w:eastAsia="Times New Roman" w:hint="default"/>
        </w:rPr>
        <w:t>/</w:t>
      </w:r>
      <w:r>
        <w:rPr/>
        <w:t>份。</w:t>
      </w:r>
    </w:p>
    <w:p>
      <w:pPr>
        <w:pStyle w:val="BodyText"/>
        <w:spacing w:line="300" w:lineRule="auto" w:before="13"/>
        <w:ind w:right="148" w:firstLine="360"/>
        <w:jc w:val="both"/>
      </w:pPr>
      <w:r>
        <w:rPr/>
        <w:t>公司期末发行在外尚未解锁或行权的各项权益工具为：</w:t>
      </w:r>
      <w:r>
        <w:rPr>
          <w:rFonts w:ascii="Times New Roman" w:hAnsi="Times New Roman" w:cs="Times New Roman" w:eastAsia="Times New Roman" w:hint="default"/>
        </w:rPr>
        <w:t>2015</w:t>
      </w:r>
      <w:r>
        <w:rPr/>
        <w:t>年第一期股权激励计划首次授予的限制性股票</w:t>
      </w:r>
      <w:r>
        <w:rPr>
          <w:rFonts w:ascii="Times New Roman" w:hAnsi="Times New Roman" w:cs="Times New Roman" w:eastAsia="Times New Roman" w:hint="default"/>
        </w:rPr>
        <w:t>346.5</w:t>
      </w:r>
      <w:r>
        <w:rPr/>
        <w:t>万股， 授予价格为</w:t>
      </w:r>
      <w:r>
        <w:rPr>
          <w:rFonts w:ascii="Times New Roman" w:hAnsi="Times New Roman" w:cs="Times New Roman" w:eastAsia="Times New Roman" w:hint="default"/>
        </w:rPr>
        <w:t>6.24</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2015</w:t>
      </w:r>
      <w:r>
        <w:rPr/>
        <w:t>年两期股权激励计划预留授予的限制性股票</w:t>
      </w:r>
      <w:r>
        <w:rPr>
          <w:rFonts w:ascii="Times New Roman" w:hAnsi="Times New Roman" w:cs="Times New Roman" w:eastAsia="Times New Roman" w:hint="default"/>
        </w:rPr>
        <w:t>320</w:t>
      </w:r>
      <w:r>
        <w:rPr/>
        <w:t>万股，授予价格为</w:t>
      </w:r>
      <w:r>
        <w:rPr>
          <w:rFonts w:ascii="Times New Roman" w:hAnsi="Times New Roman" w:cs="Times New Roman" w:eastAsia="Times New Roman" w:hint="default"/>
        </w:rPr>
        <w:t>7.49</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2015</w:t>
      </w:r>
      <w:r>
        <w:rPr/>
        <w:t>年两期股权激 励计划预留授予的股票期权</w:t>
      </w:r>
      <w:r>
        <w:rPr>
          <w:rFonts w:ascii="Times New Roman" w:hAnsi="Times New Roman" w:cs="Times New Roman" w:eastAsia="Times New Roman" w:hint="default"/>
        </w:rPr>
        <w:t>120</w:t>
      </w:r>
      <w:r>
        <w:rPr/>
        <w:t>万份，授权价格为</w:t>
      </w:r>
      <w:r>
        <w:rPr>
          <w:rFonts w:ascii="Times New Roman" w:hAnsi="Times New Roman" w:cs="Times New Roman" w:eastAsia="Times New Roman" w:hint="default"/>
        </w:rPr>
        <w:t>14.78</w:t>
      </w:r>
      <w:r>
        <w:rPr/>
        <w:t>元</w:t>
      </w:r>
      <w:r>
        <w:rPr>
          <w:rFonts w:ascii="Times New Roman" w:hAnsi="Times New Roman" w:cs="Times New Roman" w:eastAsia="Times New Roman" w:hint="default"/>
        </w:rPr>
        <w:t>/</w:t>
      </w:r>
      <w:r>
        <w:rPr/>
        <w:t>份；</w:t>
      </w:r>
      <w:r>
        <w:rPr>
          <w:rFonts w:ascii="Times New Roman" w:hAnsi="Times New Roman" w:cs="Times New Roman" w:eastAsia="Times New Roman" w:hint="default"/>
        </w:rPr>
        <w:t>2015</w:t>
      </w:r>
      <w:r>
        <w:rPr/>
        <w:t>年第二期股权激励计划首次授予的限制性股票</w:t>
      </w:r>
      <w:r>
        <w:rPr>
          <w:rFonts w:ascii="Times New Roman" w:hAnsi="Times New Roman" w:cs="Times New Roman" w:eastAsia="Times New Roman" w:hint="default"/>
        </w:rPr>
        <w:t>700</w:t>
      </w:r>
      <w:r>
        <w:rPr/>
        <w:t>万股， 授予价格为</w:t>
      </w:r>
      <w:r>
        <w:rPr>
          <w:rFonts w:ascii="Times New Roman" w:hAnsi="Times New Roman" w:cs="Times New Roman" w:eastAsia="Times New Roman" w:hint="default"/>
        </w:rPr>
        <w:t>4.38</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2015</w:t>
      </w:r>
      <w:r>
        <w:rPr/>
        <w:t>年第二期股权激励计划首次授予的股票期权</w:t>
      </w:r>
      <w:r>
        <w:rPr>
          <w:rFonts w:ascii="Times New Roman" w:hAnsi="Times New Roman" w:cs="Times New Roman" w:eastAsia="Times New Roman" w:hint="default"/>
        </w:rPr>
        <w:t>325.5</w:t>
      </w:r>
      <w:r>
        <w:rPr/>
        <w:t>万份，授权价格为</w:t>
      </w:r>
      <w:r>
        <w:rPr>
          <w:rFonts w:ascii="Times New Roman" w:hAnsi="Times New Roman" w:cs="Times New Roman" w:eastAsia="Times New Roman" w:hint="default"/>
        </w:rPr>
        <w:t>9.25</w:t>
      </w:r>
      <w:r>
        <w:rPr/>
        <w:t>元</w:t>
      </w:r>
      <w:r>
        <w:rPr>
          <w:rFonts w:ascii="Times New Roman" w:hAnsi="Times New Roman" w:cs="Times New Roman" w:eastAsia="Times New Roman" w:hint="default"/>
        </w:rPr>
        <w:t>/</w:t>
      </w:r>
      <w:r>
        <w:rPr/>
        <w:t>份；</w:t>
      </w:r>
      <w:r>
        <w:rPr>
          <w:rFonts w:ascii="Times New Roman" w:hAnsi="Times New Roman" w:cs="Times New Roman" w:eastAsia="Times New Roman" w:hint="default"/>
        </w:rPr>
        <w:t>2016</w:t>
      </w:r>
      <w:r>
        <w:rPr/>
        <w:t>年股权激励 计划授予的限制性股票</w:t>
      </w:r>
      <w:r>
        <w:rPr>
          <w:rFonts w:ascii="Times New Roman" w:hAnsi="Times New Roman" w:cs="Times New Roman" w:eastAsia="Times New Roman" w:hint="default"/>
        </w:rPr>
        <w:t>4,070</w:t>
      </w:r>
      <w:r>
        <w:rPr/>
        <w:t>万股，授予价格为</w:t>
      </w:r>
      <w:r>
        <w:rPr>
          <w:rFonts w:ascii="Times New Roman" w:hAnsi="Times New Roman" w:cs="Times New Roman" w:eastAsia="Times New Roman" w:hint="default"/>
        </w:rPr>
        <w:t>7.44</w:t>
      </w:r>
      <w:r>
        <w:rPr/>
        <w:t>元</w:t>
      </w:r>
      <w:r>
        <w:rPr>
          <w:rFonts w:ascii="Times New Roman" w:hAnsi="Times New Roman" w:cs="Times New Roman" w:eastAsia="Times New Roman" w:hint="default"/>
        </w:rPr>
        <w:t>/</w:t>
      </w:r>
      <w:r>
        <w:rPr/>
        <w:t>股；公司期末发行在外的限制性股票总额为</w:t>
      </w:r>
      <w:r>
        <w:rPr>
          <w:rFonts w:ascii="Times New Roman" w:hAnsi="Times New Roman" w:cs="Times New Roman" w:eastAsia="Times New Roman" w:hint="default"/>
        </w:rPr>
        <w:t>5,436.5</w:t>
      </w:r>
      <w:r>
        <w:rPr/>
        <w:t>万股，股票期权总 额为</w:t>
      </w:r>
      <w:r>
        <w:rPr>
          <w:rFonts w:ascii="宋体" w:hAnsi="宋体" w:cs="宋体" w:eastAsia="宋体" w:hint="default"/>
        </w:rPr>
        <w:t>445.5</w:t>
      </w:r>
      <w:r>
        <w:rPr/>
        <w:t>万份。</w:t>
      </w:r>
    </w:p>
    <w:p>
      <w:pPr>
        <w:pStyle w:val="BodyText"/>
        <w:spacing w:line="300" w:lineRule="auto" w:before="32"/>
        <w:ind w:left="513" w:right="2573"/>
        <w:jc w:val="left"/>
      </w:pPr>
      <w:r>
        <w:rPr/>
        <w:t>公司</w:t>
      </w:r>
      <w:r>
        <w:rPr>
          <w:rFonts w:ascii="Times New Roman" w:hAnsi="Times New Roman" w:cs="Times New Roman" w:eastAsia="Times New Roman" w:hint="default"/>
        </w:rPr>
        <w:t>2016</w:t>
      </w:r>
      <w:r>
        <w:rPr/>
        <w:t>年股权激励计划授予的限制性股票期末发行在外的限制性股票合同剩余期限： 第一次解锁已进入解锁期</w:t>
      </w:r>
      <w:r>
        <w:rPr>
          <w:rFonts w:ascii="Times New Roman" w:hAnsi="Times New Roman" w:cs="Times New Roman" w:eastAsia="Times New Roman" w:hint="default"/>
        </w:rPr>
        <w:t>3</w:t>
      </w:r>
      <w:r>
        <w:rPr/>
        <w:t>个月；</w:t>
      </w:r>
    </w:p>
    <w:p>
      <w:pPr>
        <w:pStyle w:val="BodyText"/>
        <w:spacing w:line="300" w:lineRule="auto" w:before="13"/>
        <w:ind w:left="513" w:right="7073"/>
        <w:jc w:val="left"/>
      </w:pPr>
      <w:r>
        <w:rPr/>
        <w:t>距第二个解锁期剩余</w:t>
      </w:r>
      <w:r>
        <w:rPr>
          <w:rFonts w:ascii="Times New Roman" w:hAnsi="Times New Roman" w:cs="Times New Roman" w:eastAsia="Times New Roman" w:hint="default"/>
        </w:rPr>
        <w:t>9</w:t>
      </w:r>
      <w:r>
        <w:rPr/>
        <w:t>个月； 距第三个解锁期剩余</w:t>
      </w:r>
      <w:r>
        <w:rPr>
          <w:rFonts w:ascii="Times New Roman" w:hAnsi="Times New Roman" w:cs="Times New Roman" w:eastAsia="Times New Roman" w:hint="default"/>
        </w:rPr>
        <w:t>21</w:t>
      </w:r>
      <w:r>
        <w:rPr/>
        <w:t>个月。</w:t>
      </w:r>
    </w:p>
    <w:p>
      <w:pPr>
        <w:pStyle w:val="BodyText"/>
        <w:spacing w:line="300" w:lineRule="auto" w:before="13"/>
        <w:ind w:left="513" w:right="1673"/>
        <w:jc w:val="left"/>
      </w:pPr>
      <w:r>
        <w:rPr/>
        <w:t>公司</w:t>
      </w:r>
      <w:r>
        <w:rPr>
          <w:rFonts w:ascii="Times New Roman" w:hAnsi="Times New Roman" w:cs="Times New Roman" w:eastAsia="Times New Roman" w:hint="default"/>
        </w:rPr>
        <w:t>2015</w:t>
      </w:r>
      <w:r>
        <w:rPr/>
        <w:t>年第一期股权激励计划首次授予的限制性股票期末发行在外的限制性股票合同剩余期限： 第二次解锁已进入解锁期</w:t>
      </w:r>
      <w:r>
        <w:rPr>
          <w:rFonts w:ascii="Times New Roman" w:hAnsi="Times New Roman" w:cs="Times New Roman" w:eastAsia="Times New Roman" w:hint="default"/>
        </w:rPr>
        <w:t>4</w:t>
      </w:r>
      <w:r>
        <w:rPr/>
        <w:t>天；</w:t>
      </w:r>
    </w:p>
    <w:p>
      <w:pPr>
        <w:pStyle w:val="BodyText"/>
        <w:spacing w:line="300" w:lineRule="auto" w:before="13"/>
        <w:ind w:left="513" w:right="1673"/>
        <w:jc w:val="left"/>
      </w:pPr>
      <w:r>
        <w:rPr/>
        <w:t>距第三个解锁期剩余</w:t>
      </w:r>
      <w:r>
        <w:rPr>
          <w:rFonts w:ascii="Times New Roman" w:hAnsi="Times New Roman" w:cs="Times New Roman" w:eastAsia="Times New Roman" w:hint="default"/>
        </w:rPr>
        <w:t>12</w:t>
      </w:r>
      <w:r>
        <w:rPr/>
        <w:t>个月。 公司</w:t>
      </w:r>
      <w:r>
        <w:rPr>
          <w:rFonts w:ascii="Times New Roman" w:hAnsi="Times New Roman" w:cs="Times New Roman" w:eastAsia="Times New Roman" w:hint="default"/>
        </w:rPr>
        <w:t>2015</w:t>
      </w:r>
      <w:r>
        <w:rPr/>
        <w:t>年第二期股权激励计划首次授予的限制性股票期末发行在外的限制性股票合同剩余期限： 第二次解锁已进入解锁期</w:t>
      </w:r>
      <w:r>
        <w:rPr>
          <w:rFonts w:ascii="Times New Roman" w:hAnsi="Times New Roman" w:cs="Times New Roman" w:eastAsia="Times New Roman" w:hint="default"/>
        </w:rPr>
        <w:t>2</w:t>
      </w:r>
      <w:r>
        <w:rPr/>
        <w:t>个月；</w:t>
      </w:r>
    </w:p>
    <w:p>
      <w:pPr>
        <w:pStyle w:val="BodyText"/>
        <w:spacing w:line="300" w:lineRule="auto" w:before="13"/>
        <w:ind w:left="513" w:right="1853"/>
        <w:jc w:val="left"/>
      </w:pPr>
      <w:r>
        <w:rPr/>
        <w:t>距第三个解锁期剩余</w:t>
      </w:r>
      <w:r>
        <w:rPr>
          <w:rFonts w:ascii="Times New Roman" w:hAnsi="Times New Roman" w:cs="Times New Roman" w:eastAsia="Times New Roman" w:hint="default"/>
        </w:rPr>
        <w:t>10</w:t>
      </w:r>
      <w:r>
        <w:rPr/>
        <w:t>个月。 公司</w:t>
      </w:r>
      <w:r>
        <w:rPr>
          <w:rFonts w:ascii="Times New Roman" w:hAnsi="Times New Roman" w:cs="Times New Roman" w:eastAsia="Times New Roman" w:hint="default"/>
        </w:rPr>
        <w:t>2015</w:t>
      </w:r>
      <w:r>
        <w:rPr/>
        <w:t>年两期股权激励计划预留授予的限制性股票期末发行在外的限制性股票合同剩余期限： 第一次解锁已进入解锁期</w:t>
      </w:r>
      <w:r>
        <w:rPr>
          <w:rFonts w:ascii="Times New Roman" w:hAnsi="Times New Roman" w:cs="Times New Roman" w:eastAsia="Times New Roman" w:hint="default"/>
        </w:rPr>
        <w:t>4.5</w:t>
      </w:r>
      <w:r>
        <w:rPr/>
        <w:t>个月；</w:t>
      </w:r>
    </w:p>
    <w:p>
      <w:pPr>
        <w:pStyle w:val="BodyText"/>
        <w:spacing w:line="300" w:lineRule="auto" w:before="13"/>
        <w:ind w:left="513" w:right="2033"/>
        <w:jc w:val="left"/>
      </w:pPr>
      <w:r>
        <w:rPr/>
        <w:t>距第二个解锁期剩余</w:t>
      </w:r>
      <w:r>
        <w:rPr>
          <w:rFonts w:ascii="Times New Roman" w:hAnsi="Times New Roman" w:cs="Times New Roman" w:eastAsia="Times New Roman" w:hint="default"/>
        </w:rPr>
        <w:t>7.5</w:t>
      </w:r>
      <w:r>
        <w:rPr/>
        <w:t>个月。 公司</w:t>
      </w:r>
      <w:r>
        <w:rPr>
          <w:rFonts w:ascii="Times New Roman" w:hAnsi="Times New Roman" w:cs="Times New Roman" w:eastAsia="Times New Roman" w:hint="default"/>
        </w:rPr>
        <w:t>2015</w:t>
      </w:r>
      <w:r>
        <w:rPr/>
        <w:t>年第二期股权激励计划首次授予的股票期权期末发行在外的股票期权合同剩余期限： 第二次行权已进入行权期</w:t>
      </w:r>
      <w:r>
        <w:rPr>
          <w:rFonts w:ascii="Times New Roman" w:hAnsi="Times New Roman" w:cs="Times New Roman" w:eastAsia="Times New Roman" w:hint="default"/>
        </w:rPr>
        <w:t>2</w:t>
      </w:r>
      <w:r>
        <w:rPr/>
        <w:t>个月；</w:t>
      </w:r>
    </w:p>
    <w:p>
      <w:pPr>
        <w:pStyle w:val="BodyText"/>
        <w:spacing w:line="300" w:lineRule="auto" w:before="13"/>
        <w:ind w:left="513" w:right="2213"/>
        <w:jc w:val="left"/>
      </w:pPr>
      <w:r>
        <w:rPr/>
        <w:t>距第三个行权期剩余</w:t>
      </w:r>
      <w:r>
        <w:rPr>
          <w:rFonts w:ascii="Times New Roman" w:hAnsi="Times New Roman" w:cs="Times New Roman" w:eastAsia="Times New Roman" w:hint="default"/>
        </w:rPr>
        <w:t>10</w:t>
      </w:r>
      <w:r>
        <w:rPr/>
        <w:t>个月。 公司</w:t>
      </w:r>
      <w:r>
        <w:rPr>
          <w:rFonts w:ascii="Times New Roman" w:hAnsi="Times New Roman" w:cs="Times New Roman" w:eastAsia="Times New Roman" w:hint="default"/>
        </w:rPr>
        <w:t>2015</w:t>
      </w:r>
      <w:r>
        <w:rPr/>
        <w:t>年两期股权激励计划预留授予的股票期权期末发行在外的股票期权合同剩余期限： 第一次行权已进入行权期</w:t>
      </w:r>
      <w:r>
        <w:rPr>
          <w:rFonts w:ascii="Times New Roman" w:hAnsi="Times New Roman" w:cs="Times New Roman" w:eastAsia="Times New Roman" w:hint="default"/>
        </w:rPr>
        <w:t>4.5</w:t>
      </w:r>
      <w:r>
        <w:rPr/>
        <w:t>个月；</w:t>
      </w:r>
    </w:p>
    <w:p>
      <w:pPr>
        <w:pStyle w:val="BodyText"/>
        <w:spacing w:line="240" w:lineRule="auto" w:before="13"/>
        <w:ind w:left="513" w:right="153"/>
        <w:jc w:val="left"/>
      </w:pPr>
      <w:r>
        <w:rPr/>
        <w:t>距第二个行权期剩余</w:t>
      </w:r>
      <w:r>
        <w:rPr>
          <w:rFonts w:ascii="Times New Roman" w:hAnsi="Times New Roman" w:cs="Times New Roman" w:eastAsia="Times New Roman" w:hint="default"/>
        </w:rPr>
        <w:t>7.5</w:t>
      </w:r>
      <w:r>
        <w:rPr/>
        <w:t>个月。</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969"/>
        <w:gridCol w:w="5600"/>
      </w:tblGrid>
      <w:tr>
        <w:trPr>
          <w:trHeight w:val="401"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布莱克</w:t>
            </w:r>
            <w:r>
              <w:rPr>
                <w:rFonts w:ascii="Times New Roman" w:hAnsi="Times New Roman" w:cs="Times New Roman" w:eastAsia="Times New Roman" w:hint="default"/>
                <w:sz w:val="18"/>
                <w:szCs w:val="18"/>
              </w:rPr>
              <w:t>-</w:t>
            </w:r>
            <w:r>
              <w:rPr>
                <w:rFonts w:ascii="宋体" w:hAnsi="宋体" w:cs="宋体" w:eastAsia="宋体" w:hint="default"/>
                <w:sz w:val="18"/>
                <w:szCs w:val="18"/>
              </w:rPr>
              <w:t>斯科尔期权定价模型</w:t>
            </w:r>
          </w:p>
        </w:tc>
      </w:tr>
      <w:tr>
        <w:trPr>
          <w:trHeight w:val="715"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1"/>
              <w:jc w:val="left"/>
              <w:rPr>
                <w:rFonts w:ascii="宋体" w:hAnsi="宋体" w:cs="宋体" w:eastAsia="宋体" w:hint="default"/>
                <w:sz w:val="18"/>
                <w:szCs w:val="18"/>
              </w:rPr>
            </w:pPr>
            <w:r>
              <w:rPr>
                <w:rFonts w:ascii="宋体" w:hAnsi="宋体" w:cs="宋体" w:eastAsia="宋体" w:hint="default"/>
                <w:spacing w:val="-7"/>
                <w:sz w:val="18"/>
                <w:szCs w:val="18"/>
              </w:rPr>
              <w:t>第五届董事会第十七次、第十八次、第二十二次、第二十九次会议；</w:t>
            </w:r>
            <w:r>
              <w:rPr>
                <w:rFonts w:ascii="Times New Roman" w:hAnsi="Times New Roman" w:cs="Times New Roman" w:eastAsia="Times New Roman" w:hint="default"/>
                <w:spacing w:val="-7"/>
                <w:sz w:val="18"/>
                <w:szCs w:val="18"/>
              </w:rPr>
              <w:t>2015</w:t>
            </w:r>
            <w:r>
              <w:rPr>
                <w:rFonts w:ascii="Times New Roman" w:hAnsi="Times New Roman" w:cs="Times New Roman" w:eastAsia="Times New Roman" w:hint="default"/>
                <w:spacing w:val="-27"/>
                <w:sz w:val="18"/>
                <w:szCs w:val="18"/>
              </w:rPr>
              <w:t> </w:t>
            </w:r>
            <w:r>
              <w:rPr>
                <w:rFonts w:ascii="Times New Roman" w:hAnsi="Times New Roman" w:cs="Times New Roman" w:eastAsia="Times New Roman" w:hint="default"/>
                <w:spacing w:val="-27"/>
                <w:sz w:val="18"/>
                <w:szCs w:val="18"/>
              </w:rPr>
            </w:r>
            <w:r>
              <w:rPr>
                <w:rFonts w:ascii="宋体" w:hAnsi="宋体" w:cs="宋体" w:eastAsia="宋体" w:hint="default"/>
                <w:sz w:val="18"/>
                <w:szCs w:val="18"/>
              </w:rPr>
              <w:t>年第五次、第六次临时股东大会；</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w:t>
            </w:r>
          </w:p>
        </w:tc>
      </w:tr>
      <w:tr>
        <w:trPr>
          <w:trHeight w:val="401"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108,043,012.83</w:t>
            </w:r>
          </w:p>
        </w:tc>
      </w:tr>
      <w:tr>
        <w:trPr>
          <w:trHeight w:val="401"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43,238,439.94</w:t>
            </w:r>
          </w:p>
        </w:tc>
      </w:tr>
    </w:tbl>
    <w:p>
      <w:pPr>
        <w:pStyle w:val="BodyText"/>
        <w:spacing w:line="240" w:lineRule="auto" w:before="49"/>
        <w:ind w:right="153"/>
        <w:jc w:val="left"/>
      </w:pPr>
      <w:r>
        <w:rPr/>
        <w:t>其他说明</w:t>
      </w:r>
    </w:p>
    <w:p>
      <w:pPr>
        <w:spacing w:after="0" w:line="240" w:lineRule="auto"/>
        <w:jc w:val="left"/>
        <w:sectPr>
          <w:pgSz w:w="11910" w:h="16840"/>
          <w:pgMar w:header="0" w:footer="979" w:top="1100" w:bottom="1160" w:left="980" w:right="980"/>
        </w:sectPr>
      </w:pPr>
    </w:p>
    <w:p>
      <w:pPr>
        <w:spacing w:line="240" w:lineRule="auto" w:before="11"/>
        <w:rPr>
          <w:rFonts w:ascii="宋体" w:hAnsi="宋体" w:cs="宋体" w:eastAsia="宋体" w:hint="default"/>
          <w:sz w:val="21"/>
          <w:szCs w:val="21"/>
        </w:rPr>
      </w:pPr>
    </w:p>
    <w:p>
      <w:pPr>
        <w:pStyle w:val="BodyText"/>
        <w:spacing w:line="240" w:lineRule="auto" w:before="44"/>
        <w:ind w:left="513" w:right="153"/>
        <w:jc w:val="left"/>
      </w:pPr>
      <w:r>
        <w:rPr/>
        <w:t>股份支付成本及摊销情况：</w:t>
      </w:r>
    </w:p>
    <w:p>
      <w:pPr>
        <w:pStyle w:val="BodyText"/>
        <w:spacing w:line="240" w:lineRule="auto" w:before="76"/>
        <w:ind w:left="513" w:right="153"/>
        <w:jc w:val="left"/>
      </w:pPr>
      <w:r>
        <w:rPr>
          <w:rFonts w:ascii="Times New Roman" w:hAnsi="Times New Roman" w:cs="Times New Roman" w:eastAsia="Times New Roman" w:hint="default"/>
        </w:rPr>
        <w:t>(1)</w:t>
      </w:r>
      <w:r>
        <w:rPr/>
        <w:t>经测算，限制性股票激励成本合计为</w:t>
      </w:r>
      <w:r>
        <w:rPr>
          <w:rFonts w:ascii="Times New Roman" w:hAnsi="Times New Roman" w:cs="Times New Roman" w:eastAsia="Times New Roman" w:hint="default"/>
        </w:rPr>
        <w:t>11,963.88</w:t>
      </w:r>
      <w:r>
        <w:rPr/>
        <w:t>万元，</w:t>
      </w:r>
      <w:r>
        <w:rPr>
          <w:rFonts w:ascii="Times New Roman" w:hAnsi="Times New Roman" w:cs="Times New Roman" w:eastAsia="Times New Roman" w:hint="default"/>
        </w:rPr>
        <w:t>2015</w:t>
      </w:r>
      <w:r>
        <w:rPr/>
        <w:t>年至</w:t>
      </w:r>
      <w:r>
        <w:rPr>
          <w:rFonts w:ascii="Times New Roman" w:hAnsi="Times New Roman" w:cs="Times New Roman" w:eastAsia="Times New Roman" w:hint="default"/>
        </w:rPr>
        <w:t>2019</w:t>
      </w:r>
      <w:r>
        <w:rPr/>
        <w:t>年限制性股票成本摊销情况表见下表：</w:t>
      </w:r>
    </w:p>
    <w:p>
      <w:pPr>
        <w:pStyle w:val="BodyText"/>
        <w:spacing w:line="240" w:lineRule="auto" w:before="63"/>
        <w:ind w:left="0" w:right="151"/>
        <w:jc w:val="right"/>
      </w:pPr>
      <w:r>
        <w:rPr/>
        <w:t>单位：万元</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2934"/>
        <w:gridCol w:w="1697"/>
        <w:gridCol w:w="1388"/>
        <w:gridCol w:w="1236"/>
        <w:gridCol w:w="1234"/>
        <w:gridCol w:w="1171"/>
      </w:tblGrid>
      <w:tr>
        <w:trPr>
          <w:trHeight w:val="348" w:hRule="exact"/>
        </w:trPr>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r>
      <w:tr>
        <w:trPr>
          <w:trHeight w:val="346" w:hRule="exact"/>
        </w:trPr>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年第一期授予摊销数额</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1,005.81</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471.32</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99.63</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年第二期授予摊销数额</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488.34</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2,725.45</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1,191.75</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380.20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6" w:hRule="exact"/>
        </w:trPr>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年授予摊销数额</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1,252.56</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3,915.61</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463.62</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-30.41</w:t>
            </w:r>
          </w:p>
        </w:tc>
      </w:tr>
      <w:tr>
        <w:trPr>
          <w:trHeight w:val="348" w:hRule="exact"/>
        </w:trPr>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回购及注销影响</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-549.73</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-444.64</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-146.89</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6" w:hRule="exact"/>
        </w:trPr>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预计无法解锁暂不计提的影响</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-795.77</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-332.95</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488.34</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4,434.09</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4,338.27</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463.61</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-30.41</w:t>
            </w:r>
          </w:p>
        </w:tc>
      </w:tr>
    </w:tbl>
    <w:p>
      <w:pPr>
        <w:pStyle w:val="BodyText"/>
        <w:spacing w:line="240" w:lineRule="auto" w:before="8"/>
        <w:ind w:left="513" w:right="153"/>
        <w:jc w:val="left"/>
      </w:pPr>
      <w:r>
        <w:rPr>
          <w:rFonts w:ascii="Times New Roman" w:hAnsi="Times New Roman" w:cs="Times New Roman" w:eastAsia="Times New Roman" w:hint="default"/>
        </w:rPr>
        <w:t>(2)</w:t>
      </w:r>
      <w:r>
        <w:rPr/>
        <w:t>经测算，股票期权激励成本合计为</w:t>
      </w:r>
      <w:r>
        <w:rPr>
          <w:rFonts w:ascii="Times New Roman" w:hAnsi="Times New Roman" w:cs="Times New Roman" w:eastAsia="Times New Roman" w:hint="default"/>
        </w:rPr>
        <w:t>3,505.94</w:t>
      </w:r>
      <w:r>
        <w:rPr/>
        <w:t>万元，</w:t>
      </w:r>
      <w:r>
        <w:rPr>
          <w:rFonts w:ascii="Times New Roman" w:hAnsi="Times New Roman" w:cs="Times New Roman" w:eastAsia="Times New Roman" w:hint="default"/>
        </w:rPr>
        <w:t>2015</w:t>
      </w:r>
      <w:r>
        <w:rPr/>
        <w:t>年至</w:t>
      </w:r>
      <w:r>
        <w:rPr>
          <w:rFonts w:ascii="Times New Roman" w:hAnsi="Times New Roman" w:cs="Times New Roman" w:eastAsia="Times New Roman" w:hint="default"/>
        </w:rPr>
        <w:t>2018</w:t>
      </w:r>
      <w:r>
        <w:rPr/>
        <w:t>年股票期权成本摊销情况表见下表：</w:t>
      </w:r>
    </w:p>
    <w:p>
      <w:pPr>
        <w:pStyle w:val="BodyText"/>
        <w:spacing w:line="240" w:lineRule="auto" w:before="63"/>
        <w:ind w:left="0" w:right="151"/>
        <w:jc w:val="right"/>
      </w:pPr>
      <w:r>
        <w:rPr/>
        <w:t>单位：万元</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4662"/>
        <w:gridCol w:w="1304"/>
        <w:gridCol w:w="1135"/>
        <w:gridCol w:w="1275"/>
        <w:gridCol w:w="1284"/>
      </w:tblGrid>
      <w:tr>
        <w:trPr>
          <w:trHeight w:val="348" w:hRule="exact"/>
        </w:trPr>
        <w:tc>
          <w:tcPr>
            <w:tcW w:w="4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141"/>
              <w:jc w:val="right"/>
              <w:rPr>
                <w:rFonts w:ascii="宋体" w:hAnsi="宋体" w:cs="宋体" w:eastAsia="宋体" w:hint="default"/>
                <w:sz w:val="18"/>
                <w:szCs w:val="18"/>
              </w:rPr>
            </w:pPr>
            <w:r>
              <w:rPr>
                <w:rFonts w:ascii="宋体" w:hAnsi="宋体" w:cs="宋体" w:eastAsia="宋体" w:hint="default"/>
                <w:sz w:val="18"/>
                <w:szCs w:val="18"/>
              </w:rPr>
              <w:t>年份</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r>
      <w:tr>
        <w:trPr>
          <w:trHeight w:val="346" w:hRule="exact"/>
        </w:trPr>
        <w:tc>
          <w:tcPr>
            <w:tcW w:w="4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年第一期授予摊销数额</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69.96</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168.81</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57.77</w:t>
            </w:r>
          </w:p>
        </w:tc>
      </w:tr>
      <w:tr>
        <w:trPr>
          <w:trHeight w:val="348" w:hRule="exact"/>
        </w:trPr>
        <w:tc>
          <w:tcPr>
            <w:tcW w:w="4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年第二期授予摊销数额</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260.92</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1,523.13</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987.63</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437.73</w:t>
            </w:r>
          </w:p>
        </w:tc>
      </w:tr>
      <w:tr>
        <w:trPr>
          <w:trHeight w:val="348" w:hRule="exact"/>
        </w:trPr>
        <w:tc>
          <w:tcPr>
            <w:tcW w:w="4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回购及注销影响</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-295.99</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-233.05</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-108.14</w:t>
            </w:r>
          </w:p>
        </w:tc>
      </w:tr>
      <w:tr>
        <w:trPr>
          <w:trHeight w:val="346" w:hRule="exact"/>
        </w:trPr>
        <w:tc>
          <w:tcPr>
            <w:tcW w:w="4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预计无法解锁暂不计提的影响</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-937.81</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-387.36</w:t>
            </w:r>
          </w:p>
        </w:tc>
      </w:tr>
      <w:tr>
        <w:trPr>
          <w:trHeight w:val="348" w:hRule="exact"/>
        </w:trPr>
        <w:tc>
          <w:tcPr>
            <w:tcW w:w="4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141"/>
              <w:jc w:val="right"/>
              <w:rPr>
                <w:rFonts w:ascii="宋体" w:hAnsi="宋体" w:cs="宋体" w:eastAsia="宋体" w:hint="default"/>
                <w:sz w:val="18"/>
                <w:szCs w:val="18"/>
              </w:rPr>
            </w:pPr>
            <w:r>
              <w:rPr>
                <w:rFonts w:ascii="宋体" w:hAnsi="宋体" w:cs="宋体" w:eastAsia="宋体" w:hint="default"/>
                <w:sz w:val="18"/>
                <w:szCs w:val="18"/>
              </w:rPr>
              <w:t>合计</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260.92</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1,297.10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-14.42</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00" w:lineRule="auto" w:before="8"/>
        <w:ind w:right="218" w:firstLine="360"/>
        <w:jc w:val="both"/>
      </w:pPr>
      <w:r>
        <w:rPr/>
        <w:t>以权益结算的股份支付计入资本公积的累计金额计入资本公积</w:t>
      </w:r>
      <w:r>
        <w:rPr>
          <w:rFonts w:ascii="Times New Roman" w:hAnsi="Times New Roman" w:cs="Times New Roman" w:eastAsia="Times New Roman" w:hint="default"/>
        </w:rPr>
        <w:t>-</w:t>
      </w:r>
      <w:r>
        <w:rPr/>
        <w:t>股本溢价为</w:t>
      </w:r>
      <w:r>
        <w:rPr>
          <w:rFonts w:ascii="Times New Roman" w:hAnsi="Times New Roman" w:cs="Times New Roman" w:eastAsia="Times New Roman" w:hint="default"/>
        </w:rPr>
        <w:t>3,191.62</w:t>
      </w:r>
      <w:r>
        <w:rPr/>
        <w:t>万元，计入资本公积</w:t>
      </w:r>
      <w:r>
        <w:rPr>
          <w:rFonts w:ascii="Times New Roman" w:hAnsi="Times New Roman" w:cs="Times New Roman" w:eastAsia="Times New Roman" w:hint="default"/>
        </w:rPr>
        <w:t>-</w:t>
      </w:r>
      <w:r>
        <w:rPr/>
        <w:t>其他资本公积 为</w:t>
      </w:r>
      <w:r>
        <w:rPr>
          <w:rFonts w:ascii="Times New Roman" w:hAnsi="Times New Roman" w:cs="Times New Roman" w:eastAsia="Times New Roman" w:hint="default"/>
        </w:rPr>
        <w:t>7,612.68</w:t>
      </w:r>
      <w:r>
        <w:rPr/>
        <w:t>万元，合计为</w:t>
      </w:r>
      <w:r>
        <w:rPr>
          <w:rFonts w:ascii="Times New Roman" w:hAnsi="Times New Roman" w:cs="Times New Roman" w:eastAsia="Times New Roman" w:hint="default"/>
        </w:rPr>
        <w:t>10,804.30</w:t>
      </w:r>
      <w:r>
        <w:rPr/>
        <w:t>万元。</w:t>
      </w:r>
    </w:p>
    <w:p>
      <w:pPr>
        <w:pStyle w:val="BodyText"/>
        <w:spacing w:line="240" w:lineRule="auto" w:before="13"/>
        <w:ind w:left="513" w:right="153"/>
        <w:jc w:val="left"/>
      </w:pPr>
      <w:r>
        <w:rPr/>
        <w:t>本期以权益结算的股份支付确认的费用总额：</w:t>
      </w:r>
      <w:r>
        <w:rPr>
          <w:rFonts w:ascii="Times New Roman" w:hAnsi="Times New Roman" w:cs="Times New Roman" w:eastAsia="Times New Roman" w:hint="default"/>
        </w:rPr>
        <w:t>4,323.84</w:t>
      </w:r>
      <w:r>
        <w:rPr/>
        <w:t>万元。</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51" w:firstLine="360"/>
        <w:jc w:val="both"/>
      </w:pPr>
      <w:r>
        <w:rPr/>
        <w:t>纪晓文先生于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日向公司出具</w:t>
      </w:r>
      <w:r>
        <w:rPr>
          <w:rFonts w:ascii="Times New Roman" w:hAnsi="Times New Roman" w:cs="Times New Roman" w:eastAsia="Times New Roman" w:hint="default"/>
        </w:rPr>
        <w:t>“</w:t>
      </w:r>
      <w:r>
        <w:rPr/>
        <w:t>限制性股票及股票期权回购注销申请书</w:t>
      </w:r>
      <w:r>
        <w:rPr>
          <w:rFonts w:ascii="Times New Roman" w:hAnsi="Times New Roman" w:cs="Times New Roman" w:eastAsia="Times New Roman" w:hint="default"/>
        </w:rPr>
        <w:t>”</w:t>
      </w:r>
      <w:r>
        <w:rPr/>
        <w:t>，公司已于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日召开第五 </w:t>
      </w:r>
      <w:r>
        <w:rPr>
          <w:spacing w:val="-2"/>
        </w:rPr>
        <w:t>届董事会第四十一次会议审议通过了《关于回购注销</w:t>
      </w:r>
      <w:r>
        <w:rPr>
          <w:rFonts w:ascii="Times New Roman" w:hAnsi="Times New Roman" w:cs="Times New Roman" w:eastAsia="Times New Roman" w:hint="default"/>
          <w:spacing w:val="-2"/>
        </w:rPr>
        <w:t>2015</w:t>
      </w:r>
      <w:r>
        <w:rPr>
          <w:spacing w:val="-2"/>
        </w:rPr>
        <w:t>年两期股权激励计划部分限制性股票和股票期权的议案》，鉴于公</w:t>
      </w:r>
      <w:r>
        <w:rPr>
          <w:spacing w:val="-63"/>
        </w:rPr>
        <w:t> </w:t>
      </w:r>
      <w:r>
        <w:rPr>
          <w:spacing w:val="-63"/>
        </w:rPr>
      </w:r>
      <w:r>
        <w:rPr>
          <w:spacing w:val="-2"/>
        </w:rPr>
        <w:t>司</w:t>
      </w:r>
      <w:r>
        <w:rPr>
          <w:rFonts w:ascii="Times New Roman" w:hAnsi="Times New Roman" w:cs="Times New Roman" w:eastAsia="Times New Roman" w:hint="default"/>
          <w:spacing w:val="-2"/>
        </w:rPr>
        <w:t>2015</w:t>
      </w:r>
      <w:r>
        <w:rPr>
          <w:spacing w:val="-2"/>
        </w:rPr>
        <w:t>年两期股权激励计划授予的激励对象纪晓文先生近日离职，不再满足成为激励对象的条件，根据公司</w:t>
      </w:r>
      <w:r>
        <w:rPr>
          <w:rFonts w:ascii="Times New Roman" w:hAnsi="Times New Roman" w:cs="Times New Roman" w:eastAsia="Times New Roman" w:hint="default"/>
          <w:spacing w:val="-2"/>
        </w:rPr>
        <w:t>2015</w:t>
      </w:r>
      <w:r>
        <w:rPr>
          <w:spacing w:val="-2"/>
        </w:rPr>
        <w:t>年两期股权</w:t>
      </w:r>
      <w:r>
        <w:rPr>
          <w:spacing w:val="-60"/>
        </w:rPr>
        <w:t> </w:t>
      </w:r>
      <w:r>
        <w:rPr>
          <w:spacing w:val="-60"/>
        </w:rPr>
      </w:r>
      <w:r>
        <w:rPr/>
        <w:t>激励计划的相关规定和股东大会的授权，公司董事会同意回购注销纪晓文先生已获授未解锁的</w:t>
      </w:r>
      <w:r>
        <w:rPr>
          <w:rFonts w:ascii="Times New Roman" w:hAnsi="Times New Roman" w:cs="Times New Roman" w:eastAsia="Times New Roman" w:hint="default"/>
        </w:rPr>
        <w:t>626.5</w:t>
      </w:r>
      <w:r>
        <w:rPr/>
        <w:t>万股限制性股票并注销 </w:t>
      </w:r>
      <w:r>
        <w:rPr>
          <w:spacing w:val="-2"/>
        </w:rPr>
        <w:t>纪晓文先生已获授未行权的</w:t>
      </w:r>
      <w:r>
        <w:rPr>
          <w:rFonts w:ascii="Times New Roman" w:hAnsi="Times New Roman" w:cs="Times New Roman" w:eastAsia="Times New Roman" w:hint="default"/>
          <w:spacing w:val="-2"/>
        </w:rPr>
        <w:t>129.5</w:t>
      </w:r>
      <w:r>
        <w:rPr>
          <w:spacing w:val="-2"/>
        </w:rPr>
        <w:t>万份股票期权，其中</w:t>
      </w:r>
      <w:r>
        <w:rPr>
          <w:rFonts w:ascii="Times New Roman" w:hAnsi="Times New Roman" w:cs="Times New Roman" w:eastAsia="Times New Roman" w:hint="default"/>
          <w:spacing w:val="-2"/>
        </w:rPr>
        <w:t>2015</w:t>
      </w:r>
      <w:r>
        <w:rPr>
          <w:spacing w:val="-2"/>
        </w:rPr>
        <w:t>年第一期股权激励计划授予的限制性股票每股回购价格为</w:t>
      </w:r>
      <w:r>
        <w:rPr>
          <w:rFonts w:ascii="Times New Roman" w:hAnsi="Times New Roman" w:cs="Times New Roman" w:eastAsia="Times New Roman" w:hint="default"/>
          <w:spacing w:val="-2"/>
        </w:rPr>
        <w:t>6.24</w:t>
      </w:r>
      <w:r>
        <w:rPr>
          <w:spacing w:val="-2"/>
        </w:rPr>
        <w:t>元加</w:t>
      </w:r>
      <w:r>
        <w:rPr>
          <w:spacing w:val="-60"/>
        </w:rPr>
        <w:t> </w:t>
      </w:r>
      <w:r>
        <w:rPr>
          <w:spacing w:val="-1"/>
        </w:rPr>
        <w:t>年化</w:t>
      </w:r>
      <w:r>
        <w:rPr>
          <w:rFonts w:ascii="Times New Roman" w:hAnsi="Times New Roman" w:cs="Times New Roman" w:eastAsia="Times New Roman" w:hint="default"/>
          <w:spacing w:val="-1"/>
        </w:rPr>
        <w:t>9%</w:t>
      </w:r>
      <w:r>
        <w:rPr>
          <w:spacing w:val="-1"/>
        </w:rPr>
        <w:t>的利息（已获授未解锁应予本年注销的限制性股票为</w:t>
      </w:r>
      <w:r>
        <w:rPr>
          <w:rFonts w:ascii="Times New Roman" w:hAnsi="Times New Roman" w:cs="Times New Roman" w:eastAsia="Times New Roman" w:hint="default"/>
          <w:spacing w:val="-1"/>
        </w:rPr>
        <w:t>227.5</w:t>
      </w:r>
      <w:r>
        <w:rPr>
          <w:spacing w:val="-1"/>
        </w:rPr>
        <w:t>万股），</w:t>
      </w:r>
      <w:r>
        <w:rPr>
          <w:rFonts w:ascii="Times New Roman" w:hAnsi="Times New Roman" w:cs="Times New Roman" w:eastAsia="Times New Roman" w:hint="default"/>
          <w:spacing w:val="-1"/>
        </w:rPr>
        <w:t>2015</w:t>
      </w:r>
      <w:r>
        <w:rPr>
          <w:spacing w:val="-1"/>
        </w:rPr>
        <w:t>年第二期股权激励计划授予的限制性股票每</w:t>
      </w:r>
      <w:r>
        <w:rPr>
          <w:spacing w:val="-44"/>
        </w:rPr>
        <w:t> </w:t>
      </w:r>
      <w:r>
        <w:rPr>
          <w:spacing w:val="-44"/>
        </w:rPr>
      </w:r>
      <w:r>
        <w:rPr>
          <w:spacing w:val="-1"/>
        </w:rPr>
        <w:t>股回购价格为</w:t>
      </w:r>
      <w:r>
        <w:rPr>
          <w:rFonts w:ascii="Times New Roman" w:hAnsi="Times New Roman" w:cs="Times New Roman" w:eastAsia="Times New Roman" w:hint="default"/>
          <w:spacing w:val="-1"/>
        </w:rPr>
        <w:t>4.38</w:t>
      </w:r>
      <w:r>
        <w:rPr>
          <w:spacing w:val="-1"/>
        </w:rPr>
        <w:t>元加年化</w:t>
      </w:r>
      <w:r>
        <w:rPr>
          <w:rFonts w:ascii="Times New Roman" w:hAnsi="Times New Roman" w:cs="Times New Roman" w:eastAsia="Times New Roman" w:hint="default"/>
          <w:spacing w:val="-1"/>
        </w:rPr>
        <w:t>9%</w:t>
      </w:r>
      <w:r>
        <w:rPr>
          <w:spacing w:val="-1"/>
        </w:rPr>
        <w:t>的利息（已获授未解锁应予本年注销的限制性股票为</w:t>
      </w:r>
      <w:r>
        <w:rPr>
          <w:rFonts w:ascii="Times New Roman" w:hAnsi="Times New Roman" w:cs="Times New Roman" w:eastAsia="Times New Roman" w:hint="default"/>
          <w:spacing w:val="-1"/>
        </w:rPr>
        <w:t>399</w:t>
      </w:r>
      <w:r>
        <w:rPr>
          <w:spacing w:val="-1"/>
        </w:rPr>
        <w:t>万股）。上述回购注销事宜相关手续</w:t>
      </w:r>
      <w:r>
        <w:rPr>
          <w:spacing w:val="-44"/>
        </w:rPr>
        <w:t> </w:t>
      </w:r>
      <w:r>
        <w:rPr>
          <w:spacing w:val="-44"/>
        </w:rPr>
      </w:r>
      <w:r>
        <w:rPr/>
        <w:t>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5</w:t>
      </w:r>
      <w:r>
        <w:rPr/>
        <w:t>日办理完毕。</w:t>
      </w:r>
    </w:p>
    <w:p>
      <w:pPr>
        <w:spacing w:line="240" w:lineRule="auto" w:before="5"/>
        <w:rPr>
          <w:rFonts w:ascii="宋体" w:hAnsi="宋体" w:cs="宋体" w:eastAsia="宋体" w:hint="default"/>
          <w:sz w:val="20"/>
          <w:szCs w:val="20"/>
        </w:rPr>
      </w:pPr>
    </w:p>
    <w:p>
      <w:pPr>
        <w:pStyle w:val="Heading2"/>
        <w:spacing w:line="240" w:lineRule="auto"/>
        <w:ind w:right="153"/>
        <w:jc w:val="left"/>
        <w:rPr>
          <w:b w:val="0"/>
          <w:bCs w:val="0"/>
        </w:rPr>
      </w:pPr>
      <w:r>
        <w:rPr/>
        <w:t>十四、承诺及或有事项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t>资产负债表日存在的重要承诺</w:t>
      </w:r>
    </w:p>
    <w:p>
      <w:pPr>
        <w:pStyle w:val="BodyText"/>
        <w:spacing w:line="240" w:lineRule="auto" w:before="117"/>
        <w:ind w:left="513" w:right="153"/>
        <w:jc w:val="left"/>
      </w:pPr>
      <w:r>
        <w:rPr>
          <w:rFonts w:ascii="Times New Roman" w:hAnsi="Times New Roman" w:cs="Times New Roman" w:eastAsia="Times New Roman" w:hint="default"/>
        </w:rPr>
        <w:t>2017</w:t>
      </w:r>
      <w:r>
        <w:rPr/>
        <w:t>年度公司完成现金收购哆可梦</w:t>
      </w:r>
      <w:r>
        <w:rPr>
          <w:rFonts w:ascii="Times New Roman" w:hAnsi="Times New Roman" w:cs="Times New Roman" w:eastAsia="Times New Roman" w:hint="default"/>
        </w:rPr>
        <w:t>77.57%</w:t>
      </w:r>
      <w:r>
        <w:rPr/>
        <w:t>股权的重大资产购买交易，交易对手方寇汉、林嘉喜作为业绩补偿义务人承</w:t>
      </w:r>
    </w:p>
    <w:p>
      <w:pPr>
        <w:spacing w:after="0" w:line="240" w:lineRule="auto"/>
        <w:jc w:val="left"/>
        <w:sectPr>
          <w:pgSz w:w="11910" w:h="16840"/>
          <w:pgMar w:header="0" w:footer="979" w:top="1100" w:bottom="1160" w:left="980" w:right="980"/>
        </w:sectPr>
      </w:pPr>
    </w:p>
    <w:p>
      <w:pPr>
        <w:spacing w:line="240" w:lineRule="auto" w:before="11"/>
        <w:rPr>
          <w:rFonts w:ascii="宋体" w:hAnsi="宋体" w:cs="宋体" w:eastAsia="宋体" w:hint="default"/>
          <w:sz w:val="21"/>
          <w:szCs w:val="21"/>
        </w:rPr>
      </w:pPr>
    </w:p>
    <w:p>
      <w:pPr>
        <w:pStyle w:val="BodyText"/>
        <w:spacing w:line="300" w:lineRule="auto" w:before="44"/>
        <w:ind w:right="184"/>
        <w:jc w:val="left"/>
      </w:pPr>
      <w:r>
        <w:rPr/>
        <w:t>诺哆可梦</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年各年度实现的净利润（以扣除非经常性损益前后孰低者为计算依据）不少于</w:t>
      </w:r>
      <w:r>
        <w:rPr>
          <w:rFonts w:ascii="Times New Roman" w:hAnsi="Times New Roman" w:cs="Times New Roman" w:eastAsia="Times New Roman" w:hint="default"/>
        </w:rPr>
        <w:t>14,500</w:t>
      </w:r>
      <w:r>
        <w:rPr/>
        <w:t>万元、</w:t>
      </w:r>
      <w:r>
        <w:rPr>
          <w:rFonts w:ascii="Times New Roman" w:hAnsi="Times New Roman" w:cs="Times New Roman" w:eastAsia="Times New Roman" w:hint="default"/>
        </w:rPr>
        <w:t>18,800</w:t>
      </w:r>
      <w:r>
        <w:rPr/>
        <w:t>万 元、</w:t>
      </w:r>
      <w:r>
        <w:rPr>
          <w:rFonts w:ascii="Times New Roman" w:hAnsi="Times New Roman" w:cs="Times New Roman" w:eastAsia="Times New Roman" w:hint="default"/>
        </w:rPr>
        <w:t>24,500</w:t>
      </w:r>
      <w:r>
        <w:rPr/>
        <w:t>万元，并承担相应的盈利补偿义务。</w:t>
      </w:r>
    </w:p>
    <w:p>
      <w:pPr>
        <w:spacing w:line="240" w:lineRule="auto" w:before="5"/>
        <w:rPr>
          <w:rFonts w:ascii="宋体" w:hAnsi="宋体" w:cs="宋体" w:eastAsia="宋体" w:hint="default"/>
          <w:sz w:val="20"/>
          <w:szCs w:val="20"/>
        </w:rPr>
      </w:pPr>
    </w:p>
    <w:p>
      <w:pPr>
        <w:pStyle w:val="Heading2"/>
        <w:spacing w:line="240" w:lineRule="auto"/>
        <w:ind w:right="94"/>
        <w:jc w:val="left"/>
        <w:rPr>
          <w:b w:val="0"/>
          <w:bCs w:val="0"/>
        </w:rPr>
      </w:pPr>
      <w:r>
        <w:rPr/>
        <w:t>十五、资产负债表日后事项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、其他资产负债表日后事项说明</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91" w:firstLine="360"/>
        <w:jc w:val="both"/>
      </w:pPr>
      <w:r>
        <w:rPr>
          <w:rFonts w:ascii="Times New Roman" w:hAnsi="Times New Roman" w:cs="Times New Roman" w:eastAsia="Times New Roman" w:hint="default"/>
        </w:rPr>
        <w:t>1</w:t>
      </w:r>
      <w:r>
        <w:rPr/>
        <w:t>、经</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日公司第六届董事会第三次会议、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日公司</w:t>
      </w:r>
      <w:r>
        <w:rPr>
          <w:rFonts w:ascii="Times New Roman" w:hAnsi="Times New Roman" w:cs="Times New Roman" w:eastAsia="Times New Roman" w:hint="default"/>
        </w:rPr>
        <w:t>2017</w:t>
      </w:r>
      <w:r>
        <w:rPr/>
        <w:t>年第四次临时股东大会及信中利赞信投 </w:t>
      </w:r>
      <w:r>
        <w:rPr>
          <w:spacing w:val="-1"/>
        </w:rPr>
        <w:t>资决策委员会审议批准，信中利赞信向中冀投资股份有限公司出售所持哆可梦</w:t>
      </w:r>
      <w:r>
        <w:rPr>
          <w:rFonts w:ascii="Times New Roman" w:hAnsi="Times New Roman" w:cs="Times New Roman" w:eastAsia="Times New Roman" w:hint="default"/>
          <w:spacing w:val="-1"/>
        </w:rPr>
        <w:t>22.43%</w:t>
      </w:r>
      <w:r>
        <w:rPr>
          <w:spacing w:val="-1"/>
        </w:rPr>
        <w:t>股权，最终成交价格为</w:t>
      </w:r>
      <w:r>
        <w:rPr>
          <w:rFonts w:ascii="Times New Roman" w:hAnsi="Times New Roman" w:cs="Times New Roman" w:eastAsia="Times New Roman" w:hint="default"/>
          <w:spacing w:val="-1"/>
        </w:rPr>
        <w:t>6.33</w:t>
      </w:r>
      <w:r>
        <w:rPr>
          <w:spacing w:val="-1"/>
        </w:rPr>
        <w:t>亿元，截止</w:t>
      </w:r>
      <w:r>
        <w:rPr>
          <w:spacing w:val="-86"/>
        </w:rPr>
        <w:t> </w:t>
      </w:r>
      <w:r>
        <w:rPr>
          <w:spacing w:val="-86"/>
        </w:rPr>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w:t>
      </w:r>
      <w:r>
        <w:rPr/>
        <w:t>日，相关股权已过户到交易对方名下，信中利赞信不再持有哆可梦股权。</w:t>
      </w:r>
    </w:p>
    <w:p>
      <w:pPr>
        <w:pStyle w:val="BodyText"/>
        <w:spacing w:line="304" w:lineRule="auto" w:before="13"/>
        <w:ind w:right="94" w:firstLine="360"/>
        <w:jc w:val="left"/>
      </w:pPr>
      <w:r>
        <w:rPr>
          <w:rFonts w:ascii="Times New Roman" w:hAnsi="Times New Roman" w:cs="Times New Roman" w:eastAsia="Times New Roman" w:hint="default"/>
          <w:spacing w:val="-2"/>
        </w:rPr>
        <w:t>2</w:t>
      </w:r>
      <w:r>
        <w:rPr>
          <w:spacing w:val="-2"/>
        </w:rPr>
        <w:t>、因筹划涉及资产收购的重大事项，公司股票自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19</w:t>
      </w:r>
      <w:r>
        <w:rPr>
          <w:spacing w:val="-2"/>
        </w:rPr>
        <w:t>日开市起停牌，自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w:t>
      </w:r>
      <w:r>
        <w:rPr>
          <w:spacing w:val="-2"/>
        </w:rPr>
        <w:t>日转入重大资产重组程序，</w:t>
      </w:r>
      <w:r>
        <w:rPr/>
        <w:t> 公司拟以发行股份及支付现金购买资产并募集配套资金，分别收购北京爱酷游科技股份有限公司（以下简称</w:t>
      </w:r>
      <w:r>
        <w:rPr>
          <w:rFonts w:ascii="Times New Roman" w:hAnsi="Times New Roman" w:cs="Times New Roman" w:eastAsia="Times New Roman" w:hint="default"/>
        </w:rPr>
        <w:t>“</w:t>
      </w:r>
      <w:r>
        <w:rPr/>
        <w:t>爱酷游</w:t>
      </w:r>
      <w:r>
        <w:rPr>
          <w:rFonts w:ascii="Times New Roman" w:hAnsi="Times New Roman" w:cs="Times New Roman" w:eastAsia="Times New Roman" w:hint="default"/>
        </w:rPr>
        <w:t>”</w:t>
      </w:r>
      <w:r>
        <w:rPr/>
        <w:t>）和绍 兴乐想网络科技有限公司不低于</w:t>
      </w:r>
      <w:r>
        <w:rPr>
          <w:rFonts w:ascii="Times New Roman" w:hAnsi="Times New Roman" w:cs="Times New Roman" w:eastAsia="Times New Roman" w:hint="default"/>
        </w:rPr>
        <w:t>51%</w:t>
      </w:r>
      <w:r>
        <w:rPr/>
        <w:t>的股权。截止本报告披露日，公司已向爱酷游的实际控制人郭鹏支付了</w:t>
      </w:r>
      <w:r>
        <w:rPr>
          <w:rFonts w:ascii="Times New Roman" w:hAnsi="Times New Roman" w:cs="Times New Roman" w:eastAsia="Times New Roman" w:hint="default"/>
        </w:rPr>
        <w:t>5,000</w:t>
      </w:r>
      <w:r>
        <w:rPr/>
        <w:t>万元的诚 意金，同时郭鹏已将其所持爱酷游</w:t>
      </w:r>
      <w:r>
        <w:rPr>
          <w:rFonts w:ascii="Times New Roman" w:hAnsi="Times New Roman" w:cs="Times New Roman" w:eastAsia="Times New Roman" w:hint="default"/>
        </w:rPr>
        <w:t>19.61%</w:t>
      </w:r>
      <w:r>
        <w:rPr/>
        <w:t>的股权质押给公司，公司已与主要交易对方签署了关于本次重组的股权转让意向 </w:t>
      </w:r>
      <w:r>
        <w:rPr>
          <w:spacing w:val="-2"/>
        </w:rPr>
        <w:t>协议，公司正组织中介机构就本次重大资产重组有关事项与相关各方进行沟通、咨询、论证，并开展相关尽职调查、审计和</w:t>
      </w:r>
      <w:r>
        <w:rPr>
          <w:spacing w:val="-67"/>
        </w:rPr>
        <w:t> </w:t>
      </w:r>
      <w:r>
        <w:rPr>
          <w:spacing w:val="-67"/>
        </w:rPr>
      </w:r>
      <w:r>
        <w:rPr/>
        <w:t>评估工作，本次重大资产重组方案正在设计中。</w:t>
      </w:r>
    </w:p>
    <w:p>
      <w:pPr>
        <w:pStyle w:val="BodyText"/>
        <w:spacing w:line="304" w:lineRule="auto" w:before="28"/>
        <w:ind w:right="94" w:firstLine="36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日召开第六届董事会第二次会议、</w:t>
      </w:r>
      <w:r>
        <w:rPr>
          <w:rFonts w:ascii="Times New Roman" w:hAnsi="Times New Roman" w:cs="Times New Roman" w:eastAsia="Times New Roman" w:hint="default"/>
        </w:rPr>
        <w:t>2017</w:t>
      </w:r>
      <w:r>
        <w:rPr/>
        <w:t>年第三次临时股东大会，审议通过了《关于 </w:t>
      </w:r>
      <w:r>
        <w:rPr>
          <w:spacing w:val="-2"/>
        </w:rPr>
        <w:t>向银行、信托公司等金融机构申请贷款及授权董事长办理申请贷款相关事宜的议案》、《关于本次重大资产购买交易完成后</w:t>
      </w:r>
      <w:r>
        <w:rPr>
          <w:spacing w:val="-66"/>
        </w:rPr>
        <w:t> </w:t>
      </w:r>
      <w:r>
        <w:rPr>
          <w:spacing w:val="-66"/>
        </w:rPr>
      </w:r>
      <w:r>
        <w:rPr/>
        <w:t>将标的股权作为贷款担保的议案》，同意公司向银行、信托公司等金融机构申请不超过</w:t>
      </w:r>
      <w:r>
        <w:rPr>
          <w:rFonts w:ascii="Times New Roman" w:hAnsi="Times New Roman" w:cs="Times New Roman" w:eastAsia="Times New Roman" w:hint="default"/>
        </w:rPr>
        <w:t>9</w:t>
      </w:r>
      <w:r>
        <w:rPr/>
        <w:t>亿元的贷款并授权公司董事长办理 相关事宜。根据公司重大资产重组事项的资金安排，为支付收购哆可梦</w:t>
      </w:r>
      <w:r>
        <w:rPr>
          <w:rFonts w:ascii="Times New Roman" w:hAnsi="Times New Roman" w:cs="Times New Roman" w:eastAsia="Times New Roman" w:hint="default"/>
        </w:rPr>
        <w:t>77.57%</w:t>
      </w:r>
      <w:r>
        <w:rPr/>
        <w:t>股权的转让价款，公司向中航信托股份有限 </w:t>
      </w:r>
      <w:r>
        <w:rPr>
          <w:spacing w:val="-2"/>
        </w:rPr>
        <w:t>公司（以下简称</w:t>
      </w:r>
      <w:r>
        <w:rPr>
          <w:rFonts w:ascii="Times New Roman" w:hAnsi="Times New Roman" w:cs="Times New Roman" w:eastAsia="Times New Roman" w:hint="default"/>
          <w:spacing w:val="-2"/>
        </w:rPr>
        <w:t>“</w:t>
      </w:r>
      <w:r>
        <w:rPr>
          <w:spacing w:val="-2"/>
        </w:rPr>
        <w:t>中航信托</w:t>
      </w:r>
      <w:r>
        <w:rPr>
          <w:rFonts w:ascii="Times New Roman" w:hAnsi="Times New Roman" w:cs="Times New Roman" w:eastAsia="Times New Roman" w:hint="default"/>
          <w:spacing w:val="-2"/>
        </w:rPr>
        <w:t>”</w:t>
      </w:r>
      <w:r>
        <w:rPr>
          <w:spacing w:val="-2"/>
        </w:rPr>
        <w:t>）申请并购贷款，于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27</w:t>
      </w:r>
      <w:r>
        <w:rPr>
          <w:spacing w:val="-2"/>
        </w:rPr>
        <w:t>日签署了相关并购贷款合同、股权质押合同和信托业保障基金</w:t>
      </w:r>
      <w:r>
        <w:rPr>
          <w:spacing w:val="-40"/>
        </w:rPr>
        <w:t> </w:t>
      </w:r>
      <w:r>
        <w:rPr>
          <w:spacing w:val="-40"/>
        </w:rPr>
      </w:r>
      <w:r>
        <w:rPr/>
        <w:t>委托认购协议。中航信托通过发起设立中航信托</w:t>
      </w:r>
      <w:r>
        <w:rPr>
          <w:rFonts w:ascii="Times New Roman" w:hAnsi="Times New Roman" w:cs="Times New Roman" w:eastAsia="Times New Roman" w:hint="default"/>
        </w:rPr>
        <w:t>•</w:t>
      </w:r>
      <w:r>
        <w:rPr/>
        <w:t>天启【</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67</w:t>
      </w:r>
      <w:r>
        <w:rPr/>
        <w:t>号深圳惠程并购贷款集合资金信托计划，向公司提供并购 贷款，该等贷款总金额为不超过</w:t>
      </w:r>
      <w:r>
        <w:rPr>
          <w:rFonts w:ascii="Times New Roman" w:hAnsi="Times New Roman" w:cs="Times New Roman" w:eastAsia="Times New Roman" w:hint="default"/>
        </w:rPr>
        <w:t>8.30</w:t>
      </w:r>
      <w:r>
        <w:rPr/>
        <w:t>亿元人民币，并将公司持有的哆可梦</w:t>
      </w:r>
      <w:r>
        <w:rPr>
          <w:rFonts w:ascii="Times New Roman" w:hAnsi="Times New Roman" w:cs="Times New Roman" w:eastAsia="Times New Roman" w:hint="default"/>
        </w:rPr>
        <w:t>77.57%</w:t>
      </w:r>
      <w:r>
        <w:rPr/>
        <w:t>股权作为贷款担保。经</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w:t>
      </w:r>
      <w:r>
        <w:rPr/>
        <w:t>日公司 第六届董事会第五次会议审议批准，公司与中航信托签署上述并购贷款合同的补充协议，就贷款利率的调整事项达成一致， 约定</w:t>
      </w:r>
      <w:r>
        <w:rPr>
          <w:rFonts w:ascii="Times New Roman" w:hAnsi="Times New Roman" w:cs="Times New Roman" w:eastAsia="Times New Roman" w:hint="default"/>
        </w:rPr>
        <w:t>2018</w:t>
      </w:r>
      <w:r>
        <w:rPr/>
        <w:t>年度发放的各笔贷款利率调整为</w:t>
      </w:r>
      <w:r>
        <w:rPr>
          <w:rFonts w:ascii="Times New Roman" w:hAnsi="Times New Roman" w:cs="Times New Roman" w:eastAsia="Times New Roman" w:hint="default"/>
        </w:rPr>
        <w:t>10%/</w:t>
      </w:r>
      <w:r>
        <w:rPr/>
        <w:t>年，以后年度发放的各笔贷款利率将由双方协商确定，若无另行协商的，则 适用</w:t>
      </w:r>
      <w:r>
        <w:rPr>
          <w:rFonts w:ascii="Times New Roman" w:hAnsi="Times New Roman" w:cs="Times New Roman" w:eastAsia="Times New Roman" w:hint="default"/>
        </w:rPr>
        <w:t>9%/</w:t>
      </w:r>
      <w:r>
        <w:rPr/>
        <w:t>年的年固定贷款利率。</w:t>
      </w:r>
    </w:p>
    <w:p>
      <w:pPr>
        <w:pStyle w:val="BodyText"/>
        <w:spacing w:line="300" w:lineRule="auto" w:before="9"/>
        <w:ind w:right="94" w:firstLine="360"/>
        <w:jc w:val="left"/>
      </w:pPr>
      <w:r>
        <w:rPr>
          <w:rFonts w:ascii="Times New Roman" w:hAnsi="Times New Roman" w:cs="Times New Roman" w:eastAsia="Times New Roman" w:hint="default"/>
        </w:rPr>
        <w:t>4</w:t>
      </w:r>
      <w:r>
        <w:rPr/>
        <w:t>、公司</w:t>
      </w:r>
      <w:r>
        <w:rPr>
          <w:rFonts w:ascii="Times New Roman" w:hAnsi="Times New Roman" w:cs="Times New Roman" w:eastAsia="Times New Roman" w:hint="default"/>
        </w:rPr>
        <w:t>2017</w:t>
      </w:r>
      <w:r>
        <w:rPr/>
        <w:t>年收购哆可梦</w:t>
      </w:r>
      <w:r>
        <w:rPr>
          <w:rFonts w:ascii="Times New Roman" w:hAnsi="Times New Roman" w:cs="Times New Roman" w:eastAsia="Times New Roman" w:hint="default"/>
        </w:rPr>
        <w:t>77.57%</w:t>
      </w:r>
      <w:r>
        <w:rPr/>
        <w:t>股权的《重大资产购买暨关联交易报告书（草案）》中披露，上海玄霆娱乐信息科技 </w:t>
      </w:r>
      <w:r>
        <w:rPr>
          <w:spacing w:val="-5"/>
        </w:rPr>
        <w:t>有限公司（以下简称</w:t>
      </w:r>
      <w:r>
        <w:rPr>
          <w:rFonts w:ascii="Times New Roman" w:hAnsi="Times New Roman" w:cs="Times New Roman" w:eastAsia="Times New Roman" w:hint="default"/>
          <w:spacing w:val="-5"/>
        </w:rPr>
        <w:t>“</w:t>
      </w:r>
      <w:r>
        <w:rPr>
          <w:spacing w:val="-5"/>
        </w:rPr>
        <w:t>上海玄霆</w:t>
      </w:r>
      <w:r>
        <w:rPr>
          <w:rFonts w:ascii="Times New Roman" w:hAnsi="Times New Roman" w:cs="Times New Roman" w:eastAsia="Times New Roman" w:hint="default"/>
          <w:spacing w:val="-5"/>
        </w:rPr>
        <w:t>”</w:t>
      </w:r>
      <w:r>
        <w:rPr>
          <w:spacing w:val="-5"/>
        </w:rPr>
        <w:t>）作为网络文学作品《斗罗大陆》的著作权人，认为由吉乾科技开发并在四三九九运营的</w:t>
      </w:r>
      <w:r>
        <w:rPr>
          <w:rFonts w:ascii="Times New Roman" w:hAnsi="Times New Roman" w:cs="Times New Roman" w:eastAsia="Times New Roman" w:hint="default"/>
          <w:spacing w:val="-5"/>
        </w:rPr>
        <w:t>4399</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t>手机游戏网上发布推广的名为</w:t>
      </w:r>
      <w:r>
        <w:rPr>
          <w:rFonts w:ascii="Times New Roman" w:hAnsi="Times New Roman" w:cs="Times New Roman" w:eastAsia="Times New Roman" w:hint="default"/>
        </w:rPr>
        <w:t>“</w:t>
      </w:r>
      <w:r>
        <w:rPr/>
        <w:t>新斗罗大陆（神界篇）</w:t>
      </w:r>
      <w:r>
        <w:rPr>
          <w:rFonts w:ascii="Times New Roman" w:hAnsi="Times New Roman" w:cs="Times New Roman" w:eastAsia="Times New Roman" w:hint="default"/>
        </w:rPr>
        <w:t>”</w:t>
      </w:r>
      <w:r>
        <w:rPr/>
        <w:t>的手机游戏系对《斗罗大陆》的擅自改编，侵犯了上海玄霆的作品改 编权，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月上海玄霆向江苏省徐州市中级人民法院起诉四三九九和吉乾科技，法院于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日受理此案。</w:t>
      </w:r>
      <w:r>
        <w:rPr>
          <w:rFonts w:ascii="Times New Roman" w:hAnsi="Times New Roman" w:cs="Times New Roman" w:eastAsia="Times New Roman" w:hint="default"/>
        </w:rPr>
        <w:t>2017 </w:t>
      </w:r>
      <w:r>
        <w:rPr>
          <w:spacing w:val="-2"/>
        </w:rPr>
        <w:t>年</w:t>
      </w:r>
      <w:r>
        <w:rPr>
          <w:rFonts w:ascii="Times New Roman" w:hAnsi="Times New Roman" w:cs="Times New Roman" w:eastAsia="Times New Roman" w:hint="default"/>
          <w:spacing w:val="-2"/>
        </w:rPr>
        <w:t>1</w:t>
      </w:r>
      <w:r>
        <w:rPr>
          <w:spacing w:val="-2"/>
        </w:rPr>
        <w:t>月吉乾科技收到（</w:t>
      </w:r>
      <w:r>
        <w:rPr>
          <w:rFonts w:ascii="Times New Roman" w:hAnsi="Times New Roman" w:cs="Times New Roman" w:eastAsia="Times New Roman" w:hint="default"/>
          <w:spacing w:val="-2"/>
        </w:rPr>
        <w:t>2016</w:t>
      </w:r>
      <w:r>
        <w:rPr>
          <w:spacing w:val="-2"/>
        </w:rPr>
        <w:t>）苏</w:t>
      </w:r>
      <w:r>
        <w:rPr>
          <w:rFonts w:ascii="Times New Roman" w:hAnsi="Times New Roman" w:cs="Times New Roman" w:eastAsia="Times New Roman" w:hint="default"/>
          <w:spacing w:val="-2"/>
        </w:rPr>
        <w:t>03</w:t>
      </w:r>
      <w:r>
        <w:rPr>
          <w:spacing w:val="-2"/>
        </w:rPr>
        <w:t>民初</w:t>
      </w:r>
      <w:r>
        <w:rPr>
          <w:rFonts w:ascii="Times New Roman" w:hAnsi="Times New Roman" w:cs="Times New Roman" w:eastAsia="Times New Roman" w:hint="default"/>
          <w:spacing w:val="-2"/>
        </w:rPr>
        <w:t>369</w:t>
      </w:r>
      <w:r>
        <w:rPr>
          <w:spacing w:val="-2"/>
        </w:rPr>
        <w:t>号《民事判决书》，判决吉乾科技赔偿上海玄霆经济损失及合理开支共计</w:t>
      </w:r>
      <w:r>
        <w:rPr>
          <w:rFonts w:ascii="Times New Roman" w:hAnsi="Times New Roman" w:cs="Times New Roman" w:eastAsia="Times New Roman" w:hint="default"/>
          <w:spacing w:val="-2"/>
        </w:rPr>
        <w:t>500</w:t>
      </w:r>
      <w:r>
        <w:rPr>
          <w:spacing w:val="-2"/>
        </w:rPr>
        <w:t>万元，</w:t>
      </w:r>
      <w:r>
        <w:rPr>
          <w:spacing w:val="-56"/>
        </w:rPr>
        <w:t> </w:t>
      </w:r>
      <w:r>
        <w:rPr>
          <w:spacing w:val="-56"/>
        </w:rPr>
      </w:r>
      <w:r>
        <w:rPr/>
        <w:t>驳回上海玄霆其他诉讼请求；案件受理费</w:t>
      </w:r>
      <w:r>
        <w:rPr>
          <w:rFonts w:ascii="Times New Roman" w:hAnsi="Times New Roman" w:cs="Times New Roman" w:eastAsia="Times New Roman" w:hint="default"/>
        </w:rPr>
        <w:t>142,063</w:t>
      </w:r>
      <w:r>
        <w:rPr/>
        <w:t>元，由上海玄霆负担</w:t>
      </w:r>
      <w:r>
        <w:rPr>
          <w:rFonts w:ascii="Times New Roman" w:hAnsi="Times New Roman" w:cs="Times New Roman" w:eastAsia="Times New Roman" w:hint="default"/>
        </w:rPr>
        <w:t>52,063</w:t>
      </w:r>
      <w:r>
        <w:rPr/>
        <w:t>元，吉乾科技负担</w:t>
      </w:r>
      <w:r>
        <w:rPr>
          <w:rFonts w:ascii="Times New Roman" w:hAnsi="Times New Roman" w:cs="Times New Roman" w:eastAsia="Times New Roman" w:hint="default"/>
        </w:rPr>
        <w:t>90,000</w:t>
      </w:r>
      <w:r>
        <w:rPr/>
        <w:t>元。对于上述可能发生 的诉讼赔偿，吉乾科技于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w:t>
      </w:r>
      <w:r>
        <w:rPr/>
        <w:t>日，收到寇汉转入相关诉讼赔偿保证金共计</w:t>
      </w:r>
      <w:r>
        <w:rPr>
          <w:rFonts w:ascii="Times New Roman" w:hAnsi="Times New Roman" w:cs="Times New Roman" w:eastAsia="Times New Roman" w:hint="default"/>
        </w:rPr>
        <w:t>545</w:t>
      </w:r>
      <w:r>
        <w:rPr/>
        <w:t>万元整。</w:t>
      </w:r>
    </w:p>
    <w:p>
      <w:pPr>
        <w:pStyle w:val="BodyText"/>
        <w:spacing w:line="300" w:lineRule="auto" w:before="13"/>
        <w:ind w:right="94" w:firstLine="360"/>
        <w:jc w:val="left"/>
      </w:pPr>
      <w:r>
        <w:rPr>
          <w:rFonts w:ascii="Times New Roman" w:hAnsi="Times New Roman" w:cs="Times New Roman" w:eastAsia="Times New Roman" w:hint="default"/>
        </w:rPr>
        <w:t>5</w:t>
      </w:r>
      <w:r>
        <w:rPr/>
        <w:t>、公司控股股东中驰惠程</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日以所持公司部分股份向国信证券股份有限公司进行的股份质押式回购于</w:t>
      </w:r>
      <w:r>
        <w:rPr>
          <w:rFonts w:ascii="Times New Roman" w:hAnsi="Times New Roman" w:cs="Times New Roman" w:eastAsia="Times New Roman" w:hint="default"/>
        </w:rPr>
        <w:t>2018 </w:t>
      </w:r>
      <w:r>
        <w:rPr>
          <w:spacing w:val="-2"/>
        </w:rPr>
        <w:t>年</w:t>
      </w:r>
      <w:r>
        <w:rPr>
          <w:rFonts w:ascii="Times New Roman" w:hAnsi="Times New Roman" w:cs="Times New Roman" w:eastAsia="Times New Roman" w:hint="default"/>
          <w:spacing w:val="-2"/>
        </w:rPr>
        <w:t>1</w:t>
      </w:r>
      <w:r>
        <w:rPr>
          <w:spacing w:val="-2"/>
        </w:rPr>
        <w:t>月办理了延期购回，质押股数</w:t>
      </w:r>
      <w:r>
        <w:rPr>
          <w:rFonts w:ascii="Times New Roman" w:hAnsi="Times New Roman" w:cs="Times New Roman" w:eastAsia="Times New Roman" w:hint="default"/>
          <w:spacing w:val="-2"/>
        </w:rPr>
        <w:t>12,063,200</w:t>
      </w:r>
      <w:r>
        <w:rPr>
          <w:spacing w:val="-2"/>
        </w:rPr>
        <w:t>股，质押开始日期为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23</w:t>
      </w:r>
      <w:r>
        <w:rPr>
          <w:spacing w:val="-2"/>
        </w:rPr>
        <w:t>日，原解除质押日期</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23</w:t>
      </w:r>
      <w:r>
        <w:rPr>
          <w:spacing w:val="-2"/>
        </w:rPr>
        <w:t>日，延期购回</w:t>
      </w:r>
      <w:r>
        <w:rPr>
          <w:spacing w:val="-48"/>
        </w:rPr>
        <w:t> </w:t>
      </w:r>
      <w:r>
        <w:rPr>
          <w:spacing w:val="-48"/>
        </w:rPr>
      </w:r>
      <w:r>
        <w:rPr>
          <w:spacing w:val="-1"/>
        </w:rPr>
        <w:t>日为</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23</w:t>
      </w:r>
      <w:r>
        <w:rPr>
          <w:spacing w:val="-1"/>
        </w:rPr>
        <w:t>日，本次质押占其所持股份比例</w:t>
      </w:r>
      <w:r>
        <w:rPr>
          <w:rFonts w:ascii="Times New Roman" w:hAnsi="Times New Roman" w:cs="Times New Roman" w:eastAsia="Times New Roman" w:hint="default"/>
          <w:spacing w:val="-1"/>
        </w:rPr>
        <w:t>14.67%</w:t>
      </w:r>
      <w:r>
        <w:rPr>
          <w:spacing w:val="-1"/>
        </w:rPr>
        <w:t>，用途为自身资金需求。中驰惠程累计质押其持有的公司股份数量</w:t>
      </w:r>
      <w:r>
        <w:rPr>
          <w:spacing w:val="-44"/>
        </w:rPr>
        <w:t> </w:t>
      </w:r>
      <w:r>
        <w:rPr>
          <w:spacing w:val="-44"/>
        </w:rPr>
      </w:r>
      <w:r>
        <w:rPr/>
        <w:t>共计 </w:t>
      </w:r>
      <w:r>
        <w:rPr>
          <w:rFonts w:ascii="Times New Roman" w:hAnsi="Times New Roman" w:cs="Times New Roman" w:eastAsia="Times New Roman" w:hint="default"/>
        </w:rPr>
        <w:t>82,063,200 </w:t>
      </w:r>
      <w:r>
        <w:rPr/>
        <w:t>股，占其直接持有公司股份总数的 </w:t>
      </w:r>
      <w:r>
        <w:rPr>
          <w:rFonts w:ascii="Times New Roman" w:hAnsi="Times New Roman" w:cs="Times New Roman" w:eastAsia="Times New Roman" w:hint="default"/>
        </w:rPr>
        <w:t>99.80%</w:t>
      </w:r>
      <w:r>
        <w:rPr/>
        <w:t>，占公司总股本 </w:t>
      </w:r>
      <w:r>
        <w:rPr>
          <w:rFonts w:ascii="Times New Roman" w:hAnsi="Times New Roman" w:cs="Times New Roman" w:eastAsia="Times New Roman" w:hint="default"/>
        </w:rPr>
        <w:t>820,589,768 </w:t>
      </w:r>
      <w:r>
        <w:rPr/>
        <w:t>股的</w:t>
      </w:r>
      <w:r>
        <w:rPr>
          <w:spacing w:val="-25"/>
        </w:rPr>
        <w:t> </w:t>
      </w:r>
      <w:r>
        <w:rPr>
          <w:rFonts w:ascii="Times New Roman" w:hAnsi="Times New Roman" w:cs="Times New Roman" w:eastAsia="Times New Roman" w:hint="default"/>
        </w:rPr>
        <w:t>10.00%</w:t>
      </w:r>
      <w:r>
        <w:rPr/>
        <w:t>。</w:t>
      </w:r>
    </w:p>
    <w:p>
      <w:pPr>
        <w:pStyle w:val="BodyText"/>
        <w:spacing w:line="309" w:lineRule="auto" w:before="13"/>
        <w:ind w:right="189" w:firstLine="360"/>
        <w:jc w:val="both"/>
      </w:pPr>
      <w:r>
        <w:rPr>
          <w:rFonts w:ascii="Times New Roman" w:hAnsi="Times New Roman" w:cs="Times New Roman" w:eastAsia="Times New Roman" w:hint="default"/>
          <w:spacing w:val="-2"/>
        </w:rPr>
        <w:t>6</w:t>
      </w:r>
      <w:r>
        <w:rPr>
          <w:spacing w:val="-2"/>
        </w:rPr>
        <w:t>、经</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19</w:t>
      </w:r>
      <w:r>
        <w:rPr>
          <w:spacing w:val="-2"/>
        </w:rPr>
        <w:t>日公司第六届董事会第五次会议、</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9</w:t>
      </w:r>
      <w:r>
        <w:rPr>
          <w:spacing w:val="-2"/>
        </w:rPr>
        <w:t>日公司</w:t>
      </w:r>
      <w:r>
        <w:rPr>
          <w:rFonts w:ascii="Times New Roman" w:hAnsi="Times New Roman" w:cs="Times New Roman" w:eastAsia="Times New Roman" w:hint="default"/>
          <w:spacing w:val="-2"/>
        </w:rPr>
        <w:t>2018</w:t>
      </w:r>
      <w:r>
        <w:rPr>
          <w:spacing w:val="-2"/>
        </w:rPr>
        <w:t>年第一次临时股东大会审议批准，为满足公</w:t>
      </w:r>
      <w:r>
        <w:rPr/>
        <w:t> 司生产经营需要，董事会同意公司向平安银行股份有限公司深圳分行申请综合授信额度人民币</w:t>
      </w:r>
      <w:r>
        <w:rPr>
          <w:rFonts w:ascii="Times New Roman" w:hAnsi="Times New Roman" w:cs="Times New Roman" w:eastAsia="Times New Roman" w:hint="default"/>
        </w:rPr>
        <w:t>1.7</w:t>
      </w:r>
      <w:r>
        <w:rPr/>
        <w:t>亿元，授信期限为一年， </w:t>
      </w:r>
      <w:r>
        <w:rPr>
          <w:spacing w:val="-2"/>
        </w:rPr>
        <w:t>实际金额、期限、利率、币种以平安银行股份有限公司深圳分行的最终审批结果为准，担保方式除信用担保外追加公司位于</w:t>
      </w:r>
      <w:r>
        <w:rPr>
          <w:spacing w:val="-65"/>
        </w:rPr>
        <w:t> </w:t>
      </w:r>
      <w:r>
        <w:rPr>
          <w:spacing w:val="-65"/>
        </w:rPr>
      </w:r>
      <w:r>
        <w:rPr>
          <w:spacing w:val="-2"/>
        </w:rPr>
        <w:t>深圳市坪山新区的房产作抵押担保，抵押担保金额不超过授信金额，抵押期限不超过授信期限，并授权董事长徐海啸先生签</w:t>
      </w:r>
      <w:r>
        <w:rPr>
          <w:spacing w:val="-63"/>
        </w:rPr>
        <w:t> </w:t>
      </w:r>
      <w:r>
        <w:rPr>
          <w:spacing w:val="-63"/>
        </w:rPr>
      </w:r>
      <w:r>
        <w:rPr/>
        <w:t>署上述授信及资产抵押等事项的相关法律文件。</w:t>
      </w:r>
    </w:p>
    <w:p>
      <w:pPr>
        <w:pStyle w:val="BodyText"/>
        <w:spacing w:line="300" w:lineRule="auto" w:before="24"/>
        <w:ind w:right="94" w:firstLine="360"/>
        <w:jc w:val="left"/>
      </w:pPr>
      <w:r>
        <w:rPr>
          <w:rFonts w:ascii="Times New Roman" w:hAnsi="Times New Roman" w:cs="Times New Roman" w:eastAsia="Times New Roman" w:hint="default"/>
          <w:spacing w:val="-2"/>
        </w:rPr>
        <w:t>7</w:t>
      </w:r>
      <w:r>
        <w:rPr>
          <w:spacing w:val="-2"/>
        </w:rPr>
        <w:t>、经</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8</w:t>
      </w:r>
      <w:r>
        <w:rPr>
          <w:spacing w:val="-2"/>
        </w:rPr>
        <w:t>日公司第六届董事会第六次会议审议批准，孙公司乐珩网络和璿游网络自成立以来，受地方政策限制，</w:t>
      </w:r>
      <w:r>
        <w:rPr/>
        <w:t> 一直未能办理网络文化经营许可证和 </w:t>
      </w:r>
      <w:r>
        <w:rPr>
          <w:rFonts w:ascii="Times New Roman" w:hAnsi="Times New Roman" w:cs="Times New Roman" w:eastAsia="Times New Roman" w:hint="default"/>
        </w:rPr>
        <w:t>ICP</w:t>
      </w:r>
      <w:r>
        <w:rPr>
          <w:rFonts w:ascii="Times New Roman" w:hAnsi="Times New Roman" w:cs="Times New Roman" w:eastAsia="Times New Roman" w:hint="default"/>
          <w:spacing w:val="10"/>
        </w:rPr>
        <w:t> </w:t>
      </w:r>
      <w:r>
        <w:rPr/>
        <w:t>证，未进入实质性运营阶段，公司决定注销上述两家孙公司。</w:t>
      </w:r>
    </w:p>
    <w:p>
      <w:pPr>
        <w:spacing w:after="0" w:line="300" w:lineRule="auto"/>
        <w:jc w:val="left"/>
        <w:sectPr>
          <w:pgSz w:w="11910" w:h="16840"/>
          <w:pgMar w:header="0" w:footer="979" w:top="1100" w:bottom="1160" w:left="980" w:right="940"/>
        </w:sectPr>
      </w:pPr>
    </w:p>
    <w:p>
      <w:pPr>
        <w:spacing w:line="240" w:lineRule="auto" w:before="11"/>
        <w:rPr>
          <w:rFonts w:ascii="宋体" w:hAnsi="宋体" w:cs="宋体" w:eastAsia="宋体" w:hint="default"/>
          <w:sz w:val="21"/>
          <w:szCs w:val="21"/>
        </w:rPr>
      </w:pPr>
    </w:p>
    <w:p>
      <w:pPr>
        <w:pStyle w:val="BodyText"/>
        <w:spacing w:line="300" w:lineRule="auto" w:before="44"/>
        <w:ind w:right="94" w:firstLine="360"/>
        <w:jc w:val="left"/>
      </w:pPr>
      <w:r>
        <w:rPr>
          <w:rFonts w:ascii="Times New Roman" w:hAnsi="Times New Roman" w:cs="Times New Roman" w:eastAsia="Times New Roman" w:hint="default"/>
          <w:spacing w:val="-2"/>
        </w:rPr>
        <w:t>8</w:t>
      </w:r>
      <w:r>
        <w:rPr>
          <w:spacing w:val="-2"/>
        </w:rPr>
        <w:t>、经</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9</w:t>
      </w:r>
      <w:r>
        <w:rPr>
          <w:spacing w:val="-2"/>
        </w:rPr>
        <w:t>日公司第六届董事会第九次会议、</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28</w:t>
      </w:r>
      <w:r>
        <w:rPr>
          <w:spacing w:val="-2"/>
        </w:rPr>
        <w:t>日公司</w:t>
      </w:r>
      <w:r>
        <w:rPr>
          <w:rFonts w:ascii="Times New Roman" w:hAnsi="Times New Roman" w:cs="Times New Roman" w:eastAsia="Times New Roman" w:hint="default"/>
          <w:spacing w:val="-2"/>
        </w:rPr>
        <w:t>2018</w:t>
      </w:r>
      <w:r>
        <w:rPr>
          <w:spacing w:val="-2"/>
        </w:rPr>
        <w:t>年第三次临时股东大会审议批准，信中利赞</w:t>
      </w:r>
      <w:r>
        <w:rPr/>
        <w:t> 信出资总额由</w:t>
      </w:r>
      <w:r>
        <w:rPr>
          <w:rFonts w:ascii="Times New Roman" w:hAnsi="Times New Roman" w:cs="Times New Roman" w:eastAsia="Times New Roman" w:hint="default"/>
        </w:rPr>
        <w:t>18</w:t>
      </w:r>
      <w:r>
        <w:rPr>
          <w:rFonts w:ascii="Times New Roman" w:hAnsi="Times New Roman" w:cs="Times New Roman" w:eastAsia="Times New Roman" w:hint="default"/>
          <w:spacing w:val="19"/>
        </w:rPr>
        <w:t> </w:t>
      </w:r>
      <w:r>
        <w:rPr/>
        <w:t>亿元调整至</w:t>
      </w:r>
      <w:r>
        <w:rPr>
          <w:rFonts w:ascii="Times New Roman" w:hAnsi="Times New Roman" w:cs="Times New Roman" w:eastAsia="Times New Roman" w:hint="default"/>
        </w:rPr>
        <w:t>13.55</w:t>
      </w:r>
      <w:r>
        <w:rPr/>
        <w:t>亿元，其中公司对信中利赞信出资额由</w:t>
      </w:r>
      <w:r>
        <w:rPr>
          <w:rFonts w:ascii="Times New Roman" w:hAnsi="Times New Roman" w:cs="Times New Roman" w:eastAsia="Times New Roman" w:hint="default"/>
        </w:rPr>
        <w:t>5.8</w:t>
      </w:r>
      <w:r>
        <w:rPr/>
        <w:t>亿元调整至</w:t>
      </w:r>
      <w:r>
        <w:rPr>
          <w:rFonts w:ascii="Times New Roman" w:hAnsi="Times New Roman" w:cs="Times New Roman" w:eastAsia="Times New Roman" w:hint="default"/>
        </w:rPr>
        <w:t>4.35</w:t>
      </w:r>
      <w:r>
        <w:rPr/>
        <w:t>亿元。</w:t>
      </w:r>
    </w:p>
    <w:p>
      <w:pPr>
        <w:pStyle w:val="BodyText"/>
        <w:spacing w:line="300" w:lineRule="auto" w:before="13"/>
        <w:ind w:right="94" w:firstLine="360"/>
        <w:jc w:val="left"/>
      </w:pPr>
      <w:r>
        <w:rPr>
          <w:rFonts w:ascii="Times New Roman" w:hAnsi="Times New Roman" w:cs="Times New Roman" w:eastAsia="Times New Roman" w:hint="default"/>
        </w:rPr>
        <w:t>9</w:t>
      </w:r>
      <w:r>
        <w:rPr/>
        <w:t>、经</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日公司第六届董事会第十一次会议审议批准，董事会同意根据</w:t>
      </w:r>
      <w:r>
        <w:rPr>
          <w:rFonts w:ascii="Times New Roman" w:hAnsi="Times New Roman" w:cs="Times New Roman" w:eastAsia="Times New Roman" w:hint="default"/>
        </w:rPr>
        <w:t>2015</w:t>
      </w:r>
      <w:r>
        <w:rPr/>
        <w:t>年两期股权激励计划的相关规定， 对</w:t>
      </w:r>
      <w:r>
        <w:rPr>
          <w:rFonts w:ascii="Times New Roman" w:hAnsi="Times New Roman" w:cs="Times New Roman" w:eastAsia="Times New Roman" w:hint="default"/>
        </w:rPr>
        <w:t>2015</w:t>
      </w:r>
      <w:r>
        <w:rPr/>
        <w:t>年两期股权激励计划首次授予部分第三个解锁期和预留部分第二个解锁</w:t>
      </w:r>
      <w:r>
        <w:rPr>
          <w:rFonts w:ascii="Times New Roman" w:hAnsi="Times New Roman" w:cs="Times New Roman" w:eastAsia="Times New Roman" w:hint="default"/>
        </w:rPr>
        <w:t>/</w:t>
      </w:r>
      <w:r>
        <w:rPr/>
        <w:t>行权期由于业绩考核不达标导致不能解锁</w:t>
      </w:r>
      <w:r>
        <w:rPr>
          <w:rFonts w:ascii="Times New Roman" w:hAnsi="Times New Roman" w:cs="Times New Roman" w:eastAsia="Times New Roman" w:hint="default"/>
        </w:rPr>
        <w:t>/ </w:t>
      </w:r>
      <w:r>
        <w:rPr/>
        <w:t>行权的</w:t>
      </w:r>
      <w:r>
        <w:rPr>
          <w:rFonts w:ascii="Times New Roman" w:hAnsi="Times New Roman" w:cs="Times New Roman" w:eastAsia="Times New Roman" w:hint="default"/>
        </w:rPr>
        <w:t>758</w:t>
      </w:r>
      <w:r>
        <w:rPr/>
        <w:t>万股限制性股票和</w:t>
      </w:r>
      <w:r>
        <w:rPr>
          <w:rFonts w:ascii="Times New Roman" w:hAnsi="Times New Roman" w:cs="Times New Roman" w:eastAsia="Times New Roman" w:hint="default"/>
        </w:rPr>
        <w:t>246</w:t>
      </w:r>
      <w:r>
        <w:rPr/>
        <w:t>万份股票期权进行回购注销处理。</w:t>
      </w:r>
    </w:p>
    <w:p>
      <w:pPr>
        <w:spacing w:line="240" w:lineRule="auto" w:before="5"/>
        <w:rPr>
          <w:rFonts w:ascii="宋体" w:hAnsi="宋体" w:cs="宋体" w:eastAsia="宋体" w:hint="default"/>
          <w:sz w:val="20"/>
          <w:szCs w:val="20"/>
        </w:rPr>
      </w:pPr>
    </w:p>
    <w:p>
      <w:pPr>
        <w:pStyle w:val="Heading2"/>
        <w:spacing w:line="240" w:lineRule="auto"/>
        <w:ind w:right="94"/>
        <w:jc w:val="left"/>
        <w:rPr>
          <w:b w:val="0"/>
          <w:bCs w:val="0"/>
        </w:rPr>
      </w:pP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、分部信息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90" w:firstLine="360"/>
        <w:jc w:val="both"/>
      </w:pPr>
      <w:r>
        <w:rPr>
          <w:spacing w:val="-2"/>
        </w:rPr>
        <w:t>根据本公司的内部组织结构、管理要求及内部报告制度，本公司的经营业务划分为两个经营分部，本公司的管理层定期</w:t>
      </w:r>
      <w:r>
        <w:rPr/>
        <w:t> </w:t>
      </w:r>
      <w:r>
        <w:rPr>
          <w:spacing w:val="-2"/>
        </w:rPr>
        <w:t>评价这些分部的经营成果，以决定向其分配资源及评价其业绩。在经营分部的基础上本公司确定了两个报告分部，分别为电</w:t>
      </w:r>
      <w:r>
        <w:rPr>
          <w:spacing w:val="-63"/>
        </w:rPr>
        <w:t> </w:t>
      </w:r>
      <w:r>
        <w:rPr>
          <w:spacing w:val="-63"/>
        </w:rPr>
      </w:r>
      <w:r>
        <w:rPr/>
        <w:t>气业务分部、游戏业务分部。这些报告分部是以行业分部为基础确定的。</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925"/>
        <w:gridCol w:w="1916"/>
        <w:gridCol w:w="1913"/>
        <w:gridCol w:w="1916"/>
      </w:tblGrid>
      <w:tr>
        <w:trPr>
          <w:trHeight w:val="401" w:hRule="exact"/>
        </w:trPr>
        <w:tc>
          <w:tcPr>
            <w:tcW w:w="1892" w:type="dxa"/>
            <w:tcBorders>
              <w:top w:val="single" w:sz="4" w:space="0" w:color="000000"/>
              <w:left w:val="single" w:sz="4" w:space="0" w:color="000000"/>
              <w:bottom w:val="single" w:sz="4" w:space="0" w:color="000000"/>
              <w:right w:val="single" w:sz="10" w:space="0" w:color="E0FFFF"/>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电气业务</w:t>
            </w:r>
          </w:p>
        </w:tc>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游戏业务</w:t>
            </w:r>
          </w:p>
        </w:tc>
        <w:tc>
          <w:tcPr>
            <w:tcW w:w="1913"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49"/>
              <w:ind w:left="489"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326,193,506.64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46,979,219.61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373,172,726.25</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228,596,916.42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7,084,967.74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235,681,884.16</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4,299,548,502.71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318,041,639.90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1,383,460,950.00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3,234,129,192.61</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1,733,960,302.96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102,094,872.86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1,836,055,175.82</w:t>
            </w:r>
          </w:p>
        </w:tc>
      </w:tr>
    </w:tbl>
    <w:p>
      <w:pPr>
        <w:spacing w:line="240" w:lineRule="auto" w:before="3"/>
        <w:rPr>
          <w:rFonts w:ascii="宋体" w:hAnsi="宋体" w:cs="宋体" w:eastAsia="宋体" w:hint="default"/>
          <w:sz w:val="19"/>
          <w:szCs w:val="19"/>
        </w:rPr>
      </w:pPr>
    </w:p>
    <w:p>
      <w:pPr>
        <w:pStyle w:val="Heading3"/>
        <w:spacing w:line="240" w:lineRule="auto" w:before="36"/>
        <w:ind w:right="94"/>
        <w:jc w:val="left"/>
        <w:rPr>
          <w:b w:val="0"/>
          <w:bCs w:val="0"/>
        </w:rPr>
      </w:pPr>
      <w:r>
        <w:rPr>
          <w:rFonts w:ascii="Times New Roman" w:hAnsi="Times New Roman" w:cs="Times New Roman" w:eastAsia="Times New Roman" w:hint="default"/>
        </w:rPr>
        <w:t>2</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84" w:firstLine="360"/>
        <w:jc w:val="left"/>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月，公司以现金形式收购哆可梦</w:t>
      </w:r>
      <w:r>
        <w:rPr>
          <w:rFonts w:ascii="Times New Roman" w:hAnsi="Times New Roman" w:cs="Times New Roman" w:eastAsia="Times New Roman" w:hint="default"/>
          <w:spacing w:val="-1"/>
        </w:rPr>
        <w:t>77.57%</w:t>
      </w:r>
      <w:r>
        <w:rPr>
          <w:spacing w:val="-1"/>
        </w:rPr>
        <w:t>的股权，交易对价</w:t>
      </w:r>
      <w:r>
        <w:rPr>
          <w:rFonts w:ascii="Times New Roman" w:hAnsi="Times New Roman" w:cs="Times New Roman" w:eastAsia="Times New Roman" w:hint="default"/>
          <w:spacing w:val="-1"/>
        </w:rPr>
        <w:t>138,346.10</w:t>
      </w:r>
      <w:r>
        <w:rPr>
          <w:spacing w:val="-1"/>
        </w:rPr>
        <w:t>万元，截止</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日，已向交易对</w:t>
      </w:r>
      <w:r>
        <w:rPr/>
        <w:t> 方支付了</w:t>
      </w:r>
      <w:r>
        <w:rPr>
          <w:rFonts w:ascii="Times New Roman" w:hAnsi="Times New Roman" w:cs="Times New Roman" w:eastAsia="Times New Roman" w:hint="default"/>
        </w:rPr>
        <w:t>31,521.09</w:t>
      </w:r>
      <w:r>
        <w:rPr/>
        <w:t>万元。哆可梦就本次交易项下的标的资产过户事宜于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日完成了工商变更登记。公司以</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日作为并购日，哆可梦的评估作价为人民币</w:t>
      </w:r>
      <w:r>
        <w:rPr>
          <w:rFonts w:ascii="Times New Roman" w:hAnsi="Times New Roman" w:cs="Times New Roman" w:eastAsia="Times New Roman" w:hint="default"/>
        </w:rPr>
        <w:t>178,612.46</w:t>
      </w:r>
      <w:r>
        <w:rPr/>
        <w:t>万元，经确认的并购日哆可梦账面各项可辨认资产、负债的 </w:t>
      </w:r>
      <w:r>
        <w:rPr>
          <w:spacing w:val="-2"/>
        </w:rPr>
        <w:t>公允价值净额为</w:t>
      </w:r>
      <w:r>
        <w:rPr>
          <w:rFonts w:ascii="Times New Roman" w:hAnsi="Times New Roman" w:cs="Times New Roman" w:eastAsia="Times New Roman" w:hint="default"/>
          <w:spacing w:val="-2"/>
        </w:rPr>
        <w:t>21,041.70</w:t>
      </w:r>
      <w:r>
        <w:rPr>
          <w:spacing w:val="-2"/>
        </w:rPr>
        <w:t>万元，公司按股权比例享有</w:t>
      </w:r>
      <w:r>
        <w:rPr>
          <w:rFonts w:ascii="Times New Roman" w:hAnsi="Times New Roman" w:cs="Times New Roman" w:eastAsia="Times New Roman" w:hint="default"/>
          <w:spacing w:val="-2"/>
        </w:rPr>
        <w:t>16,322.05</w:t>
      </w:r>
      <w:r>
        <w:rPr>
          <w:spacing w:val="-2"/>
        </w:rPr>
        <w:t>万元，最终交易对价与享有的并购日可辨认资产、负债的公允</w:t>
      </w:r>
      <w:r>
        <w:rPr>
          <w:spacing w:val="-53"/>
        </w:rPr>
        <w:t> </w:t>
      </w:r>
      <w:r>
        <w:rPr>
          <w:spacing w:val="-53"/>
        </w:rPr>
      </w:r>
      <w:r>
        <w:rPr/>
        <w:t>价值之间的差额部分</w:t>
      </w:r>
      <w:r>
        <w:rPr>
          <w:rFonts w:ascii="Times New Roman" w:hAnsi="Times New Roman" w:cs="Times New Roman" w:eastAsia="Times New Roman" w:hint="default"/>
        </w:rPr>
        <w:t>122,024.05</w:t>
      </w:r>
      <w:r>
        <w:rPr/>
        <w:t>万元确认为商誉。</w:t>
      </w:r>
    </w:p>
    <w:p>
      <w:pPr>
        <w:pStyle w:val="BodyText"/>
        <w:spacing w:line="300" w:lineRule="auto" w:before="13"/>
        <w:ind w:right="188" w:firstLine="360"/>
        <w:jc w:val="both"/>
      </w:pPr>
      <w:r>
        <w:rPr>
          <w:spacing w:val="-2"/>
        </w:rPr>
        <w:t>同时根据股权转让协议的约定，收购哆可梦股权总计应支付款项</w:t>
      </w:r>
      <w:r>
        <w:rPr>
          <w:rFonts w:ascii="Times New Roman" w:hAnsi="Times New Roman" w:cs="Times New Roman" w:eastAsia="Times New Roman" w:hint="default"/>
          <w:spacing w:val="-2"/>
        </w:rPr>
        <w:t>1,383,460,950.00</w:t>
      </w:r>
      <w:r>
        <w:rPr>
          <w:spacing w:val="-2"/>
        </w:rPr>
        <w:t>元，截至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日累计完成支付</w:t>
      </w:r>
      <w:r>
        <w:rPr/>
        <w:t> 款项</w:t>
      </w:r>
      <w:r>
        <w:rPr>
          <w:rFonts w:ascii="Times New Roman" w:hAnsi="Times New Roman" w:cs="Times New Roman" w:eastAsia="Times New Roman" w:hint="default"/>
        </w:rPr>
        <w:t>315,210,920.24</w:t>
      </w:r>
      <w:r>
        <w:rPr/>
        <w:t>元，剩余待支付款项</w:t>
      </w:r>
      <w:r>
        <w:rPr>
          <w:rFonts w:ascii="Times New Roman" w:hAnsi="Times New Roman" w:cs="Times New Roman" w:eastAsia="Times New Roman" w:hint="default"/>
        </w:rPr>
        <w:t>1,068,250,029.76</w:t>
      </w:r>
      <w:r>
        <w:rPr/>
        <w:t>元，其中：</w:t>
      </w:r>
      <w:r>
        <w:rPr>
          <w:rFonts w:ascii="Times New Roman" w:hAnsi="Times New Roman" w:cs="Times New Roman" w:eastAsia="Times New Roman" w:hint="default"/>
        </w:rPr>
        <w:t>2018</w:t>
      </w:r>
      <w:r>
        <w:rPr/>
        <w:t>年需支付的款项为</w:t>
      </w:r>
      <w:r>
        <w:rPr>
          <w:rFonts w:ascii="Times New Roman" w:hAnsi="Times New Roman" w:cs="Times New Roman" w:eastAsia="Times New Roman" w:hint="default"/>
        </w:rPr>
        <w:t>547,788,574.59</w:t>
      </w:r>
      <w:r>
        <w:rPr/>
        <w:t>元，</w:t>
      </w:r>
      <w:r>
        <w:rPr>
          <w:rFonts w:ascii="Times New Roman" w:hAnsi="Times New Roman" w:cs="Times New Roman" w:eastAsia="Times New Roman" w:hint="default"/>
        </w:rPr>
        <w:t>2019</w:t>
      </w:r>
      <w:r>
        <w:rPr/>
        <w:t>年需支付 的款项为</w:t>
      </w:r>
      <w:r>
        <w:rPr>
          <w:rFonts w:ascii="Times New Roman" w:hAnsi="Times New Roman" w:cs="Times New Roman" w:eastAsia="Times New Roman" w:hint="default"/>
        </w:rPr>
        <w:t>359,999,588.91</w:t>
      </w:r>
      <w:r>
        <w:rPr/>
        <w:t>元，</w:t>
      </w:r>
      <w:r>
        <w:rPr>
          <w:rFonts w:ascii="Times New Roman" w:hAnsi="Times New Roman" w:cs="Times New Roman" w:eastAsia="Times New Roman" w:hint="default"/>
        </w:rPr>
        <w:t>2020</w:t>
      </w:r>
      <w:r>
        <w:rPr/>
        <w:t>年需支付的款项为</w:t>
      </w:r>
      <w:r>
        <w:rPr>
          <w:rFonts w:ascii="Times New Roman" w:hAnsi="Times New Roman" w:cs="Times New Roman" w:eastAsia="Times New Roman" w:hint="default"/>
        </w:rPr>
        <w:t>160,461,866.26</w:t>
      </w:r>
      <w:r>
        <w:rPr/>
        <w:t>元。</w:t>
      </w:r>
    </w:p>
    <w:p>
      <w:pPr>
        <w:spacing w:after="0" w:line="300" w:lineRule="auto"/>
        <w:jc w:val="both"/>
        <w:sectPr>
          <w:pgSz w:w="11910" w:h="16840"/>
          <w:pgMar w:header="0" w:footer="979" w:top="1100" w:bottom="1160" w:left="980" w:right="940"/>
        </w:sectPr>
      </w:pPr>
    </w:p>
    <w:p>
      <w:pPr>
        <w:spacing w:line="240" w:lineRule="auto" w:before="1"/>
        <w:rPr>
          <w:rFonts w:ascii="宋体" w:hAnsi="宋体" w:cs="宋体" w:eastAsia="宋体" w:hint="default"/>
          <w:sz w:val="22"/>
          <w:szCs w:val="22"/>
        </w:rPr>
      </w:pPr>
    </w:p>
    <w:p>
      <w:pPr>
        <w:pStyle w:val="Heading2"/>
        <w:spacing w:line="240" w:lineRule="auto"/>
        <w:ind w:left="140" w:right="0"/>
        <w:jc w:val="left"/>
        <w:rPr>
          <w:b w:val="0"/>
          <w:bCs w:val="0"/>
        </w:rPr>
      </w:pPr>
      <w:r>
        <w:rPr/>
        <w:pict>
          <v:group style="position:absolute;margin-left:70.559998pt;margin-top:.795603pt;width:700.95pt;height:.1pt;mso-position-horizontal-relative:page;mso-position-vertical-relative:paragraph;z-index:-1104016" coordorigin="1411,16" coordsize="14019,2">
            <v:shape style="position:absolute;left:1411;top:16;width:14019;height:2" coordorigin="1411,16" coordsize="14019,0" path="m1411,16l15430,16e" filled="false" stroked="true" strokeweight=".72pt" strokecolor="#000000">
              <v:path arrowok="t"/>
            </v:shape>
            <w10:wrap type="none"/>
          </v:group>
        </w:pict>
      </w:r>
      <w:r>
        <w:rPr>
          <w:w w:val="95"/>
        </w:rPr>
        <w:t>十七、母公司财务报表主要项目注释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40"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40"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pStyle w:val="BodyText"/>
        <w:spacing w:line="240" w:lineRule="auto" w:before="15"/>
        <w:ind w:left="140" w:right="0"/>
        <w:jc w:val="left"/>
      </w:pPr>
      <w:r>
        <w:rPr/>
        <w:br w:type="column"/>
      </w:r>
      <w:r>
        <w:rPr/>
        <w:t>深圳市惠程电气股份有限公司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p>
      <w:pPr>
        <w:spacing w:after="0" w:line="240" w:lineRule="auto"/>
        <w:jc w:val="left"/>
        <w:sectPr>
          <w:headerReference w:type="default" r:id="rId48"/>
          <w:footerReference w:type="default" r:id="rId49"/>
          <w:pgSz w:w="16840" w:h="11910" w:orient="landscape"/>
          <w:pgMar w:header="0" w:footer="0" w:top="800" w:bottom="280" w:left="1300" w:right="1280"/>
          <w:cols w:num="2" w:equalWidth="0">
            <w:col w:w="3993" w:space="5915"/>
            <w:col w:w="4352"/>
          </w:cols>
        </w:sectPr>
      </w:pPr>
    </w:p>
    <w:p>
      <w:pPr>
        <w:spacing w:line="240" w:lineRule="auto" w:before="10"/>
        <w:rPr>
          <w:rFonts w:ascii="宋体" w:hAnsi="宋体" w:cs="宋体" w:eastAsia="宋体" w:hint="default"/>
          <w:sz w:val="22"/>
          <w:szCs w:val="22"/>
        </w:rPr>
      </w:pPr>
    </w:p>
    <w:p>
      <w:pPr>
        <w:pStyle w:val="BodyText"/>
        <w:spacing w:line="240" w:lineRule="auto" w:before="44"/>
        <w:ind w:left="0" w:right="155"/>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333"/>
        <w:gridCol w:w="1193"/>
        <w:gridCol w:w="1075"/>
        <w:gridCol w:w="1092"/>
        <w:gridCol w:w="1066"/>
        <w:gridCol w:w="1181"/>
        <w:gridCol w:w="1181"/>
        <w:gridCol w:w="1078"/>
        <w:gridCol w:w="1152"/>
        <w:gridCol w:w="1327"/>
        <w:gridCol w:w="1328"/>
      </w:tblGrid>
      <w:tr>
        <w:trPr>
          <w:trHeight w:val="401" w:hRule="exact"/>
        </w:trPr>
        <w:tc>
          <w:tcPr>
            <w:tcW w:w="2333" w:type="dxa"/>
            <w:tcBorders>
              <w:top w:val="single" w:sz="4" w:space="0" w:color="000000"/>
              <w:left w:val="single" w:sz="4" w:space="0" w:color="000000"/>
              <w:bottom w:val="nil" w:sz="6" w:space="0" w:color="auto"/>
              <w:right w:val="single" w:sz="4" w:space="0" w:color="000000"/>
            </w:tcBorders>
            <w:shd w:val="clear" w:color="auto" w:fill="D2D2D2"/>
          </w:tcPr>
          <w:p>
            <w:pPr/>
          </w:p>
        </w:tc>
        <w:tc>
          <w:tcPr>
            <w:tcW w:w="560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06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7" w:hRule="exact"/>
        </w:trPr>
        <w:tc>
          <w:tcPr>
            <w:tcW w:w="23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2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5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1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22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7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2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333" w:type="dxa"/>
            <w:vMerge/>
            <w:tcBorders>
              <w:left w:val="single" w:sz="4" w:space="0" w:color="000000"/>
              <w:bottom w:val="nil" w:sz="6" w:space="0" w:color="auto"/>
              <w:right w:val="single" w:sz="4" w:space="0" w:color="000000"/>
            </w:tcBorders>
            <w:shd w:val="clear" w:color="auto" w:fill="D2D2D2"/>
          </w:tcPr>
          <w:p>
            <w:pPr/>
          </w:p>
        </w:tc>
        <w:tc>
          <w:tcPr>
            <w:tcW w:w="2269" w:type="dxa"/>
            <w:gridSpan w:val="2"/>
            <w:vMerge/>
            <w:tcBorders>
              <w:left w:val="single" w:sz="4" w:space="0" w:color="000000"/>
              <w:bottom w:val="single" w:sz="4" w:space="0" w:color="000000"/>
              <w:right w:val="single" w:sz="4" w:space="0" w:color="000000"/>
            </w:tcBorders>
            <w:shd w:val="clear" w:color="auto" w:fill="D2D2D2"/>
          </w:tcPr>
          <w:p>
            <w:pPr/>
          </w:p>
        </w:tc>
        <w:tc>
          <w:tcPr>
            <w:tcW w:w="2158" w:type="dxa"/>
            <w:gridSpan w:val="2"/>
            <w:vMerge/>
            <w:tcBorders>
              <w:left w:val="single" w:sz="4" w:space="0" w:color="000000"/>
              <w:bottom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259" w:type="dxa"/>
            <w:gridSpan w:val="2"/>
            <w:vMerge/>
            <w:tcBorders>
              <w:left w:val="single" w:sz="4" w:space="0" w:color="000000"/>
              <w:bottom w:val="single" w:sz="4" w:space="0" w:color="000000"/>
              <w:right w:val="single" w:sz="4" w:space="0" w:color="000000"/>
            </w:tcBorders>
            <w:shd w:val="clear" w:color="auto" w:fill="D2D2D2"/>
          </w:tcPr>
          <w:p>
            <w:pPr/>
          </w:p>
        </w:tc>
        <w:tc>
          <w:tcPr>
            <w:tcW w:w="2479" w:type="dxa"/>
            <w:gridSpan w:val="2"/>
            <w:vMerge/>
            <w:tcBorders>
              <w:left w:val="single" w:sz="4" w:space="0" w:color="000000"/>
              <w:bottom w:val="single" w:sz="4" w:space="0" w:color="000000"/>
              <w:right w:val="single" w:sz="4" w:space="0" w:color="000000"/>
            </w:tcBorders>
            <w:shd w:val="clear" w:color="auto" w:fill="D2D2D2"/>
          </w:tcPr>
          <w:p>
            <w:pPr/>
          </w:p>
        </w:tc>
        <w:tc>
          <w:tcPr>
            <w:tcW w:w="13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9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2" w:hRule="exact"/>
        </w:trPr>
        <w:tc>
          <w:tcPr>
            <w:tcW w:w="2333" w:type="dxa"/>
            <w:vMerge w:val="restart"/>
            <w:tcBorders>
              <w:top w:val="nil" w:sz="6" w:space="0" w:color="auto"/>
              <w:left w:val="single" w:sz="4" w:space="0" w:color="000000"/>
              <w:right w:val="single" w:sz="4" w:space="0" w:color="000000"/>
            </w:tcBorders>
            <w:shd w:val="clear" w:color="auto" w:fill="D2D2D2"/>
          </w:tcPr>
          <w:p>
            <w:pP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5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5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7"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181"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5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97"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28"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2333"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075" w:type="dxa"/>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078"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5" w:hRule="exact"/>
        </w:trPr>
        <w:tc>
          <w:tcPr>
            <w:tcW w:w="2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49"/>
              <w:jc w:val="left"/>
              <w:rPr>
                <w:rFonts w:ascii="宋体" w:hAnsi="宋体" w:cs="宋体" w:eastAsia="宋体" w:hint="default"/>
                <w:sz w:val="18"/>
                <w:szCs w:val="18"/>
              </w:rPr>
            </w:pPr>
            <w:r>
              <w:rPr>
                <w:rFonts w:ascii="宋体" w:hAnsi="宋体" w:cs="宋体" w:eastAsia="宋体" w:hint="default"/>
                <w:sz w:val="18"/>
                <w:szCs w:val="18"/>
              </w:rPr>
              <w:t>单项金额重大并单独计提坏 账准备的应收账款</w:t>
            </w:r>
          </w:p>
        </w:tc>
        <w:tc>
          <w:tcPr>
            <w:tcW w:w="1193" w:type="dxa"/>
            <w:tcBorders>
              <w:top w:val="single" w:sz="4" w:space="0" w:color="000000"/>
              <w:left w:val="single" w:sz="13" w:space="0" w:color="D2D2D2"/>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4,543,829.01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3.25%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center"/>
              <w:rPr>
                <w:rFonts w:ascii="Times New Roman" w:hAnsi="Times New Roman" w:cs="Times New Roman" w:eastAsia="Times New Roman" w:hint="default"/>
                <w:sz w:val="18"/>
                <w:szCs w:val="18"/>
              </w:rPr>
            </w:pPr>
            <w:r>
              <w:rPr>
                <w:rFonts w:ascii="Times New Roman"/>
                <w:sz w:val="18"/>
              </w:rPr>
              <w:t>2,916,449.21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64.18%</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1,627,379.80</w:t>
            </w:r>
          </w:p>
        </w:tc>
      </w:tr>
      <w:tr>
        <w:trPr>
          <w:trHeight w:val="713" w:hRule="exact"/>
        </w:trPr>
        <w:tc>
          <w:tcPr>
            <w:tcW w:w="2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49"/>
              <w:jc w:val="left"/>
              <w:rPr>
                <w:rFonts w:ascii="宋体" w:hAnsi="宋体" w:cs="宋体" w:eastAsia="宋体" w:hint="default"/>
                <w:sz w:val="18"/>
                <w:szCs w:val="18"/>
              </w:rPr>
            </w:pPr>
            <w:r>
              <w:rPr>
                <w:rFonts w:ascii="宋体" w:hAnsi="宋体" w:cs="宋体" w:eastAsia="宋体" w:hint="default"/>
                <w:sz w:val="18"/>
                <w:szCs w:val="18"/>
              </w:rPr>
              <w:t>按信用风险特征组合计提坏 账准备的应收账款</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154,501,602.44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23,687,433.83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15.33%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130,814,168.61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128,753,714.06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92.15%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17,572,804.10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13.65%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111,180,909.96</w:t>
            </w:r>
          </w:p>
        </w:tc>
      </w:tr>
      <w:tr>
        <w:trPr>
          <w:trHeight w:val="716" w:hRule="exact"/>
        </w:trPr>
        <w:tc>
          <w:tcPr>
            <w:tcW w:w="2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 w:right="149"/>
              <w:jc w:val="left"/>
              <w:rPr>
                <w:rFonts w:ascii="宋体" w:hAnsi="宋体" w:cs="宋体" w:eastAsia="宋体" w:hint="default"/>
                <w:sz w:val="18"/>
                <w:szCs w:val="18"/>
              </w:rPr>
            </w:pPr>
            <w:r>
              <w:rPr>
                <w:rFonts w:ascii="宋体" w:hAnsi="宋体" w:cs="宋体" w:eastAsia="宋体" w:hint="default"/>
                <w:sz w:val="18"/>
                <w:szCs w:val="18"/>
              </w:rPr>
              <w:t>单项金额不重大但单独计提 坏账准备的应收账款</w:t>
            </w:r>
          </w:p>
        </w:tc>
        <w:tc>
          <w:tcPr>
            <w:tcW w:w="1193" w:type="dxa"/>
            <w:tcBorders>
              <w:top w:val="single" w:sz="4" w:space="0" w:color="000000"/>
              <w:left w:val="single" w:sz="13" w:space="0" w:color="D2D2D2"/>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6,433,130.73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center"/>
              <w:rPr>
                <w:rFonts w:ascii="Times New Roman" w:hAnsi="Times New Roman" w:cs="Times New Roman" w:eastAsia="Times New Roman" w:hint="default"/>
                <w:sz w:val="18"/>
                <w:szCs w:val="18"/>
              </w:rPr>
            </w:pPr>
            <w:r>
              <w:rPr>
                <w:rFonts w:ascii="Times New Roman"/>
                <w:sz w:val="18"/>
              </w:rPr>
              <w:t>4,152,847.44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64.55%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2,280,283.29</w:t>
            </w:r>
          </w:p>
        </w:tc>
      </w:tr>
      <w:tr>
        <w:trPr>
          <w:trHeight w:val="401" w:hRule="exact"/>
        </w:trPr>
        <w:tc>
          <w:tcPr>
            <w:tcW w:w="2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154,501,602.44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23,687,433.83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130,814,168.61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139,730,673.80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24,642,100.75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17.64%</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115,088,573.05</w:t>
            </w:r>
          </w:p>
        </w:tc>
      </w:tr>
    </w:tbl>
    <w:p>
      <w:pPr>
        <w:pStyle w:val="BodyText"/>
        <w:spacing w:line="240" w:lineRule="auto" w:before="49"/>
        <w:ind w:left="140" w:right="148"/>
        <w:jc w:val="left"/>
      </w:pPr>
      <w:r>
        <w:rPr/>
        <w:t>期末单项金额重大并单项计提坏账准备的应收账款：</w:t>
      </w:r>
    </w:p>
    <w:p>
      <w:pPr>
        <w:pStyle w:val="BodyText"/>
        <w:spacing w:line="338" w:lineRule="auto" w:before="117"/>
        <w:ind w:left="140" w:right="1013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3"/>
        <w:ind w:left="140" w:right="1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BodyText"/>
        <w:spacing w:line="240" w:lineRule="auto" w:before="76"/>
        <w:ind w:left="6966" w:right="6981"/>
        <w:jc w:val="center"/>
        <w:rPr>
          <w:rFonts w:ascii="Times New Roman" w:hAnsi="Times New Roman" w:cs="Times New Roman" w:eastAsia="Times New Roman" w:hint="default"/>
        </w:rPr>
      </w:pPr>
      <w:r>
        <w:rPr>
          <w:rFonts w:ascii="Times New Roman"/>
        </w:rPr>
        <w:t>168</w:t>
      </w:r>
    </w:p>
    <w:p>
      <w:pPr>
        <w:spacing w:after="0" w:line="240" w:lineRule="auto"/>
        <w:jc w:val="center"/>
        <w:rPr>
          <w:rFonts w:ascii="Times New Roman" w:hAnsi="Times New Roman" w:cs="Times New Roman" w:eastAsia="Times New Roman" w:hint="default"/>
        </w:rPr>
        <w:sectPr>
          <w:type w:val="continuous"/>
          <w:pgSz w:w="16840" w:h="11910" w:orient="landscape"/>
          <w:pgMar w:top="1060" w:bottom="1160" w:left="1300" w:right="1280"/>
        </w:sectPr>
      </w:pPr>
    </w:p>
    <w:p>
      <w:pPr>
        <w:spacing w:line="240" w:lineRule="auto" w:before="10"/>
        <w:rPr>
          <w:rFonts w:ascii="Times New Roman" w:hAnsi="Times New Roman" w:cs="Times New Roman" w:eastAsia="Times New Roman" w:hint="default"/>
          <w:sz w:val="24"/>
          <w:szCs w:val="24"/>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01"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101,168,775.63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5,058,438.78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101,168,775.63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5,058,438.78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19,481,944.84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1,948,194.48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9,177,414.49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1,835,482.90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9,259,689.37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2,777,906.81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5,577,278.75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2,230,911.50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9,836,499.36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9,836,499.36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154,501,602.44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23,687,433.83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15.33%</w:t>
            </w:r>
          </w:p>
        </w:tc>
      </w:tr>
    </w:tbl>
    <w:p>
      <w:pPr>
        <w:pStyle w:val="BodyText"/>
        <w:spacing w:line="360" w:lineRule="auto" w:before="49"/>
        <w:ind w:right="5454"/>
        <w:jc w:val="left"/>
      </w:pPr>
      <w:r>
        <w:rPr/>
        <w:t>确定该组合依据的说明：无。 组合中，采用余额百分比法计提坏账准备的应收账款：</w:t>
      </w:r>
    </w:p>
    <w:p>
      <w:pPr>
        <w:pStyle w:val="BodyText"/>
        <w:spacing w:line="340" w:lineRule="auto" w:before="25"/>
        <w:ind w:right="5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组合中，采用其他方法计提坏账准备的应收账款：无。</w:t>
      </w:r>
    </w:p>
    <w:p>
      <w:pPr>
        <w:spacing w:line="240" w:lineRule="auto" w:before="5"/>
        <w:rPr>
          <w:rFonts w:ascii="宋体" w:hAnsi="宋体" w:cs="宋体" w:eastAsia="宋体" w:hint="default"/>
          <w:sz w:val="21"/>
          <w:szCs w:val="21"/>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3485"/>
        <w:jc w:val="left"/>
      </w:pPr>
      <w:r>
        <w:rPr/>
        <w:t>本期计提坏账准备金额</w:t>
      </w:r>
      <w:r>
        <w:rPr>
          <w:spacing w:val="-49"/>
        </w:rPr>
        <w:t> </w:t>
      </w:r>
      <w:r>
        <w:rPr>
          <w:rFonts w:ascii="Times New Roman" w:hAnsi="Times New Roman" w:cs="Times New Roman" w:eastAsia="Times New Roman" w:hint="default"/>
        </w:rPr>
        <w:t>1,849,848.11</w:t>
      </w:r>
      <w:r>
        <w:rPr>
          <w:rFonts w:ascii="Times New Roman" w:hAnsi="Times New Roman" w:cs="Times New Roman" w:eastAsia="Times New Roman" w:hint="default"/>
          <w:spacing w:val="-1"/>
        </w:rPr>
        <w:t> </w:t>
      </w:r>
      <w:r>
        <w:rPr/>
        <w:t>元；本期收回或转回坏账准备金额</w:t>
      </w:r>
      <w:r>
        <w:rPr>
          <w:spacing w:val="-49"/>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本期债务重组减少的坏账准备</w:t>
      </w:r>
      <w:r>
        <w:rPr>
          <w:rFonts w:ascii="Times New Roman" w:hAnsi="Times New Roman" w:cs="Times New Roman" w:eastAsia="Times New Roman" w:hint="default"/>
        </w:rPr>
        <w:t>2,095,476.03</w:t>
      </w:r>
      <w:r>
        <w:rPr/>
        <w:t>元。</w:t>
      </w:r>
    </w:p>
    <w:p>
      <w:pPr>
        <w:spacing w:line="240" w:lineRule="auto" w:before="12"/>
        <w:rPr>
          <w:rFonts w:ascii="宋体" w:hAnsi="宋体" w:cs="宋体" w:eastAsia="宋体" w:hint="default"/>
          <w:sz w:val="19"/>
          <w:szCs w:val="19"/>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3"/>
        <w:gridCol w:w="4587"/>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核销应收账款</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709,039.00</w:t>
            </w:r>
          </w:p>
        </w:tc>
      </w:tr>
    </w:tbl>
    <w:p>
      <w:pPr>
        <w:pStyle w:val="BodyText"/>
        <w:spacing w:line="240" w:lineRule="auto" w:before="49"/>
        <w:ind w:right="153"/>
        <w:jc w:val="left"/>
      </w:pPr>
      <w:r>
        <w:rPr/>
        <w:t>其中重要的应收账款核销情况：</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08"/>
              <w:jc w:val="righ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234,570.00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35"/>
              <w:jc w:val="right"/>
              <w:rPr>
                <w:rFonts w:ascii="宋体" w:hAnsi="宋体" w:cs="宋体" w:eastAsia="宋体" w:hint="default"/>
                <w:sz w:val="18"/>
                <w:szCs w:val="18"/>
              </w:rPr>
            </w:pPr>
            <w:r>
              <w:rPr>
                <w:rFonts w:ascii="宋体" w:hAnsi="宋体" w:cs="宋体" w:eastAsia="宋体" w:hint="default"/>
                <w:sz w:val="18"/>
                <w:szCs w:val="18"/>
              </w:rPr>
              <w:t>债务公司注销</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230,204.00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35"/>
              <w:jc w:val="right"/>
              <w:rPr>
                <w:rFonts w:ascii="宋体" w:hAnsi="宋体" w:cs="宋体" w:eastAsia="宋体" w:hint="default"/>
                <w:sz w:val="18"/>
                <w:szCs w:val="18"/>
              </w:rPr>
            </w:pPr>
            <w:r>
              <w:rPr>
                <w:rFonts w:ascii="宋体" w:hAnsi="宋体" w:cs="宋体" w:eastAsia="宋体" w:hint="default"/>
                <w:sz w:val="18"/>
                <w:szCs w:val="18"/>
              </w:rPr>
              <w:t>债务公司注销</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92,075.00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35"/>
              <w:jc w:val="right"/>
              <w:rPr>
                <w:rFonts w:ascii="宋体" w:hAnsi="宋体" w:cs="宋体" w:eastAsia="宋体" w:hint="default"/>
                <w:sz w:val="18"/>
                <w:szCs w:val="18"/>
              </w:rPr>
            </w:pPr>
            <w:r>
              <w:rPr>
                <w:rFonts w:ascii="宋体" w:hAnsi="宋体" w:cs="宋体" w:eastAsia="宋体" w:hint="default"/>
                <w:sz w:val="18"/>
                <w:szCs w:val="18"/>
              </w:rPr>
              <w:t>债务公司注销</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65,520.00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35"/>
              <w:jc w:val="right"/>
              <w:rPr>
                <w:rFonts w:ascii="宋体" w:hAnsi="宋体" w:cs="宋体" w:eastAsia="宋体" w:hint="default"/>
                <w:sz w:val="18"/>
                <w:szCs w:val="18"/>
              </w:rPr>
            </w:pPr>
            <w:r>
              <w:rPr>
                <w:rFonts w:ascii="宋体" w:hAnsi="宋体" w:cs="宋体" w:eastAsia="宋体" w:hint="default"/>
                <w:sz w:val="18"/>
                <w:szCs w:val="18"/>
              </w:rPr>
              <w:t>债务公司注销</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51,750.00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35"/>
              <w:jc w:val="right"/>
              <w:rPr>
                <w:rFonts w:ascii="宋体" w:hAnsi="宋体" w:cs="宋体" w:eastAsia="宋体" w:hint="default"/>
                <w:sz w:val="18"/>
                <w:szCs w:val="18"/>
              </w:rPr>
            </w:pPr>
            <w:r>
              <w:rPr>
                <w:rFonts w:ascii="宋体" w:hAnsi="宋体" w:cs="宋体" w:eastAsia="宋体" w:hint="default"/>
                <w:sz w:val="18"/>
                <w:szCs w:val="18"/>
              </w:rPr>
              <w:t>债务公司注销</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674,119.00</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9"/>
        <w:rPr>
          <w:rFonts w:ascii="宋体" w:hAnsi="宋体" w:cs="宋体" w:eastAsia="宋体" w:hint="default"/>
          <w:sz w:val="29"/>
          <w:szCs w:val="29"/>
        </w:rPr>
      </w:pPr>
    </w:p>
    <w:p>
      <w:pPr>
        <w:pStyle w:val="BodyText"/>
        <w:spacing w:line="240" w:lineRule="auto" w:before="76"/>
        <w:ind w:left="2601" w:right="2601"/>
        <w:jc w:val="center"/>
        <w:rPr>
          <w:rFonts w:ascii="Times New Roman" w:hAnsi="Times New Roman" w:cs="Times New Roman" w:eastAsia="Times New Roman" w:hint="default"/>
        </w:rPr>
      </w:pPr>
      <w:r>
        <w:rPr>
          <w:rFonts w:ascii="Times New Roman"/>
        </w:rPr>
        <w:t>169</w:t>
      </w:r>
    </w:p>
    <w:p>
      <w:pPr>
        <w:spacing w:after="0" w:line="240" w:lineRule="auto"/>
        <w:jc w:val="center"/>
        <w:rPr>
          <w:rFonts w:ascii="Times New Roman" w:hAnsi="Times New Roman" w:cs="Times New Roman" w:eastAsia="Times New Roman" w:hint="default"/>
        </w:rPr>
        <w:sectPr>
          <w:headerReference w:type="default" r:id="rId50"/>
          <w:footerReference w:type="default" r:id="rId51"/>
          <w:pgSz w:w="11910" w:h="16840"/>
          <w:pgMar w:header="877" w:footer="0" w:top="1100" w:bottom="280" w:left="980" w:right="980"/>
        </w:sectPr>
      </w:pPr>
    </w:p>
    <w:p>
      <w:pPr>
        <w:pStyle w:val="BodyText"/>
        <w:spacing w:line="240" w:lineRule="auto" w:before="15"/>
        <w:ind w:left="0" w:right="153"/>
        <w:jc w:val="right"/>
      </w:pPr>
      <w:r>
        <w:rPr/>
        <w:t>深圳市惠程电气股份有限公司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6"/>
          <w:szCs w:val="16"/>
        </w:rPr>
      </w:pPr>
    </w:p>
    <w:p>
      <w:pPr>
        <w:pStyle w:val="Heading3"/>
        <w:spacing w:line="240" w:lineRule="auto" w:before="36"/>
        <w:ind w:left="140" w:right="148"/>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7"/>
        <w:jc w:val="right"/>
      </w:pPr>
      <w:r>
        <w:rPr/>
        <w:t>单位：元</w:t>
      </w:r>
    </w:p>
    <w:p>
      <w:pPr>
        <w:spacing w:line="240" w:lineRule="auto" w:before="4"/>
        <w:rPr>
          <w:rFonts w:ascii="宋体" w:hAnsi="宋体" w:cs="宋体" w:eastAsia="宋体" w:hint="default"/>
          <w:sz w:val="8"/>
          <w:szCs w:val="8"/>
        </w:rPr>
      </w:pPr>
    </w:p>
    <w:tbl>
      <w:tblPr>
        <w:tblW w:w="0" w:type="auto"/>
        <w:jc w:val="left"/>
        <w:tblInd w:w="123" w:type="dxa"/>
        <w:tblLayout w:type="fixed"/>
        <w:tblCellMar>
          <w:top w:w="0" w:type="dxa"/>
          <w:left w:w="0" w:type="dxa"/>
          <w:bottom w:w="0" w:type="dxa"/>
          <w:right w:w="0" w:type="dxa"/>
        </w:tblCellMar>
        <w:tblLook w:val="01E0"/>
      </w:tblPr>
      <w:tblGrid>
        <w:gridCol w:w="3606"/>
        <w:gridCol w:w="2705"/>
        <w:gridCol w:w="2256"/>
        <w:gridCol w:w="2074"/>
        <w:gridCol w:w="1356"/>
        <w:gridCol w:w="1983"/>
      </w:tblGrid>
      <w:tr>
        <w:trPr>
          <w:trHeight w:val="348"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6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43" w:right="0"/>
              <w:jc w:val="left"/>
              <w:rPr>
                <w:rFonts w:ascii="宋体" w:hAnsi="宋体" w:cs="宋体" w:eastAsia="宋体" w:hint="default"/>
                <w:sz w:val="18"/>
                <w:szCs w:val="18"/>
              </w:rPr>
            </w:pPr>
            <w:r>
              <w:rPr>
                <w:rFonts w:ascii="宋体" w:hAnsi="宋体" w:cs="宋体" w:eastAsia="宋体" w:hint="default"/>
                <w:sz w:val="18"/>
                <w:szCs w:val="18"/>
              </w:rPr>
              <w:t>占总金额比例</w:t>
            </w:r>
          </w:p>
        </w:tc>
      </w:tr>
      <w:tr>
        <w:trPr>
          <w:trHeight w:val="346"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19,937,033.00</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996,851.65</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12.90%</w:t>
            </w:r>
          </w:p>
        </w:tc>
      </w:tr>
      <w:tr>
        <w:trPr>
          <w:trHeight w:val="348"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12,072,985.91</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1,366,050.34</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年</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7.81%</w:t>
            </w:r>
          </w:p>
        </w:tc>
      </w:tr>
      <w:tr>
        <w:trPr>
          <w:trHeight w:val="346"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5,229,548.21</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254,511.53</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3.39%</w:t>
            </w:r>
          </w:p>
        </w:tc>
      </w:tr>
      <w:tr>
        <w:trPr>
          <w:trHeight w:val="349"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4,318,707.54</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701,979.51</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z w:val="18"/>
              </w:rPr>
              <w:t>2.80%</w:t>
            </w:r>
          </w:p>
        </w:tc>
      </w:tr>
      <w:tr>
        <w:trPr>
          <w:trHeight w:val="348"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4,008,476.75</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685,669.35</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年</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2.59%</w:t>
            </w:r>
          </w:p>
        </w:tc>
      </w:tr>
      <w:tr>
        <w:trPr>
          <w:trHeight w:val="346" w:hRule="exact"/>
        </w:trPr>
        <w:tc>
          <w:tcPr>
            <w:tcW w:w="3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center"/>
              <w:rPr>
                <w:rFonts w:ascii="Times New Roman" w:hAnsi="Times New Roman" w:cs="Times New Roman" w:eastAsia="Times New Roman" w:hint="default"/>
                <w:sz w:val="18"/>
                <w:szCs w:val="18"/>
              </w:rPr>
            </w:pPr>
            <w:r>
              <w:rPr>
                <w:rFonts w:ascii="Times New Roman"/>
                <w:sz w:val="18"/>
              </w:rPr>
              <w:t>/</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45,566,751.41</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4,005,062.38</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29.49%</w:t>
            </w:r>
          </w:p>
        </w:tc>
      </w:tr>
    </w:tbl>
    <w:p>
      <w:pPr>
        <w:spacing w:line="240" w:lineRule="auto" w:before="3"/>
        <w:rPr>
          <w:rFonts w:ascii="宋体" w:hAnsi="宋体" w:cs="宋体" w:eastAsia="宋体" w:hint="default"/>
          <w:sz w:val="19"/>
          <w:szCs w:val="19"/>
        </w:rPr>
      </w:pPr>
    </w:p>
    <w:p>
      <w:pPr>
        <w:pStyle w:val="Heading3"/>
        <w:spacing w:line="240" w:lineRule="auto" w:before="36"/>
        <w:ind w:left="140" w:right="148"/>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40" w:right="148"/>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5"/>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333"/>
        <w:gridCol w:w="1193"/>
        <w:gridCol w:w="1078"/>
        <w:gridCol w:w="1078"/>
        <w:gridCol w:w="1080"/>
        <w:gridCol w:w="1176"/>
        <w:gridCol w:w="1181"/>
        <w:gridCol w:w="1078"/>
        <w:gridCol w:w="1154"/>
        <w:gridCol w:w="1327"/>
        <w:gridCol w:w="1328"/>
      </w:tblGrid>
      <w:tr>
        <w:trPr>
          <w:trHeight w:val="403" w:hRule="exact"/>
        </w:trPr>
        <w:tc>
          <w:tcPr>
            <w:tcW w:w="2333" w:type="dxa"/>
            <w:tcBorders>
              <w:top w:val="single" w:sz="4" w:space="0" w:color="000000"/>
              <w:left w:val="single" w:sz="4" w:space="0" w:color="000000"/>
              <w:bottom w:val="nil" w:sz="6" w:space="0" w:color="auto"/>
              <w:right w:val="single" w:sz="4" w:space="0" w:color="000000"/>
            </w:tcBorders>
            <w:shd w:val="clear" w:color="auto" w:fill="D2D2D2"/>
          </w:tcPr>
          <w:p>
            <w:pPr/>
          </w:p>
        </w:tc>
        <w:tc>
          <w:tcPr>
            <w:tcW w:w="560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06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6" w:hRule="exact"/>
        </w:trPr>
        <w:tc>
          <w:tcPr>
            <w:tcW w:w="23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27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5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76" w:type="dxa"/>
            <w:tcBorders>
              <w:top w:val="single" w:sz="4" w:space="0" w:color="000000"/>
              <w:left w:val="single" w:sz="4" w:space="0" w:color="000000"/>
              <w:bottom w:val="nil" w:sz="6" w:space="0" w:color="auto"/>
              <w:right w:val="single" w:sz="4" w:space="0" w:color="000000"/>
            </w:tcBorders>
            <w:shd w:val="clear" w:color="auto" w:fill="D2D2D2"/>
          </w:tcPr>
          <w:p>
            <w:pPr/>
          </w:p>
        </w:tc>
        <w:tc>
          <w:tcPr>
            <w:tcW w:w="22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2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2333" w:type="dxa"/>
            <w:vMerge/>
            <w:tcBorders>
              <w:left w:val="single" w:sz="4" w:space="0" w:color="000000"/>
              <w:bottom w:val="nil" w:sz="6" w:space="0" w:color="auto"/>
              <w:right w:val="single" w:sz="4" w:space="0" w:color="000000"/>
            </w:tcBorders>
            <w:shd w:val="clear" w:color="auto" w:fill="D2D2D2"/>
          </w:tcPr>
          <w:p>
            <w:pPr/>
          </w:p>
        </w:tc>
        <w:tc>
          <w:tcPr>
            <w:tcW w:w="2271" w:type="dxa"/>
            <w:gridSpan w:val="2"/>
            <w:vMerge/>
            <w:tcBorders>
              <w:left w:val="single" w:sz="4" w:space="0" w:color="000000"/>
              <w:bottom w:val="single" w:sz="4" w:space="0" w:color="000000"/>
              <w:right w:val="single" w:sz="4" w:space="0" w:color="000000"/>
            </w:tcBorders>
            <w:shd w:val="clear" w:color="auto" w:fill="D2D2D2"/>
          </w:tcPr>
          <w:p>
            <w:pPr/>
          </w:p>
        </w:tc>
        <w:tc>
          <w:tcPr>
            <w:tcW w:w="2158" w:type="dxa"/>
            <w:gridSpan w:val="2"/>
            <w:vMerge/>
            <w:tcBorders>
              <w:left w:val="single" w:sz="4" w:space="0" w:color="000000"/>
              <w:bottom w:val="single" w:sz="4" w:space="0" w:color="000000"/>
              <w:right w:val="single" w:sz="4" w:space="0" w:color="000000"/>
            </w:tcBorders>
            <w:shd w:val="clear" w:color="auto" w:fill="D2D2D2"/>
          </w:tcPr>
          <w:p>
            <w:pPr/>
          </w:p>
        </w:tc>
        <w:tc>
          <w:tcPr>
            <w:tcW w:w="11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259" w:type="dxa"/>
            <w:gridSpan w:val="2"/>
            <w:vMerge/>
            <w:tcBorders>
              <w:left w:val="single" w:sz="4" w:space="0" w:color="000000"/>
              <w:bottom w:val="single" w:sz="4" w:space="0" w:color="000000"/>
              <w:right w:val="single" w:sz="4" w:space="0" w:color="000000"/>
            </w:tcBorders>
            <w:shd w:val="clear" w:color="auto" w:fill="D2D2D2"/>
          </w:tcPr>
          <w:p>
            <w:pPr/>
          </w:p>
        </w:tc>
        <w:tc>
          <w:tcPr>
            <w:tcW w:w="2482" w:type="dxa"/>
            <w:gridSpan w:val="2"/>
            <w:vMerge/>
            <w:tcBorders>
              <w:left w:val="single" w:sz="4" w:space="0" w:color="000000"/>
              <w:bottom w:val="single" w:sz="4" w:space="0" w:color="000000"/>
              <w:right w:val="single" w:sz="4" w:space="0" w:color="000000"/>
            </w:tcBorders>
            <w:shd w:val="clear" w:color="auto" w:fill="D2D2D2"/>
          </w:tcPr>
          <w:p>
            <w:pPr/>
          </w:p>
        </w:tc>
        <w:tc>
          <w:tcPr>
            <w:tcW w:w="13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9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2" w:hRule="exact"/>
        </w:trPr>
        <w:tc>
          <w:tcPr>
            <w:tcW w:w="2333" w:type="dxa"/>
            <w:vMerge w:val="restart"/>
            <w:tcBorders>
              <w:top w:val="nil" w:sz="6" w:space="0" w:color="auto"/>
              <w:left w:val="single" w:sz="4" w:space="0" w:color="000000"/>
              <w:right w:val="single" w:sz="4" w:space="0" w:color="000000"/>
            </w:tcBorders>
            <w:shd w:val="clear" w:color="auto" w:fill="D2D2D2"/>
          </w:tcPr>
          <w:p>
            <w:pP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7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176"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97"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2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333"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078" w:type="dxa"/>
            <w:vMerge/>
            <w:tcBorders>
              <w:left w:val="single" w:sz="4" w:space="0" w:color="000000"/>
              <w:bottom w:val="single" w:sz="4" w:space="0" w:color="000000"/>
              <w:right w:val="single" w:sz="4" w:space="0" w:color="000000"/>
            </w:tcBorders>
            <w:shd w:val="clear" w:color="auto" w:fill="D2D2D2"/>
          </w:tcPr>
          <w:p>
            <w:pPr/>
          </w:p>
        </w:tc>
        <w:tc>
          <w:tcPr>
            <w:tcW w:w="1078" w:type="dxa"/>
            <w:vMerge/>
            <w:tcBorders>
              <w:left w:val="single" w:sz="4" w:space="0" w:color="000000"/>
              <w:bottom w:val="single" w:sz="4" w:space="0" w:color="000000"/>
              <w:right w:val="single" w:sz="4" w:space="0" w:color="000000"/>
            </w:tcBorders>
            <w:shd w:val="clear" w:color="auto" w:fill="D2D2D2"/>
          </w:tcPr>
          <w:p>
            <w:pPr/>
          </w:p>
        </w:tc>
        <w:tc>
          <w:tcPr>
            <w:tcW w:w="1080" w:type="dxa"/>
            <w:vMerge/>
            <w:tcBorders>
              <w:left w:val="single" w:sz="4" w:space="0" w:color="000000"/>
              <w:bottom w:val="single" w:sz="4" w:space="0" w:color="000000"/>
              <w:right w:val="single" w:sz="4" w:space="0" w:color="000000"/>
            </w:tcBorders>
            <w:shd w:val="clear" w:color="auto" w:fill="D2D2D2"/>
          </w:tcPr>
          <w:p>
            <w:pPr/>
          </w:p>
        </w:tc>
        <w:tc>
          <w:tcPr>
            <w:tcW w:w="11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078" w:type="dxa"/>
            <w:vMerge/>
            <w:tcBorders>
              <w:left w:val="single" w:sz="4" w:space="0" w:color="000000"/>
              <w:bottom w:val="single" w:sz="4" w:space="0" w:color="000000"/>
              <w:right w:val="single" w:sz="4" w:space="0" w:color="000000"/>
            </w:tcBorders>
            <w:shd w:val="clear" w:color="auto" w:fill="D2D2D2"/>
          </w:tcPr>
          <w:p>
            <w:pPr/>
          </w:p>
        </w:tc>
        <w:tc>
          <w:tcPr>
            <w:tcW w:w="1154"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2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 w:right="149"/>
              <w:jc w:val="left"/>
              <w:rPr>
                <w:rFonts w:ascii="宋体" w:hAnsi="宋体" w:cs="宋体" w:eastAsia="宋体" w:hint="default"/>
                <w:sz w:val="18"/>
                <w:szCs w:val="18"/>
              </w:rPr>
            </w:pPr>
            <w:r>
              <w:rPr>
                <w:rFonts w:ascii="宋体" w:hAnsi="宋体" w:cs="宋体" w:eastAsia="宋体" w:hint="default"/>
                <w:sz w:val="18"/>
                <w:szCs w:val="18"/>
              </w:rPr>
              <w:t>单项金额重大并单独计提坏 账准备的其他应收款</w:t>
            </w:r>
          </w:p>
        </w:tc>
        <w:tc>
          <w:tcPr>
            <w:tcW w:w="1193" w:type="dxa"/>
            <w:tcBorders>
              <w:top w:val="single" w:sz="4" w:space="0" w:color="000000"/>
              <w:left w:val="single" w:sz="13" w:space="0" w:color="D2D2D2"/>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2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 w:right="149"/>
              <w:jc w:val="left"/>
              <w:rPr>
                <w:rFonts w:ascii="宋体" w:hAnsi="宋体" w:cs="宋体" w:eastAsia="宋体" w:hint="default"/>
                <w:sz w:val="18"/>
                <w:szCs w:val="18"/>
              </w:rPr>
            </w:pPr>
            <w:r>
              <w:rPr>
                <w:rFonts w:ascii="宋体" w:hAnsi="宋体" w:cs="宋体" w:eastAsia="宋体" w:hint="default"/>
                <w:sz w:val="18"/>
                <w:szCs w:val="18"/>
              </w:rPr>
              <w:t>按信用风险特征组合计提坏 账准备的其他应收款</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239,330,175.88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98.74%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587,464.57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0.25%</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238,742,711.31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190,784,792.64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99.12%</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1,206,664.74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0.63%</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189,578,127.90</w:t>
            </w:r>
          </w:p>
        </w:tc>
      </w:tr>
      <w:tr>
        <w:trPr>
          <w:trHeight w:val="713" w:hRule="exact"/>
        </w:trPr>
        <w:tc>
          <w:tcPr>
            <w:tcW w:w="2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 w:right="149"/>
              <w:jc w:val="left"/>
              <w:rPr>
                <w:rFonts w:ascii="宋体" w:hAnsi="宋体" w:cs="宋体" w:eastAsia="宋体" w:hint="default"/>
                <w:sz w:val="18"/>
                <w:szCs w:val="18"/>
              </w:rPr>
            </w:pPr>
            <w:r>
              <w:rPr>
                <w:rFonts w:ascii="宋体" w:hAnsi="宋体" w:cs="宋体" w:eastAsia="宋体" w:hint="default"/>
                <w:sz w:val="18"/>
                <w:szCs w:val="18"/>
              </w:rPr>
              <w:t>单项金额不重大但单独计提 坏账准备的其他应收款</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3,052,733.81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3,052,733.81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1,690,672.22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0.88%</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1,690,672.22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242,382,909.69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3,640,198.38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238,742,711.31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192,475,464.86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2,897,336.96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189,578,127.90</w:t>
            </w:r>
          </w:p>
        </w:tc>
      </w:tr>
    </w:tbl>
    <w:p>
      <w:pPr>
        <w:spacing w:line="240" w:lineRule="auto" w:before="12"/>
        <w:rPr>
          <w:rFonts w:ascii="宋体" w:hAnsi="宋体" w:cs="宋体" w:eastAsia="宋体" w:hint="default"/>
          <w:sz w:val="13"/>
          <w:szCs w:val="13"/>
        </w:rPr>
      </w:pPr>
    </w:p>
    <w:p>
      <w:pPr>
        <w:pStyle w:val="BodyText"/>
        <w:spacing w:line="240" w:lineRule="auto" w:before="76"/>
        <w:ind w:left="6966" w:right="6981"/>
        <w:jc w:val="center"/>
        <w:rPr>
          <w:rFonts w:ascii="Times New Roman" w:hAnsi="Times New Roman" w:cs="Times New Roman" w:eastAsia="Times New Roman" w:hint="default"/>
        </w:rPr>
      </w:pPr>
      <w:r>
        <w:rPr>
          <w:rFonts w:ascii="Times New Roman"/>
        </w:rPr>
        <w:t>170</w:t>
      </w:r>
    </w:p>
    <w:p>
      <w:pPr>
        <w:spacing w:after="0" w:line="240" w:lineRule="auto"/>
        <w:jc w:val="center"/>
        <w:rPr>
          <w:rFonts w:ascii="Times New Roman" w:hAnsi="Times New Roman" w:cs="Times New Roman" w:eastAsia="Times New Roman" w:hint="default"/>
        </w:rPr>
        <w:sectPr>
          <w:headerReference w:type="default" r:id="rId52"/>
          <w:footerReference w:type="default" r:id="rId53"/>
          <w:pgSz w:w="16840" w:h="11910" w:orient="landscape"/>
          <w:pgMar w:header="0" w:footer="0" w:top="800" w:bottom="280" w:left="1300" w:right="1280"/>
        </w:sectPr>
      </w:pPr>
    </w:p>
    <w:p>
      <w:pPr>
        <w:spacing w:line="240" w:lineRule="auto" w:before="10"/>
        <w:rPr>
          <w:rFonts w:ascii="Times New Roman" w:hAnsi="Times New Roman" w:cs="Times New Roman" w:eastAsia="Times New Roman" w:hint="default"/>
          <w:sz w:val="24"/>
          <w:szCs w:val="24"/>
        </w:rPr>
      </w:pPr>
    </w:p>
    <w:p>
      <w:pPr>
        <w:spacing w:after="0" w:line="240" w:lineRule="auto"/>
        <w:rPr>
          <w:rFonts w:ascii="Times New Roman" w:hAnsi="Times New Roman" w:cs="Times New Roman" w:eastAsia="Times New Roman" w:hint="default"/>
          <w:sz w:val="24"/>
          <w:szCs w:val="24"/>
        </w:rPr>
        <w:sectPr>
          <w:footerReference w:type="default" r:id="rId54"/>
          <w:pgSz w:w="11910" w:h="16840"/>
          <w:pgMar w:footer="979" w:header="0" w:top="1100" w:bottom="1160" w:left="980" w:right="980"/>
          <w:pgNumType w:start="171"/>
        </w:sectPr>
      </w:pPr>
    </w:p>
    <w:p>
      <w:pPr>
        <w:pStyle w:val="BodyText"/>
        <w:spacing w:line="240" w:lineRule="auto" w:before="44"/>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356"/>
            <w:col w:w="112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03"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6,265,891.68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313,294.58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6,265,891.68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313,294.58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1,012,044.15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101,204.42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11,719.84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2,343.97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369,071.99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110,721.60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7,718,627.66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587,464.57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pStyle w:val="BodyText"/>
        <w:spacing w:line="357" w:lineRule="auto" w:before="49"/>
        <w:ind w:right="-20"/>
        <w:jc w:val="left"/>
      </w:pPr>
      <w:r>
        <w:rPr/>
        <w:t>确定该组合依据的说明：无。 组合中，采用余额百分比法计提坏账准备的其他应收款：</w:t>
      </w:r>
    </w:p>
    <w:p>
      <w:pPr>
        <w:pStyle w:val="BodyText"/>
        <w:spacing w:line="240" w:lineRule="auto" w:before="2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653" w:space="4176"/>
            <w:col w:w="112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2"/>
        <w:gridCol w:w="2295"/>
        <w:gridCol w:w="2391"/>
        <w:gridCol w:w="2393"/>
      </w:tblGrid>
      <w:tr>
        <w:trPr>
          <w:trHeight w:val="403" w:hRule="exact"/>
        </w:trPr>
        <w:tc>
          <w:tcPr>
            <w:tcW w:w="24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0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492"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231,611,548.22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231,611,548.22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60" w:lineRule="auto" w:before="49"/>
        <w:ind w:right="5634"/>
        <w:jc w:val="left"/>
      </w:pPr>
      <w:r>
        <w:rPr/>
        <w:t>确定该组合依据的说明：无。 组合中，采用其他方法计提坏账准备的其他应收款：</w:t>
      </w:r>
    </w:p>
    <w:p>
      <w:pPr>
        <w:pStyle w:val="BodyText"/>
        <w:spacing w:line="240" w:lineRule="auto" w:before="25"/>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本期计提坏账准备金额</w:t>
      </w:r>
      <w:r>
        <w:rPr>
          <w:spacing w:val="-46"/>
        </w:rPr>
        <w:t> </w:t>
      </w:r>
      <w:r>
        <w:rPr>
          <w:rFonts w:ascii="Times New Roman" w:hAnsi="Times New Roman" w:cs="Times New Roman" w:eastAsia="Times New Roman" w:hint="default"/>
        </w:rPr>
        <w:t>742,861.42</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41" w:right="0"/>
              <w:jc w:val="left"/>
              <w:rPr>
                <w:rFonts w:ascii="Times New Roman" w:hAnsi="Times New Roman" w:cs="Times New Roman" w:eastAsia="Times New Roman" w:hint="default"/>
                <w:sz w:val="18"/>
                <w:szCs w:val="18"/>
              </w:rPr>
            </w:pPr>
            <w:r>
              <w:rPr>
                <w:rFonts w:ascii="Times New Roman"/>
                <w:sz w:val="18"/>
              </w:rPr>
              <w:t>232,934,587.16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42" w:right="0"/>
              <w:jc w:val="left"/>
              <w:rPr>
                <w:rFonts w:ascii="Times New Roman" w:hAnsi="Times New Roman" w:cs="Times New Roman" w:eastAsia="Times New Roman" w:hint="default"/>
                <w:sz w:val="18"/>
                <w:szCs w:val="18"/>
              </w:rPr>
            </w:pPr>
            <w:r>
              <w:rPr>
                <w:rFonts w:ascii="Times New Roman"/>
                <w:sz w:val="18"/>
              </w:rPr>
              <w:t>175,069,958.17</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房产处置</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9,220,000.00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6,487,937.70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6,851,037.28</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956,130.44</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531,989.48</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其他保证金、押金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783,623.76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442,350.10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132,474.04</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232,657.29</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900,371.45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127,472.54</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187,785.14</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242,382,909.69</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192,475,464.86</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932"/>
        <w:gridCol w:w="1150"/>
        <w:gridCol w:w="1417"/>
        <w:gridCol w:w="878"/>
        <w:gridCol w:w="3527"/>
        <w:gridCol w:w="1795"/>
      </w:tblGrid>
      <w:tr>
        <w:trPr>
          <w:trHeight w:val="402" w:hRule="exact"/>
        </w:trPr>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9"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4"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3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6" w:right="0"/>
              <w:jc w:val="left"/>
              <w:rPr>
                <w:rFonts w:ascii="宋体" w:hAnsi="宋体" w:cs="宋体" w:eastAsia="宋体" w:hint="default"/>
                <w:sz w:val="18"/>
                <w:szCs w:val="18"/>
              </w:rPr>
            </w:pPr>
            <w:r>
              <w:rPr>
                <w:rFonts w:ascii="宋体" w:hAnsi="宋体" w:cs="宋体" w:eastAsia="宋体" w:hint="default"/>
                <w:sz w:val="18"/>
                <w:szCs w:val="18"/>
              </w:rPr>
              <w:t>占其他应收款期末余额合计数的比例</w:t>
            </w:r>
          </w:p>
        </w:tc>
        <w:tc>
          <w:tcPr>
            <w:tcW w:w="1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179,944,040.90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74.24%</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50,644,499.22</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20.89%</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1,040,000.00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0.43%</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52,000.00</w:t>
            </w:r>
          </w:p>
        </w:tc>
      </w:tr>
      <w:tr>
        <w:trPr>
          <w:trHeight w:val="403"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1,023,008.10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0.42%</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1,010,000.00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0.42%</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50,500.00</w:t>
            </w:r>
          </w:p>
        </w:tc>
      </w:tr>
      <w:tr>
        <w:trPr>
          <w:trHeight w:val="403" w:hRule="exact"/>
        </w:trPr>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233,661,548.22</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5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96.40%</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102,500.00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2129"/>
        <w:gridCol w:w="1520"/>
        <w:gridCol w:w="895"/>
        <w:gridCol w:w="1517"/>
        <w:gridCol w:w="1363"/>
        <w:gridCol w:w="898"/>
        <w:gridCol w:w="1363"/>
      </w:tblGrid>
      <w:tr>
        <w:trPr>
          <w:trHeight w:val="206" w:hRule="exact"/>
        </w:trPr>
        <w:tc>
          <w:tcPr>
            <w:tcW w:w="2129" w:type="dxa"/>
            <w:tcBorders>
              <w:top w:val="single" w:sz="4" w:space="0" w:color="000000"/>
              <w:left w:val="single" w:sz="4" w:space="0" w:color="000000"/>
              <w:bottom w:val="nil" w:sz="6" w:space="0" w:color="auto"/>
              <w:right w:val="single" w:sz="4" w:space="0" w:color="000000"/>
            </w:tcBorders>
            <w:shd w:val="clear" w:color="auto" w:fill="D2D2D2"/>
          </w:tcPr>
          <w:p>
            <w:pPr/>
          </w:p>
        </w:tc>
        <w:tc>
          <w:tcPr>
            <w:tcW w:w="393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2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21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3932" w:type="dxa"/>
            <w:gridSpan w:val="3"/>
            <w:vMerge/>
            <w:tcBorders>
              <w:left w:val="single" w:sz="4" w:space="0" w:color="000000"/>
              <w:bottom w:val="single" w:sz="4" w:space="0" w:color="000000"/>
              <w:right w:val="single" w:sz="4" w:space="0" w:color="000000"/>
            </w:tcBorders>
            <w:shd w:val="clear" w:color="auto" w:fill="D2D2D2"/>
          </w:tcPr>
          <w:p>
            <w:pPr/>
          </w:p>
        </w:tc>
        <w:tc>
          <w:tcPr>
            <w:tcW w:w="3625"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129" w:type="dxa"/>
            <w:vMerge/>
            <w:tcBorders>
              <w:left w:val="single" w:sz="4" w:space="0" w:color="000000"/>
              <w:bottom w:val="nil" w:sz="6" w:space="0" w:color="auto"/>
              <w:right w:val="single" w:sz="4" w:space="0" w:color="000000"/>
            </w:tcBorders>
            <w:shd w:val="clear" w:color="auto" w:fill="D2D2D2"/>
          </w:tcPr>
          <w:p>
            <w:pPr/>
          </w:p>
        </w:tc>
        <w:tc>
          <w:tcPr>
            <w:tcW w:w="15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1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0" w:type="dxa"/>
            <w:vMerge/>
            <w:tcBorders>
              <w:left w:val="single" w:sz="4" w:space="0" w:color="000000"/>
              <w:bottom w:val="single" w:sz="4" w:space="0" w:color="000000"/>
              <w:right w:val="single" w:sz="4" w:space="0" w:color="000000"/>
            </w:tcBorders>
            <w:shd w:val="clear" w:color="auto" w:fill="D2D2D2"/>
          </w:tcPr>
          <w:p>
            <w:pPr/>
          </w:p>
        </w:tc>
        <w:tc>
          <w:tcPr>
            <w:tcW w:w="895" w:type="dxa"/>
            <w:vMerge/>
            <w:tcBorders>
              <w:left w:val="single" w:sz="4" w:space="0" w:color="000000"/>
              <w:bottom w:val="single" w:sz="4" w:space="0" w:color="000000"/>
              <w:right w:val="single" w:sz="4" w:space="0" w:color="000000"/>
            </w:tcBorders>
            <w:shd w:val="clear" w:color="auto" w:fill="D2D2D2"/>
          </w:tcPr>
          <w:p>
            <w:pPr/>
          </w:p>
        </w:tc>
        <w:tc>
          <w:tcPr>
            <w:tcW w:w="1517" w:type="dxa"/>
            <w:vMerge/>
            <w:tcBorders>
              <w:left w:val="single" w:sz="4" w:space="0" w:color="000000"/>
              <w:bottom w:val="single" w:sz="4" w:space="0" w:color="000000"/>
              <w:right w:val="single" w:sz="4" w:space="0" w:color="000000"/>
            </w:tcBorders>
            <w:shd w:val="clear" w:color="auto" w:fill="D2D2D2"/>
          </w:tcPr>
          <w:p>
            <w:pPr/>
          </w:p>
        </w:tc>
        <w:tc>
          <w:tcPr>
            <w:tcW w:w="1363"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136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52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1,620,670,475.00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1,620,670,475.00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237,209,525.00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237,209,525.00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152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578,483,866.20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578,483,866.20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684,619,923.83</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684,619,923.83</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2,199,154,341.20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2,199,154,341.20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921,829,448.83</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921,829,448.83</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265"/>
        <w:gridCol w:w="1313"/>
        <w:gridCol w:w="1465"/>
        <w:gridCol w:w="864"/>
        <w:gridCol w:w="1464"/>
        <w:gridCol w:w="1664"/>
        <w:gridCol w:w="1663"/>
      </w:tblGrid>
      <w:tr>
        <w:trPr>
          <w:trHeight w:val="403"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本期计提减值准备</w:t>
            </w: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减值准备期末余额</w:t>
            </w:r>
          </w:p>
        </w:tc>
      </w:tr>
      <w:tr>
        <w:trPr>
          <w:trHeight w:val="401"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北京中汇联银</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中汇联鑫</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哆可梦</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1,383,460,950.00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1,383,460,950.00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香港惠程</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1,709,525.00</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1,709,525.00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1265"/>
        <w:gridCol w:w="1313"/>
        <w:gridCol w:w="1465"/>
        <w:gridCol w:w="864"/>
        <w:gridCol w:w="1464"/>
        <w:gridCol w:w="1664"/>
        <w:gridCol w:w="1663"/>
      </w:tblGrid>
      <w:tr>
        <w:trPr>
          <w:trHeight w:val="401"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惠程智能</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喀什中汇联银</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237,209,525.00</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1,383,460,950.00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1,620,670,475.00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401"/>
        <w:gridCol w:w="1183"/>
        <w:gridCol w:w="1006"/>
        <w:gridCol w:w="469"/>
        <w:gridCol w:w="1363"/>
        <w:gridCol w:w="638"/>
        <w:gridCol w:w="632"/>
        <w:gridCol w:w="1138"/>
        <w:gridCol w:w="571"/>
        <w:gridCol w:w="466"/>
        <w:gridCol w:w="1186"/>
        <w:gridCol w:w="646"/>
      </w:tblGrid>
      <w:tr>
        <w:trPr>
          <w:trHeight w:val="402" w:hRule="exact"/>
        </w:trPr>
        <w:tc>
          <w:tcPr>
            <w:tcW w:w="40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5" w:right="104"/>
              <w:jc w:val="both"/>
              <w:rPr>
                <w:rFonts w:ascii="宋体" w:hAnsi="宋体" w:cs="宋体" w:eastAsia="宋体" w:hint="default"/>
                <w:sz w:val="18"/>
                <w:szCs w:val="18"/>
              </w:rPr>
            </w:pPr>
            <w:r>
              <w:rPr>
                <w:rFonts w:ascii="宋体" w:hAnsi="宋体" w:cs="宋体" w:eastAsia="宋体" w:hint="default"/>
                <w:sz w:val="18"/>
                <w:szCs w:val="18"/>
              </w:rPr>
              <w:t>投 资 单 位</w:t>
            </w:r>
          </w:p>
        </w:tc>
        <w:tc>
          <w:tcPr>
            <w:tcW w:w="11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28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6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48" w:right="47"/>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027" w:hRule="exact"/>
        </w:trPr>
        <w:tc>
          <w:tcPr>
            <w:tcW w:w="401" w:type="dxa"/>
            <w:vMerge/>
            <w:tcBorders>
              <w:left w:val="single" w:sz="4" w:space="0" w:color="000000"/>
              <w:bottom w:val="single" w:sz="4" w:space="0" w:color="000000"/>
              <w:right w:val="single" w:sz="4" w:space="0" w:color="000000"/>
            </w:tcBorders>
            <w:shd w:val="clear" w:color="auto" w:fill="D2D2D2"/>
          </w:tcPr>
          <w:p>
            <w:pPr/>
          </w:p>
        </w:tc>
        <w:tc>
          <w:tcPr>
            <w:tcW w:w="1183" w:type="dxa"/>
            <w:vMerge/>
            <w:tcBorders>
              <w:left w:val="single" w:sz="4" w:space="0" w:color="000000"/>
              <w:bottom w:val="single" w:sz="4" w:space="0" w:color="000000"/>
              <w:right w:val="single" w:sz="4" w:space="0" w:color="000000"/>
            </w:tcBorders>
            <w:shd w:val="clear" w:color="auto" w:fill="D2D2D2"/>
          </w:tcPr>
          <w:p>
            <w:pP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36"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50" w:right="46"/>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16" w:right="43" w:hanging="269"/>
              <w:jc w:val="left"/>
              <w:rPr>
                <w:rFonts w:ascii="宋体" w:hAnsi="宋体" w:cs="宋体" w:eastAsia="宋体" w:hint="default"/>
                <w:sz w:val="18"/>
                <w:szCs w:val="18"/>
              </w:rPr>
            </w:pPr>
            <w:r>
              <w:rPr>
                <w:rFonts w:ascii="宋体" w:hAnsi="宋体" w:cs="宋体" w:eastAsia="宋体" w:hint="default"/>
                <w:sz w:val="18"/>
                <w:szCs w:val="18"/>
              </w:rPr>
              <w:t>权益法下确认的 投资损益</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5" w:right="41"/>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0" w:right="39"/>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15" w:right="23" w:hanging="92"/>
              <w:jc w:val="left"/>
              <w:rPr>
                <w:rFonts w:ascii="宋体" w:hAnsi="宋体" w:cs="宋体" w:eastAsia="宋体" w:hint="default"/>
                <w:sz w:val="18"/>
                <w:szCs w:val="18"/>
              </w:rPr>
            </w:pPr>
            <w:r>
              <w:rPr>
                <w:rFonts w:ascii="宋体" w:hAnsi="宋体" w:cs="宋体" w:eastAsia="宋体" w:hint="default"/>
                <w:sz w:val="18"/>
                <w:szCs w:val="18"/>
              </w:rPr>
              <w:t>宣告发放现金 股利或利润</w:t>
            </w: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0" w:right="98"/>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6" w:type="dxa"/>
            <w:vMerge/>
            <w:tcBorders>
              <w:left w:val="single" w:sz="4" w:space="0" w:color="000000"/>
              <w:bottom w:val="single" w:sz="4" w:space="0" w:color="000000"/>
              <w:right w:val="single" w:sz="4" w:space="0" w:color="000000"/>
            </w:tcBorders>
            <w:shd w:val="clear" w:color="auto" w:fill="D2D2D2"/>
          </w:tcPr>
          <w:p>
            <w:pPr/>
          </w:p>
        </w:tc>
        <w:tc>
          <w:tcPr>
            <w:tcW w:w="64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69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69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49" w:hRule="exact"/>
        </w:trPr>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5"/>
              <w:jc w:val="both"/>
              <w:rPr>
                <w:rFonts w:ascii="宋体" w:hAnsi="宋体" w:cs="宋体" w:eastAsia="宋体" w:hint="default"/>
                <w:sz w:val="18"/>
                <w:szCs w:val="18"/>
              </w:rPr>
            </w:pPr>
            <w:r>
              <w:rPr>
                <w:rFonts w:ascii="宋体" w:hAnsi="宋体" w:cs="宋体" w:eastAsia="宋体" w:hint="default"/>
                <w:sz w:val="18"/>
                <w:szCs w:val="18"/>
              </w:rPr>
              <w:t>信 中 利 赞 信</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684,619,923.83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-57,554,579.31</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52,200,000.00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574,865,344.52</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340" w:hRule="exact"/>
        </w:trPr>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5"/>
              <w:jc w:val="both"/>
              <w:rPr>
                <w:rFonts w:ascii="宋体" w:hAnsi="宋体" w:cs="宋体" w:eastAsia="宋体" w:hint="default"/>
                <w:sz w:val="18"/>
                <w:szCs w:val="18"/>
              </w:rPr>
            </w:pPr>
            <w:r>
              <w:rPr>
                <w:rFonts w:ascii="宋体" w:hAnsi="宋体" w:cs="宋体" w:eastAsia="宋体" w:hint="default"/>
                <w:sz w:val="18"/>
                <w:szCs w:val="18"/>
              </w:rPr>
              <w:t>永 耀 惠 程</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-381,478.32</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3,618,521.68</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5"/>
              <w:jc w:val="left"/>
              <w:rPr>
                <w:rFonts w:ascii="宋体" w:hAnsi="宋体" w:cs="宋体" w:eastAsia="宋体" w:hint="default"/>
                <w:sz w:val="18"/>
                <w:szCs w:val="18"/>
              </w:rPr>
            </w:pPr>
            <w:r>
              <w:rPr>
                <w:rFonts w:ascii="宋体" w:hAnsi="宋体" w:cs="宋体" w:eastAsia="宋体" w:hint="default"/>
                <w:sz w:val="18"/>
                <w:szCs w:val="18"/>
              </w:rPr>
              <w:t>小 计</w:t>
            </w:r>
          </w:p>
        </w:tc>
        <w:tc>
          <w:tcPr>
            <w:tcW w:w="11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684,619,923.83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-57,936,057.63</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52,200,000.00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578,483,866.20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85"/>
              <w:jc w:val="left"/>
              <w:rPr>
                <w:rFonts w:ascii="宋体" w:hAnsi="宋体" w:cs="宋体" w:eastAsia="宋体" w:hint="default"/>
                <w:sz w:val="18"/>
                <w:szCs w:val="18"/>
              </w:rPr>
            </w:pPr>
            <w:r>
              <w:rPr>
                <w:rFonts w:ascii="宋体" w:hAnsi="宋体" w:cs="宋体" w:eastAsia="宋体" w:hint="default"/>
                <w:sz w:val="18"/>
                <w:szCs w:val="18"/>
              </w:rPr>
              <w:t>合 计</w:t>
            </w:r>
          </w:p>
        </w:tc>
        <w:tc>
          <w:tcPr>
            <w:tcW w:w="11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684,619,923.83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-57,936,057.63</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52,200,000.00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578,483,866.20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电气业务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313,522,139.09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222,532,515.27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259,441,546.48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164,346,451.69</w:t>
            </w: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11,560,137.31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6,064,401.15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29,176,879.00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12,483,248.35</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325,082,276.40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228,596,916.42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288,618,425.48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176,829,700.04</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153"/>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6898"/>
        <w:gridCol w:w="1382"/>
        <w:gridCol w:w="1406"/>
      </w:tblGrid>
      <w:tr>
        <w:trPr>
          <w:trHeight w:val="403" w:hRule="exact"/>
        </w:trPr>
        <w:tc>
          <w:tcPr>
            <w:tcW w:w="6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6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13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-57,936,057.63</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93,820,568.83</w:t>
            </w:r>
          </w:p>
        </w:tc>
      </w:tr>
      <w:tr>
        <w:trPr>
          <w:trHeight w:val="403" w:hRule="exact"/>
        </w:trPr>
        <w:tc>
          <w:tcPr>
            <w:tcW w:w="6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13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-64,093.66</w:t>
            </w:r>
          </w:p>
        </w:tc>
      </w:tr>
      <w:tr>
        <w:trPr>
          <w:trHeight w:val="401" w:hRule="exact"/>
        </w:trPr>
        <w:tc>
          <w:tcPr>
            <w:tcW w:w="6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以公允价值计量且其变动计入当期损益的金融资产在持有期间的投资收益</w:t>
            </w:r>
          </w:p>
        </w:tc>
        <w:tc>
          <w:tcPr>
            <w:tcW w:w="13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-198,250.26</w:t>
            </w:r>
          </w:p>
        </w:tc>
      </w:tr>
      <w:tr>
        <w:trPr>
          <w:trHeight w:val="403" w:hRule="exact"/>
        </w:trPr>
        <w:tc>
          <w:tcPr>
            <w:tcW w:w="6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处置以公允价值计量且其变动计入当期损益的金融资产取得的投资收益</w:t>
            </w:r>
          </w:p>
        </w:tc>
        <w:tc>
          <w:tcPr>
            <w:tcW w:w="13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33,063.86</w:t>
            </w:r>
          </w:p>
        </w:tc>
      </w:tr>
      <w:tr>
        <w:trPr>
          <w:trHeight w:val="401" w:hRule="exact"/>
        </w:trPr>
        <w:tc>
          <w:tcPr>
            <w:tcW w:w="6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18,688,497.82</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10,171,702.72</w:t>
            </w:r>
          </w:p>
        </w:tc>
      </w:tr>
      <w:tr>
        <w:trPr>
          <w:trHeight w:val="404" w:hRule="exact"/>
        </w:trPr>
        <w:tc>
          <w:tcPr>
            <w:tcW w:w="6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-39,247,559.81</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103,762,991.49</w:t>
            </w:r>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5394"/>
        <w:gridCol w:w="1997"/>
        <w:gridCol w:w="2295"/>
      </w:tblGrid>
      <w:tr>
        <w:trPr>
          <w:trHeight w:val="403" w:hRule="exact"/>
        </w:trPr>
        <w:tc>
          <w:tcPr>
            <w:tcW w:w="5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61" w:hRule="exact"/>
        </w:trPr>
        <w:tc>
          <w:tcPr>
            <w:tcW w:w="53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12" w:right="0"/>
              <w:jc w:val="left"/>
              <w:rPr>
                <w:rFonts w:ascii="Times New Roman" w:hAnsi="Times New Roman" w:cs="Times New Roman" w:eastAsia="Times New Roman" w:hint="default"/>
                <w:sz w:val="18"/>
                <w:szCs w:val="18"/>
              </w:rPr>
            </w:pPr>
            <w:r>
              <w:rPr>
                <w:rFonts w:ascii="Times New Roman"/>
                <w:sz w:val="18"/>
              </w:rPr>
              <w:t>1,800,087.98</w:t>
            </w:r>
          </w:p>
        </w:tc>
        <w:tc>
          <w:tcPr>
            <w:tcW w:w="2295" w:type="dxa"/>
            <w:vMerge w:val="restart"/>
            <w:tcBorders>
              <w:top w:val="single" w:sz="4" w:space="0" w:color="000000"/>
              <w:left w:val="single" w:sz="4" w:space="0" w:color="000000"/>
              <w:right w:val="single" w:sz="4" w:space="0" w:color="000000"/>
            </w:tcBorders>
          </w:tcPr>
          <w:p>
            <w:pPr>
              <w:pStyle w:val="TableParagraph"/>
              <w:spacing w:line="319" w:lineRule="auto" w:before="49"/>
              <w:ind w:left="23" w:right="99"/>
              <w:jc w:val="left"/>
              <w:rPr>
                <w:rFonts w:ascii="宋体" w:hAnsi="宋体" w:cs="宋体" w:eastAsia="宋体" w:hint="default"/>
                <w:sz w:val="18"/>
                <w:szCs w:val="18"/>
              </w:rPr>
            </w:pPr>
            <w:r>
              <w:rPr>
                <w:rFonts w:ascii="宋体" w:hAnsi="宋体" w:cs="宋体" w:eastAsia="宋体" w:hint="default"/>
                <w:sz w:val="18"/>
                <w:szCs w:val="18"/>
              </w:rPr>
              <w:t>主要系报告期内处置公司闲 置房产所致</w:t>
            </w:r>
          </w:p>
        </w:tc>
      </w:tr>
      <w:tr>
        <w:trPr>
          <w:trHeight w:val="392" w:hRule="exact"/>
        </w:trPr>
        <w:tc>
          <w:tcPr>
            <w:tcW w:w="53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997" w:type="dxa"/>
            <w:vMerge/>
            <w:tcBorders>
              <w:left w:val="single" w:sz="10" w:space="0" w:color="D2D2D2"/>
              <w:right w:val="single" w:sz="4" w:space="0" w:color="000000"/>
            </w:tcBorders>
          </w:tcPr>
          <w:p>
            <w:pPr/>
          </w:p>
        </w:tc>
        <w:tc>
          <w:tcPr>
            <w:tcW w:w="2295" w:type="dxa"/>
            <w:vMerge/>
            <w:tcBorders>
              <w:left w:val="single" w:sz="4" w:space="0" w:color="000000"/>
              <w:right w:val="single" w:sz="4" w:space="0" w:color="000000"/>
            </w:tcBorders>
          </w:tcPr>
          <w:p>
            <w:pPr/>
          </w:p>
        </w:tc>
      </w:tr>
      <w:tr>
        <w:trPr>
          <w:trHeight w:val="161" w:hRule="exact"/>
        </w:trPr>
        <w:tc>
          <w:tcPr>
            <w:tcW w:w="53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97" w:type="dxa"/>
            <w:vMerge/>
            <w:tcBorders>
              <w:left w:val="single" w:sz="10" w:space="0" w:color="D2D2D2"/>
              <w:bottom w:val="single" w:sz="4" w:space="0" w:color="000000"/>
              <w:right w:val="single" w:sz="4" w:space="0" w:color="000000"/>
            </w:tcBorders>
          </w:tcPr>
          <w:p>
            <w:pPr/>
          </w:p>
        </w:tc>
        <w:tc>
          <w:tcPr>
            <w:tcW w:w="2295" w:type="dxa"/>
            <w:vMerge/>
            <w:tcBorders>
              <w:left w:val="single" w:sz="4" w:space="0" w:color="000000"/>
              <w:bottom w:val="single" w:sz="4" w:space="0" w:color="000000"/>
              <w:right w:val="single" w:sz="4" w:space="0" w:color="000000"/>
            </w:tcBorders>
          </w:tcPr>
          <w:p>
            <w:pPr/>
          </w:p>
        </w:tc>
      </w:tr>
      <w:tr>
        <w:trPr>
          <w:trHeight w:val="715" w:hRule="exact"/>
        </w:trPr>
        <w:tc>
          <w:tcPr>
            <w:tcW w:w="5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计入当期损益的政府补助（与企业业务密切相关，按照国家统一标准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定额或定量享受的政府补助除外）</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712,443.23</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5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-19,177.50</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027" w:hRule="exact"/>
        </w:trPr>
        <w:tc>
          <w:tcPr>
            <w:tcW w:w="5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除同公司正常经营业务相关的有效套期保值业务外，持有交易性金融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资产、交易性金融负债产生的公允价值变动损益，以及处置交易性金</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融资产、交易性金融负债和可供出售金融资产取得的投资收益</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5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采用公允价值模式进行后续计量的投资性房地产公允价值变动产生 的损益</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6,690,989.32</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9"/>
              <w:jc w:val="left"/>
              <w:rPr>
                <w:rFonts w:ascii="宋体" w:hAnsi="宋体" w:cs="宋体" w:eastAsia="宋体" w:hint="default"/>
                <w:sz w:val="18"/>
                <w:szCs w:val="18"/>
              </w:rPr>
            </w:pPr>
            <w:r>
              <w:rPr>
                <w:rFonts w:ascii="宋体" w:hAnsi="宋体" w:cs="宋体" w:eastAsia="宋体" w:hint="default"/>
                <w:sz w:val="18"/>
                <w:szCs w:val="18"/>
              </w:rPr>
              <w:t>报告期内公司所持投资性房 地产升值所致</w:t>
            </w:r>
          </w:p>
        </w:tc>
      </w:tr>
      <w:tr>
        <w:trPr>
          <w:trHeight w:val="161" w:hRule="exact"/>
        </w:trPr>
        <w:tc>
          <w:tcPr>
            <w:tcW w:w="53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47" w:right="0"/>
              <w:jc w:val="left"/>
              <w:rPr>
                <w:rFonts w:ascii="Times New Roman" w:hAnsi="Times New Roman" w:cs="Times New Roman" w:eastAsia="Times New Roman" w:hint="default"/>
                <w:sz w:val="18"/>
                <w:szCs w:val="18"/>
              </w:rPr>
            </w:pPr>
            <w:r>
              <w:rPr>
                <w:rFonts w:ascii="Times New Roman"/>
                <w:sz w:val="18"/>
              </w:rPr>
              <w:t>556,406.82</w:t>
            </w:r>
          </w:p>
        </w:tc>
        <w:tc>
          <w:tcPr>
            <w:tcW w:w="2295"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99"/>
              <w:jc w:val="left"/>
              <w:rPr>
                <w:rFonts w:ascii="宋体" w:hAnsi="宋体" w:cs="宋体" w:eastAsia="宋体" w:hint="default"/>
                <w:sz w:val="18"/>
                <w:szCs w:val="18"/>
              </w:rPr>
            </w:pPr>
            <w:r>
              <w:rPr>
                <w:rFonts w:ascii="宋体" w:hAnsi="宋体" w:cs="宋体" w:eastAsia="宋体" w:hint="default"/>
                <w:sz w:val="18"/>
                <w:szCs w:val="18"/>
              </w:rPr>
              <w:t>主要系无法支付的应付账款 以及违约金、滞纳金所致</w:t>
            </w:r>
          </w:p>
        </w:tc>
      </w:tr>
      <w:tr>
        <w:trPr>
          <w:trHeight w:val="394" w:hRule="exact"/>
        </w:trPr>
        <w:tc>
          <w:tcPr>
            <w:tcW w:w="53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997" w:type="dxa"/>
            <w:vMerge/>
            <w:tcBorders>
              <w:left w:val="single" w:sz="10" w:space="0" w:color="D2D2D2"/>
              <w:right w:val="single" w:sz="4" w:space="0" w:color="000000"/>
            </w:tcBorders>
          </w:tcPr>
          <w:p>
            <w:pPr/>
          </w:p>
        </w:tc>
        <w:tc>
          <w:tcPr>
            <w:tcW w:w="2295" w:type="dxa"/>
            <w:vMerge/>
            <w:tcBorders>
              <w:left w:val="single" w:sz="4" w:space="0" w:color="000000"/>
              <w:right w:val="single" w:sz="4" w:space="0" w:color="000000"/>
            </w:tcBorders>
          </w:tcPr>
          <w:p>
            <w:pPr/>
          </w:p>
        </w:tc>
      </w:tr>
      <w:tr>
        <w:trPr>
          <w:trHeight w:val="161" w:hRule="exact"/>
        </w:trPr>
        <w:tc>
          <w:tcPr>
            <w:tcW w:w="53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97" w:type="dxa"/>
            <w:vMerge/>
            <w:tcBorders>
              <w:left w:val="single" w:sz="10" w:space="0" w:color="D2D2D2"/>
              <w:bottom w:val="single" w:sz="4" w:space="0" w:color="000000"/>
              <w:right w:val="single" w:sz="4" w:space="0" w:color="000000"/>
            </w:tcBorders>
          </w:tcPr>
          <w:p>
            <w:pPr/>
          </w:p>
        </w:tc>
        <w:tc>
          <w:tcPr>
            <w:tcW w:w="2295" w:type="dxa"/>
            <w:vMerge/>
            <w:tcBorders>
              <w:left w:val="single" w:sz="4" w:space="0" w:color="000000"/>
              <w:bottom w:val="single" w:sz="4" w:space="0" w:color="000000"/>
              <w:right w:val="single" w:sz="4" w:space="0" w:color="000000"/>
            </w:tcBorders>
          </w:tcPr>
          <w:p>
            <w:pPr/>
          </w:p>
        </w:tc>
      </w:tr>
      <w:tr>
        <w:trPr>
          <w:trHeight w:val="401" w:hRule="exact"/>
        </w:trPr>
        <w:tc>
          <w:tcPr>
            <w:tcW w:w="5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1,906,979.66</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3,095.34</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5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7"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7,830,674.85</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2146"/>
        <w:gridCol w:w="1208"/>
        <w:gridCol w:w="6344"/>
      </w:tblGrid>
      <w:tr>
        <w:trPr>
          <w:trHeight w:val="403"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3"/>
                <w:sz w:val="18"/>
                <w:szCs w:val="18"/>
              </w:rPr>
              <w:t>涉及金额（元</w:t>
            </w:r>
          </w:p>
        </w:tc>
        <w:tc>
          <w:tcPr>
            <w:tcW w:w="6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2985" w:val="left" w:leader="none"/>
              </w:tabs>
              <w:spacing w:line="240" w:lineRule="auto" w:before="49"/>
              <w:ind w:left="-121" w:right="0"/>
              <w:jc w:val="left"/>
              <w:rPr>
                <w:rFonts w:ascii="宋体" w:hAnsi="宋体" w:cs="宋体" w:eastAsia="宋体" w:hint="default"/>
                <w:sz w:val="18"/>
                <w:szCs w:val="18"/>
              </w:rPr>
            </w:pPr>
            <w:r>
              <w:rPr>
                <w:rFonts w:ascii="宋体" w:hAnsi="宋体" w:cs="宋体" w:eastAsia="宋体" w:hint="default"/>
                <w:sz w:val="18"/>
                <w:szCs w:val="18"/>
              </w:rPr>
              <w:t>）</w:t>
              <w:tab/>
              <w:t>原因</w:t>
            </w:r>
          </w:p>
        </w:tc>
      </w:tr>
      <w:tr>
        <w:trPr>
          <w:trHeight w:val="1025" w:hRule="exact"/>
        </w:trPr>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pacing w:val="-6"/>
                <w:sz w:val="18"/>
                <w:szCs w:val="18"/>
              </w:rPr>
              <w:t>惠程本部、惠程智能股权投</w:t>
            </w:r>
            <w:r>
              <w:rPr>
                <w:rFonts w:ascii="宋体" w:hAnsi="宋体" w:cs="宋体" w:eastAsia="宋体" w:hint="default"/>
                <w:sz w:val="18"/>
                <w:szCs w:val="18"/>
              </w:rPr>
              <w:t> 资、理财产品收益</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-39,247,559.81</w:t>
            </w:r>
          </w:p>
        </w:tc>
        <w:tc>
          <w:tcPr>
            <w:tcW w:w="63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both"/>
              <w:rPr>
                <w:rFonts w:ascii="宋体" w:hAnsi="宋体" w:cs="宋体" w:eastAsia="宋体" w:hint="default"/>
                <w:sz w:val="18"/>
                <w:szCs w:val="18"/>
              </w:rPr>
            </w:pPr>
            <w:r>
              <w:rPr>
                <w:rFonts w:ascii="宋体" w:hAnsi="宋体" w:cs="宋体" w:eastAsia="宋体" w:hint="default"/>
                <w:spacing w:val="-1"/>
                <w:sz w:val="18"/>
                <w:szCs w:val="18"/>
              </w:rPr>
              <w:t>公司为了产业升级参与的基金投资业务与公司理财业务均属于经常性业务，未来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将持续进行，收益可持续且稳定；符合经常性损益与主营业务相关且持续稳定的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特性。</w:t>
            </w:r>
          </w:p>
        </w:tc>
      </w:tr>
      <w:tr>
        <w:trPr>
          <w:trHeight w:val="355" w:hRule="exact"/>
        </w:trPr>
        <w:tc>
          <w:tcPr>
            <w:tcW w:w="21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北京中汇联银、中汇联鑫</w:t>
            </w:r>
          </w:p>
        </w:tc>
        <w:tc>
          <w:tcPr>
            <w:tcW w:w="12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42" w:right="0"/>
              <w:jc w:val="left"/>
              <w:rPr>
                <w:rFonts w:ascii="宋体" w:hAnsi="宋体" w:cs="宋体" w:eastAsia="宋体" w:hint="default"/>
                <w:sz w:val="18"/>
                <w:szCs w:val="18"/>
              </w:rPr>
            </w:pPr>
            <w:r>
              <w:rPr>
                <w:rFonts w:ascii="宋体" w:hAnsi="宋体" w:cs="宋体" w:eastAsia="宋体" w:hint="default"/>
                <w:sz w:val="18"/>
                <w:szCs w:val="18"/>
              </w:rPr>
              <w:t>、</w:t>
            </w:r>
          </w:p>
        </w:tc>
        <w:tc>
          <w:tcPr>
            <w:tcW w:w="63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pacing w:val="-1"/>
                <w:sz w:val="18"/>
                <w:szCs w:val="18"/>
              </w:rPr>
              <w:t>北京中汇联银、中汇联鑫、喀什中汇联银作为公司设立的专门投资业务平台，主</w:t>
            </w:r>
          </w:p>
        </w:tc>
      </w:tr>
      <w:tr>
        <w:trPr>
          <w:trHeight w:val="317" w:hRule="exact"/>
        </w:trPr>
        <w:tc>
          <w:tcPr>
            <w:tcW w:w="2146" w:type="dxa"/>
            <w:tcBorders>
              <w:top w:val="nil" w:sz="6" w:space="0" w:color="auto"/>
              <w:left w:val="single" w:sz="4" w:space="0" w:color="000000"/>
              <w:bottom w:val="nil" w:sz="6" w:space="0" w:color="auto"/>
              <w:right w:val="single" w:sz="13" w:space="0" w:color="FFFFFF"/>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喀什中汇联银证券、股权</w:t>
            </w:r>
          </w:p>
        </w:tc>
        <w:tc>
          <w:tcPr>
            <w:tcW w:w="1208" w:type="dxa"/>
            <w:tcBorders>
              <w:top w:val="nil" w:sz="6" w:space="0" w:color="auto"/>
              <w:left w:val="single" w:sz="13" w:space="0" w:color="FFFFFF"/>
              <w:bottom w:val="nil" w:sz="6" w:space="0" w:color="auto"/>
              <w:right w:val="single" w:sz="4" w:space="0" w:color="000000"/>
            </w:tcBorders>
          </w:tcPr>
          <w:p>
            <w:pPr>
              <w:pStyle w:val="TableParagraph"/>
              <w:spacing w:line="240" w:lineRule="auto" w:before="10"/>
              <w:ind w:left="-15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-6,470,949.72</w:t>
            </w:r>
          </w:p>
        </w:tc>
        <w:tc>
          <w:tcPr>
            <w:tcW w:w="63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pacing w:val="-1"/>
                <w:sz w:val="18"/>
                <w:szCs w:val="18"/>
              </w:rPr>
              <w:t>要从事投资类业务，证券、股权、理财投资系三家子公司经常性发生的业务，具</w:t>
            </w:r>
          </w:p>
        </w:tc>
      </w:tr>
      <w:tr>
        <w:trPr>
          <w:trHeight w:val="355" w:hRule="exact"/>
        </w:trPr>
        <w:tc>
          <w:tcPr>
            <w:tcW w:w="21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理财投资收益</w:t>
            </w:r>
          </w:p>
        </w:tc>
        <w:tc>
          <w:tcPr>
            <w:tcW w:w="1208" w:type="dxa"/>
            <w:tcBorders>
              <w:top w:val="nil" w:sz="6" w:space="0" w:color="auto"/>
              <w:left w:val="single" w:sz="4" w:space="0" w:color="000000"/>
              <w:bottom w:val="single" w:sz="4" w:space="0" w:color="000000"/>
              <w:right w:val="single" w:sz="4" w:space="0" w:color="000000"/>
            </w:tcBorders>
          </w:tcPr>
          <w:p>
            <w:pPr/>
          </w:p>
        </w:tc>
        <w:tc>
          <w:tcPr>
            <w:tcW w:w="63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有持续性；符合经常性损益与主营业务相关且持续稳定的特性。</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pict>
          <v:group style="position:absolute;margin-left:162.740005pt;margin-top:-63.966324pt;width:59.95pt;height:15.6pt;mso-position-horizontal-relative:page;mso-position-vertical-relative:paragraph;z-index:-1103968" coordorigin="3255,-1279" coordsize="1199,312">
            <v:shape style="position:absolute;left:3255;top:-1279;width:1199;height:312" coordorigin="3255,-1279" coordsize="1199,312" path="m3255,-967l4453,-967,4453,-1279,3255,-1279,3255,-967xe" filled="true" fillcolor="#ffffff" stroked="false">
              <v:path arrowok="t"/>
              <v:fill type="solid"/>
            </v:shape>
            <w10:wrap type="none"/>
          </v:group>
        </w:pict>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4413"/>
        <w:gridCol w:w="1530"/>
        <w:gridCol w:w="1877"/>
        <w:gridCol w:w="1877"/>
      </w:tblGrid>
      <w:tr>
        <w:trPr>
          <w:trHeight w:val="204" w:hRule="exact"/>
        </w:trPr>
        <w:tc>
          <w:tcPr>
            <w:tcW w:w="44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586" w:right="33" w:hanging="540"/>
              <w:jc w:val="left"/>
              <w:rPr>
                <w:rFonts w:ascii="宋体" w:hAnsi="宋体" w:cs="宋体" w:eastAsia="宋体" w:hint="default"/>
                <w:sz w:val="18"/>
                <w:szCs w:val="18"/>
              </w:rPr>
            </w:pPr>
            <w:r>
              <w:rPr>
                <w:rFonts w:ascii="宋体" w:hAnsi="宋体" w:cs="宋体" w:eastAsia="宋体" w:hint="default"/>
                <w:sz w:val="18"/>
                <w:szCs w:val="18"/>
              </w:rPr>
              <w:t>加权平均净资产收 益率</w:t>
            </w:r>
          </w:p>
        </w:tc>
        <w:tc>
          <w:tcPr>
            <w:tcW w:w="375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44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530" w:type="dxa"/>
            <w:vMerge/>
            <w:tcBorders>
              <w:left w:val="single" w:sz="4" w:space="0" w:color="000000"/>
              <w:right w:val="single" w:sz="4" w:space="0" w:color="000000"/>
            </w:tcBorders>
            <w:shd w:val="clear" w:color="auto" w:fill="D2D2D2"/>
          </w:tcPr>
          <w:p>
            <w:pPr/>
          </w:p>
        </w:tc>
        <w:tc>
          <w:tcPr>
            <w:tcW w:w="3754"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4413" w:type="dxa"/>
            <w:vMerge/>
            <w:tcBorders>
              <w:left w:val="single" w:sz="4" w:space="0" w:color="000000"/>
              <w:bottom w:val="nil" w:sz="6" w:space="0" w:color="auto"/>
              <w:right w:val="single" w:sz="4" w:space="0" w:color="000000"/>
            </w:tcBorders>
            <w:shd w:val="clear" w:color="auto" w:fill="D2D2D2"/>
          </w:tcPr>
          <w:p>
            <w:pPr/>
          </w:p>
        </w:tc>
        <w:tc>
          <w:tcPr>
            <w:tcW w:w="1530" w:type="dxa"/>
            <w:vMerge/>
            <w:tcBorders>
              <w:left w:val="single" w:sz="4" w:space="0" w:color="000000"/>
              <w:right w:val="single" w:sz="4" w:space="0" w:color="000000"/>
            </w:tcBorders>
            <w:shd w:val="clear" w:color="auto" w:fill="D2D2D2"/>
          </w:tcPr>
          <w:p>
            <w:pPr/>
          </w:p>
        </w:tc>
        <w:tc>
          <w:tcPr>
            <w:tcW w:w="18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4" w:right="-7"/>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8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 w:right="-8"/>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44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0" w:type="dxa"/>
            <w:vMerge/>
            <w:tcBorders>
              <w:left w:val="single" w:sz="4" w:space="0" w:color="000000"/>
              <w:bottom w:val="single" w:sz="4" w:space="0" w:color="000000"/>
              <w:right w:val="single" w:sz="4" w:space="0" w:color="000000"/>
            </w:tcBorders>
            <w:shd w:val="clear" w:color="auto" w:fill="D2D2D2"/>
          </w:tcPr>
          <w:p>
            <w:pPr/>
          </w:p>
        </w:tc>
        <w:tc>
          <w:tcPr>
            <w:tcW w:w="1877" w:type="dxa"/>
            <w:vMerge/>
            <w:tcBorders>
              <w:left w:val="single" w:sz="4" w:space="0" w:color="000000"/>
              <w:bottom w:val="single" w:sz="4" w:space="0" w:color="000000"/>
              <w:right w:val="single" w:sz="4" w:space="0" w:color="000000"/>
            </w:tcBorders>
            <w:shd w:val="clear" w:color="auto" w:fill="D2D2D2"/>
          </w:tcPr>
          <w:p>
            <w:pPr/>
          </w:p>
        </w:tc>
        <w:tc>
          <w:tcPr>
            <w:tcW w:w="187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4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530" w:type="dxa"/>
            <w:tcBorders>
              <w:top w:val="single" w:sz="18" w:space="0" w:color="D2D2D2"/>
              <w:left w:val="single" w:sz="10" w:space="0" w:color="D2D2D2"/>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-7.97%</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-0.14</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-0.14</w:t>
            </w:r>
          </w:p>
        </w:tc>
      </w:tr>
      <w:tr>
        <w:trPr>
          <w:trHeight w:val="403" w:hRule="exact"/>
        </w:trPr>
        <w:tc>
          <w:tcPr>
            <w:tcW w:w="4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-8.55%</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-0.15</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1"/>
        <w:spacing w:line="240" w:lineRule="auto"/>
        <w:ind w:left="3285" w:right="153"/>
        <w:jc w:val="left"/>
        <w:rPr>
          <w:b w:val="0"/>
          <w:bCs w:val="0"/>
        </w:rPr>
      </w:pPr>
      <w:bookmarkStart w:name="_bookmark10" w:id="11"/>
      <w:bookmarkEnd w:id="11"/>
      <w:r>
        <w:rPr>
          <w:b w:val="0"/>
          <w:bCs w:val="0"/>
        </w:rPr>
      </w:r>
      <w:r>
        <w:rPr/>
        <w:t>第十二节</w:t>
      </w:r>
      <w:r>
        <w:rPr>
          <w:spacing w:val="-6"/>
        </w:rPr>
        <w:t> </w:t>
      </w:r>
      <w:r>
        <w:rPr/>
        <w:t>备查文件目录</w:t>
      </w:r>
      <w:r>
        <w:rPr>
          <w:b w:val="0"/>
          <w:bCs w:val="0"/>
        </w:rPr>
      </w:r>
    </w:p>
    <w:p>
      <w:pPr>
        <w:spacing w:line="240" w:lineRule="auto" w:before="9"/>
        <w:rPr>
          <w:rFonts w:ascii="宋体" w:hAnsi="宋体" w:cs="宋体" w:eastAsia="宋体" w:hint="default"/>
          <w:b/>
          <w:bCs/>
          <w:sz w:val="42"/>
          <w:szCs w:val="42"/>
        </w:rPr>
      </w:pPr>
    </w:p>
    <w:p>
      <w:pPr>
        <w:pStyle w:val="BodyText"/>
        <w:spacing w:line="240" w:lineRule="auto"/>
        <w:ind w:right="153"/>
        <w:jc w:val="left"/>
      </w:pPr>
      <w:r>
        <w:rPr/>
        <w:t>（一）载有公司法定代表人、主管会计负责人、会计机构负责人签名并盖章的会计报表。</w:t>
      </w:r>
    </w:p>
    <w:p>
      <w:pPr>
        <w:pStyle w:val="BodyText"/>
        <w:spacing w:line="240" w:lineRule="auto" w:before="76"/>
        <w:ind w:right="153"/>
        <w:jc w:val="left"/>
      </w:pPr>
      <w:r>
        <w:rPr/>
        <w:t>（二）载有会计师事务所盖章、注册会计师签名并盖章的审计报告原件。</w:t>
      </w:r>
    </w:p>
    <w:p>
      <w:pPr>
        <w:pStyle w:val="BodyText"/>
        <w:spacing w:line="240" w:lineRule="auto" w:before="76"/>
        <w:ind w:right="153"/>
        <w:jc w:val="left"/>
      </w:pPr>
      <w:r>
        <w:rPr/>
        <w:t>（三）报告期内在中国证监会指定报纸上公开披露过的所有公司文件的正本及公告的原稿。</w:t>
      </w:r>
    </w:p>
    <w:p>
      <w:pPr>
        <w:pStyle w:val="BodyText"/>
        <w:spacing w:line="240" w:lineRule="auto" w:before="76"/>
        <w:ind w:right="153"/>
        <w:jc w:val="left"/>
      </w:pPr>
      <w:r>
        <w:rPr/>
        <w:t>（四）载有董事长徐海啸先生签名的</w:t>
      </w:r>
      <w:r>
        <w:rPr>
          <w:rFonts w:ascii="Times New Roman" w:hAnsi="Times New Roman" w:cs="Times New Roman" w:eastAsia="Times New Roman" w:hint="default"/>
        </w:rPr>
        <w:t>2017</w:t>
      </w:r>
      <w:r>
        <w:rPr/>
        <w:t>年年度报告全文。</w:t>
      </w:r>
    </w:p>
    <w:p>
      <w:pPr>
        <w:pStyle w:val="BodyText"/>
        <w:spacing w:line="240" w:lineRule="auto" w:before="63"/>
        <w:ind w:right="153"/>
        <w:jc w:val="left"/>
      </w:pPr>
      <w:r>
        <w:rPr/>
        <w:t>（五）以上备查文件的置放地点：公司证券部办公室。</w:t>
      </w:r>
    </w:p>
    <w:p>
      <w:pPr>
        <w:spacing w:line="240" w:lineRule="auto" w:before="0"/>
        <w:rPr>
          <w:rFonts w:ascii="宋体" w:hAnsi="宋体" w:cs="宋体" w:eastAsia="宋体" w:hint="default"/>
          <w:sz w:val="18"/>
          <w:szCs w:val="18"/>
        </w:rPr>
      </w:pPr>
    </w:p>
    <w:p>
      <w:pPr>
        <w:pStyle w:val="BodyText"/>
        <w:spacing w:line="240" w:lineRule="auto" w:before="153"/>
        <w:ind w:left="0" w:right="152"/>
        <w:jc w:val="right"/>
      </w:pPr>
      <w:r>
        <w:rPr/>
        <w:t>深圳市惠程电气股份有限公司董事会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0"/>
          <w:szCs w:val="20"/>
        </w:rPr>
      </w:pPr>
    </w:p>
    <w:p>
      <w:pPr>
        <w:pStyle w:val="BodyText"/>
        <w:tabs>
          <w:tab w:pos="2471" w:val="left" w:leader="none"/>
        </w:tabs>
        <w:spacing w:line="240" w:lineRule="auto"/>
        <w:ind w:left="0" w:right="207"/>
        <w:jc w:val="right"/>
        <w:rPr>
          <w:rFonts w:ascii="Times New Roman" w:hAnsi="Times New Roman" w:cs="Times New Roman" w:eastAsia="Times New Roman" w:hint="default"/>
        </w:rPr>
      </w:pPr>
      <w:r>
        <w:rPr/>
        <w:t>董事长：徐海啸</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7"/>
          <w:szCs w:val="17"/>
        </w:rPr>
      </w:pPr>
    </w:p>
    <w:p>
      <w:pPr>
        <w:pStyle w:val="BodyText"/>
        <w:spacing w:line="240" w:lineRule="auto" w:before="44"/>
        <w:ind w:left="0" w:right="151"/>
        <w:jc w:val="right"/>
      </w:pPr>
      <w:r>
        <w:rPr/>
        <w:t>二零一八年四月十一日</w:t>
      </w:r>
    </w:p>
    <w:sectPr>
      <w:pgSz w:w="11910" w:h="16840"/>
      <w:pgMar w:header="0" w:footer="979" w:top="110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369995pt;margin-top:795.637939pt;width:6.5pt;height:11pt;mso-position-horizontal-relative:page;mso-position-vertical-relative:page;z-index:-110531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81.957947pt;width:17.7pt;height:11pt;mso-position-horizontal-relative:page;mso-position-vertical-relative:page;z-index:-11048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100</w:t>
                </w:r>
                <w:r>
                  <w:rPr/>
                  <w:fldChar w:fldCharType="end"/>
                </w:r>
                <w:r>
                  <w:rPr>
                    <w:rFonts w:ascii="Times New Roman"/>
                    <w:spacing w:val="1"/>
                  </w:rPr>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49988pt;margin-top:781.957947pt;width:17.3pt;height:11pt;mso-position-horizontal-relative:page;mso-position-vertical-relative:page;z-index:-11047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49988pt;margin-top:781.957947pt;width:17.3pt;height:11pt;mso-position-horizontal-relative:page;mso-position-vertical-relative:page;z-index:-11047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112</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81.957947pt;width:17.7pt;height:11pt;mso-position-horizontal-relative:page;mso-position-vertical-relative:page;z-index:-11047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81.957947pt;width:17.7pt;height:11pt;mso-position-horizontal-relative:page;mso-position-vertical-relative:page;z-index:-11047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124</w:t>
                </w:r>
                <w:r>
                  <w:rPr/>
                  <w:fldChar w:fldCharType="end"/>
                </w:r>
                <w:r>
                  <w:rPr>
                    <w:rFonts w:ascii="Times New Roman"/>
                    <w:spacing w:val="1"/>
                  </w:rPr>
                </w:r>
                <w:r>
                  <w:rPr>
                    <w:rFonts w:ascii="Times New Roman"/>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81.957947pt;width:17.7pt;height:11pt;mso-position-horizontal-relative:page;mso-position-vertical-relative:page;z-index:-11046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128</w:t>
                </w:r>
                <w:r>
                  <w:rPr/>
                  <w:fldChar w:fldCharType="end"/>
                </w:r>
                <w:r>
                  <w:rPr>
                    <w:rFonts w:ascii="Times New Roman"/>
                    <w:spacing w:val="1"/>
                  </w:rPr>
                </w:r>
                <w:r>
                  <w:rPr>
                    <w:rFonts w:ascii="Times New Roman"/>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81.957947pt;width:17.7pt;height:11pt;mso-position-horizontal-relative:page;mso-position-vertical-relative:page;z-index:-11046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158</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1.957947pt;width:13.15pt;height:11pt;mso-position-horizontal-relative:page;mso-position-vertical-relative:page;z-index:-11052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81.957947pt;width:17.7pt;height:11pt;mso-position-horizontal-relative:page;mso-position-vertical-relative:page;z-index:-11045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171</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70001pt;margin-top:535.333923pt;width:13.15pt;height:11pt;mso-position-horizontal-relative:page;mso-position-vertical-relative:page;z-index:-11052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23</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1.957947pt;width:13.15pt;height:11pt;mso-position-horizontal-relative:page;mso-position-vertical-relative:page;z-index:-11051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28</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70001pt;margin-top:535.333923pt;width:13.15pt;height:11pt;mso-position-horizontal-relative:page;mso-position-vertical-relative:page;z-index:-11051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31</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1.957947pt;width:13.15pt;height:11pt;mso-position-horizontal-relative:page;mso-position-vertical-relative:page;z-index:-11050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35</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70001pt;margin-top:535.333923pt;width:13.15pt;height:11pt;mso-position-horizontal-relative:page;mso-position-vertical-relative:page;z-index:-11050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42</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1.957947pt;width:13.15pt;height:11pt;mso-position-horizontal-relative:page;mso-position-vertical-relative:page;z-index:-11049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50</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70001pt;margin-top:535.333923pt;width:13.15pt;height:11pt;mso-position-horizontal-relative:page;mso-position-vertical-relative:page;z-index:-11048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92</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070007pt;margin-top:36.265610pt;width:204.75pt;height:11.5pt;mso-position-horizontal-relative:page;mso-position-vertical-relative:page;z-index:-1105336" type="#_x0000_t202" filled="false" stroked="false">
          <v:textbox inset="0,0,0,0">
            <w:txbxContent>
              <w:p>
                <w:pPr>
                  <w:pStyle w:val="BodyText"/>
                  <w:spacing w:line="214" w:lineRule="exact"/>
                  <w:ind w:left="20" w:right="0"/>
                  <w:jc w:val="left"/>
                </w:pPr>
                <w:r>
                  <w:rPr/>
                  <w:t>深圳市惠程电气股份有限公司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10464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104616" type="#_x0000_t202" filled="false" stroked="false">
          <v:textbox inset="0,0,0,0">
            <w:txbxContent>
              <w:p>
                <w:pPr>
                  <w:pStyle w:val="BodyText"/>
                  <w:spacing w:line="214" w:lineRule="exact"/>
                  <w:ind w:left="20" w:right="0"/>
                  <w:jc w:val="left"/>
                </w:pPr>
                <w:r>
                  <w:rPr/>
                  <w:t>深圳市惠程电气股份有限公司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29993pt;margin-top:42.865631pt;width:204.75pt;height:11.5pt;mso-position-horizontal-relative:page;mso-position-vertical-relative:page;z-index:-1105264" type="#_x0000_t202" filled="false" stroked="false">
          <v:textbox inset="0,0,0,0">
            <w:txbxContent>
              <w:p>
                <w:pPr>
                  <w:pStyle w:val="BodyText"/>
                  <w:spacing w:line="214" w:lineRule="exact"/>
                  <w:ind w:left="20" w:right="0"/>
                  <w:jc w:val="left"/>
                </w:pPr>
                <w:r>
                  <w:rPr/>
                  <w:t>深圳市惠程电气股份有限公司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10521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105192" type="#_x0000_t202" filled="false" stroked="false">
          <v:textbox inset="0,0,0,0">
            <w:txbxContent>
              <w:p>
                <w:pPr>
                  <w:pStyle w:val="BodyText"/>
                  <w:spacing w:line="214" w:lineRule="exact"/>
                  <w:ind w:left="20" w:right="0"/>
                  <w:jc w:val="left"/>
                </w:pPr>
                <w:r>
                  <w:rPr/>
                  <w:t>深圳市惠程电气股份有限公司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29993pt;margin-top:42.865631pt;width:204.75pt;height:11.5pt;mso-position-horizontal-relative:page;mso-position-vertical-relative:page;z-index:-1105144" type="#_x0000_t202" filled="false" stroked="false">
          <v:textbox inset="0,0,0,0">
            <w:txbxContent>
              <w:p>
                <w:pPr>
                  <w:pStyle w:val="BodyText"/>
                  <w:spacing w:line="214" w:lineRule="exact"/>
                  <w:ind w:left="20" w:right="0"/>
                  <w:jc w:val="left"/>
                </w:pPr>
                <w:r>
                  <w:rPr/>
                  <w:t>深圳市惠程电气股份有限公司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10509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105072" type="#_x0000_t202" filled="false" stroked="false">
          <v:textbox inset="0,0,0,0">
            <w:txbxContent>
              <w:p>
                <w:pPr>
                  <w:pStyle w:val="BodyText"/>
                  <w:spacing w:line="214" w:lineRule="exact"/>
                  <w:ind w:left="20" w:right="0"/>
                  <w:jc w:val="left"/>
                </w:pPr>
                <w:r>
                  <w:rPr/>
                  <w:t>深圳市惠程电气股份有限公司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29993pt;margin-top:42.865631pt;width:204.75pt;height:11.5pt;mso-position-horizontal-relative:page;mso-position-vertical-relative:page;z-index:-1105024" type="#_x0000_t202" filled="false" stroked="false">
          <v:textbox inset="0,0,0,0">
            <w:txbxContent>
              <w:p>
                <w:pPr>
                  <w:pStyle w:val="BodyText"/>
                  <w:spacing w:line="214" w:lineRule="exact"/>
                  <w:ind w:left="20" w:right="0"/>
                  <w:jc w:val="left"/>
                </w:pPr>
                <w:r>
                  <w:rPr/>
                  <w:t>深圳市惠程电气股份有限公司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10497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104952" type="#_x0000_t202" filled="false" stroked="false">
          <v:textbox inset="0,0,0,0">
            <w:txbxContent>
              <w:p>
                <w:pPr>
                  <w:pStyle w:val="BodyText"/>
                  <w:spacing w:line="214" w:lineRule="exact"/>
                  <w:ind w:left="20" w:right="0"/>
                  <w:jc w:val="left"/>
                </w:pPr>
                <w:r>
                  <w:rPr/>
                  <w:t>深圳市惠程电气股份有限公司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29993pt;margin-top:42.865631pt;width:204.75pt;height:11.5pt;mso-position-horizontal-relative:page;mso-position-vertical-relative:page;z-index:-1104904" type="#_x0000_t202" filled="false" stroked="false">
          <v:textbox inset="0,0,0,0">
            <w:txbxContent>
              <w:p>
                <w:pPr>
                  <w:pStyle w:val="BodyText"/>
                  <w:spacing w:line="214" w:lineRule="exact"/>
                  <w:ind w:left="20" w:right="0"/>
                  <w:jc w:val="left"/>
                </w:pPr>
                <w:r>
                  <w:rPr/>
                  <w:t>深圳市惠程电气股份有限公司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10485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104832" type="#_x0000_t202" filled="false" stroked="false">
          <v:textbox inset="0,0,0,0">
            <w:txbxContent>
              <w:p>
                <w:pPr>
                  <w:pStyle w:val="BodyText"/>
                  <w:spacing w:line="214" w:lineRule="exact"/>
                  <w:ind w:left="20" w:right="0"/>
                  <w:jc w:val="left"/>
                </w:pPr>
                <w:r>
                  <w:rPr/>
                  <w:t>深圳市惠程电气股份有限公司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2601"/>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spacing w:before="17"/>
      <w:ind w:left="513"/>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yperlink" Target="http://www.hifuture.com/" TargetMode="External"/><Relationship Id="rId12" Type="http://schemas.openxmlformats.org/officeDocument/2006/relationships/hyperlink" Target="mailto:szhc@hifuture.com" TargetMode="External"/><Relationship Id="rId13" Type="http://schemas.openxmlformats.org/officeDocument/2006/relationships/hyperlink" Target="mailto:liuyang@hifuture.com" TargetMode="External"/><Relationship Id="rId14" Type="http://schemas.openxmlformats.org/officeDocument/2006/relationships/hyperlink" Target="mailto:wenqiuping@hifuture.com" TargetMode="External"/><Relationship Id="rId15" Type="http://schemas.openxmlformats.org/officeDocument/2006/relationships/hyperlink" Target="http://www.cninfo.com.cn/" TargetMode="External"/><Relationship Id="rId16" Type="http://schemas.openxmlformats.org/officeDocument/2006/relationships/header" Target="header2.xml"/><Relationship Id="rId17" Type="http://schemas.openxmlformats.org/officeDocument/2006/relationships/footer" Target="footer3.xml"/><Relationship Id="rId18" Type="http://schemas.openxmlformats.org/officeDocument/2006/relationships/hyperlink" Target="http://www.cninfo.com.c/" TargetMode="External"/><Relationship Id="rId19" Type="http://schemas.openxmlformats.org/officeDocument/2006/relationships/header" Target="header3.xml"/><Relationship Id="rId20" Type="http://schemas.openxmlformats.org/officeDocument/2006/relationships/footer" Target="footer4.xml"/><Relationship Id="rId21" Type="http://schemas.openxmlformats.org/officeDocument/2006/relationships/header" Target="header4.xml"/><Relationship Id="rId22" Type="http://schemas.openxmlformats.org/officeDocument/2006/relationships/footer" Target="footer5.xml"/><Relationship Id="rId23" Type="http://schemas.openxmlformats.org/officeDocument/2006/relationships/header" Target="header5.xml"/><Relationship Id="rId24" Type="http://schemas.openxmlformats.org/officeDocument/2006/relationships/footer" Target="footer6.xml"/><Relationship Id="rId25" Type="http://schemas.openxmlformats.org/officeDocument/2006/relationships/hyperlink" Target="http://www.cninfo.com/" TargetMode="External"/><Relationship Id="rId26" Type="http://schemas.openxmlformats.org/officeDocument/2006/relationships/header" Target="header6.xml"/><Relationship Id="rId27" Type="http://schemas.openxmlformats.org/officeDocument/2006/relationships/footer" Target="footer7.xml"/><Relationship Id="rId28" Type="http://schemas.openxmlformats.org/officeDocument/2006/relationships/header" Target="header7.xml"/><Relationship Id="rId29" Type="http://schemas.openxmlformats.org/officeDocument/2006/relationships/footer" Target="footer8.xml"/><Relationship Id="rId30" Type="http://schemas.openxmlformats.org/officeDocument/2006/relationships/image" Target="media/image4.png"/><Relationship Id="rId31" Type="http://schemas.openxmlformats.org/officeDocument/2006/relationships/header" Target="header8.xml"/><Relationship Id="rId32" Type="http://schemas.openxmlformats.org/officeDocument/2006/relationships/footer" Target="footer9.xml"/><Relationship Id="rId33" Type="http://schemas.openxmlformats.org/officeDocument/2006/relationships/header" Target="header9.xml"/><Relationship Id="rId34" Type="http://schemas.openxmlformats.org/officeDocument/2006/relationships/footer" Target="footer10.xml"/><Relationship Id="rId35" Type="http://schemas.openxmlformats.org/officeDocument/2006/relationships/footer" Target="footer11.xml"/><Relationship Id="rId36" Type="http://schemas.openxmlformats.org/officeDocument/2006/relationships/footer" Target="footer12.xml"/><Relationship Id="rId37" Type="http://schemas.openxmlformats.org/officeDocument/2006/relationships/footer" Target="footer13.xml"/><Relationship Id="rId38" Type="http://schemas.openxmlformats.org/officeDocument/2006/relationships/header" Target="header10.xml"/><Relationship Id="rId39" Type="http://schemas.openxmlformats.org/officeDocument/2006/relationships/footer" Target="footer14.xml"/><Relationship Id="rId40" Type="http://schemas.openxmlformats.org/officeDocument/2006/relationships/footer" Target="footer15.xml"/><Relationship Id="rId41" Type="http://schemas.openxmlformats.org/officeDocument/2006/relationships/header" Target="header11.xml"/><Relationship Id="rId42" Type="http://schemas.openxmlformats.org/officeDocument/2006/relationships/footer" Target="footer16.xml"/><Relationship Id="rId43" Type="http://schemas.openxmlformats.org/officeDocument/2006/relationships/footer" Target="footer17.xml"/><Relationship Id="rId44" Type="http://schemas.openxmlformats.org/officeDocument/2006/relationships/image" Target="media/image5.png"/><Relationship Id="rId45" Type="http://schemas.openxmlformats.org/officeDocument/2006/relationships/header" Target="header12.xml"/><Relationship Id="rId46" Type="http://schemas.openxmlformats.org/officeDocument/2006/relationships/footer" Target="footer18.xml"/><Relationship Id="rId47" Type="http://schemas.openxmlformats.org/officeDocument/2006/relationships/footer" Target="footer19.xml"/><Relationship Id="rId48" Type="http://schemas.openxmlformats.org/officeDocument/2006/relationships/header" Target="header13.xml"/><Relationship Id="rId49" Type="http://schemas.openxmlformats.org/officeDocument/2006/relationships/footer" Target="footer20.xml"/><Relationship Id="rId50" Type="http://schemas.openxmlformats.org/officeDocument/2006/relationships/header" Target="header14.xml"/><Relationship Id="rId51" Type="http://schemas.openxmlformats.org/officeDocument/2006/relationships/footer" Target="footer21.xml"/><Relationship Id="rId52" Type="http://schemas.openxmlformats.org/officeDocument/2006/relationships/header" Target="header15.xml"/><Relationship Id="rId53" Type="http://schemas.openxmlformats.org/officeDocument/2006/relationships/footer" Target="footer22.xml"/><Relationship Id="rId54" Type="http://schemas.openxmlformats.org/officeDocument/2006/relationships/footer" Target="foot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深圳市惠程电气股份有限公司</dc:creator>
  <dc:title>深圳市惠程电气股份有限公司2017年年度报告全文</dc:title>
  <dcterms:created xsi:type="dcterms:W3CDTF">2020-05-02T21:33:06Z</dcterms:created>
  <dcterms:modified xsi:type="dcterms:W3CDTF">2020-05-02T21:33:06Z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2018-04-12T00:00:00Z</vt:filetime>
  </property>
  <property fmtid="{D5CDD505-2E9C-101B-9397-08002B2CF9AE}" pid="3" name="Creator">
    <vt:lpwstr>Microsoft® Word 2010</vt:lpwstr>
  </property>
  <property fmtid="{D5CDD505-2E9C-101B-9397-08002B2CF9AE}" pid="4" name="LastSaved">
    <vt:filetime>2020-05-02T00:00:00Z</vt:filetime>
  </property>
</Properties>
</file>