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1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1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1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17.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245"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drawing>
          <wp:inline distT="0" distB="0" distL="0" distR="0">
            <wp:extent cx="1409699" cy="79057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699" cy="790575"/>
                    </a:xfrm>
                    <a:prstGeom prst="rect">
                      <a:avLst/>
                    </a:prstGeom>
                  </pic:spPr>
                </pic:pic>
              </a:graphicData>
            </a:graphic>
          </wp:inline>
        </w:drawing>
      </w:r>
      <w:r>
        <w:rPr>
          <w:rFonts w:ascii="Times New Roman" w:hAnsi="Times New Roman" w:cs="Times New Roman" w:eastAsia="Times New Roman" w:hint="default"/>
          <w:position w:val="-24"/>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2241" w:right="3224" w:firstLine="0"/>
        <w:jc w:val="center"/>
        <w:rPr>
          <w:rFonts w:ascii="宋体" w:hAnsi="宋体" w:cs="宋体" w:eastAsia="宋体" w:hint="default"/>
          <w:sz w:val="36"/>
          <w:szCs w:val="36"/>
        </w:rPr>
      </w:pPr>
      <w:r>
        <w:rPr>
          <w:rFonts w:ascii="宋体" w:hAnsi="宋体" w:cs="宋体" w:eastAsia="宋体" w:hint="default"/>
          <w:b/>
          <w:bCs/>
          <w:sz w:val="36"/>
          <w:szCs w:val="36"/>
        </w:rPr>
        <w:t>深圳市惠程信息科技股份有限公司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241" w:right="32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241" w:right="321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133"/>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公司负责人徐海啸、主管会计工作负责人刘扬及会计机构负责人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王烨声明：保证年度报告中财务报告的真实、准确、完整。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本报告所涉公司未来计划等前瞻性陈述，不构成公司对任何投资者及相关</w:t>
      </w:r>
      <w:r>
        <w:rPr>
          <w:rFonts w:ascii="宋体" w:hAnsi="宋体" w:cs="宋体" w:eastAsia="宋体" w:hint="default"/>
          <w:spacing w:val="2"/>
          <w:sz w:val="28"/>
          <w:szCs w:val="28"/>
        </w:rPr>
      </w:r>
    </w:p>
    <w:p>
      <w:pPr>
        <w:spacing w:line="475" w:lineRule="auto" w:before="0"/>
        <w:ind w:left="714" w:right="1132" w:hanging="563"/>
        <w:jc w:val="left"/>
        <w:rPr>
          <w:rFonts w:ascii="宋体" w:hAnsi="宋体" w:cs="宋体" w:eastAsia="宋体" w:hint="default"/>
          <w:sz w:val="28"/>
          <w:szCs w:val="28"/>
        </w:rPr>
      </w:pPr>
      <w:r>
        <w:rPr>
          <w:rFonts w:ascii="宋体" w:hAnsi="宋体" w:cs="宋体" w:eastAsia="宋体" w:hint="default"/>
          <w:b/>
          <w:bCs/>
          <w:sz w:val="28"/>
          <w:szCs w:val="28"/>
        </w:rPr>
        <w:t>人士的实质承诺，敬请广大投资者注意投资风险。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公司在本报告第四节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经营情况讨论与分析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中公司未来发展的展望部分描</w:t>
      </w:r>
      <w:r>
        <w:rPr>
          <w:rFonts w:ascii="宋体" w:hAnsi="宋体" w:cs="宋体" w:eastAsia="宋体" w:hint="default"/>
          <w:spacing w:val="2"/>
          <w:sz w:val="28"/>
          <w:szCs w:val="28"/>
        </w:rPr>
      </w:r>
    </w:p>
    <w:p>
      <w:pPr>
        <w:spacing w:line="320" w:lineRule="exact"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述了公司未来经营中可能面临的风险以及</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2019</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4"/>
          <w:sz w:val="28"/>
          <w:szCs w:val="28"/>
        </w:rPr>
        <w:t>年度经营计划，敬请广大投资者</w:t>
      </w:r>
      <w:r>
        <w:rPr>
          <w:rFonts w:ascii="宋体" w:hAnsi="宋体" w:cs="宋体" w:eastAsia="宋体" w:hint="default"/>
          <w:spacing w:val="-4"/>
          <w:sz w:val="28"/>
          <w:szCs w:val="28"/>
        </w:rPr>
      </w:r>
    </w:p>
    <w:p>
      <w:pPr>
        <w:spacing w:before="236"/>
        <w:ind w:left="152" w:right="1133" w:firstLine="0"/>
        <w:jc w:val="left"/>
        <w:rPr>
          <w:rFonts w:ascii="宋体" w:hAnsi="宋体" w:cs="宋体" w:eastAsia="宋体" w:hint="default"/>
          <w:sz w:val="28"/>
          <w:szCs w:val="28"/>
        </w:rPr>
      </w:pPr>
      <w:r>
        <w:rPr>
          <w:rFonts w:ascii="宋体" w:hAnsi="宋体" w:cs="宋体" w:eastAsia="宋体" w:hint="default"/>
          <w:b/>
          <w:bCs/>
          <w:sz w:val="28"/>
          <w:szCs w:val="28"/>
        </w:rPr>
        <w:t>注意查阅。</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before="0"/>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241" w:right="321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7</w:t>
            </w:r>
            <w:r>
              <w:rPr>
                <w:rFonts w:ascii="宋体" w:hAnsi="宋体" w:cs="宋体" w:eastAsia="宋体" w:hint="default"/>
                <w:b w:val="0"/>
                <w:bCs w:val="0"/>
              </w:rPr>
            </w:r>
          </w:hyperlink>
        </w:p>
        <w:p>
          <w:pPr>
            <w:pStyle w:val="TOC1"/>
            <w:tabs>
              <w:tab w:pos="9785" w:val="right" w:leader="dot"/>
            </w:tabs>
            <w:spacing w:line="240" w:lineRule="auto" w:before="192"/>
            <w:ind w:right="0"/>
            <w:jc w:val="left"/>
            <w:rPr>
              <w:rFonts w:ascii="宋体" w:hAnsi="宋体" w:cs="宋体" w:eastAsia="宋体" w:hint="default"/>
              <w:b w:val="0"/>
              <w:bCs w:val="0"/>
            </w:rPr>
          </w:pPr>
          <w:hyperlink w:history="true" w:anchor="_bookmark2">
            <w:r>
              <w:rPr/>
              <w:t>第三节</w:t>
            </w:r>
            <w:r>
              <w:rPr>
                <w:spacing w:val="2"/>
              </w:rPr>
              <w:t> </w:t>
            </w:r>
            <w:r>
              <w:rPr/>
              <w:t>公司业务概要</w:t>
            </w:r>
            <w:r>
              <w:rPr>
                <w:rFonts w:ascii="宋体" w:hAnsi="宋体" w:cs="宋体" w:eastAsia="宋体" w:hint="default"/>
              </w:rPr>
              <w:tab/>
              <w:t>12</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16</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2"/>
              </w:rPr>
              <w:t> </w:t>
            </w:r>
            <w:r>
              <w:rPr/>
              <w:t>重要事项</w:t>
            </w:r>
            <w:r>
              <w:rPr>
                <w:rFonts w:ascii="宋体" w:hAnsi="宋体" w:cs="宋体" w:eastAsia="宋体" w:hint="default"/>
              </w:rPr>
              <w:tab/>
              <w:t>36</w:t>
            </w:r>
            <w:r>
              <w:rPr>
                <w:rFonts w:ascii="宋体" w:hAnsi="宋体" w:cs="宋体" w:eastAsia="宋体" w:hint="default"/>
                <w:b w:val="0"/>
                <w:bCs w:val="0"/>
              </w:rPr>
            </w:r>
          </w:hyperlink>
        </w:p>
        <w:p>
          <w:pPr>
            <w:pStyle w:val="TOC1"/>
            <w:tabs>
              <w:tab w:pos="9785" w:val="right" w:leader="dot"/>
            </w:tabs>
            <w:spacing w:line="240" w:lineRule="auto" w:before="192"/>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62</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优先股相关情况</w:t>
            </w:r>
            <w:r>
              <w:rPr>
                <w:rFonts w:ascii="宋体" w:hAnsi="宋体" w:cs="宋体" w:eastAsia="宋体" w:hint="default"/>
              </w:rPr>
              <w:tab/>
              <w:t>71</w:t>
            </w:r>
            <w:r>
              <w:rPr>
                <w:rFonts w:ascii="宋体" w:hAnsi="宋体" w:cs="宋体" w:eastAsia="宋体" w:hint="default"/>
                <w:b w:val="0"/>
                <w:bCs w:val="0"/>
              </w:rPr>
            </w:r>
          </w:hyperlink>
        </w:p>
        <w:p>
          <w:pPr>
            <w:pStyle w:val="TOC1"/>
            <w:tabs>
              <w:tab w:pos="9785" w:val="right" w:leader="dot"/>
            </w:tabs>
            <w:spacing w:line="240" w:lineRule="auto" w:before="195"/>
            <w:ind w:right="0"/>
            <w:jc w:val="left"/>
            <w:rPr>
              <w:rFonts w:ascii="宋体" w:hAnsi="宋体" w:cs="宋体" w:eastAsia="宋体" w:hint="default"/>
              <w:b w:val="0"/>
              <w:bCs w:val="0"/>
            </w:rPr>
          </w:pPr>
          <w:hyperlink w:history="true" w:anchor="_bookmark7">
            <w:r>
              <w:rPr/>
              <w:t>第八节</w:t>
            </w:r>
            <w:r>
              <w:rPr>
                <w:spacing w:val="1"/>
              </w:rPr>
              <w:t> </w:t>
            </w:r>
            <w:r>
              <w:rPr/>
              <w:t>董事、监事、高级管理人员和员工情况</w:t>
            </w:r>
            <w:r>
              <w:rPr>
                <w:rFonts w:ascii="宋体" w:hAnsi="宋体" w:cs="宋体" w:eastAsia="宋体" w:hint="default"/>
              </w:rPr>
              <w:tab/>
              <w:t>72</w:t>
            </w:r>
            <w:r>
              <w:rPr>
                <w:rFonts w:ascii="宋体" w:hAnsi="宋体" w:cs="宋体" w:eastAsia="宋体" w:hint="default"/>
                <w:b w:val="0"/>
                <w:bCs w:val="0"/>
              </w:rPr>
            </w:r>
          </w:hyperlink>
        </w:p>
        <w:p>
          <w:pPr>
            <w:pStyle w:val="TOC1"/>
            <w:tabs>
              <w:tab w:pos="9785" w:val="right" w:leader="dot"/>
            </w:tabs>
            <w:spacing w:line="240" w:lineRule="auto" w:before="192"/>
            <w:ind w:right="0"/>
            <w:jc w:val="left"/>
            <w:rPr>
              <w:rFonts w:ascii="宋体" w:hAnsi="宋体" w:cs="宋体" w:eastAsia="宋体" w:hint="default"/>
              <w:b w:val="0"/>
              <w:bCs w:val="0"/>
            </w:rPr>
          </w:pPr>
          <w:hyperlink w:history="true" w:anchor="_bookmark8">
            <w:r>
              <w:rPr/>
              <w:t>第九节</w:t>
            </w:r>
            <w:r>
              <w:rPr>
                <w:spacing w:val="2"/>
              </w:rPr>
              <w:t> </w:t>
            </w:r>
            <w:r>
              <w:rPr/>
              <w:t>公司治理</w:t>
            </w:r>
            <w:r>
              <w:rPr>
                <w:rFonts w:ascii="宋体" w:hAnsi="宋体" w:cs="宋体" w:eastAsia="宋体" w:hint="default"/>
              </w:rPr>
              <w:tab/>
              <w:t>80</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2"/>
              </w:rPr>
              <w:t> </w:t>
            </w:r>
            <w:r>
              <w:rPr/>
              <w:t>公司债券相关情况</w:t>
            </w:r>
            <w:r>
              <w:rPr>
                <w:rFonts w:ascii="宋体" w:hAnsi="宋体" w:cs="宋体" w:eastAsia="宋体" w:hint="default"/>
              </w:rPr>
              <w:tab/>
              <w:t>88</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1"/>
              </w:rPr>
              <w:t> </w:t>
            </w:r>
            <w:r>
              <w:rPr/>
              <w:t>财务报告</w:t>
            </w:r>
            <w:r>
              <w:rPr>
                <w:rFonts w:ascii="宋体" w:hAnsi="宋体" w:cs="宋体" w:eastAsia="宋体" w:hint="default"/>
              </w:rPr>
              <w:tab/>
              <w:t>89</w:t>
            </w:r>
            <w:r>
              <w:rPr>
                <w:rFonts w:ascii="宋体" w:hAnsi="宋体" w:cs="宋体" w:eastAsia="宋体" w:hint="default"/>
                <w:b w:val="0"/>
                <w:bCs w:val="0"/>
              </w:rPr>
            </w:r>
          </w:hyperlink>
        </w:p>
        <w:p>
          <w:pPr>
            <w:pStyle w:val="TOC1"/>
            <w:tabs>
              <w:tab w:pos="9783" w:val="right" w:leader="dot"/>
            </w:tabs>
            <w:spacing w:line="240" w:lineRule="auto" w:before="192"/>
            <w:ind w:right="0"/>
            <w:jc w:val="left"/>
            <w:rPr>
              <w:rFonts w:ascii="宋体" w:hAnsi="宋体" w:cs="宋体" w:eastAsia="宋体" w:hint="default"/>
              <w:b w:val="0"/>
              <w:bCs w:val="0"/>
            </w:rPr>
          </w:pPr>
          <w:hyperlink w:history="true" w:anchor="_bookmark11">
            <w:r>
              <w:rPr/>
              <w:t>第十二节</w:t>
            </w:r>
            <w:r>
              <w:rPr>
                <w:spacing w:val="-2"/>
              </w:rPr>
              <w:t> </w:t>
            </w:r>
            <w:r>
              <w:rPr/>
              <w:t>备查文件目录</w:t>
            </w:r>
            <w:r>
              <w:rPr>
                <w:rFonts w:ascii="宋体" w:hAnsi="宋体" w:cs="宋体" w:eastAsia="宋体" w:hint="default"/>
              </w:rPr>
              <w:tab/>
              <w:t>204</w:t>
            </w:r>
            <w:r>
              <w:rPr>
                <w:rFonts w:ascii="宋体" w:hAnsi="宋体" w:cs="宋体" w:eastAsia="宋体" w:hint="default"/>
                <w:b w:val="0"/>
                <w:bCs w:val="0"/>
              </w:rPr>
            </w:r>
          </w:hyperlink>
        </w:p>
        <w:p>
          <w:pPr/>
          <w:r>
            <w:fldChar w:fldCharType="end"/>
          </w:r>
        </w:p>
      </w:sdtContent>
    </w:sdt>
    <w:p>
      <w:pPr>
        <w:spacing w:after="0"/>
        <w:sectPr>
          <w:pgSz w:w="11910" w:h="16840"/>
          <w:pgMar w:header="745" w:footer="979" w:top="1060" w:bottom="1160" w:left="980" w:right="0"/>
        </w:sectPr>
      </w:pPr>
    </w:p>
    <w:p>
      <w:pPr>
        <w:spacing w:before="945"/>
        <w:ind w:left="2241" w:right="321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公司、本公司、上市公司、深圳惠程、惠程</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深圳市惠程信息科技股份有限公司，原名</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深圳市惠程电气股份有限</w:t>
            </w:r>
          </w:p>
        </w:tc>
      </w:tr>
      <w:tr>
        <w:trPr>
          <w:trHeight w:val="199" w:hRule="exact"/>
        </w:trPr>
        <w:tc>
          <w:tcPr>
            <w:tcW w:w="3536" w:type="dxa"/>
            <w:vMerge/>
            <w:tcBorders>
              <w:left w:val="single" w:sz="4" w:space="0" w:color="000000"/>
              <w:bottom w:val="nil" w:sz="6" w:space="0" w:color="auto"/>
              <w:right w:val="single" w:sz="9" w:space="0" w:color="D2D2D2"/>
            </w:tcBorders>
          </w:tcPr>
          <w:p>
            <w:pPr/>
          </w:p>
        </w:tc>
        <w:tc>
          <w:tcPr>
            <w:tcW w:w="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bottom w:val="nil" w:sz="6" w:space="0" w:color="auto"/>
              <w:right w:val="single" w:sz="4" w:space="0" w:color="000000"/>
            </w:tcBorders>
          </w:tcPr>
          <w:p>
            <w:pPr/>
          </w:p>
        </w:tc>
      </w:tr>
      <w:tr>
        <w:trPr>
          <w:trHeight w:val="192" w:hRule="exact"/>
        </w:trPr>
        <w:tc>
          <w:tcPr>
            <w:tcW w:w="3536" w:type="dxa"/>
            <w:vMerge w:val="restart"/>
            <w:tcBorders>
              <w:top w:val="nil" w:sz="6" w:space="0" w:color="auto"/>
              <w:left w:val="single" w:sz="4" w:space="0" w:color="000000"/>
              <w:right w:val="single" w:sz="9" w:space="0" w:color="D2D2D2"/>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科技、惠程本部</w:t>
            </w:r>
          </w:p>
        </w:tc>
        <w:tc>
          <w:tcPr>
            <w:tcW w:w="599" w:type="dxa"/>
            <w:vMerge/>
            <w:tcBorders>
              <w:left w:val="single" w:sz="4" w:space="0" w:color="000000"/>
              <w:bottom w:val="nil" w:sz="6" w:space="0" w:color="auto"/>
              <w:right w:val="single" w:sz="4" w:space="0" w:color="000000"/>
            </w:tcBorders>
            <w:shd w:val="clear" w:color="auto" w:fill="D2D2D2"/>
          </w:tcPr>
          <w:p>
            <w:pPr/>
          </w:p>
        </w:tc>
        <w:tc>
          <w:tcPr>
            <w:tcW w:w="5436" w:type="dxa"/>
            <w:vMerge w:val="restart"/>
            <w:tcBorders>
              <w:top w:val="nil" w:sz="6" w:space="0" w:color="auto"/>
              <w:left w:val="single" w:sz="9" w:space="0" w:color="D2D2D2"/>
              <w:right w:val="single" w:sz="4" w:space="0" w:color="000000"/>
            </w:tcBorders>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公司</w:t>
            </w: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中驰惠程</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49"/>
              <w:ind w:left="28" w:right="-9"/>
              <w:jc w:val="left"/>
              <w:rPr>
                <w:rFonts w:ascii="宋体" w:hAnsi="宋体" w:cs="宋体" w:eastAsia="宋体" w:hint="default"/>
                <w:sz w:val="18"/>
                <w:szCs w:val="18"/>
              </w:rPr>
            </w:pPr>
            <w:r>
              <w:rPr>
                <w:rFonts w:ascii="宋体" w:hAnsi="宋体" w:cs="宋体" w:eastAsia="宋体" w:hint="default"/>
                <w:sz w:val="18"/>
                <w:szCs w:val="18"/>
              </w:rPr>
              <w:t>中驰惠程企业管理有限公司，原名中驰极速体育文化发展有限公司， 本公司控股股东</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中源信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共青城中源信投资管理合伙企业（有限合伙</w:t>
            </w:r>
            <w:r>
              <w:rPr>
                <w:rFonts w:ascii="宋体" w:hAnsi="宋体" w:cs="宋体" w:eastAsia="宋体" w:hint="default"/>
                <w:spacing w:val="-92"/>
                <w:sz w:val="18"/>
                <w:szCs w:val="18"/>
              </w:rPr>
              <w:t>）</w:t>
            </w:r>
            <w:r>
              <w:rPr>
                <w:rFonts w:ascii="宋体" w:hAnsi="宋体" w:cs="宋体" w:eastAsia="宋体" w:hint="default"/>
                <w:sz w:val="18"/>
                <w:szCs w:val="18"/>
              </w:rPr>
              <w:t>，中驰惠程一</w:t>
            </w:r>
            <w:r>
              <w:rPr>
                <w:rFonts w:ascii="宋体" w:hAnsi="宋体" w:cs="宋体" w:eastAsia="宋体" w:hint="default"/>
                <w:spacing w:val="2"/>
                <w:sz w:val="18"/>
                <w:szCs w:val="18"/>
              </w:rPr>
              <w:t>致</w:t>
            </w:r>
            <w:r>
              <w:rPr>
                <w:rFonts w:ascii="宋体" w:hAnsi="宋体" w:cs="宋体" w:eastAsia="宋体" w:hint="default"/>
                <w:sz w:val="18"/>
                <w:szCs w:val="18"/>
              </w:rPr>
              <w:t>行动人</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信中利</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北京信中利投资股份有限公司，中驰惠程母公司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信中利宝信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共青城信中利宝信投资合伙企业（有限合伙</w:t>
            </w:r>
            <w:r>
              <w:rPr>
                <w:rFonts w:ascii="宋体" w:hAnsi="宋体" w:cs="宋体" w:eastAsia="宋体" w:hint="default"/>
                <w:spacing w:val="-92"/>
                <w:sz w:val="18"/>
                <w:szCs w:val="18"/>
              </w:rPr>
              <w:t>）</w:t>
            </w:r>
            <w:r>
              <w:rPr>
                <w:rFonts w:ascii="宋体" w:hAnsi="宋体" w:cs="宋体" w:eastAsia="宋体" w:hint="default"/>
                <w:sz w:val="18"/>
                <w:szCs w:val="18"/>
              </w:rPr>
              <w:t>，中驰惠程控</w:t>
            </w:r>
            <w:r>
              <w:rPr>
                <w:rFonts w:ascii="宋体" w:hAnsi="宋体" w:cs="宋体" w:eastAsia="宋体" w:hint="default"/>
                <w:spacing w:val="2"/>
                <w:sz w:val="18"/>
                <w:szCs w:val="18"/>
              </w:rPr>
              <w:t>制</w:t>
            </w:r>
            <w:r>
              <w:rPr>
                <w:rFonts w:ascii="宋体" w:hAnsi="宋体" w:cs="宋体" w:eastAsia="宋体" w:hint="default"/>
                <w:sz w:val="18"/>
                <w:szCs w:val="18"/>
              </w:rPr>
              <w:t>的企业</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号信托计划</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110"/>
              <w:jc w:val="left"/>
              <w:rPr>
                <w:rFonts w:ascii="宋体" w:hAnsi="宋体" w:cs="宋体" w:eastAsia="宋体" w:hint="default"/>
                <w:sz w:val="18"/>
                <w:szCs w:val="18"/>
              </w:rPr>
            </w:pPr>
            <w:r>
              <w:rPr>
                <w:rFonts w:ascii="宋体" w:hAnsi="宋体" w:cs="宋体" w:eastAsia="宋体" w:hint="default"/>
                <w:sz w:val="18"/>
                <w:szCs w:val="18"/>
              </w:rPr>
              <w:t>华宝信托有限责任公司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大地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号单一资金信托，中驰惠程前一致行 动人田勇先生为受益人的信托计划</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号信托计划</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110"/>
              <w:jc w:val="left"/>
              <w:rPr>
                <w:rFonts w:ascii="宋体" w:hAnsi="宋体" w:cs="宋体" w:eastAsia="宋体" w:hint="default"/>
                <w:sz w:val="18"/>
                <w:szCs w:val="18"/>
              </w:rPr>
            </w:pPr>
            <w:r>
              <w:rPr>
                <w:rFonts w:ascii="宋体" w:hAnsi="宋体" w:cs="宋体" w:eastAsia="宋体" w:hint="default"/>
                <w:sz w:val="18"/>
                <w:szCs w:val="18"/>
              </w:rPr>
              <w:t>华宝信托有限责任公司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大地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号单一资金信托，中驰惠程为受益人 的信托计划</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华宝信托</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华宝信托有限责任公司，系华宝信托有限责任公司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大地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号单一资</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金信托、大地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号单一资金信托之受托人</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深圳市惠程信息科技股份有限公司董事会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深圳市惠程信息科技股份有限公司监事会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香港惠程有限公司，本公司全资子公司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惠程智能</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深圳市惠程智能电力设备有限公司，原名深圳市惠程高能能源科技有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限公司，本公司全资子公司</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北京中汇联银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中汇联银投资管理（北京）有限公司，本公司全资子公司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喀什中汇联银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喀什中汇联银创业投资有限公司，本公司全资子公司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中汇联鑫</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78"/>
              <w:jc w:val="left"/>
              <w:rPr>
                <w:rFonts w:ascii="宋体" w:hAnsi="宋体" w:cs="宋体" w:eastAsia="宋体" w:hint="default"/>
                <w:sz w:val="18"/>
                <w:szCs w:val="18"/>
              </w:rPr>
            </w:pPr>
            <w:r>
              <w:rPr>
                <w:rFonts w:ascii="宋体" w:hAnsi="宋体" w:cs="宋体" w:eastAsia="宋体" w:hint="default"/>
                <w:spacing w:val="-3"/>
                <w:sz w:val="18"/>
                <w:szCs w:val="18"/>
              </w:rPr>
              <w:t>中汇联鑫股权投资管理（深圳）合伙企业（有限合伙），本公司与子</w:t>
            </w:r>
            <w:r>
              <w:rPr>
                <w:rFonts w:ascii="宋体" w:hAnsi="宋体" w:cs="宋体" w:eastAsia="宋体" w:hint="default"/>
                <w:sz w:val="18"/>
                <w:szCs w:val="18"/>
              </w:rPr>
              <w:t> 公司喀什中汇联银共同投资设立的合伙企业</w:t>
            </w:r>
          </w:p>
        </w:tc>
      </w:tr>
      <w:tr>
        <w:trPr>
          <w:trHeight w:val="392"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108"/>
              <w:jc w:val="left"/>
              <w:rPr>
                <w:rFonts w:ascii="宋体" w:hAnsi="宋体" w:cs="宋体" w:eastAsia="宋体" w:hint="default"/>
                <w:sz w:val="18"/>
                <w:szCs w:val="18"/>
              </w:rPr>
            </w:pPr>
            <w:r>
              <w:rPr>
                <w:rFonts w:ascii="宋体" w:hAnsi="宋体" w:cs="宋体" w:eastAsia="宋体" w:hint="default"/>
                <w:sz w:val="18"/>
                <w:szCs w:val="18"/>
              </w:rPr>
              <w:t>成都哆可梦网络科技有限公司，本公司持股比例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77.57%</w:t>
            </w:r>
            <w:r>
              <w:rPr>
                <w:rFonts w:ascii="宋体" w:hAnsi="宋体" w:cs="宋体" w:eastAsia="宋体" w:hint="default"/>
                <w:sz w:val="18"/>
                <w:szCs w:val="18"/>
              </w:rPr>
              <w:t>的控股子公 司</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pacing w:val="-2"/>
                <w:sz w:val="18"/>
                <w:szCs w:val="18"/>
              </w:rPr>
              <w:t>北京中汇同盈咨询服务有限公司，曾用名北京思泰德酒店管理有限公</w:t>
            </w:r>
          </w:p>
        </w:tc>
      </w:tr>
      <w:tr>
        <w:trPr>
          <w:trHeight w:val="391" w:hRule="exact"/>
        </w:trPr>
        <w:tc>
          <w:tcPr>
            <w:tcW w:w="3536" w:type="dxa"/>
            <w:tcBorders>
              <w:top w:val="nil" w:sz="6" w:space="0" w:color="auto"/>
              <w:left w:val="single" w:sz="4" w:space="0" w:color="000000"/>
              <w:bottom w:val="nil" w:sz="6" w:space="0" w:color="auto"/>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中汇同盈</w:t>
            </w: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nil" w:sz="6" w:space="0" w:color="auto"/>
              <w:left w:val="single" w:sz="12" w:space="0" w:color="D2D2D2"/>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2"/>
                <w:sz w:val="18"/>
                <w:szCs w:val="18"/>
              </w:rPr>
              <w:t>司、北京鼎同源科技有限公司，北京中汇联银全资子公司，本公司间</w:t>
            </w:r>
          </w:p>
        </w:tc>
      </w:tr>
      <w:tr>
        <w:trPr>
          <w:trHeight w:val="317" w:hRule="exact"/>
        </w:trPr>
        <w:tc>
          <w:tcPr>
            <w:tcW w:w="3536"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34" w:right="0"/>
              <w:jc w:val="left"/>
              <w:rPr>
                <w:rFonts w:ascii="宋体" w:hAnsi="宋体" w:cs="宋体" w:eastAsia="宋体" w:hint="default"/>
                <w:sz w:val="18"/>
                <w:szCs w:val="18"/>
              </w:rPr>
            </w:pPr>
            <w:r>
              <w:rPr>
                <w:rFonts w:ascii="宋体" w:hAnsi="宋体" w:cs="宋体" w:eastAsia="宋体" w:hint="default"/>
                <w:sz w:val="18"/>
                <w:szCs w:val="18"/>
              </w:rPr>
              <w:t>接控股子公司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中行置盛</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中行置盛投资（北京）有限公司，北京中汇联银全资子公司，本公司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间接控股子公司</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中融建银</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中融建银投资（北京）有限公司，北京中汇联银全资子公司，本公司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间接控股子公司</w:t>
            </w:r>
          </w:p>
        </w:tc>
      </w:tr>
      <w:tr>
        <w:trPr>
          <w:trHeight w:val="392"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56.400002pt;margin-top:71.999985pt;width:479.3pt;height:688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豪琛投资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豪琛投资管理（上海）有限公司，北京中汇联银全资子公司，本公司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间接控股子公司</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鹏胤投资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鹏胤投资管理（上海）有限公司，北京中汇联银全资子公司，本公司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间接控股子公司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吉乾科技、成都吉乾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2"/>
                            <w:sz w:val="18"/>
                            <w:szCs w:val="18"/>
                          </w:rPr>
                          <w:t>成都吉乾科技有限公司，哆可梦全资子公司，本公司间接控股子公司</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旭梅网络、上海旭梅</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2"/>
                            <w:sz w:val="18"/>
                            <w:szCs w:val="18"/>
                          </w:rPr>
                          <w:t>上海旭梅网络科技有限公司，哆可梦全资子公司，本公司间接控股子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公司</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华向文化、上海华向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上海华向文化传播有限公司，哆可梦全资子公司，本公司间接控股子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公司</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游湛网络、上海游湛</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22"/>
                          <w:jc w:val="left"/>
                          <w:rPr>
                            <w:rFonts w:ascii="宋体" w:hAnsi="宋体" w:cs="宋体" w:eastAsia="宋体" w:hint="default"/>
                            <w:sz w:val="18"/>
                            <w:szCs w:val="18"/>
                          </w:rPr>
                        </w:pPr>
                        <w:r>
                          <w:rPr>
                            <w:rFonts w:ascii="宋体" w:hAnsi="宋体" w:cs="宋体" w:eastAsia="宋体" w:hint="default"/>
                            <w:spacing w:val="-2"/>
                            <w:sz w:val="18"/>
                            <w:szCs w:val="18"/>
                          </w:rPr>
                          <w:t>上海游湛网络科技有限公司，哆可梦全资子公司，本公司间接控股子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公司</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共创网络</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葫芦岛共创网络科技有限公司，哆可梦全资子公司，本公司间接控股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子公司，经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月公司总裁办审议批准，截至本报告披露日， 哆可梦已注销共创网络</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翔瑞科技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翔瑞科技有限公司，哆可梦全资子公司，本公司间接控股子公司</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璿游网络</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霍尔果斯璿游网络科技有限公司，哆可梦全资子公司，本公司间接控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股子公司，经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日公司第六届董事会第六次会议审议批 准，报告期内哆可梦已注销璿游网络</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乐珩网络</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霍尔果斯乐珩网络科技有限公司，哆可梦全资子公司，本公司间接控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股子公司，经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日公司第六届董事会第六次会议审议批 准，报告期内哆可梦已注销乐珩网络</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产业并购基金、信中利赞信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pacing w:val="-3"/>
                            <w:sz w:val="18"/>
                            <w:szCs w:val="18"/>
                          </w:rPr>
                          <w:t>北京信中利赞信股权投资中心（有限合伙），本公司前参股企业，报</w:t>
                        </w:r>
                        <w:r>
                          <w:rPr>
                            <w:rFonts w:ascii="宋体" w:hAnsi="宋体" w:cs="宋体" w:eastAsia="宋体" w:hint="default"/>
                            <w:sz w:val="18"/>
                            <w:szCs w:val="18"/>
                          </w:rPr>
                          <w:t> </w:t>
                        </w:r>
                        <w:r>
                          <w:rPr>
                            <w:rFonts w:ascii="宋体" w:hAnsi="宋体" w:cs="宋体" w:eastAsia="宋体" w:hint="default"/>
                            <w:spacing w:val="-2"/>
                            <w:sz w:val="18"/>
                            <w:szCs w:val="18"/>
                          </w:rPr>
                          <w:t>告期内，经公司两次调整出资额并对外转让全部剩余出资份额后，公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司不再持有产业并购基金出资份额</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惠智网联</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8"/>
                          <w:jc w:val="left"/>
                          <w:rPr>
                            <w:rFonts w:ascii="宋体" w:hAnsi="宋体" w:cs="宋体" w:eastAsia="宋体" w:hint="default"/>
                            <w:sz w:val="18"/>
                            <w:szCs w:val="18"/>
                          </w:rPr>
                        </w:pPr>
                        <w:r>
                          <w:rPr>
                            <w:rFonts w:ascii="宋体" w:hAnsi="宋体" w:cs="宋体" w:eastAsia="宋体" w:hint="default"/>
                            <w:spacing w:val="-3"/>
                            <w:sz w:val="18"/>
                            <w:szCs w:val="18"/>
                          </w:rPr>
                          <w:t>共青城惠智网联投资合伙企业（有限合伙），喀什中汇联银作为有限</w:t>
                        </w:r>
                        <w:r>
                          <w:rPr>
                            <w:rFonts w:ascii="宋体" w:hAnsi="宋体" w:cs="宋体" w:eastAsia="宋体" w:hint="default"/>
                            <w:sz w:val="18"/>
                            <w:szCs w:val="18"/>
                          </w:rPr>
                          <w:t> 合伙人的参股企业，公司间接参股企业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上海季娱</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上海季娱网络科技有限公司，本公司持股比例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的控股子公司</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珂星网络、成都珂星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2"/>
                            <w:sz w:val="18"/>
                            <w:szCs w:val="18"/>
                          </w:rPr>
                          <w:t>成都珂星网络科技有限公司，上海季娱全资子公司，本公司间接控股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真机智能</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北京真机智能科技有限公司，公司持股比例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的参股公司</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九立方</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left"/>
                          <w:rPr>
                            <w:rFonts w:ascii="宋体" w:hAnsi="宋体" w:cs="宋体" w:eastAsia="宋体" w:hint="default"/>
                            <w:sz w:val="18"/>
                            <w:szCs w:val="18"/>
                          </w:rPr>
                        </w:pPr>
                        <w:r>
                          <w:rPr>
                            <w:rFonts w:ascii="宋体" w:hAnsi="宋体" w:cs="宋体" w:eastAsia="宋体" w:hint="default"/>
                            <w:spacing w:val="-3"/>
                            <w:w w:val="99"/>
                            <w:sz w:val="18"/>
                            <w:szCs w:val="18"/>
                          </w:rPr>
                          <w:t>北京九立方投资管理有限公司，原名</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北京博利恒投资管理有限公司</w:t>
                        </w:r>
                        <w:r>
                          <w:rPr>
                            <w:rFonts w:ascii="Times New Roman" w:hAnsi="Times New Roman" w:cs="Times New Roman" w:eastAsia="Times New Roman" w:hint="default"/>
                            <w:spacing w:val="-3"/>
                            <w:w w:val="99"/>
                            <w:sz w:val="18"/>
                            <w:szCs w:val="18"/>
                          </w:rPr>
                          <w:t>"</w:t>
                        </w:r>
                        <w:r>
                          <w:rPr>
                            <w:rFonts w:ascii="Times New Roman" w:hAnsi="Times New Roman" w:cs="Times New Roman" w:eastAsia="Times New Roman" w:hint="default"/>
                            <w:spacing w:val="-41"/>
                            <w:w w:val="99"/>
                            <w:sz w:val="18"/>
                            <w:szCs w:val="18"/>
                          </w:rPr>
                          <w:t> </w:t>
                        </w:r>
                        <w:r>
                          <w:rPr>
                            <w:rFonts w:ascii="宋体" w:hAnsi="宋体" w:cs="宋体" w:eastAsia="宋体" w:hint="default"/>
                            <w:spacing w:val="-2"/>
                            <w:sz w:val="18"/>
                            <w:szCs w:val="18"/>
                          </w:rPr>
                          <w:t>公司控股股东中驰惠程前一致行动人田勇先生控制的公司，系公司关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联方</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京城九方</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北京京城九方酒店管理有限责任公司，与九立方为同一控制下企业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中航信托</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中航信托股份有限公司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上会、会计师</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上会会计师事务所（特殊普通合伙）</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中国证券监督管理委员会深圳监管局</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p>
      <w:pPr>
        <w:pStyle w:val="BodyText"/>
        <w:spacing w:line="240" w:lineRule="auto" w:before="44"/>
        <w:ind w:left="0" w:right="1138"/>
        <w:jc w:val="right"/>
      </w:pPr>
      <w:r>
        <w:rPr/>
        <w:t>，</w:t>
      </w:r>
    </w:p>
    <w:p>
      <w:pPr>
        <w:spacing w:after="0" w:line="240" w:lineRule="auto"/>
        <w:jc w:val="righ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中登公司</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w:t>
            </w:r>
          </w:p>
        </w:tc>
      </w:tr>
      <w:tr>
        <w:trPr>
          <w:trHeight w:val="355" w:hRule="exact"/>
        </w:trPr>
        <w:tc>
          <w:tcPr>
            <w:tcW w:w="3525" w:type="dxa"/>
            <w:tcBorders>
              <w:top w:val="single" w:sz="4" w:space="0" w:color="000000"/>
              <w:left w:val="single" w:sz="4" w:space="0" w:color="000000"/>
              <w:bottom w:val="nil" w:sz="6" w:space="0" w:color="auto"/>
              <w:right w:val="single" w:sz="4" w:space="0" w:color="000000"/>
            </w:tcBorders>
          </w:tcPr>
          <w:p>
            <w:pPr/>
          </w:p>
        </w:tc>
        <w:tc>
          <w:tcPr>
            <w:tcW w:w="6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2"/>
                <w:sz w:val="18"/>
                <w:szCs w:val="18"/>
              </w:rPr>
              <w:t>经公司第五届董事会第十七次会议、第五届监事会第七次会议、公司</w:t>
            </w:r>
          </w:p>
        </w:tc>
      </w:tr>
      <w:tr>
        <w:trPr>
          <w:trHeight w:val="317" w:hRule="exact"/>
        </w:trPr>
        <w:tc>
          <w:tcPr>
            <w:tcW w:w="35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年第一期股权激励计划</w:t>
            </w:r>
          </w:p>
        </w:tc>
        <w:tc>
          <w:tcPr>
            <w:tcW w:w="6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年第五次临时股东大会</w:t>
            </w:r>
            <w:r>
              <w:rPr>
                <w:rFonts w:ascii="宋体" w:hAnsi="宋体" w:cs="宋体" w:eastAsia="宋体" w:hint="default"/>
                <w:spacing w:val="-3"/>
                <w:sz w:val="18"/>
                <w:szCs w:val="18"/>
              </w:rPr>
              <w:t>审</w:t>
            </w:r>
            <w:r>
              <w:rPr>
                <w:rFonts w:ascii="宋体" w:hAnsi="宋体" w:cs="宋体" w:eastAsia="宋体" w:hint="default"/>
                <w:sz w:val="18"/>
                <w:szCs w:val="18"/>
              </w:rPr>
              <w:t>议通过</w:t>
            </w:r>
            <w:r>
              <w:rPr>
                <w:rFonts w:ascii="宋体" w:hAnsi="宋体" w:cs="宋体" w:eastAsia="宋体" w:hint="default"/>
                <w:spacing w:val="-77"/>
                <w:sz w:val="18"/>
                <w:szCs w:val="18"/>
              </w:rPr>
              <w:t>的</w:t>
            </w:r>
            <w:r>
              <w:rPr>
                <w:rFonts w:ascii="宋体" w:hAnsi="宋体" w:cs="宋体" w:eastAsia="宋体" w:hint="default"/>
                <w:sz w:val="18"/>
                <w:szCs w:val="18"/>
              </w:rPr>
              <w:t>《深圳市惠程电气股份有限公</w:t>
            </w:r>
          </w:p>
        </w:tc>
      </w:tr>
      <w:tr>
        <w:trPr>
          <w:trHeight w:val="353" w:hRule="exact"/>
        </w:trPr>
        <w:tc>
          <w:tcPr>
            <w:tcW w:w="3525" w:type="dxa"/>
            <w:tcBorders>
              <w:top w:val="nil" w:sz="6" w:space="0" w:color="auto"/>
              <w:left w:val="single" w:sz="4" w:space="0" w:color="000000"/>
              <w:bottom w:val="single" w:sz="4" w:space="0" w:color="000000"/>
              <w:right w:val="single" w:sz="4" w:space="0" w:color="000000"/>
            </w:tcBorders>
          </w:tcPr>
          <w:p>
            <w:pPr/>
          </w:p>
        </w:tc>
        <w:tc>
          <w:tcPr>
            <w:tcW w:w="6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司限制性股票与股票期权激励计划（草案</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57" w:hRule="exact"/>
        </w:trPr>
        <w:tc>
          <w:tcPr>
            <w:tcW w:w="3525" w:type="dxa"/>
            <w:tcBorders>
              <w:top w:val="single" w:sz="4" w:space="0" w:color="000000"/>
              <w:left w:val="single" w:sz="4" w:space="0" w:color="000000"/>
              <w:bottom w:val="nil" w:sz="6" w:space="0" w:color="auto"/>
              <w:right w:val="single" w:sz="4" w:space="0" w:color="000000"/>
            </w:tcBorders>
          </w:tcPr>
          <w:p>
            <w:pPr/>
          </w:p>
        </w:tc>
        <w:tc>
          <w:tcPr>
            <w:tcW w:w="6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2"/>
                <w:sz w:val="18"/>
                <w:szCs w:val="18"/>
              </w:rPr>
              <w:t>经公司第五届董事会第十八次会议、第五届监事会第八次会议、公司</w:t>
            </w:r>
          </w:p>
        </w:tc>
      </w:tr>
      <w:tr>
        <w:trPr>
          <w:trHeight w:val="317" w:hRule="exact"/>
        </w:trPr>
        <w:tc>
          <w:tcPr>
            <w:tcW w:w="35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年第二期股权激励计划</w:t>
            </w:r>
          </w:p>
        </w:tc>
        <w:tc>
          <w:tcPr>
            <w:tcW w:w="6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年第六次临时股东大会</w:t>
            </w:r>
            <w:r>
              <w:rPr>
                <w:rFonts w:ascii="宋体" w:hAnsi="宋体" w:cs="宋体" w:eastAsia="宋体" w:hint="default"/>
                <w:spacing w:val="-3"/>
                <w:sz w:val="18"/>
                <w:szCs w:val="18"/>
              </w:rPr>
              <w:t>审</w:t>
            </w:r>
            <w:r>
              <w:rPr>
                <w:rFonts w:ascii="宋体" w:hAnsi="宋体" w:cs="宋体" w:eastAsia="宋体" w:hint="default"/>
                <w:sz w:val="18"/>
                <w:szCs w:val="18"/>
              </w:rPr>
              <w:t>议通过</w:t>
            </w:r>
            <w:r>
              <w:rPr>
                <w:rFonts w:ascii="宋体" w:hAnsi="宋体" w:cs="宋体" w:eastAsia="宋体" w:hint="default"/>
                <w:spacing w:val="-77"/>
                <w:sz w:val="18"/>
                <w:szCs w:val="18"/>
              </w:rPr>
              <w:t>的</w:t>
            </w:r>
            <w:r>
              <w:rPr>
                <w:rFonts w:ascii="宋体" w:hAnsi="宋体" w:cs="宋体" w:eastAsia="宋体" w:hint="default"/>
                <w:sz w:val="18"/>
                <w:szCs w:val="18"/>
              </w:rPr>
              <w:t>《深圳市惠程电气股份有限公</w:t>
            </w:r>
          </w:p>
        </w:tc>
      </w:tr>
      <w:tr>
        <w:trPr>
          <w:trHeight w:val="354" w:hRule="exact"/>
        </w:trPr>
        <w:tc>
          <w:tcPr>
            <w:tcW w:w="3525" w:type="dxa"/>
            <w:tcBorders>
              <w:top w:val="nil" w:sz="6" w:space="0" w:color="auto"/>
              <w:left w:val="single" w:sz="4" w:space="0" w:color="000000"/>
              <w:bottom w:val="single" w:sz="4" w:space="0" w:color="000000"/>
              <w:right w:val="single" w:sz="4" w:space="0" w:color="000000"/>
            </w:tcBorders>
          </w:tcPr>
          <w:p>
            <w:pPr/>
          </w:p>
        </w:tc>
        <w:tc>
          <w:tcPr>
            <w:tcW w:w="6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司第二期限制性股票与股票期权激励计划（草案</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年两期股权激励计划</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年第一期股权激励计划与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年第二期股权激励计划的合并简 称</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4"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pacing w:val="-4"/>
                <w:sz w:val="18"/>
                <w:szCs w:val="18"/>
              </w:rPr>
              <w:t>年限制性股票激励计划、</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年股权激 励计划</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
              <w:jc w:val="left"/>
              <w:rPr>
                <w:rFonts w:ascii="宋体" w:hAnsi="宋体" w:cs="宋体" w:eastAsia="宋体" w:hint="default"/>
                <w:sz w:val="18"/>
                <w:szCs w:val="18"/>
              </w:rPr>
            </w:pPr>
            <w:r>
              <w:rPr>
                <w:rFonts w:ascii="宋体" w:hAnsi="宋体" w:cs="宋体" w:eastAsia="宋体" w:hint="default"/>
                <w:sz w:val="18"/>
                <w:szCs w:val="18"/>
              </w:rPr>
              <w:t>经公司第五届董事会第二十九次会议、第五届监事会第十七次会议、 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年第三次临时股东大会审议通过的《深圳市惠程电气股份</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年限制性股票激励计划》</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《深圳市惠程信息科技股份有限公司章程》</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《股票上市规则》</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《深圳证券交易所股票上市规则》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《规范运作指引》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《深圳证券交易所中小企业板上市公司规范运作指引》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报告期、本年、本期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92.849976pt;width:361.55pt;height:19.7pt;mso-position-horizontal-relative:page;mso-position-vertical-relative:page;z-index:-1197448" coordorigin="3447,5857" coordsize="7231,394">
            <v:shape style="position:absolute;left:3447;top:5857;width:7231;height:394" coordorigin="3447,5857" coordsize="7231,394" path="m3447,6251l10677,6251,10677,5857,3447,5857,3447,6251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1133"/>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深圳惠程</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002168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惠程科技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深圳市惠程信息科技股份有限公司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惠程科技</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Shenzhen Hifuture Information Technology Co.,</w:t>
            </w:r>
            <w:r>
              <w:rPr>
                <w:rFonts w:ascii="Times New Roman"/>
                <w:spacing w:val="-31"/>
                <w:sz w:val="18"/>
              </w:rPr>
              <w:t> </w:t>
            </w:r>
            <w:r>
              <w:rPr>
                <w:rFonts w:ascii="Times New Roman"/>
                <w:sz w:val="18"/>
              </w:rPr>
              <w:t>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49"/>
              <w:ind w:left="-10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Hifuture</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Technology</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徐海啸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深圳市坪山新区大工业区兰景路以东、锦绣路以南惠程科技工业厂区</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518118</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深圳市坪山新区大工业区兰景路以东、锦绣路以南惠程科技工业厂区</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518118</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www.hifuture.com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szhc@hifuture.com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31" w:type="dxa"/>
        <w:tblLayout w:type="fixed"/>
        <w:tblCellMar>
          <w:top w:w="0" w:type="dxa"/>
          <w:left w:w="0" w:type="dxa"/>
          <w:bottom w:w="0" w:type="dxa"/>
          <w:right w:w="0" w:type="dxa"/>
        </w:tblCellMar>
        <w:tblLook w:val="01E0"/>
      </w:tblPr>
      <w:tblGrid>
        <w:gridCol w:w="3219"/>
        <w:gridCol w:w="3233"/>
        <w:gridCol w:w="3233"/>
      </w:tblGrid>
      <w:tr>
        <w:trPr>
          <w:trHeight w:val="401"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刘扬</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温秋萍</w:t>
            </w:r>
          </w:p>
        </w:tc>
      </w:tr>
      <w:tr>
        <w:trPr>
          <w:trHeight w:val="161" w:hRule="exact"/>
        </w:trPr>
        <w:tc>
          <w:tcPr>
            <w:tcW w:w="3219" w:type="dxa"/>
            <w:tcBorders>
              <w:top w:val="single" w:sz="4" w:space="0" w:color="000000"/>
              <w:left w:val="single" w:sz="4" w:space="0" w:color="000000"/>
              <w:bottom w:val="nil" w:sz="6" w:space="0" w:color="auto"/>
              <w:right w:val="single" w:sz="4" w:space="0" w:color="000000"/>
            </w:tcBorders>
            <w:shd w:val="clear" w:color="auto" w:fill="D2D2D2"/>
          </w:tcPr>
          <w:p>
            <w:pPr/>
          </w:p>
        </w:tc>
        <w:tc>
          <w:tcPr>
            <w:tcW w:w="3233" w:type="dxa"/>
            <w:vMerge w:val="restart"/>
            <w:tcBorders>
              <w:top w:val="single" w:sz="4" w:space="0" w:color="000000"/>
              <w:left w:val="single" w:sz="10" w:space="0" w:color="D2D2D2"/>
              <w:right w:val="single" w:sz="4" w:space="0" w:color="000000"/>
            </w:tcBorders>
          </w:tcPr>
          <w:p>
            <w:pPr>
              <w:pStyle w:val="TableParagraph"/>
              <w:spacing w:line="316" w:lineRule="auto" w:before="49"/>
              <w:ind w:left="16" w:right="22"/>
              <w:jc w:val="left"/>
              <w:rPr>
                <w:rFonts w:ascii="宋体" w:hAnsi="宋体" w:cs="宋体" w:eastAsia="宋体" w:hint="default"/>
                <w:sz w:val="18"/>
                <w:szCs w:val="18"/>
              </w:rPr>
            </w:pPr>
            <w:r>
              <w:rPr>
                <w:rFonts w:ascii="宋体" w:hAnsi="宋体" w:cs="宋体" w:eastAsia="宋体" w:hint="default"/>
                <w:spacing w:val="-4"/>
                <w:sz w:val="18"/>
                <w:szCs w:val="18"/>
              </w:rPr>
              <w:t>深圳市坪山新区大工业区兰景路以东、锦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绣路以南惠程科技工业厂区</w:t>
            </w:r>
          </w:p>
        </w:tc>
        <w:tc>
          <w:tcPr>
            <w:tcW w:w="3233"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深圳市坪山新区大工业区兰景路以东、锦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绣路以南惠程科技工业厂区</w:t>
            </w:r>
          </w:p>
        </w:tc>
      </w:tr>
      <w:tr>
        <w:trPr>
          <w:trHeight w:val="391" w:hRule="exact"/>
        </w:trPr>
        <w:tc>
          <w:tcPr>
            <w:tcW w:w="3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33" w:type="dxa"/>
            <w:vMerge/>
            <w:tcBorders>
              <w:left w:val="single" w:sz="10" w:space="0" w:color="D2D2D2"/>
              <w:right w:val="single" w:sz="4" w:space="0" w:color="000000"/>
            </w:tcBorders>
          </w:tcPr>
          <w:p>
            <w:pPr/>
          </w:p>
        </w:tc>
        <w:tc>
          <w:tcPr>
            <w:tcW w:w="3233" w:type="dxa"/>
            <w:vMerge/>
            <w:tcBorders>
              <w:left w:val="single" w:sz="4" w:space="0" w:color="000000"/>
              <w:right w:val="single" w:sz="4" w:space="0" w:color="000000"/>
            </w:tcBorders>
          </w:tcPr>
          <w:p>
            <w:pPr/>
          </w:p>
        </w:tc>
      </w:tr>
      <w:tr>
        <w:trPr>
          <w:trHeight w:val="161" w:hRule="exact"/>
        </w:trPr>
        <w:tc>
          <w:tcPr>
            <w:tcW w:w="3219" w:type="dxa"/>
            <w:tcBorders>
              <w:top w:val="nil" w:sz="6" w:space="0" w:color="auto"/>
              <w:left w:val="single" w:sz="4" w:space="0" w:color="000000"/>
              <w:bottom w:val="single" w:sz="4" w:space="0" w:color="000000"/>
              <w:right w:val="single" w:sz="4" w:space="0" w:color="000000"/>
            </w:tcBorders>
            <w:shd w:val="clear" w:color="auto" w:fill="D2D2D2"/>
          </w:tcPr>
          <w:p>
            <w:pPr/>
          </w:p>
        </w:tc>
        <w:tc>
          <w:tcPr>
            <w:tcW w:w="3233" w:type="dxa"/>
            <w:vMerge/>
            <w:tcBorders>
              <w:left w:val="single" w:sz="10" w:space="0" w:color="D2D2D2"/>
              <w:bottom w:val="single" w:sz="4" w:space="0" w:color="000000"/>
              <w:right w:val="single" w:sz="4" w:space="0" w:color="000000"/>
            </w:tcBorders>
          </w:tcPr>
          <w:p>
            <w:pPr/>
          </w:p>
        </w:tc>
        <w:tc>
          <w:tcPr>
            <w:tcW w:w="3233" w:type="dxa"/>
            <w:vMerge/>
            <w:tcBorders>
              <w:left w:val="single" w:sz="4" w:space="0" w:color="000000"/>
              <w:bottom w:val="single" w:sz="4" w:space="0" w:color="000000"/>
              <w:right w:val="single" w:sz="4" w:space="0" w:color="000000"/>
            </w:tcBorders>
          </w:tcPr>
          <w:p>
            <w:pPr/>
          </w:p>
        </w:tc>
      </w:tr>
      <w:tr>
        <w:trPr>
          <w:trHeight w:val="403"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0755-82768788</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0755-82767767</w:t>
            </w:r>
          </w:p>
        </w:tc>
      </w:tr>
      <w:tr>
        <w:trPr>
          <w:trHeight w:val="401"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0755-82760319</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0755-82760319</w:t>
            </w:r>
          </w:p>
        </w:tc>
      </w:tr>
      <w:tr>
        <w:trPr>
          <w:trHeight w:val="403"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hyperlink r:id="rId11">
              <w:r>
                <w:rPr>
                  <w:rFonts w:ascii="Times New Roman"/>
                  <w:sz w:val="18"/>
                </w:rPr>
                <w:t>liuyang@hifuture.com</w:t>
              </w:r>
            </w:hyperlink>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2">
              <w:r>
                <w:rPr>
                  <w:rFonts w:ascii="Times New Roman"/>
                  <w:sz w:val="18"/>
                </w:rPr>
                <w:t>wenqiuping@hifuture.com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公司证券部办公室</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33"/>
        <w:jc w:val="left"/>
        <w:rPr>
          <w:b w:val="0"/>
          <w:bCs w:val="0"/>
        </w:rPr>
      </w:pP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before="44"/>
        <w:ind w:left="0" w:right="1140"/>
        <w:jc w:val="right"/>
      </w:pPr>
      <w:r>
        <w:rPr/>
        <w:pict>
          <v:shape style="position:absolute;margin-left:56.459999pt;margin-top:-100.808311pt;width:479.2pt;height:404.4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4"/>
                    <w:gridCol w:w="7586"/>
                  </w:tblGrid>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7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914403007152119019</w:t>
                        </w:r>
                      </w:p>
                    </w:tc>
                  </w:tr>
                  <w:tr>
                    <w:trPr>
                      <w:trHeight w:val="360"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日，公司经营范围为</w:t>
                        </w:r>
                        <w:r>
                          <w:rPr>
                            <w:rFonts w:ascii="Times New Roman" w:hAnsi="Times New Roman" w:cs="Times New Roman" w:eastAsia="Times New Roman" w:hint="default"/>
                            <w:sz w:val="18"/>
                            <w:szCs w:val="18"/>
                          </w:rPr>
                          <w:t>“</w:t>
                        </w:r>
                        <w:r>
                          <w:rPr>
                            <w:rFonts w:ascii="宋体" w:hAnsi="宋体" w:cs="宋体" w:eastAsia="宋体" w:hint="default"/>
                            <w:sz w:val="18"/>
                            <w:szCs w:val="18"/>
                          </w:rPr>
                          <w:t>电缆分支箱、环网柜等相关电力配网设备、电力电缆附件等</w:t>
                        </w:r>
                      </w:p>
                    </w:tc>
                  </w:tr>
                  <w:tr>
                    <w:trPr>
                      <w:trHeight w:val="307" w:hRule="exact"/>
                    </w:trPr>
                    <w:tc>
                      <w:tcPr>
                        <w:tcW w:w="1984" w:type="dxa"/>
                        <w:tcBorders>
                          <w:top w:val="nil" w:sz="6" w:space="0" w:color="auto"/>
                          <w:left w:val="single" w:sz="4" w:space="0" w:color="000000"/>
                          <w:bottom w:val="nil" w:sz="6" w:space="0" w:color="auto"/>
                          <w:right w:val="single" w:sz="4" w:space="0" w:color="000000"/>
                        </w:tcBorders>
                        <w:shd w:val="clear" w:color="auto" w:fill="D2D2D2"/>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1"/>
                            <w:sz w:val="18"/>
                            <w:szCs w:val="18"/>
                          </w:rPr>
                          <w:t>高分子绝缘材料及相关制品的生产；高分子绝缘材料，电工器材的购销；经营进口业务；自有产</w:t>
                        </w:r>
                      </w:p>
                    </w:tc>
                  </w:tr>
                  <w:tr>
                    <w:trPr>
                      <w:trHeight w:val="337" w:hRule="exact"/>
                    </w:trPr>
                    <w:tc>
                      <w:tcPr>
                        <w:tcW w:w="1984" w:type="dxa"/>
                        <w:tcBorders>
                          <w:top w:val="nil" w:sz="6" w:space="0" w:color="auto"/>
                          <w:left w:val="single" w:sz="4" w:space="0" w:color="000000"/>
                          <w:bottom w:val="nil" w:sz="6" w:space="0" w:color="auto"/>
                          <w:right w:val="single" w:sz="4" w:space="0" w:color="000000"/>
                        </w:tcBorders>
                        <w:shd w:val="clear" w:color="auto" w:fill="D2D2D2"/>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品的售后服务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32" w:hRule="exact"/>
                    </w:trPr>
                    <w:tc>
                      <w:tcPr>
                        <w:tcW w:w="1984" w:type="dxa"/>
                        <w:tcBorders>
                          <w:top w:val="nil" w:sz="6" w:space="0" w:color="auto"/>
                          <w:left w:val="single" w:sz="4" w:space="0" w:color="000000"/>
                          <w:bottom w:val="nil" w:sz="6" w:space="0" w:color="auto"/>
                          <w:right w:val="single" w:sz="4" w:space="0" w:color="000000"/>
                        </w:tcBorders>
                        <w:shd w:val="clear" w:color="auto" w:fill="D2D2D2"/>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日，公司经营范围增加</w:t>
                        </w:r>
                        <w:r>
                          <w:rPr>
                            <w:rFonts w:ascii="Times New Roman" w:hAnsi="Times New Roman" w:cs="Times New Roman" w:eastAsia="Times New Roman" w:hint="default"/>
                            <w:sz w:val="18"/>
                            <w:szCs w:val="18"/>
                          </w:rPr>
                          <w:t>“</w:t>
                        </w:r>
                        <w:r>
                          <w:rPr>
                            <w:rFonts w:ascii="宋体" w:hAnsi="宋体" w:cs="宋体" w:eastAsia="宋体" w:hint="default"/>
                            <w:sz w:val="18"/>
                            <w:szCs w:val="18"/>
                          </w:rPr>
                          <w:t>高低压电器、高低压成套开关设备、箱式变电站、电力自</w:t>
                        </w:r>
                      </w:p>
                    </w:tc>
                  </w:tr>
                  <w:tr>
                    <w:trPr>
                      <w:trHeight w:val="307" w:hRule="exact"/>
                    </w:trPr>
                    <w:tc>
                      <w:tcPr>
                        <w:tcW w:w="1984" w:type="dxa"/>
                        <w:tcBorders>
                          <w:top w:val="nil" w:sz="6" w:space="0" w:color="auto"/>
                          <w:left w:val="single" w:sz="4" w:space="0" w:color="000000"/>
                          <w:bottom w:val="nil" w:sz="6" w:space="0" w:color="auto"/>
                          <w:right w:val="single" w:sz="4" w:space="0" w:color="000000"/>
                        </w:tcBorders>
                        <w:shd w:val="clear" w:color="auto" w:fill="D2D2D2"/>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1"/>
                            <w:sz w:val="18"/>
                            <w:szCs w:val="18"/>
                          </w:rPr>
                          <w:t>动化产品、跌落式熔断器、柱上开关、柱上断路器、管母线等相关电力配网设备的生产、销售及</w:t>
                        </w:r>
                      </w:p>
                    </w:tc>
                  </w:tr>
                  <w:tr>
                    <w:trPr>
                      <w:trHeight w:val="336" w:hRule="exact"/>
                    </w:trPr>
                    <w:tc>
                      <w:tcPr>
                        <w:tcW w:w="1984" w:type="dxa"/>
                        <w:tcBorders>
                          <w:top w:val="nil" w:sz="6" w:space="0" w:color="auto"/>
                          <w:left w:val="single" w:sz="4" w:space="0" w:color="000000"/>
                          <w:bottom w:val="nil" w:sz="6" w:space="0" w:color="auto"/>
                          <w:right w:val="single" w:sz="4" w:space="0" w:color="000000"/>
                        </w:tcBorders>
                        <w:shd w:val="clear" w:color="auto" w:fill="D2D2D2"/>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施工服务；聚酰亚胺纤维、纳米纤维、薄膜、树脂及复合材料的综合研究开发及相关材料购销</w:t>
                        </w:r>
                        <w:r>
                          <w:rPr>
                            <w:rFonts w:ascii="Times New Roman" w:hAnsi="Times New Roman" w:cs="Times New Roman" w:eastAsia="Times New Roman" w:hint="default"/>
                            <w:sz w:val="18"/>
                            <w:szCs w:val="18"/>
                          </w:rPr>
                          <w:t>”</w:t>
                        </w:r>
                      </w:p>
                    </w:tc>
                  </w:tr>
                  <w:tr>
                    <w:trPr>
                      <w:trHeight w:val="331" w:hRule="exact"/>
                    </w:trPr>
                    <w:tc>
                      <w:tcPr>
                        <w:tcW w:w="1984" w:type="dxa"/>
                        <w:tcBorders>
                          <w:top w:val="nil" w:sz="6" w:space="0" w:color="auto"/>
                          <w:left w:val="single" w:sz="4" w:space="0" w:color="000000"/>
                          <w:bottom w:val="nil" w:sz="6" w:space="0" w:color="auto"/>
                          <w:right w:val="single" w:sz="4" w:space="0" w:color="000000"/>
                        </w:tcBorders>
                        <w:shd w:val="clear" w:color="auto" w:fill="D2D2D2"/>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日，公司经营范围增加</w:t>
                        </w:r>
                        <w:r>
                          <w:rPr>
                            <w:rFonts w:ascii="Times New Roman" w:hAnsi="Times New Roman" w:cs="Times New Roman" w:eastAsia="Times New Roman" w:hint="default"/>
                            <w:sz w:val="18"/>
                            <w:szCs w:val="18"/>
                          </w:rPr>
                          <w:t>“</w:t>
                        </w:r>
                        <w:r>
                          <w:rPr>
                            <w:rFonts w:ascii="宋体" w:hAnsi="宋体" w:cs="宋体" w:eastAsia="宋体" w:hint="default"/>
                            <w:sz w:val="18"/>
                            <w:szCs w:val="18"/>
                          </w:rPr>
                          <w:t>股权投资、资产管理、投资咨询；物业投资、物业经营、</w:t>
                        </w:r>
                      </w:p>
                    </w:tc>
                  </w:tr>
                  <w:tr>
                    <w:trPr>
                      <w:trHeight w:val="333" w:hRule="exact"/>
                    </w:trPr>
                    <w:tc>
                      <w:tcPr>
                        <w:tcW w:w="1984" w:type="dxa"/>
                        <w:tcBorders>
                          <w:top w:val="nil" w:sz="6" w:space="0" w:color="auto"/>
                          <w:left w:val="single" w:sz="4" w:space="0" w:color="000000"/>
                          <w:bottom w:val="nil" w:sz="6" w:space="0" w:color="auto"/>
                          <w:right w:val="single" w:sz="4" w:space="0" w:color="000000"/>
                        </w:tcBorders>
                        <w:shd w:val="clear" w:color="auto" w:fill="D2D2D2"/>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物业管理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32" w:hRule="exact"/>
                    </w:trPr>
                    <w:tc>
                      <w:tcPr>
                        <w:tcW w:w="1984" w:type="dxa"/>
                        <w:tcBorders>
                          <w:top w:val="nil" w:sz="6" w:space="0" w:color="auto"/>
                          <w:left w:val="single" w:sz="4" w:space="0" w:color="000000"/>
                          <w:bottom w:val="nil" w:sz="6" w:space="0" w:color="auto"/>
                          <w:right w:val="single" w:sz="4" w:space="0" w:color="000000"/>
                        </w:tcBorders>
                        <w:shd w:val="clear" w:color="auto" w:fill="D2D2D2"/>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日，公司经营范围增加</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智能配电、新能源汽车充电桩产业链、工业自动化及控</w:t>
                        </w:r>
                      </w:p>
                    </w:tc>
                  </w:tr>
                  <w:tr>
                    <w:trPr>
                      <w:trHeight w:val="307" w:hRule="exact"/>
                    </w:trPr>
                    <w:tc>
                      <w:tcPr>
                        <w:tcW w:w="19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w:t>
                        </w: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1"/>
                            <w:sz w:val="18"/>
                            <w:szCs w:val="18"/>
                          </w:rPr>
                          <w:t>制、信息与安防监控系统、智能二次设备、电力网络信息安全系统技术开发、产品研制及工程集</w:t>
                        </w:r>
                      </w:p>
                    </w:tc>
                  </w:tr>
                  <w:tr>
                    <w:trPr>
                      <w:trHeight w:val="337" w:hRule="exact"/>
                    </w:trPr>
                    <w:tc>
                      <w:tcPr>
                        <w:tcW w:w="19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的变化情况（如有）</w:t>
                        </w: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成；电网与工控安全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32" w:hRule="exact"/>
                    </w:trPr>
                    <w:tc>
                      <w:tcPr>
                        <w:tcW w:w="1984" w:type="dxa"/>
                        <w:tcBorders>
                          <w:top w:val="nil" w:sz="6" w:space="0" w:color="auto"/>
                          <w:left w:val="single" w:sz="4" w:space="0" w:color="000000"/>
                          <w:bottom w:val="nil" w:sz="6" w:space="0" w:color="auto"/>
                          <w:right w:val="single" w:sz="4" w:space="0" w:color="000000"/>
                        </w:tcBorders>
                        <w:shd w:val="clear" w:color="auto" w:fill="D2D2D2"/>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日，公司经营范围增加</w:t>
                        </w:r>
                        <w:r>
                          <w:rPr>
                            <w:rFonts w:ascii="Times New Roman" w:hAnsi="Times New Roman" w:cs="Times New Roman" w:eastAsia="Times New Roman" w:hint="default"/>
                            <w:sz w:val="18"/>
                            <w:szCs w:val="18"/>
                          </w:rPr>
                          <w:t>“</w:t>
                        </w:r>
                        <w:r>
                          <w:rPr>
                            <w:rFonts w:ascii="宋体" w:hAnsi="宋体" w:cs="宋体" w:eastAsia="宋体" w:hint="default"/>
                            <w:sz w:val="18"/>
                            <w:szCs w:val="18"/>
                          </w:rPr>
                          <w:t>电动汽车充电设备设计研发、生产、销售；新能源汽车</w:t>
                        </w:r>
                      </w:p>
                    </w:tc>
                  </w:tr>
                  <w:tr>
                    <w:trPr>
                      <w:trHeight w:val="307" w:hRule="exact"/>
                    </w:trPr>
                    <w:tc>
                      <w:tcPr>
                        <w:tcW w:w="1984" w:type="dxa"/>
                        <w:tcBorders>
                          <w:top w:val="nil" w:sz="6" w:space="0" w:color="auto"/>
                          <w:left w:val="single" w:sz="4" w:space="0" w:color="000000"/>
                          <w:bottom w:val="nil" w:sz="6" w:space="0" w:color="auto"/>
                          <w:right w:val="single" w:sz="4" w:space="0" w:color="000000"/>
                        </w:tcBorders>
                        <w:shd w:val="clear" w:color="auto" w:fill="D2D2D2"/>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1"/>
                            <w:sz w:val="18"/>
                            <w:szCs w:val="18"/>
                          </w:rPr>
                          <w:t>充电设施运营；新能源汽车充换电站规划设计、建设；离网、并网光伏电站的建设和运营；储能</w:t>
                        </w:r>
                      </w:p>
                    </w:tc>
                  </w:tr>
                  <w:tr>
                    <w:trPr>
                      <w:trHeight w:val="336" w:hRule="exact"/>
                    </w:trPr>
                    <w:tc>
                      <w:tcPr>
                        <w:tcW w:w="1984" w:type="dxa"/>
                        <w:tcBorders>
                          <w:top w:val="nil" w:sz="6" w:space="0" w:color="auto"/>
                          <w:left w:val="single" w:sz="4" w:space="0" w:color="000000"/>
                          <w:bottom w:val="nil" w:sz="6" w:space="0" w:color="auto"/>
                          <w:right w:val="single" w:sz="4" w:space="0" w:color="000000"/>
                        </w:tcBorders>
                        <w:shd w:val="clear" w:color="auto" w:fill="D2D2D2"/>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系统设备研发制造及运营</w:t>
                        </w:r>
                        <w:r>
                          <w:rPr>
                            <w:rFonts w:ascii="宋体" w:hAnsi="宋体" w:cs="宋体" w:eastAsia="宋体" w:hint="default"/>
                            <w:spacing w:val="-29"/>
                            <w:sz w:val="18"/>
                            <w:szCs w:val="18"/>
                          </w:rPr>
                          <w:t>；</w:t>
                        </w:r>
                        <w:r>
                          <w:rPr>
                            <w:rFonts w:ascii="宋体" w:hAnsi="宋体" w:cs="宋体" w:eastAsia="宋体" w:hint="default"/>
                            <w:sz w:val="18"/>
                            <w:szCs w:val="18"/>
                          </w:rPr>
                          <w:t>动力电池回收</w:t>
                        </w:r>
                        <w:r>
                          <w:rPr>
                            <w:rFonts w:ascii="宋体" w:hAnsi="宋体" w:cs="宋体" w:eastAsia="宋体" w:hint="default"/>
                            <w:spacing w:val="-29"/>
                            <w:sz w:val="18"/>
                            <w:szCs w:val="18"/>
                          </w:rPr>
                          <w:t>；</w:t>
                        </w:r>
                        <w:r>
                          <w:rPr>
                            <w:rFonts w:ascii="宋体" w:hAnsi="宋体" w:cs="宋体" w:eastAsia="宋体" w:hint="default"/>
                            <w:sz w:val="18"/>
                            <w:szCs w:val="18"/>
                          </w:rPr>
                          <w:t>汽车租</w:t>
                        </w:r>
                        <w:r>
                          <w:rPr>
                            <w:rFonts w:ascii="宋体" w:hAnsi="宋体" w:cs="宋体" w:eastAsia="宋体" w:hint="default"/>
                            <w:spacing w:val="-29"/>
                            <w:sz w:val="18"/>
                            <w:szCs w:val="18"/>
                          </w:rPr>
                          <w:t>赁</w:t>
                        </w:r>
                        <w:r>
                          <w:rPr>
                            <w:rFonts w:ascii="宋体" w:hAnsi="宋体" w:cs="宋体" w:eastAsia="宋体" w:hint="default"/>
                            <w:sz w:val="18"/>
                            <w:szCs w:val="18"/>
                          </w:rPr>
                          <w:t>（不</w:t>
                        </w:r>
                        <w:r>
                          <w:rPr>
                            <w:rFonts w:ascii="宋体" w:hAnsi="宋体" w:cs="宋体" w:eastAsia="宋体" w:hint="default"/>
                            <w:spacing w:val="2"/>
                            <w:sz w:val="18"/>
                            <w:szCs w:val="18"/>
                          </w:rPr>
                          <w:t>含</w:t>
                        </w:r>
                        <w:r>
                          <w:rPr>
                            <w:rFonts w:ascii="宋体" w:hAnsi="宋体" w:cs="宋体" w:eastAsia="宋体" w:hint="default"/>
                            <w:sz w:val="18"/>
                            <w:szCs w:val="18"/>
                          </w:rPr>
                          <w:t>金融租赁</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有形动产设备租</w:t>
                        </w:r>
                        <w:r>
                          <w:rPr>
                            <w:rFonts w:ascii="宋体" w:hAnsi="宋体" w:cs="宋体" w:eastAsia="宋体" w:hint="default"/>
                            <w:spacing w:val="2"/>
                            <w:sz w:val="18"/>
                            <w:szCs w:val="18"/>
                          </w:rPr>
                          <w:t>赁</w:t>
                        </w:r>
                        <w:r>
                          <w:rPr>
                            <w:rFonts w:ascii="宋体" w:hAnsi="宋体" w:cs="宋体" w:eastAsia="宋体" w:hint="default"/>
                            <w:sz w:val="18"/>
                            <w:szCs w:val="18"/>
                          </w:rPr>
                          <w:t>服</w:t>
                        </w:r>
                        <w:r>
                          <w:rPr>
                            <w:rFonts w:ascii="宋体" w:hAnsi="宋体" w:cs="宋体" w:eastAsia="宋体" w:hint="default"/>
                            <w:spacing w:val="2"/>
                            <w:sz w:val="18"/>
                            <w:szCs w:val="18"/>
                          </w:rPr>
                          <w:t>务</w:t>
                        </w:r>
                        <w:r>
                          <w:rPr>
                            <w:rFonts w:ascii="Times New Roman" w:hAnsi="Times New Roman" w:cs="Times New Roman" w:eastAsia="Times New Roman" w:hint="default"/>
                            <w:w w:val="100"/>
                            <w:sz w:val="18"/>
                            <w:szCs w:val="18"/>
                          </w:rPr>
                          <w:t>”</w:t>
                        </w:r>
                      </w:p>
                    </w:tc>
                  </w:tr>
                  <w:tr>
                    <w:trPr>
                      <w:trHeight w:val="331" w:hRule="exact"/>
                    </w:trPr>
                    <w:tc>
                      <w:tcPr>
                        <w:tcW w:w="1984" w:type="dxa"/>
                        <w:tcBorders>
                          <w:top w:val="nil" w:sz="6" w:space="0" w:color="auto"/>
                          <w:left w:val="single" w:sz="4" w:space="0" w:color="000000"/>
                          <w:bottom w:val="nil" w:sz="6" w:space="0" w:color="auto"/>
                          <w:right w:val="single" w:sz="4" w:space="0" w:color="000000"/>
                        </w:tcBorders>
                        <w:shd w:val="clear" w:color="auto" w:fill="D2D2D2"/>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日，公司完成现金收购哆可梦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77.57%</w:t>
                        </w:r>
                        <w:r>
                          <w:rPr>
                            <w:rFonts w:ascii="宋体" w:hAnsi="宋体" w:cs="宋体" w:eastAsia="宋体" w:hint="default"/>
                            <w:sz w:val="18"/>
                            <w:szCs w:val="18"/>
                          </w:rPr>
                          <w:t>股权，哆可梦成为公司控股子公司，哆可</w:t>
                        </w:r>
                      </w:p>
                    </w:tc>
                  </w:tr>
                  <w:tr>
                    <w:trPr>
                      <w:trHeight w:val="307" w:hRule="exact"/>
                    </w:trPr>
                    <w:tc>
                      <w:tcPr>
                        <w:tcW w:w="1984" w:type="dxa"/>
                        <w:tcBorders>
                          <w:top w:val="nil" w:sz="6" w:space="0" w:color="auto"/>
                          <w:left w:val="single" w:sz="4" w:space="0" w:color="000000"/>
                          <w:bottom w:val="nil" w:sz="6" w:space="0" w:color="auto"/>
                          <w:right w:val="single" w:sz="4" w:space="0" w:color="000000"/>
                        </w:tcBorders>
                        <w:shd w:val="clear" w:color="auto" w:fill="D2D2D2"/>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1"/>
                            <w:sz w:val="18"/>
                            <w:szCs w:val="18"/>
                          </w:rPr>
                          <w:t>梦主要从事基于大数据精细化营销的流量经营业务和移动游戏的研发、发行及游戏平台的运营业</w:t>
                        </w:r>
                      </w:p>
                    </w:tc>
                  </w:tr>
                  <w:tr>
                    <w:trPr>
                      <w:trHeight w:val="333" w:hRule="exact"/>
                    </w:trPr>
                    <w:tc>
                      <w:tcPr>
                        <w:tcW w:w="1984" w:type="dxa"/>
                        <w:tcBorders>
                          <w:top w:val="nil" w:sz="6" w:space="0" w:color="auto"/>
                          <w:left w:val="single" w:sz="4" w:space="0" w:color="000000"/>
                          <w:bottom w:val="nil" w:sz="6" w:space="0" w:color="auto"/>
                          <w:right w:val="single" w:sz="4" w:space="0" w:color="000000"/>
                        </w:tcBorders>
                        <w:shd w:val="clear" w:color="auto" w:fill="D2D2D2"/>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务，公司增加互联网文化娱乐产业；</w:t>
                        </w:r>
                      </w:p>
                    </w:tc>
                  </w:tr>
                  <w:tr>
                    <w:trPr>
                      <w:trHeight w:val="338" w:hRule="exact"/>
                    </w:trPr>
                    <w:tc>
                      <w:tcPr>
                        <w:tcW w:w="1984" w:type="dxa"/>
                        <w:tcBorders>
                          <w:top w:val="nil" w:sz="6" w:space="0" w:color="auto"/>
                          <w:left w:val="single" w:sz="4" w:space="0" w:color="000000"/>
                          <w:bottom w:val="nil" w:sz="6" w:space="0" w:color="auto"/>
                          <w:right w:val="single" w:sz="4" w:space="0" w:color="000000"/>
                        </w:tcBorders>
                        <w:shd w:val="clear" w:color="auto" w:fill="D2D2D2"/>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日，公司经营范围增加</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智能设备及软件、机器人及零部件、机器人系统、机器人</w:t>
                        </w:r>
                      </w:p>
                    </w:tc>
                  </w:tr>
                  <w:tr>
                    <w:trPr>
                      <w:trHeight w:val="307" w:hRule="exact"/>
                    </w:trPr>
                    <w:tc>
                      <w:tcPr>
                        <w:tcW w:w="1984" w:type="dxa"/>
                        <w:tcBorders>
                          <w:top w:val="nil" w:sz="6" w:space="0" w:color="auto"/>
                          <w:left w:val="single" w:sz="4" w:space="0" w:color="000000"/>
                          <w:bottom w:val="nil" w:sz="6" w:space="0" w:color="auto"/>
                          <w:right w:val="single" w:sz="4" w:space="0" w:color="000000"/>
                        </w:tcBorders>
                        <w:shd w:val="clear" w:color="auto" w:fill="D2D2D2"/>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应用技术、软件产品、无人驾驶物流车整体技术、中低速无人驾驶系统、无人驾驶物流车的研发</w:t>
                        </w:r>
                      </w:p>
                    </w:tc>
                  </w:tr>
                  <w:tr>
                    <w:trPr>
                      <w:trHeight w:val="360"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设计、生产、销售、咨询及服务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01"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 </w:t>
                        </w:r>
                        <w:r>
                          <w:rPr>
                            <w:rFonts w:ascii="宋体" w:hAnsi="宋体" w:cs="宋体" w:eastAsia="宋体" w:hint="default"/>
                            <w:sz w:val="18"/>
                            <w:szCs w:val="18"/>
                          </w:rPr>
                          <w:t>年至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日，公司控股股东兼实际控制人为吕晓义、何平、任金生；</w:t>
                        </w:r>
                      </w:p>
                    </w:tc>
                  </w:tr>
                  <w:tr>
                    <w:trPr>
                      <w:trHeight w:val="503" w:hRule="exact"/>
                    </w:trPr>
                    <w:tc>
                      <w:tcPr>
                        <w:tcW w:w="19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82" w:lineRule="exact"/>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况（如有）</w:t>
                        </w: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日，公司控股股东兼实际控制人为何平、任金生；</w:t>
                        </w:r>
                      </w:p>
                    </w:tc>
                  </w:tr>
                  <w:tr>
                    <w:trPr>
                      <w:trHeight w:val="302"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6"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日至今，公司控股股东为中驰惠程，实际控制人为汪超涌、李亦非。</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before="44"/>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0" w:right="114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2"/>
        <w:spacing w:line="240" w:lineRule="auto" w:before="26"/>
        <w:ind w:right="1133"/>
        <w:jc w:val="left"/>
        <w:rPr>
          <w:b w:val="0"/>
          <w:bCs w:val="0"/>
        </w:rPr>
      </w:pPr>
      <w:r>
        <w:rPr/>
        <w:t>五、其他有关资料</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上会会计师事务所（特殊普通合伙）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上海市威海路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755 </w:t>
            </w:r>
            <w:r>
              <w:rPr>
                <w:rFonts w:ascii="宋体" w:hAnsi="宋体" w:cs="宋体" w:eastAsia="宋体" w:hint="default"/>
                <w:sz w:val="18"/>
                <w:szCs w:val="18"/>
              </w:rPr>
              <w:t>号文新报业大厦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楼</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张晓荣、唐慧珏</w:t>
            </w:r>
          </w:p>
        </w:tc>
      </w:tr>
    </w:tbl>
    <w:p>
      <w:pPr>
        <w:pStyle w:val="BodyText"/>
        <w:spacing w:line="240" w:lineRule="auto" w:before="49"/>
        <w:ind w:right="1133"/>
        <w:jc w:val="left"/>
      </w:pPr>
      <w:r>
        <w:rPr/>
        <w:t>公司聘请的报告期内履行持续督导职责的保荐机构</w:t>
      </w:r>
    </w:p>
    <w:p>
      <w:pPr>
        <w:pStyle w:val="BodyText"/>
        <w:spacing w:line="33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062"/>
        <w:gridCol w:w="3161"/>
        <w:gridCol w:w="1860"/>
        <w:gridCol w:w="2614"/>
      </w:tblGrid>
      <w:tr>
        <w:trPr>
          <w:trHeight w:val="401" w:hRule="exact"/>
        </w:trPr>
        <w:tc>
          <w:tcPr>
            <w:tcW w:w="2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54"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4"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上海市黄浦区广东路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689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彭成浩、李希</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1"/>
        <w:gridCol w:w="1574"/>
        <w:gridCol w:w="1560"/>
        <w:gridCol w:w="1738"/>
        <w:gridCol w:w="1735"/>
      </w:tblGrid>
      <w:tr>
        <w:trPr>
          <w:trHeight w:val="401" w:hRule="exact"/>
        </w:trPr>
        <w:tc>
          <w:tcPr>
            <w:tcW w:w="29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1,898,158,382.53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373,172,726.25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288,618,425.48</w:t>
            </w:r>
          </w:p>
        </w:tc>
      </w:tr>
      <w:tr>
        <w:trPr>
          <w:trHeight w:val="401" w:hRule="exact"/>
        </w:trPr>
        <w:tc>
          <w:tcPr>
            <w:tcW w:w="2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5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336,389,804.53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-107,607,635.77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75,912,490.21</w:t>
            </w:r>
          </w:p>
        </w:tc>
      </w:tr>
      <w:tr>
        <w:trPr>
          <w:trHeight w:val="715" w:hRule="exact"/>
        </w:trPr>
        <w:tc>
          <w:tcPr>
            <w:tcW w:w="2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8"/>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5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261,472,491.31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-115,438,310.62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326.50%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39,723,846.33</w:t>
            </w:r>
          </w:p>
        </w:tc>
      </w:tr>
      <w:tr>
        <w:trPr>
          <w:trHeight w:val="401" w:hRule="exact"/>
        </w:trPr>
        <w:tc>
          <w:tcPr>
            <w:tcW w:w="2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308,950,003.63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-5,470,546.80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5,747.52%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-646,210.28</w:t>
            </w:r>
          </w:p>
        </w:tc>
      </w:tr>
      <w:tr>
        <w:trPr>
          <w:trHeight w:val="403" w:hRule="exact"/>
        </w:trPr>
        <w:tc>
          <w:tcPr>
            <w:tcW w:w="2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0.09</w:t>
            </w:r>
          </w:p>
        </w:tc>
      </w:tr>
      <w:tr>
        <w:trPr>
          <w:trHeight w:val="401" w:hRule="exact"/>
        </w:trPr>
        <w:tc>
          <w:tcPr>
            <w:tcW w:w="2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0.09</w:t>
            </w:r>
          </w:p>
        </w:tc>
      </w:tr>
      <w:tr>
        <w:trPr>
          <w:trHeight w:val="403" w:hRule="exact"/>
        </w:trPr>
        <w:tc>
          <w:tcPr>
            <w:tcW w:w="2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6.09%</w:t>
            </w:r>
          </w:p>
        </w:tc>
      </w:tr>
      <w:tr>
        <w:trPr>
          <w:trHeight w:val="401" w:hRule="exact"/>
        </w:trPr>
        <w:tc>
          <w:tcPr>
            <w:tcW w:w="29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3,701,460,497.85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3,234,129,192.61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2,042,288,378.46</w:t>
            </w:r>
          </w:p>
        </w:tc>
      </w:tr>
      <w:tr>
        <w:trPr>
          <w:trHeight w:val="403" w:hRule="exact"/>
        </w:trPr>
        <w:tc>
          <w:tcPr>
            <w:tcW w:w="2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5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1,943,899,800.92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1,349,637,156.94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1,354,350,780.81</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七、境内外会计准则下会计数据差异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8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9"/>
        <w:rPr>
          <w:rFonts w:ascii="宋体" w:hAnsi="宋体" w:cs="宋体" w:eastAsia="宋体" w:hint="default"/>
          <w:sz w:val="19"/>
          <w:szCs w:val="19"/>
        </w:rPr>
      </w:pPr>
    </w:p>
    <w:p>
      <w:pPr>
        <w:pStyle w:val="Heading2"/>
        <w:spacing w:line="240" w:lineRule="auto"/>
        <w:ind w:right="1133"/>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604,057,765.92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517,459,917.94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400,601,644.02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376,039,054.65</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156,162,545.94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93,727,307.84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75,873,908.77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10,626,041.98</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154,818,894.71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93,185,068.63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75,611,082.69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-62,142,554.72</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10,885,271.63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4,025,736.28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156,340,063.68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137,698,932.04</w:t>
            </w:r>
          </w:p>
        </w:tc>
      </w:tr>
    </w:tbl>
    <w:p>
      <w:pPr>
        <w:pStyle w:val="BodyText"/>
        <w:spacing w:line="240" w:lineRule="auto" w:before="49"/>
        <w:ind w:right="1133"/>
        <w:jc w:val="left"/>
      </w:pPr>
      <w:r>
        <w:rPr/>
        <w:t>上述财务指标或其加总数是否与公司已披露季度报告、半年度报告相关财务指标存在重大差异</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9" w:lineRule="auto" w:before="44"/>
        <w:ind w:right="111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w:t>
      </w:r>
      <w:r>
        <w:rPr>
          <w:spacing w:val="-2"/>
        </w:rPr>
        <w:t>注：受</w:t>
      </w:r>
      <w:r>
        <w:rPr>
          <w:rFonts w:ascii="Times New Roman" w:hAnsi="Times New Roman" w:cs="Times New Roman" w:eastAsia="Times New Roman" w:hint="default"/>
          <w:spacing w:val="-2"/>
        </w:rPr>
        <w:t>2018</w:t>
      </w:r>
      <w:r>
        <w:rPr>
          <w:spacing w:val="-2"/>
        </w:rPr>
        <w:t>年底游戏市场环境竞争白热化以及游戏政策收紧等多方面因素的影响，控股子公司哆可梦自研游戏产品上线时间</w:t>
      </w:r>
      <w:r>
        <w:rPr>
          <w:spacing w:val="-62"/>
        </w:rPr>
        <w:t> </w:t>
      </w:r>
      <w:r>
        <w:rPr>
          <w:spacing w:val="-62"/>
        </w:rPr>
      </w:r>
      <w:r>
        <w:rPr>
          <w:spacing w:val="-2"/>
        </w:rPr>
        <w:t>推迟、实际上线的代理游戏产品数量少于预期且正式推出时间晚于预期，同时公司报告期新成立的控股子公司上海季娱第四</w:t>
      </w:r>
      <w:r>
        <w:rPr>
          <w:spacing w:val="-63"/>
        </w:rPr>
        <w:t> </w:t>
      </w:r>
      <w:r>
        <w:rPr>
          <w:spacing w:val="-63"/>
        </w:rPr>
      </w:r>
      <w:r>
        <w:rPr>
          <w:spacing w:val="-2"/>
        </w:rPr>
        <w:t>季度开始正式开展业务，尚处于业务开发期和成长期，尚未实现盈利，导致本报告期第四季度归属于上市公司股东的净利润</w:t>
      </w:r>
      <w:r>
        <w:rPr>
          <w:spacing w:val="-63"/>
        </w:rPr>
        <w:t> </w:t>
      </w:r>
      <w:r>
        <w:rPr>
          <w:spacing w:val="-63"/>
        </w:rPr>
      </w:r>
      <w:r>
        <w:rPr/>
        <w:t>减少。</w:t>
      </w:r>
    </w:p>
    <w:p>
      <w:pPr>
        <w:pStyle w:val="BodyText"/>
        <w:spacing w:line="316" w:lineRule="auto" w:before="17"/>
        <w:ind w:right="1133" w:firstLine="288"/>
        <w:jc w:val="left"/>
      </w:pPr>
      <w:r>
        <w:rPr>
          <w:spacing w:val="-1"/>
        </w:rPr>
        <w:t>本报告期内公司处置产业并购基金出资份额所确认的投资收益经与会计师沟通确认应计入非经常性损益，故在本报告期</w:t>
      </w:r>
      <w:r>
        <w:rPr/>
        <w:t> 第四季度进行调整，导致公司第四季度归属于上市公司股东的扣除非经常性损益的净利润出现较大波动。</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九、非经常性损益项目及金额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84,966,767.30</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1,800,087.98</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28,477,759.46</w:t>
            </w:r>
          </w:p>
        </w:tc>
        <w:tc>
          <w:tcPr>
            <w:tcW w:w="1711"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主要系报告期内处置 产业并购基金出资份 额和闲置房产所致</w:t>
            </w:r>
          </w:p>
        </w:tc>
      </w:tr>
      <w:tr>
        <w:trPr>
          <w:trHeight w:val="706"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161"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317"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46" w:right="0"/>
              <w:jc w:val="left"/>
              <w:rPr>
                <w:rFonts w:ascii="Times New Roman" w:hAnsi="Times New Roman" w:cs="Times New Roman" w:eastAsia="Times New Roman" w:hint="default"/>
                <w:sz w:val="18"/>
                <w:szCs w:val="18"/>
              </w:rPr>
            </w:pPr>
            <w:r>
              <w:rPr>
                <w:rFonts w:ascii="Times New Roman"/>
                <w:sz w:val="18"/>
              </w:rPr>
              <w:t>3,863,955.89</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7" w:right="0"/>
              <w:jc w:val="left"/>
              <w:rPr>
                <w:rFonts w:ascii="Times New Roman" w:hAnsi="Times New Roman" w:cs="Times New Roman" w:eastAsia="Times New Roman" w:hint="default"/>
                <w:sz w:val="18"/>
                <w:szCs w:val="18"/>
              </w:rPr>
            </w:pPr>
            <w:r>
              <w:rPr>
                <w:rFonts w:ascii="Times New Roman"/>
                <w:sz w:val="18"/>
              </w:rPr>
              <w:t>712,443.23</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9" w:right="0"/>
              <w:jc w:val="left"/>
              <w:rPr>
                <w:rFonts w:ascii="Times New Roman" w:hAnsi="Times New Roman" w:cs="Times New Roman" w:eastAsia="Times New Roman" w:hint="default"/>
                <w:sz w:val="18"/>
                <w:szCs w:val="18"/>
              </w:rPr>
            </w:pPr>
            <w:r>
              <w:rPr>
                <w:rFonts w:ascii="Times New Roman"/>
                <w:sz w:val="18"/>
              </w:rPr>
              <w:t>326,493.93</w:t>
            </w:r>
          </w:p>
        </w:tc>
        <w:tc>
          <w:tcPr>
            <w:tcW w:w="1711"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主要系符合地方政府 招商引资等地方性扶 持政策而获得的补助 以及增值税及个税返 还</w:t>
            </w:r>
          </w:p>
        </w:tc>
      </w:tr>
      <w:tr>
        <w:trPr>
          <w:trHeight w:val="1015"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317"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-19,177.50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-352,966.93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0" w:right="0"/>
              <w:jc w:val="left"/>
              <w:rPr>
                <w:rFonts w:ascii="Times New Roman" w:hAnsi="Times New Roman" w:cs="Times New Roman" w:eastAsia="Times New Roman" w:hint="default"/>
                <w:sz w:val="18"/>
                <w:szCs w:val="18"/>
              </w:rPr>
            </w:pPr>
            <w:r>
              <w:rPr>
                <w:rFonts w:ascii="Times New Roman"/>
                <w:sz w:val="18"/>
              </w:rPr>
              <w:t>-179,500.00</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6,690,989.32</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16,819,549.37</w:t>
            </w:r>
          </w:p>
        </w:tc>
        <w:tc>
          <w:tcPr>
            <w:tcW w:w="1711"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报告期内公司所持投 资性房地产市值波动 所致</w:t>
            </w:r>
          </w:p>
        </w:tc>
      </w:tr>
      <w:tr>
        <w:trPr>
          <w:trHeight w:val="706"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161"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317"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0" w:right="0"/>
              <w:jc w:val="left"/>
              <w:rPr>
                <w:rFonts w:ascii="Times New Roman" w:hAnsi="Times New Roman" w:cs="Times New Roman" w:eastAsia="Times New Roman" w:hint="default"/>
                <w:sz w:val="18"/>
                <w:szCs w:val="18"/>
              </w:rPr>
            </w:pPr>
            <w:r>
              <w:rPr>
                <w:rFonts w:ascii="Times New Roman"/>
                <w:sz w:val="18"/>
              </w:rPr>
              <w:t>-305,793.53</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7" w:right="0"/>
              <w:jc w:val="left"/>
              <w:rPr>
                <w:rFonts w:ascii="Times New Roman" w:hAnsi="Times New Roman" w:cs="Times New Roman" w:eastAsia="Times New Roman" w:hint="default"/>
                <w:sz w:val="18"/>
                <w:szCs w:val="18"/>
              </w:rPr>
            </w:pPr>
            <w:r>
              <w:rPr>
                <w:rFonts w:ascii="Times New Roman"/>
                <w:sz w:val="18"/>
              </w:rPr>
              <w:t>556,406.82</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-758,213.02</w:t>
            </w:r>
          </w:p>
        </w:tc>
        <w:tc>
          <w:tcPr>
            <w:tcW w:w="1711"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主要系无法支付的应 付账款、收到的违约 金所致</w:t>
            </w:r>
          </w:p>
        </w:tc>
      </w:tr>
      <w:tr>
        <w:trPr>
          <w:trHeight w:val="391"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317"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13,144,004.26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1,906,979.66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8,323,978.93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284,112.18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3,095.34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74,917,313.22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7,830,674.85</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36,188,643.88</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64"/>
        <w:gridCol w:w="2127"/>
        <w:gridCol w:w="5180"/>
      </w:tblGrid>
      <w:tr>
        <w:trPr>
          <w:trHeight w:val="401"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69"/>
              <w:jc w:val="left"/>
              <w:rPr>
                <w:rFonts w:ascii="宋体" w:hAnsi="宋体" w:cs="宋体" w:eastAsia="宋体" w:hint="default"/>
                <w:sz w:val="18"/>
                <w:szCs w:val="18"/>
              </w:rPr>
            </w:pPr>
            <w:r>
              <w:rPr>
                <w:rFonts w:ascii="宋体" w:hAnsi="宋体" w:cs="宋体" w:eastAsia="宋体" w:hint="default"/>
                <w:sz w:val="18"/>
                <w:szCs w:val="18"/>
              </w:rPr>
              <w:t>惠程本部、惠程智能股权投 资、理财产品收益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112,326,547.76</w:t>
            </w: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4"/>
              <w:jc w:val="both"/>
              <w:rPr>
                <w:rFonts w:ascii="宋体" w:hAnsi="宋体" w:cs="宋体" w:eastAsia="宋体" w:hint="default"/>
                <w:sz w:val="18"/>
                <w:szCs w:val="18"/>
              </w:rPr>
            </w:pPr>
            <w:r>
              <w:rPr>
                <w:rFonts w:ascii="宋体" w:hAnsi="宋体" w:cs="宋体" w:eastAsia="宋体" w:hint="default"/>
                <w:sz w:val="18"/>
                <w:szCs w:val="18"/>
              </w:rPr>
              <w:t>公司为了产业升级参与的基金投资业务与公司理财业务均属于经 常性业务，未来将持续进行，收益可持续且稳定；符合经常性损 益与主营业务相关且持续稳定的特性。</w:t>
            </w:r>
          </w:p>
        </w:tc>
      </w:tr>
      <w:tr>
        <w:trPr>
          <w:trHeight w:val="1339"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69"/>
              <w:jc w:val="both"/>
              <w:rPr>
                <w:rFonts w:ascii="宋体" w:hAnsi="宋体" w:cs="宋体" w:eastAsia="宋体" w:hint="default"/>
                <w:sz w:val="18"/>
                <w:szCs w:val="18"/>
              </w:rPr>
            </w:pPr>
            <w:r>
              <w:rPr>
                <w:rFonts w:ascii="宋体" w:hAnsi="宋体" w:cs="宋体" w:eastAsia="宋体" w:hint="default"/>
                <w:sz w:val="18"/>
                <w:szCs w:val="18"/>
              </w:rPr>
              <w:t>北京中汇联银、中汇联鑫、 喀什中汇联银证券、股权、 理财投资收益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-19,429,835.53</w:t>
            </w: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both"/>
              <w:rPr>
                <w:rFonts w:ascii="宋体" w:hAnsi="宋体" w:cs="宋体" w:eastAsia="宋体" w:hint="default"/>
                <w:sz w:val="18"/>
                <w:szCs w:val="18"/>
              </w:rPr>
            </w:pPr>
            <w:r>
              <w:rPr>
                <w:rFonts w:ascii="宋体" w:hAnsi="宋体" w:cs="宋体" w:eastAsia="宋体" w:hint="default"/>
                <w:sz w:val="18"/>
                <w:szCs w:val="18"/>
              </w:rPr>
              <w:t>北京中汇联银、中汇联鑫、喀什中汇联银作为公司设立的专门投 资业务平台，主要从事投资类业务，证券、股权、理财投资系三 家子公司经常性发生的业务，具有持续性；符合经常性损益与主 营业务相关且持续稳定的特性。</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3222"/>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0"/>
        <w:jc w:val="both"/>
      </w:pPr>
      <w:r>
        <w:rPr/>
        <w:t>软件与信息技术服务业</w:t>
      </w:r>
    </w:p>
    <w:p>
      <w:pPr>
        <w:pStyle w:val="BodyText"/>
        <w:spacing w:line="240" w:lineRule="auto" w:before="117"/>
        <w:ind w:right="0"/>
        <w:jc w:val="both"/>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57" w:lineRule="auto" w:before="104"/>
        <w:ind w:left="513" w:right="0"/>
        <w:jc w:val="left"/>
      </w:pPr>
      <w:r>
        <w:rPr/>
        <w:t>（一）报告期内公司所从事的主要业务情况 </w:t>
      </w:r>
      <w:r>
        <w:rPr>
          <w:spacing w:val="-2"/>
        </w:rPr>
        <w:t>公司坚持以技术创新引领市场，为客户、员工、股东、社会持续创造价值为宗旨，一方面，借助</w:t>
      </w:r>
      <w:r>
        <w:rPr>
          <w:rFonts w:ascii="Times New Roman" w:hAnsi="Times New Roman" w:cs="Times New Roman" w:eastAsia="Times New Roman" w:hint="default"/>
          <w:spacing w:val="-2"/>
        </w:rPr>
        <w:t>20</w:t>
      </w:r>
      <w:r>
        <w:rPr>
          <w:spacing w:val="-2"/>
        </w:rPr>
        <w:t>年电气行业的深厚技</w:t>
      </w:r>
    </w:p>
    <w:p>
      <w:pPr>
        <w:pStyle w:val="BodyText"/>
        <w:spacing w:line="201" w:lineRule="exact"/>
        <w:ind w:right="0"/>
        <w:jc w:val="both"/>
      </w:pPr>
      <w:r>
        <w:rPr/>
        <w:t>术积累和客户资源</w:t>
      </w:r>
      <w:r>
        <w:rPr>
          <w:spacing w:val="-87"/>
        </w:rPr>
        <w:t>，</w:t>
      </w:r>
      <w:r>
        <w:rPr/>
        <w:t>抓住智能化和信息化的物联网创新发展机遇</w:t>
      </w:r>
      <w:r>
        <w:rPr>
          <w:spacing w:val="-87"/>
        </w:rPr>
        <w:t>，</w:t>
      </w:r>
      <w:r>
        <w:rPr/>
        <w:t>夯实电气业务基础并实现向高端智能制造领域的战略转型；</w:t>
      </w:r>
    </w:p>
    <w:p>
      <w:pPr>
        <w:pStyle w:val="BodyText"/>
        <w:spacing w:line="309" w:lineRule="auto" w:before="76"/>
        <w:ind w:right="1131"/>
        <w:jc w:val="both"/>
      </w:pPr>
      <w:r>
        <w:rPr>
          <w:spacing w:val="-2"/>
        </w:rPr>
        <w:t>另一方面，发挥公司投资业务功效，整合成长性高、发展潜力大的互联网文娱资源，培育公司新的利润增长点，公司目前已</w:t>
      </w:r>
      <w:r>
        <w:rPr>
          <w:spacing w:val="-66"/>
        </w:rPr>
        <w:t> </w:t>
      </w:r>
      <w:r>
        <w:rPr>
          <w:spacing w:val="-66"/>
        </w:rPr>
      </w:r>
      <w:r>
        <w:rPr>
          <w:spacing w:val="-1"/>
        </w:rPr>
        <w:t>形成</w:t>
      </w:r>
      <w:r>
        <w:rPr>
          <w:rFonts w:ascii="Times New Roman" w:hAnsi="Times New Roman" w:cs="Times New Roman" w:eastAsia="Times New Roman" w:hint="default"/>
          <w:spacing w:val="-1"/>
        </w:rPr>
        <w:t>“</w:t>
      </w:r>
      <w:r>
        <w:rPr>
          <w:spacing w:val="-1"/>
        </w:rPr>
        <w:t>高端智能制造</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互联网综合服务</w:t>
      </w:r>
      <w:r>
        <w:rPr>
          <w:rFonts w:ascii="Times New Roman" w:hAnsi="Times New Roman" w:cs="Times New Roman" w:eastAsia="Times New Roman" w:hint="default"/>
          <w:spacing w:val="-1"/>
        </w:rPr>
        <w:t>”</w:t>
      </w:r>
      <w:r>
        <w:rPr>
          <w:spacing w:val="-1"/>
        </w:rPr>
        <w:t>双轮驱动的多业务板块支撑格局，提高了公司抗风险性，有利于公司稳健、良性发</w:t>
      </w:r>
      <w:r>
        <w:rPr>
          <w:spacing w:val="-79"/>
        </w:rPr>
        <w:t> </w:t>
      </w:r>
      <w:r>
        <w:rPr>
          <w:spacing w:val="-79"/>
        </w:rPr>
      </w:r>
      <w:r>
        <w:rPr/>
        <w:t>展。</w:t>
      </w:r>
    </w:p>
    <w:p>
      <w:pPr>
        <w:pStyle w:val="BodyText"/>
        <w:spacing w:line="312" w:lineRule="auto" w:before="65"/>
        <w:ind w:right="0" w:firstLine="360"/>
        <w:jc w:val="left"/>
      </w:pPr>
      <w:r>
        <w:rPr>
          <w:spacing w:val="-2"/>
        </w:rPr>
        <w:t>公司高端智能制造以电气业务为基础，跨足布局现代智能机器人领域。公司在电气设备以新型高分子电气绝缘材料技术</w:t>
      </w:r>
      <w:r>
        <w:rPr/>
        <w:t> 为特色核心优势的基础之上，加大对配电设备一二次融合</w:t>
      </w:r>
      <w:r>
        <w:rPr>
          <w:rFonts w:ascii="Times New Roman" w:hAnsi="Times New Roman" w:cs="Times New Roman" w:eastAsia="Times New Roman" w:hint="default"/>
        </w:rPr>
        <w:t>/</w:t>
      </w:r>
      <w:r>
        <w:rPr/>
        <w:t>智能成套产品的研发力度，</w:t>
      </w:r>
      <w:r>
        <w:rPr>
          <w:rFonts w:ascii="Times New Roman" w:hAnsi="Times New Roman" w:cs="Times New Roman" w:eastAsia="Times New Roman" w:hint="default"/>
        </w:rPr>
        <w:t>2018</w:t>
      </w:r>
      <w:r>
        <w:rPr/>
        <w:t>年成立了</w:t>
      </w:r>
      <w:r>
        <w:rPr>
          <w:rFonts w:ascii="Times New Roman" w:hAnsi="Times New Roman" w:cs="Times New Roman" w:eastAsia="Times New Roman" w:hint="default"/>
        </w:rPr>
        <w:t>220KV</w:t>
      </w:r>
      <w:r>
        <w:rPr/>
        <w:t>的高压设备检测 </w:t>
      </w:r>
      <w:r>
        <w:rPr>
          <w:spacing w:val="-2"/>
        </w:rPr>
        <w:t>实验室，并已开始小批量交货，向高压电气设备领域跨出了重要一步。公司推动电气设备产品进入技术要求更高的高压领域</w:t>
      </w:r>
      <w:r>
        <w:rPr>
          <w:spacing w:val="-63"/>
        </w:rPr>
        <w:t> </w:t>
      </w:r>
      <w:r>
        <w:rPr>
          <w:spacing w:val="-63"/>
        </w:rPr>
      </w:r>
      <w:r>
        <w:rPr>
          <w:spacing w:val="-2"/>
        </w:rPr>
        <w:t>和智能电网领域，朝着智能、高端、绿色、集成方向发展，致力于提供专业配网装备及综合解决方案。产品包括智能成套开</w:t>
      </w:r>
      <w:r>
        <w:rPr>
          <w:spacing w:val="-68"/>
        </w:rPr>
        <w:t> </w:t>
      </w:r>
      <w:r>
        <w:rPr>
          <w:spacing w:val="-68"/>
        </w:rPr>
      </w:r>
      <w:r>
        <w:rPr>
          <w:spacing w:val="-2"/>
        </w:rPr>
        <w:t>关设备、全密闭绝缘中低压电缆分接箱、电缆对接箱、硅橡胶电缆附件、可分离连接器、外置母线连接器、避雷器、电气接</w:t>
      </w:r>
      <w:r>
        <w:rPr>
          <w:spacing w:val="-73"/>
        </w:rPr>
        <w:t> </w:t>
      </w:r>
      <w:r>
        <w:rPr>
          <w:spacing w:val="-73"/>
        </w:rPr>
      </w:r>
      <w:r>
        <w:rPr/>
        <w:t>点防护罩等硅橡胶绝缘制品、</w:t>
      </w:r>
      <w:r>
        <w:rPr>
          <w:rFonts w:ascii="Times New Roman" w:hAnsi="Times New Roman" w:cs="Times New Roman" w:eastAsia="Times New Roman" w:hint="default"/>
        </w:rPr>
        <w:t>APG</w:t>
      </w:r>
      <w:r>
        <w:rPr/>
        <w:t>环氧树脂产品、管型母线、</w:t>
      </w:r>
      <w:r>
        <w:rPr>
          <w:rFonts w:ascii="Times New Roman" w:hAnsi="Times New Roman" w:cs="Times New Roman" w:eastAsia="Times New Roman" w:hint="default"/>
        </w:rPr>
        <w:t>SMC</w:t>
      </w:r>
      <w:r>
        <w:rPr/>
        <w:t>电气设备箱体等。通过投资无人配送机器人项目并获取 生产制造权，以此为基础布局智能机器人生产制造，加快对高端智能制造领域的深度开拓和发展。</w:t>
      </w:r>
    </w:p>
    <w:p>
      <w:pPr>
        <w:pStyle w:val="BodyText"/>
        <w:spacing w:line="312" w:lineRule="auto" w:before="63"/>
        <w:ind w:right="1034" w:firstLine="360"/>
        <w:jc w:val="left"/>
      </w:pPr>
      <w:r>
        <w:rPr>
          <w:spacing w:val="-2"/>
        </w:rPr>
        <w:t>公司互联网综合服务以控股子公司哆可梦为切入点，以基于大数据精细化营销的流量经营业务和移动游戏的研发、发行</w:t>
      </w:r>
      <w:r>
        <w:rPr/>
        <w:t> 及游戏平台的运营为主营业务，拥有</w:t>
      </w:r>
      <w:r>
        <w:rPr>
          <w:rFonts w:ascii="Times New Roman" w:hAnsi="Times New Roman" w:cs="Times New Roman" w:eastAsia="Times New Roman" w:hint="default"/>
        </w:rPr>
        <w:t>9187.cn</w:t>
      </w:r>
      <w:r>
        <w:rPr/>
        <w:t>（国内）和</w:t>
      </w:r>
      <w:r>
        <w:rPr>
          <w:rFonts w:ascii="Times New Roman" w:hAnsi="Times New Roman" w:cs="Times New Roman" w:eastAsia="Times New Roman" w:hint="default"/>
        </w:rPr>
        <w:t>YahGame</w:t>
      </w:r>
      <w:r>
        <w:rPr/>
        <w:t>（海外）游戏运营平台，已经完成并上线数款精品游戏产 </w:t>
      </w:r>
      <w:r>
        <w:rPr>
          <w:spacing w:val="-5"/>
        </w:rPr>
        <w:t>品，包括《浩天奇缘》、《斗罗大陆神界传说》、《神话大陆》、《天地豪侠》、《斩龙传》、《天使圣域》、《文明曙光》</w:t>
      </w:r>
      <w:r>
        <w:rPr>
          <w:spacing w:val="-81"/>
        </w:rPr>
        <w:t> </w:t>
      </w:r>
      <w:r>
        <w:rPr>
          <w:spacing w:val="-81"/>
        </w:rPr>
      </w:r>
      <w:r>
        <w:rPr/>
        <w:t>等，产品类型覆盖</w:t>
      </w:r>
      <w:r>
        <w:rPr>
          <w:rFonts w:ascii="Times New Roman" w:hAnsi="Times New Roman" w:cs="Times New Roman" w:eastAsia="Times New Roman" w:hint="default"/>
        </w:rPr>
        <w:t>MMORPG</w:t>
      </w:r>
      <w:r>
        <w:rPr/>
        <w:t>、</w:t>
      </w:r>
      <w:r>
        <w:rPr>
          <w:rFonts w:ascii="Times New Roman" w:hAnsi="Times New Roman" w:cs="Times New Roman" w:eastAsia="Times New Roman" w:hint="default"/>
        </w:rPr>
        <w:t>2D</w:t>
      </w:r>
      <w:r>
        <w:rPr/>
        <w:t>卡牌、</w:t>
      </w:r>
      <w:r>
        <w:rPr>
          <w:rFonts w:ascii="Times New Roman" w:hAnsi="Times New Roman" w:cs="Times New Roman" w:eastAsia="Times New Roman" w:hint="default"/>
        </w:rPr>
        <w:t>3D</w:t>
      </w:r>
      <w:r>
        <w:rPr/>
        <w:t>动作</w:t>
      </w:r>
      <w:r>
        <w:rPr>
          <w:rFonts w:ascii="Times New Roman" w:hAnsi="Times New Roman" w:cs="Times New Roman" w:eastAsia="Times New Roman" w:hint="default"/>
        </w:rPr>
        <w:t>RPG</w:t>
      </w:r>
      <w:r>
        <w:rPr/>
        <w:t>、</w:t>
      </w:r>
      <w:r>
        <w:rPr>
          <w:rFonts w:ascii="Times New Roman" w:hAnsi="Times New Roman" w:cs="Times New Roman" w:eastAsia="Times New Roman" w:hint="default"/>
        </w:rPr>
        <w:t>SLG</w:t>
      </w:r>
      <w:r>
        <w:rPr/>
        <w:t>等，产品内容涉及东方玄幻、西方魔幻以及异次元文化等，注重 </w:t>
      </w:r>
      <w:r>
        <w:rPr>
          <w:spacing w:val="-2"/>
        </w:rPr>
        <w:t>运营游戏的内容合法、合规，不断提高自研游戏产品的质量标准，加强代理游戏的精细化筛选；充分利用大数据、智能科技</w:t>
      </w:r>
      <w:r>
        <w:rPr>
          <w:spacing w:val="-67"/>
        </w:rPr>
        <w:t> </w:t>
      </w:r>
      <w:r>
        <w:rPr>
          <w:spacing w:val="-67"/>
        </w:rPr>
      </w:r>
      <w:r>
        <w:rPr/>
        <w:t>获取和分析玩家的感受和需求，提高玩家的多感知性、存在感、交互性和自主性，重点开发策略类、益智类、功能性游戏，</w:t>
      </w:r>
      <w:r>
        <w:rPr>
          <w:spacing w:val="-86"/>
        </w:rPr>
        <w:t> </w:t>
      </w:r>
      <w:r>
        <w:rPr>
          <w:spacing w:val="-86"/>
        </w:rPr>
      </w:r>
      <w:r>
        <w:rPr>
          <w:spacing w:val="-2"/>
        </w:rPr>
        <w:t>使游戏不仅简单满足玩家的娱乐性，更成为玩家获取知识与信息、进行有效沟通的一个重要渠道和方式，增强游戏正能量的</w:t>
      </w:r>
      <w:r>
        <w:rPr>
          <w:spacing w:val="-63"/>
        </w:rPr>
        <w:t> </w:t>
      </w:r>
      <w:r>
        <w:rPr>
          <w:spacing w:val="-63"/>
        </w:rPr>
      </w:r>
      <w:r>
        <w:rPr/>
        <w:t>文化传播性。</w:t>
      </w:r>
    </w:p>
    <w:p>
      <w:pPr>
        <w:pStyle w:val="BodyText"/>
        <w:spacing w:line="316" w:lineRule="auto" w:before="61"/>
        <w:ind w:right="1131" w:firstLine="360"/>
        <w:jc w:val="both"/>
      </w:pPr>
      <w:r>
        <w:rPr>
          <w:spacing w:val="-2"/>
        </w:rPr>
        <w:t>公司投资业务主要涵盖以资金管理和运用为主的理财产品投资、证券投资和股权投资。为提升公司盈利能力，积极探索</w:t>
      </w:r>
      <w:r>
        <w:rPr/>
        <w:t> </w:t>
      </w:r>
      <w:r>
        <w:rPr>
          <w:spacing w:val="-2"/>
        </w:rPr>
        <w:t>和尝试以自身或参与的产业并购基金等为主体、以公司发展战略为导向、围绕公司高端智能制造和互联网综合服务开展的外</w:t>
      </w:r>
      <w:r>
        <w:rPr>
          <w:spacing w:val="-63"/>
        </w:rPr>
        <w:t> </w:t>
      </w:r>
      <w:r>
        <w:rPr>
          <w:spacing w:val="-63"/>
        </w:rPr>
      </w:r>
      <w:r>
        <w:rPr/>
        <w:t>延式发展，以投资推动公司产业转型与升级并助力被投企业的发展，实现公司与被投企业的双赢。</w:t>
      </w:r>
    </w:p>
    <w:p>
      <w:pPr>
        <w:pStyle w:val="BodyText"/>
        <w:spacing w:line="357" w:lineRule="auto" w:before="59"/>
        <w:ind w:left="513" w:right="6433"/>
        <w:jc w:val="left"/>
        <w:rPr>
          <w:rFonts w:ascii="宋体" w:hAnsi="宋体" w:cs="宋体" w:eastAsia="宋体" w:hint="default"/>
        </w:rPr>
      </w:pPr>
      <w:r>
        <w:rPr/>
        <w:t>（二）报告期内公司所属行业情况 报告期内公司所属行业均不具有明显周期性特点。 </w:t>
      </w:r>
      <w:r>
        <w:rPr>
          <w:rFonts w:ascii="宋体" w:hAnsi="宋体" w:cs="宋体" w:eastAsia="宋体" w:hint="default"/>
          <w:b/>
          <w:bCs/>
        </w:rPr>
        <w:t>高端智能制造行业：</w:t>
      </w:r>
      <w:r>
        <w:rPr>
          <w:rFonts w:ascii="宋体" w:hAnsi="宋体" w:cs="宋体" w:eastAsia="宋体" w:hint="default"/>
        </w:rPr>
      </w:r>
    </w:p>
    <w:p>
      <w:pPr>
        <w:pStyle w:val="BodyText"/>
        <w:spacing w:line="309" w:lineRule="auto" w:before="29"/>
        <w:ind w:right="1046" w:firstLine="360"/>
        <w:jc w:val="left"/>
      </w:pPr>
      <w:r>
        <w:rPr>
          <w:spacing w:val="-2"/>
        </w:rPr>
        <w:t>近年来，国家对电力行业能源结构调整，新型城镇化建设、轨道交通投资、大量新能源并网为公司输配电设备市场带来</w:t>
      </w:r>
      <w:r>
        <w:rPr/>
        <w:t> </w:t>
      </w:r>
      <w:r>
        <w:rPr>
          <w:spacing w:val="-2"/>
        </w:rPr>
        <w:t>了新的增长点和发展机遇。国家电网配网自动化和农网改造工作的落实带动了输配电设备领域快速发展和逐步增长，也带动</w:t>
      </w:r>
      <w:r>
        <w:rPr>
          <w:spacing w:val="-64"/>
        </w:rPr>
        <w:t> </w:t>
      </w:r>
      <w:r>
        <w:rPr>
          <w:spacing w:val="-64"/>
        </w:rPr>
      </w:r>
      <w:r>
        <w:rPr>
          <w:spacing w:val="-2"/>
        </w:rPr>
        <w:t>了输配电设备市场的巨大需求。在国家</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战略的推动下，电网投资规模不断增加，电力装备企业将迎来巨大的市场</w:t>
      </w:r>
      <w:r>
        <w:rPr>
          <w:spacing w:val="-45"/>
        </w:rPr>
        <w:t> </w:t>
      </w:r>
      <w:r>
        <w:rPr>
          <w:spacing w:val="-45"/>
        </w:rPr>
      </w:r>
      <w:r>
        <w:rPr/>
        <w:t>发展空间。根据中国产业信息网发布的《</w:t>
      </w:r>
      <w:r>
        <w:rPr>
          <w:rFonts w:ascii="Times New Roman" w:hAnsi="Times New Roman" w:cs="Times New Roman" w:eastAsia="Times New Roman" w:hint="default"/>
        </w:rPr>
        <w:t>2017</w:t>
      </w:r>
      <w:r>
        <w:rPr/>
        <w:t>年中国输配电及控制设备行业市场概况及行业细分领域需求规模分析》显示， </w:t>
      </w:r>
      <w:r>
        <w:rPr>
          <w:rFonts w:ascii="Times New Roman" w:hAnsi="Times New Roman" w:cs="Times New Roman" w:eastAsia="Times New Roman" w:hint="default"/>
          <w:spacing w:val="-2"/>
        </w:rPr>
        <w:t>2015-2020</w:t>
      </w:r>
      <w:r>
        <w:rPr>
          <w:spacing w:val="-2"/>
        </w:rPr>
        <w:t>年，我国配电网建设改造投资不低于</w:t>
      </w:r>
      <w:r>
        <w:rPr>
          <w:rFonts w:ascii="Times New Roman" w:hAnsi="Times New Roman" w:cs="Times New Roman" w:eastAsia="Times New Roman" w:hint="default"/>
          <w:spacing w:val="-2"/>
        </w:rPr>
        <w:t>2</w:t>
      </w:r>
      <w:r>
        <w:rPr>
          <w:spacing w:val="-2"/>
        </w:rPr>
        <w:t>万亿元，</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期间累计投资不低于</w:t>
      </w:r>
      <w:r>
        <w:rPr>
          <w:rFonts w:ascii="Times New Roman" w:hAnsi="Times New Roman" w:cs="Times New Roman" w:eastAsia="Times New Roman" w:hint="default"/>
          <w:spacing w:val="-2"/>
        </w:rPr>
        <w:t>1.7</w:t>
      </w:r>
      <w:r>
        <w:rPr>
          <w:spacing w:val="-2"/>
        </w:rPr>
        <w:t>万亿元，未来输配电设备市场将迎</w:t>
      </w:r>
    </w:p>
    <w:p>
      <w:pPr>
        <w:spacing w:after="0" w:line="309"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3"/>
        <w:jc w:val="both"/>
      </w:pPr>
      <w:r>
        <w:rPr>
          <w:spacing w:val="-2"/>
        </w:rPr>
        <w:t>来新的发展机遇。报告期内公司电气业务在行业中游稳健发展，同时努力推进电气设备产品进入技术要求更高的高压领域和</w:t>
      </w:r>
      <w:r>
        <w:rPr>
          <w:spacing w:val="-64"/>
        </w:rPr>
        <w:t> </w:t>
      </w:r>
      <w:r>
        <w:rPr>
          <w:spacing w:val="-64"/>
        </w:rPr>
      </w:r>
      <w:r>
        <w:rPr/>
        <w:t>智能电网领域。</w:t>
      </w:r>
    </w:p>
    <w:p>
      <w:pPr>
        <w:pStyle w:val="BodyText"/>
        <w:spacing w:line="307" w:lineRule="auto" w:before="59"/>
        <w:ind w:right="1114" w:firstLine="360"/>
        <w:jc w:val="left"/>
      </w:pPr>
      <w:r>
        <w:rPr>
          <w:spacing w:val="-2"/>
        </w:rPr>
        <w:t>当前我国生产制造智能化改造升级的需求日益凸显，机器人与智能制造是中国制造从大国向强国转变的重要支撑，工业</w:t>
      </w:r>
      <w:r>
        <w:rPr/>
        <w:t> 机器人的市场需求依然旺盛。根据</w:t>
      </w:r>
      <w:r>
        <w:rPr>
          <w:rFonts w:ascii="Times New Roman" w:hAnsi="Times New Roman" w:cs="Times New Roman" w:eastAsia="Times New Roman" w:hint="default"/>
        </w:rPr>
        <w:t>IFR</w:t>
      </w:r>
      <w:r>
        <w:rPr/>
        <w:t>（国际机器人联合会）数据，</w:t>
      </w:r>
      <w:r>
        <w:rPr>
          <w:rFonts w:ascii="Times New Roman" w:hAnsi="Times New Roman" w:cs="Times New Roman" w:eastAsia="Times New Roman" w:hint="default"/>
        </w:rPr>
        <w:t>2017</w:t>
      </w:r>
      <w:r>
        <w:rPr/>
        <w:t>年中国机器人销量达</w:t>
      </w:r>
      <w:r>
        <w:rPr>
          <w:rFonts w:ascii="Times New Roman" w:hAnsi="Times New Roman" w:cs="Times New Roman" w:eastAsia="Times New Roman" w:hint="default"/>
        </w:rPr>
        <w:t>13.8</w:t>
      </w:r>
      <w:r>
        <w:rPr/>
        <w:t>万台</w:t>
      </w:r>
      <w:r>
        <w:rPr>
          <w:rFonts w:ascii="Times New Roman" w:hAnsi="Times New Roman" w:cs="Times New Roman" w:eastAsia="Times New Roman" w:hint="default"/>
        </w:rPr>
        <w:t>(</w:t>
      </w:r>
      <w:r>
        <w:rPr/>
        <w:t>同比增长</w:t>
      </w:r>
      <w:r>
        <w:rPr>
          <w:rFonts w:ascii="Times New Roman" w:hAnsi="Times New Roman" w:cs="Times New Roman" w:eastAsia="Times New Roman" w:hint="default"/>
        </w:rPr>
        <w:t>58.6%)</w:t>
      </w:r>
      <w:r>
        <w:rPr/>
        <w:t>，销</w:t>
      </w:r>
      <w:r>
        <w:rPr>
          <w:spacing w:val="-3"/>
        </w:rPr>
        <w:t> </w:t>
      </w:r>
      <w:r>
        <w:rPr/>
        <w:t>售额</w:t>
      </w:r>
      <w:r>
        <w:rPr>
          <w:rFonts w:ascii="Times New Roman" w:hAnsi="Times New Roman" w:cs="Times New Roman" w:eastAsia="Times New Roman" w:hint="default"/>
        </w:rPr>
        <w:t>51.2</w:t>
      </w:r>
      <w:r>
        <w:rPr/>
        <w:t>亿美元</w:t>
      </w:r>
      <w:r>
        <w:rPr>
          <w:rFonts w:ascii="Times New Roman" w:hAnsi="Times New Roman" w:cs="Times New Roman" w:eastAsia="Times New Roman" w:hint="default"/>
        </w:rPr>
        <w:t>(</w:t>
      </w:r>
      <w:r>
        <w:rPr/>
        <w:t>同比增长</w:t>
      </w:r>
      <w:r>
        <w:rPr>
          <w:rFonts w:ascii="Times New Roman" w:hAnsi="Times New Roman" w:cs="Times New Roman" w:eastAsia="Times New Roman" w:hint="default"/>
        </w:rPr>
        <w:t>50.5%)</w:t>
      </w:r>
      <w:r>
        <w:rPr/>
        <w:t>，连续</w:t>
      </w:r>
      <w:r>
        <w:rPr>
          <w:rFonts w:ascii="Times New Roman" w:hAnsi="Times New Roman" w:cs="Times New Roman" w:eastAsia="Times New Roman" w:hint="default"/>
        </w:rPr>
        <w:t>5</w:t>
      </w:r>
      <w:r>
        <w:rPr/>
        <w:t>年成为全球最大工业机器人市场，</w:t>
      </w:r>
      <w:r>
        <w:rPr>
          <w:rFonts w:ascii="Times New Roman" w:hAnsi="Times New Roman" w:cs="Times New Roman" w:eastAsia="Times New Roman" w:hint="default"/>
        </w:rPr>
        <w:t>2017</w:t>
      </w:r>
      <w:r>
        <w:rPr/>
        <w:t>年中国工业机器人保有量</w:t>
      </w:r>
      <w:r>
        <w:rPr>
          <w:rFonts w:ascii="Times New Roman" w:hAnsi="Times New Roman" w:cs="Times New Roman" w:eastAsia="Times New Roman" w:hint="default"/>
        </w:rPr>
        <w:t>45.1</w:t>
      </w:r>
      <w:r>
        <w:rPr/>
        <w:t>万台，全球占 比从</w:t>
      </w:r>
      <w:r>
        <w:rPr>
          <w:rFonts w:ascii="Times New Roman" w:hAnsi="Times New Roman" w:cs="Times New Roman" w:eastAsia="Times New Roman" w:hint="default"/>
        </w:rPr>
        <w:t>2012</w:t>
      </w:r>
      <w:r>
        <w:rPr/>
        <w:t>年的</w:t>
      </w:r>
      <w:r>
        <w:rPr>
          <w:rFonts w:ascii="Times New Roman" w:hAnsi="Times New Roman" w:cs="Times New Roman" w:eastAsia="Times New Roman" w:hint="default"/>
        </w:rPr>
        <w:t>7.85%</w:t>
      </w:r>
      <w:r>
        <w:rPr/>
        <w:t>上升到</w:t>
      </w:r>
      <w:r>
        <w:rPr>
          <w:rFonts w:ascii="Times New Roman" w:hAnsi="Times New Roman" w:cs="Times New Roman" w:eastAsia="Times New Roman" w:hint="default"/>
        </w:rPr>
        <w:t>21.50%</w:t>
      </w:r>
      <w:r>
        <w:rPr/>
        <w:t>，工业机器人销售量</w:t>
      </w:r>
      <w:r>
        <w:rPr>
          <w:rFonts w:ascii="Times New Roman" w:hAnsi="Times New Roman" w:cs="Times New Roman" w:eastAsia="Times New Roman" w:hint="default"/>
        </w:rPr>
        <w:t>/</w:t>
      </w:r>
      <w:r>
        <w:rPr/>
        <w:t>销售额</w:t>
      </w:r>
      <w:r>
        <w:rPr>
          <w:rFonts w:ascii="Times New Roman" w:hAnsi="Times New Roman" w:cs="Times New Roman" w:eastAsia="Times New Roman" w:hint="default"/>
        </w:rPr>
        <w:t>/</w:t>
      </w:r>
      <w:r>
        <w:rPr/>
        <w:t>保有量均为全球第一；</w:t>
      </w:r>
      <w:r>
        <w:rPr>
          <w:rFonts w:ascii="Times New Roman" w:hAnsi="Times New Roman" w:cs="Times New Roman" w:eastAsia="Times New Roman" w:hint="default"/>
        </w:rPr>
        <w:t>2018</w:t>
      </w:r>
      <w:r>
        <w:rPr/>
        <w:t>年上半年，我国工业机器人市场 规模达到</w:t>
      </w:r>
      <w:r>
        <w:rPr>
          <w:rFonts w:ascii="Times New Roman" w:hAnsi="Times New Roman" w:cs="Times New Roman" w:eastAsia="Times New Roman" w:hint="default"/>
        </w:rPr>
        <w:t>52.2</w:t>
      </w:r>
      <w:r>
        <w:rPr/>
        <w:t>亿美元。据</w:t>
      </w:r>
      <w:r>
        <w:rPr>
          <w:rFonts w:ascii="Times New Roman" w:hAnsi="Times New Roman" w:cs="Times New Roman" w:eastAsia="Times New Roman" w:hint="default"/>
        </w:rPr>
        <w:t>IFR</w:t>
      </w:r>
      <w:r>
        <w:rPr/>
        <w:t>预计，</w:t>
      </w:r>
      <w:r>
        <w:rPr>
          <w:rFonts w:ascii="Times New Roman" w:hAnsi="Times New Roman" w:cs="Times New Roman" w:eastAsia="Times New Roman" w:hint="default"/>
        </w:rPr>
        <w:t>2018</w:t>
      </w:r>
      <w:r>
        <w:rPr/>
        <w:t>年我国工业机器人销量将超过</w:t>
      </w:r>
      <w:r>
        <w:rPr>
          <w:rFonts w:ascii="Times New Roman" w:hAnsi="Times New Roman" w:cs="Times New Roman" w:eastAsia="Times New Roman" w:hint="default"/>
        </w:rPr>
        <w:t>15</w:t>
      </w:r>
      <w:r>
        <w:rPr/>
        <w:t>万台，市场规模将达到</w:t>
      </w:r>
      <w:r>
        <w:rPr>
          <w:rFonts w:ascii="Times New Roman" w:hAnsi="Times New Roman" w:cs="Times New Roman" w:eastAsia="Times New Roman" w:hint="default"/>
        </w:rPr>
        <w:t>62.3</w:t>
      </w:r>
      <w:r>
        <w:rPr/>
        <w:t>亿美元。机器人与智能 </w:t>
      </w:r>
      <w:r>
        <w:rPr>
          <w:spacing w:val="-2"/>
        </w:rPr>
        <w:t>制造未来发展空间广阔，报告期内公司正积极推动从传统电气设备制造业向涵盖电气智能终端设备、智能机器人等高端智能</w:t>
      </w:r>
      <w:r>
        <w:rPr>
          <w:spacing w:val="-64"/>
        </w:rPr>
        <w:t> </w:t>
      </w:r>
      <w:r>
        <w:rPr>
          <w:spacing w:val="-64"/>
        </w:rPr>
      </w:r>
      <w:r>
        <w:rPr/>
        <w:t>制造领域转型升级。</w:t>
      </w:r>
    </w:p>
    <w:p>
      <w:pPr>
        <w:pStyle w:val="BodyText"/>
        <w:spacing w:line="360" w:lineRule="auto" w:before="64"/>
        <w:ind w:left="513" w:right="1203"/>
        <w:jc w:val="left"/>
      </w:pPr>
      <w:r>
        <w:rPr>
          <w:rFonts w:ascii="宋体" w:hAnsi="宋体" w:cs="宋体" w:eastAsia="宋体" w:hint="default"/>
          <w:b/>
          <w:bCs/>
        </w:rPr>
        <w:t>互联网综合服务行业：</w:t>
      </w:r>
      <w:r>
        <w:rPr>
          <w:rFonts w:ascii="宋体" w:hAnsi="宋体" w:cs="宋体" w:eastAsia="宋体" w:hint="default"/>
          <w:b/>
          <w:bCs/>
          <w:w w:val="99"/>
        </w:rPr>
        <w:t> </w:t>
      </w:r>
      <w:r>
        <w:rPr/>
        <w:t>根据中国音数协游戏工委（</w:t>
      </w:r>
      <w:r>
        <w:rPr>
          <w:rFonts w:ascii="Times New Roman" w:hAnsi="Times New Roman" w:cs="Times New Roman" w:eastAsia="Times New Roman" w:hint="default"/>
        </w:rPr>
        <w:t>GPC</w:t>
      </w:r>
      <w:r>
        <w:rPr/>
        <w:t>）、伽马数据（</w:t>
      </w:r>
      <w:r>
        <w:rPr>
          <w:rFonts w:ascii="Times New Roman" w:hAnsi="Times New Roman" w:cs="Times New Roman" w:eastAsia="Times New Roman" w:hint="default"/>
        </w:rPr>
        <w:t>CNG</w:t>
      </w:r>
      <w:r>
        <w:rPr/>
        <w:t>）联合发布的《</w:t>
      </w:r>
      <w:r>
        <w:rPr>
          <w:rFonts w:ascii="Times New Roman" w:hAnsi="Times New Roman" w:cs="Times New Roman" w:eastAsia="Times New Roman" w:hint="default"/>
        </w:rPr>
        <w:t>2018</w:t>
      </w:r>
      <w:r>
        <w:rPr/>
        <w:t>年中国游戏产业报告》，</w:t>
      </w:r>
      <w:r>
        <w:rPr>
          <w:rFonts w:ascii="Times New Roman" w:hAnsi="Times New Roman" w:cs="Times New Roman" w:eastAsia="Times New Roman" w:hint="default"/>
        </w:rPr>
        <w:t>2018</w:t>
      </w:r>
      <w:r>
        <w:rPr/>
        <w:t>年中国游戏市</w:t>
      </w:r>
    </w:p>
    <w:p>
      <w:pPr>
        <w:pStyle w:val="BodyText"/>
        <w:spacing w:line="213" w:lineRule="exact"/>
        <w:ind w:right="0"/>
        <w:jc w:val="both"/>
      </w:pPr>
      <w:r>
        <w:rPr/>
        <w:t>场实际销售收入达</w:t>
      </w:r>
      <w:r>
        <w:rPr>
          <w:rFonts w:ascii="Times New Roman" w:hAnsi="Times New Roman" w:cs="Times New Roman" w:eastAsia="Times New Roman" w:hint="default"/>
        </w:rPr>
        <w:t>2144.4</w:t>
      </w:r>
      <w:r>
        <w:rPr/>
        <w:t>亿元，同比增长</w:t>
      </w:r>
      <w:r>
        <w:rPr>
          <w:rFonts w:ascii="Times New Roman" w:hAnsi="Times New Roman" w:cs="Times New Roman" w:eastAsia="Times New Roman" w:hint="default"/>
        </w:rPr>
        <w:t>5.3%</w:t>
      </w:r>
      <w:r>
        <w:rPr/>
        <w:t>，其中</w:t>
      </w:r>
      <w:r>
        <w:rPr>
          <w:rFonts w:ascii="Times New Roman" w:hAnsi="Times New Roman" w:cs="Times New Roman" w:eastAsia="Times New Roman" w:hint="default"/>
        </w:rPr>
        <w:t>2018</w:t>
      </w:r>
      <w:r>
        <w:rPr/>
        <w:t>年中国移动游戏市场实际销售收入达</w:t>
      </w:r>
      <w:r>
        <w:rPr>
          <w:rFonts w:ascii="Times New Roman" w:hAnsi="Times New Roman" w:cs="Times New Roman" w:eastAsia="Times New Roman" w:hint="default"/>
        </w:rPr>
        <w:t>1339.6</w:t>
      </w:r>
      <w:r>
        <w:rPr/>
        <w:t>亿元，同比增长</w:t>
      </w:r>
      <w:r>
        <w:rPr>
          <w:rFonts w:ascii="Times New Roman" w:hAnsi="Times New Roman" w:cs="Times New Roman" w:eastAsia="Times New Roman" w:hint="default"/>
        </w:rPr>
        <w:t>15.4%</w:t>
      </w:r>
      <w:r>
        <w:rPr/>
        <w:t>，</w:t>
      </w:r>
    </w:p>
    <w:p>
      <w:pPr>
        <w:pStyle w:val="BodyText"/>
        <w:spacing w:line="300" w:lineRule="auto" w:before="63"/>
        <w:ind w:right="1130"/>
        <w:jc w:val="both"/>
      </w:pPr>
      <w:r>
        <w:rPr>
          <w:rFonts w:ascii="Times New Roman" w:hAnsi="Times New Roman" w:cs="Times New Roman" w:eastAsia="Times New Roman" w:hint="default"/>
          <w:spacing w:val="-3"/>
        </w:rPr>
        <w:t>2018</w:t>
      </w:r>
      <w:r>
        <w:rPr>
          <w:spacing w:val="-3"/>
        </w:rPr>
        <w:t>年中国移动游戏市场实际销售收入占整体比重达</w:t>
      </w:r>
      <w:r>
        <w:rPr>
          <w:rFonts w:ascii="Times New Roman" w:hAnsi="Times New Roman" w:cs="Times New Roman" w:eastAsia="Times New Roman" w:hint="default"/>
          <w:spacing w:val="-3"/>
        </w:rPr>
        <w:t>62.5%</w:t>
      </w:r>
      <w:r>
        <w:rPr>
          <w:spacing w:val="-3"/>
        </w:rPr>
        <w:t>；</w:t>
      </w:r>
      <w:r>
        <w:rPr>
          <w:rFonts w:ascii="Times New Roman" w:hAnsi="Times New Roman" w:cs="Times New Roman" w:eastAsia="Times New Roman" w:hint="default"/>
          <w:spacing w:val="-3"/>
        </w:rPr>
        <w:t>2018</w:t>
      </w:r>
      <w:r>
        <w:rPr>
          <w:spacing w:val="-3"/>
        </w:rPr>
        <w:t>年中国游戏用户规模达</w:t>
      </w:r>
      <w:r>
        <w:rPr>
          <w:rFonts w:ascii="Times New Roman" w:hAnsi="Times New Roman" w:cs="Times New Roman" w:eastAsia="Times New Roman" w:hint="default"/>
          <w:spacing w:val="-3"/>
        </w:rPr>
        <w:t>6.26</w:t>
      </w:r>
      <w:r>
        <w:rPr>
          <w:spacing w:val="-3"/>
        </w:rPr>
        <w:t>亿人，同比增长</w:t>
      </w:r>
      <w:r>
        <w:rPr>
          <w:rFonts w:ascii="Times New Roman" w:hAnsi="Times New Roman" w:cs="Times New Roman" w:eastAsia="Times New Roman" w:hint="default"/>
          <w:spacing w:val="-3"/>
        </w:rPr>
        <w:t>7.3%</w:t>
      </w:r>
      <w:r>
        <w:rPr>
          <w:spacing w:val="-3"/>
        </w:rPr>
        <w:t>，其中</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spacing w:val="-1"/>
        </w:rPr>
        <w:t>年中国移动游戏用户规模为</w:t>
      </w:r>
      <w:r>
        <w:rPr>
          <w:rFonts w:ascii="Times New Roman" w:hAnsi="Times New Roman" w:cs="Times New Roman" w:eastAsia="Times New Roman" w:hint="default"/>
          <w:spacing w:val="-1"/>
        </w:rPr>
        <w:t>6.05</w:t>
      </w:r>
      <w:r>
        <w:rPr>
          <w:spacing w:val="-1"/>
        </w:rPr>
        <w:t>亿人，同比增长</w:t>
      </w:r>
      <w:r>
        <w:rPr>
          <w:rFonts w:ascii="Times New Roman" w:hAnsi="Times New Roman" w:cs="Times New Roman" w:eastAsia="Times New Roman" w:hint="default"/>
          <w:spacing w:val="-1"/>
        </w:rPr>
        <w:t>9.2%</w:t>
      </w:r>
      <w:r>
        <w:rPr>
          <w:spacing w:val="-1"/>
        </w:rPr>
        <w:t>。</w:t>
      </w:r>
      <w:r>
        <w:rPr>
          <w:rFonts w:ascii="Times New Roman" w:hAnsi="Times New Roman" w:cs="Times New Roman" w:eastAsia="Times New Roman" w:hint="default"/>
          <w:spacing w:val="-1"/>
        </w:rPr>
        <w:t>2018</w:t>
      </w:r>
      <w:r>
        <w:rPr>
          <w:spacing w:val="-1"/>
        </w:rPr>
        <w:t>年中国移动游戏市场依然保持增长，并且为整体游戏市场增长的</w:t>
      </w:r>
      <w:r>
        <w:rPr>
          <w:spacing w:val="-87"/>
        </w:rPr>
        <w:t> </w:t>
      </w:r>
      <w:r>
        <w:rPr>
          <w:spacing w:val="-87"/>
        </w:rPr>
      </w:r>
      <w:r>
        <w:rPr/>
        <w:t>主要动力。报告期内公司游戏业务实现营业收入</w:t>
      </w:r>
      <w:r>
        <w:rPr>
          <w:rFonts w:ascii="Times New Roman" w:hAnsi="Times New Roman" w:cs="Times New Roman" w:eastAsia="Times New Roman" w:hint="default"/>
        </w:rPr>
        <w:t>15.60</w:t>
      </w:r>
      <w:r>
        <w:rPr/>
        <w:t>亿元，以上述《</w:t>
      </w:r>
      <w:r>
        <w:rPr>
          <w:rFonts w:ascii="Times New Roman" w:hAnsi="Times New Roman" w:cs="Times New Roman" w:eastAsia="Times New Roman" w:hint="default"/>
        </w:rPr>
        <w:t>2018</w:t>
      </w:r>
      <w:r>
        <w:rPr/>
        <w:t>年中国游戏产业报告》移动游戏市场实际销售收 入</w:t>
      </w:r>
      <w:r>
        <w:rPr>
          <w:rFonts w:ascii="Times New Roman" w:hAnsi="Times New Roman" w:cs="Times New Roman" w:eastAsia="Times New Roman" w:hint="default"/>
        </w:rPr>
        <w:t>1339.6</w:t>
      </w:r>
      <w:r>
        <w:rPr/>
        <w:t>亿元为基数，公司游戏业务的市场占有率约为</w:t>
      </w:r>
      <w:r>
        <w:rPr>
          <w:rFonts w:ascii="Times New Roman" w:hAnsi="Times New Roman" w:cs="Times New Roman" w:eastAsia="Times New Roman" w:hint="default"/>
        </w:rPr>
        <w:t>1.16%</w:t>
      </w:r>
      <w:r>
        <w:rPr/>
        <w:t>。</w:t>
      </w:r>
    </w:p>
    <w:p>
      <w:pPr>
        <w:pStyle w:val="BodyText"/>
        <w:spacing w:line="302" w:lineRule="auto" w:before="53"/>
        <w:ind w:right="1129" w:firstLine="360"/>
        <w:jc w:val="both"/>
      </w:pPr>
      <w:r>
        <w:rPr>
          <w:spacing w:val="-2"/>
        </w:rPr>
        <w:t>随着网络游戏行业的快速发展，国家不断完善对网络游戏行业的监管标准及措施，</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月中宣部等八部委出台《关</w:t>
      </w:r>
      <w:r>
        <w:rPr/>
        <w:t> </w:t>
      </w:r>
      <w:r>
        <w:rPr>
          <w:spacing w:val="-2"/>
        </w:rPr>
        <w:t>于严格规范网络游戏市场管理的意见》，为了解决我国网络游戏文化内涵缺失问题，从统一思想认识、强力监管整治、落实</w:t>
      </w:r>
      <w:r>
        <w:rPr>
          <w:spacing w:val="-66"/>
        </w:rPr>
        <w:t> </w:t>
      </w:r>
      <w:r>
        <w:rPr>
          <w:spacing w:val="-66"/>
        </w:rPr>
      </w:r>
      <w:r>
        <w:rPr/>
        <w:t>主体责任等六个方面，对集中规范行动作出了全面部署；</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月起文化部开始整顿棋牌游戏市场；因国务院机构改革自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月底开始游戏版号审批暂停，自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月初开始文化部暂停国产网游备案申请，直至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日才重新恢复游</w:t>
      </w:r>
      <w:r>
        <w:rPr>
          <w:spacing w:val="-55"/>
        </w:rPr>
        <w:t> </w:t>
      </w:r>
      <w:r>
        <w:rPr>
          <w:spacing w:val="-55"/>
        </w:rPr>
      </w:r>
      <w:r>
        <w:rPr/>
        <w:t>戏版号审核发放；</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月教育部、国家卫生健康委员会等八部委联合下发了《综合防控儿童青少年近视实施方案》的通 知，其中作为游戏行业的主管部门国家新闻出版署明确提出</w:t>
      </w:r>
      <w:r>
        <w:rPr>
          <w:rFonts w:ascii="Times New Roman" w:hAnsi="Times New Roman" w:cs="Times New Roman" w:eastAsia="Times New Roman" w:hint="default"/>
        </w:rPr>
        <w:t>“</w:t>
      </w:r>
      <w:r>
        <w:rPr/>
        <w:t>实施网络游戏总量调控，控制新增网络游戏上网运营数量，探 索符合国情的适龄提示制度，采取措施限制未成年人使用时间</w:t>
      </w:r>
      <w:r>
        <w:rPr>
          <w:rFonts w:ascii="Times New Roman" w:hAnsi="Times New Roman" w:cs="Times New Roman" w:eastAsia="Times New Roman" w:hint="default"/>
        </w:rPr>
        <w:t>”</w:t>
      </w:r>
      <w:r>
        <w:rPr/>
        <w:t>。这一系列政策提高了运营厂商在资质、游戏内容等方面的 要求及游戏行业的行业标准，有利于游戏行业的规范和有序发展。</w:t>
      </w:r>
    </w:p>
    <w:p>
      <w:pPr>
        <w:pStyle w:val="BodyText"/>
        <w:spacing w:line="316" w:lineRule="auto" w:before="68"/>
        <w:ind w:right="1130" w:firstLine="360"/>
        <w:jc w:val="both"/>
      </w:pPr>
      <w:r>
        <w:rPr>
          <w:spacing w:val="-2"/>
        </w:rPr>
        <w:t>面对行业的激烈竞争和政策面的严要求，哆可梦继续坚持游戏运营的合规性，注重提高自身产品研发实力、严格筛选引</w:t>
      </w:r>
      <w:r>
        <w:rPr/>
        <w:t> </w:t>
      </w:r>
      <w:r>
        <w:rPr>
          <w:spacing w:val="-2"/>
        </w:rPr>
        <w:t>入产品的品质，保证所运营游戏产品符合国家的监管要求和价值理念，提前储备充足的精品游戏按照自身发展战略和计划进</w:t>
      </w:r>
      <w:r>
        <w:rPr>
          <w:spacing w:val="-64"/>
        </w:rPr>
        <w:t> </w:t>
      </w:r>
      <w:r>
        <w:rPr>
          <w:spacing w:val="-64"/>
        </w:rPr>
      </w:r>
      <w:r>
        <w:rPr/>
        <w:t>行运营以保持持续发展能力。</w:t>
      </w:r>
    </w:p>
    <w:p>
      <w:pPr>
        <w:pStyle w:val="Heading4"/>
        <w:spacing w:line="240" w:lineRule="auto" w:before="59"/>
        <w:ind w:right="1133"/>
        <w:jc w:val="left"/>
        <w:rPr>
          <w:b w:val="0"/>
          <w:bCs w:val="0"/>
        </w:rPr>
      </w:pPr>
      <w:r>
        <w:rPr/>
        <w:t>投资行业：</w:t>
      </w:r>
      <w:r>
        <w:rPr>
          <w:b w:val="0"/>
          <w:bCs w:val="0"/>
        </w:rPr>
      </w:r>
    </w:p>
    <w:p>
      <w:pPr>
        <w:pStyle w:val="BodyText"/>
        <w:spacing w:line="309" w:lineRule="auto" w:before="117"/>
        <w:ind w:right="1042" w:firstLine="360"/>
        <w:jc w:val="left"/>
      </w:pPr>
      <w:r>
        <w:rPr/>
        <w:t>从投资行业来看，目前中国股权投资市场对于战略新兴产业、科创板概念产业及</w:t>
      </w:r>
      <w:r>
        <w:rPr>
          <w:rFonts w:ascii="Times New Roman" w:hAnsi="Times New Roman" w:cs="Times New Roman" w:eastAsia="Times New Roman" w:hint="default"/>
        </w:rPr>
        <w:t>“</w:t>
      </w:r>
      <w:r>
        <w:rPr/>
        <w:t>中国制造</w:t>
      </w:r>
      <w:r>
        <w:rPr>
          <w:spacing w:val="-18"/>
        </w:rPr>
        <w:t> </w:t>
      </w:r>
      <w:r>
        <w:rPr>
          <w:rFonts w:ascii="Times New Roman" w:hAnsi="Times New Roman" w:cs="Times New Roman" w:eastAsia="Times New Roman" w:hint="default"/>
        </w:rPr>
        <w:t>2025”</w:t>
      </w:r>
      <w:r>
        <w:rPr/>
        <w:t>若干重点领域给予了 </w:t>
      </w:r>
      <w:r>
        <w:rPr>
          <w:spacing w:val="-2"/>
        </w:rPr>
        <w:t>高度关注，行业投资重点逐步以集成电路、人工智能、生物医药、航空航天、新能源汽车、新一代信息技术产业、高端装备</w:t>
      </w:r>
      <w:r>
        <w:rPr>
          <w:spacing w:val="-73"/>
        </w:rPr>
        <w:t> </w:t>
      </w:r>
      <w:r>
        <w:rPr>
          <w:spacing w:val="-73"/>
        </w:rPr>
      </w:r>
      <w:r>
        <w:rPr>
          <w:spacing w:val="-3"/>
          <w:w w:val="100"/>
        </w:rPr>
        <w:t>制造产业、数字创意产业等重点领域为主，股权投资市场已成为推动我国</w:t>
      </w:r>
      <w:r>
        <w:rPr>
          <w:rFonts w:ascii="Times New Roman" w:hAnsi="Times New Roman" w:cs="Times New Roman" w:eastAsia="Times New Roman" w:hint="default"/>
          <w:spacing w:val="-3"/>
          <w:w w:val="100"/>
        </w:rPr>
        <w:t>“</w:t>
      </w:r>
      <w:r>
        <w:rPr>
          <w:spacing w:val="-3"/>
          <w:w w:val="100"/>
        </w:rPr>
        <w:t>高精尖</w:t>
      </w:r>
      <w:r>
        <w:rPr>
          <w:rFonts w:ascii="Times New Roman" w:hAnsi="Times New Roman" w:cs="Times New Roman" w:eastAsia="Times New Roman" w:hint="default"/>
          <w:spacing w:val="-3"/>
          <w:w w:val="100"/>
        </w:rPr>
        <w:t>”</w:t>
      </w:r>
      <w:r>
        <w:rPr>
          <w:spacing w:val="-3"/>
          <w:w w:val="100"/>
        </w:rPr>
        <w:t>产业和战略新兴产业快速发展的中坚力量。</w:t>
      </w:r>
      <w:r>
        <w:rPr>
          <w:spacing w:val="-76"/>
          <w:w w:val="100"/>
        </w:rPr>
        <w:t> </w:t>
      </w:r>
      <w:r>
        <w:rPr>
          <w:spacing w:val="-76"/>
          <w:w w:val="100"/>
        </w:rPr>
      </w:r>
      <w:r>
        <w:rPr>
          <w:spacing w:val="-2"/>
        </w:rPr>
        <w:t>报告期内公司及子公司参与投资的企业具有较强的自主研发能力，其所提供的产品或服务科技含量高、创新性强，所属行业</w:t>
      </w:r>
      <w:r>
        <w:rPr>
          <w:spacing w:val="-66"/>
        </w:rPr>
        <w:t> </w:t>
      </w:r>
      <w:r>
        <w:rPr>
          <w:spacing w:val="-66"/>
        </w:rPr>
      </w:r>
      <w:r>
        <w:rPr/>
        <w:t>成长性高，助力公司围绕高端智能制造和互联网综合服务开展外延式发展。</w:t>
      </w:r>
    </w:p>
    <w:p>
      <w:pPr>
        <w:pStyle w:val="BodyText"/>
        <w:spacing w:line="316" w:lineRule="auto" w:before="62"/>
        <w:ind w:right="1129" w:firstLine="360"/>
        <w:jc w:val="both"/>
      </w:pPr>
      <w:r>
        <w:rPr>
          <w:rFonts w:ascii="宋体" w:hAnsi="宋体" w:cs="宋体" w:eastAsia="宋体" w:hint="default"/>
          <w:spacing w:val="-2"/>
        </w:rPr>
        <w:t>2018</w:t>
      </w:r>
      <w:r>
        <w:rPr>
          <w:spacing w:val="-2"/>
        </w:rPr>
        <w:t>年，受制于国内外经济金融形势和资管新规等监管政策环境变化的影响，中国证券投资出现明显的波动和下滑，理</w:t>
      </w:r>
      <w:r>
        <w:rPr/>
        <w:t> </w:t>
      </w:r>
      <w:r>
        <w:rPr>
          <w:spacing w:val="-2"/>
        </w:rPr>
        <w:t>财投资市场出现保本理财和短期理财萎缩、产品向净值化转型、理财门槛下降、投资者风险意识增强等变化，理财收益率呈</w:t>
      </w:r>
      <w:r>
        <w:rPr>
          <w:spacing w:val="-64"/>
        </w:rPr>
        <w:t> </w:t>
      </w:r>
      <w:r>
        <w:rPr>
          <w:spacing w:val="-64"/>
        </w:rPr>
      </w:r>
      <w:r>
        <w:rPr>
          <w:spacing w:val="-2"/>
        </w:rPr>
        <w:t>直线下滑趋势。报告期内，公司审慎进行理财投资和证券投资决策，顺应市场变化及时调整理财投资品种结构，提高风险防</w:t>
      </w:r>
      <w:r>
        <w:rPr>
          <w:spacing w:val="-64"/>
        </w:rPr>
        <w:t> </w:t>
      </w:r>
      <w:r>
        <w:rPr>
          <w:spacing w:val="-64"/>
        </w:rPr>
      </w:r>
      <w:r>
        <w:rPr/>
        <w:t>范意识，缩减投资额度，稳定平衡公司资金使用效率和收益率，推动公司投资业务继续向高质量、可持续的方向发展。</w:t>
      </w:r>
    </w:p>
    <w:p>
      <w:pPr>
        <w:spacing w:after="0" w:line="316" w:lineRule="auto"/>
        <w:jc w:val="both"/>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127"/>
        <w:gridCol w:w="7444"/>
      </w:tblGrid>
      <w:tr>
        <w:trPr>
          <w:trHeight w:val="187" w:hRule="exact"/>
        </w:trPr>
        <w:tc>
          <w:tcPr>
            <w:tcW w:w="2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44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1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4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2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44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4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40,482.51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万元，主要系报告期内调整和处置产业并购基金出资份额所致</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4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607.02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万元，主要系报告期内固定资产转入投资性房地产所致</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4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206.85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万元，主要系报告期内自研专利技术项目结项转入所致</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4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万元，主要系报告期内办公场所装修费增加所致</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40,307.09</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万元，主要系报告期内收回调整和处置产业并购基金出资份额部分款项所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致</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22,734.96</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万元，主要系报告期内以票据形式结算的货款增加及控股子公司哆可梦营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业收入大幅增加所致</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6"/>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5,597.69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万元，主要系报告期内控股子公司哆可梦业务规模扩大进而预付广告费增 加所致</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23,378.85</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万元，主要系报告期内处置产业并购基金出资份额的部分款项尚未收回所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致</w:t>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6,933.08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万元，主要系报告期内理财产品到期赎回所致</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439.37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万元，主要系报告期内自研专利技术产生的研发支出增加所致</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432.96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万元，主要系报告期内支付融资租赁保证金所致</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436.33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万元，主要系报告期内控股子公司哆可梦版权金正常摊销所致</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1,118.63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万元，主要系报告期内控股子公司哆可梦取得的游戏代理权较去年增多且 预付版权金的游戏尚在测试阶段未达到摊销条件所致</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4,738.98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万元，主要系报告期内新增流动贷款所致</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22,717.92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万元，主要系报告期内控股子公司哆可梦业务规模扩大后正常结算期内应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付款项增加所致</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3,699.65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万元，主要系报告期内公司实现盈利正常计提企业所得税所致</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28,071.43</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万元，主要系报告期内部分限制性股票解锁及回购注销减少股票回购义务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所致</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16,063.40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万元，主要系报告期内支付部分哆可梦股权受让款所致</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28,910.00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万元，主要系报告期内取得中航信托发放的哆可梦项目并购贷款所致</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34,559.74</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万元，主要系报告期末一年内应支付的哆可梦股权受让款转入一年内到期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的非流动负债所致</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692.87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万元，主要系报告期内控股子公司哆可梦以前年度已充值未消费的金币在本 报告期内被消费进而确认收入所致</w:t>
            </w:r>
          </w:p>
        </w:tc>
      </w:tr>
    </w:tbl>
    <w:p>
      <w:pPr>
        <w:spacing w:after="0" w:line="297"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360" w:lineRule="auto" w:before="25"/>
        <w:ind w:left="513" w:right="0" w:hanging="361"/>
        <w:jc w:val="left"/>
      </w:pPr>
      <w:r>
        <w:rPr/>
        <w:t>软件与信息技术服务业 </w:t>
      </w:r>
      <w:r>
        <w:rPr>
          <w:rFonts w:ascii="宋体" w:hAnsi="宋体" w:cs="宋体" w:eastAsia="宋体" w:hint="default"/>
          <w:spacing w:val="-2"/>
        </w:rPr>
        <w:t>2017</w:t>
      </w:r>
      <w:r>
        <w:rPr>
          <w:spacing w:val="-2"/>
        </w:rPr>
        <w:t>年底公司在原有传统电气设备业务的基础上成功跨足布局互联网文娱行业，明确了“高端智能制造”和“互联网综</w:t>
      </w:r>
    </w:p>
    <w:p>
      <w:pPr>
        <w:pStyle w:val="BodyText"/>
        <w:spacing w:line="222" w:lineRule="exact"/>
        <w:ind w:right="0"/>
        <w:jc w:val="left"/>
      </w:pPr>
      <w:r>
        <w:rPr/>
        <w:t>合服务”双轮业绩驱动的业务格局。公司认真研究各业务领域的最新发展状态和趋势及政策导向，以自身情况为基础逐渐深</w:t>
      </w:r>
    </w:p>
    <w:p>
      <w:pPr>
        <w:pStyle w:val="BodyText"/>
        <w:spacing w:line="316" w:lineRule="auto" w:before="77"/>
        <w:ind w:right="1132"/>
        <w:jc w:val="left"/>
      </w:pPr>
      <w:r>
        <w:rPr>
          <w:spacing w:val="-2"/>
        </w:rPr>
        <w:t>入拓展和完善各业务板块的链条与领域，以期具体业务落地公司并紧跟行业发展不断进行产业升级，保持长久的发展能力和</w:t>
      </w:r>
      <w:r>
        <w:rPr>
          <w:spacing w:val="-64"/>
        </w:rPr>
        <w:t> </w:t>
      </w:r>
      <w:r>
        <w:rPr>
          <w:spacing w:val="-64"/>
        </w:rPr>
      </w:r>
      <w:r>
        <w:rPr/>
        <w:t>动力。</w:t>
      </w:r>
    </w:p>
    <w:p>
      <w:pPr>
        <w:pStyle w:val="BodyText"/>
        <w:spacing w:line="316" w:lineRule="auto" w:before="59"/>
        <w:ind w:right="1128" w:firstLine="360"/>
        <w:jc w:val="both"/>
      </w:pPr>
      <w:r>
        <w:rPr>
          <w:spacing w:val="-2"/>
        </w:rPr>
        <w:t>公司电气业务的核心竞争力在于拥有雄厚的电气技术积累和完善的市场营销体系。公司拥有近</w:t>
      </w:r>
      <w:r>
        <w:rPr>
          <w:rFonts w:ascii="宋体" w:hAnsi="宋体" w:cs="宋体" w:eastAsia="宋体" w:hint="default"/>
          <w:spacing w:val="-2"/>
        </w:rPr>
        <w:t>20</w:t>
      </w:r>
      <w:r>
        <w:rPr>
          <w:spacing w:val="-2"/>
        </w:rPr>
        <w:t>年配网装备行业市场基</w:t>
      </w:r>
      <w:r>
        <w:rPr/>
        <w:t> </w:t>
      </w:r>
      <w:r>
        <w:rPr>
          <w:spacing w:val="-2"/>
        </w:rPr>
        <w:t>础、研发沉淀及新技术研发优势，以新型高分子电气绝缘材料技术为核心的主打产品具有高可靠、全密闭、全绝缘、小型化</w:t>
      </w:r>
      <w:r>
        <w:rPr>
          <w:spacing w:val="-65"/>
        </w:rPr>
        <w:t> </w:t>
      </w:r>
      <w:r>
        <w:rPr>
          <w:spacing w:val="-65"/>
        </w:rPr>
      </w:r>
      <w:r>
        <w:rPr>
          <w:spacing w:val="-2"/>
        </w:rPr>
        <w:t>的特点，产品整体技术性能及质量稳定可靠，公司注重科技创新和自主研发，大力发展人才战略和技术先行战略，强调以人</w:t>
      </w:r>
      <w:r>
        <w:rPr>
          <w:spacing w:val="-63"/>
        </w:rPr>
        <w:t> </w:t>
      </w:r>
      <w:r>
        <w:rPr>
          <w:spacing w:val="-63"/>
        </w:rPr>
      </w:r>
      <w:r>
        <w:rPr>
          <w:spacing w:val="-2"/>
        </w:rPr>
        <w:t>才兴企、以科技兴企，积极与清华大学、华北电力大学、西安高压电器研究院等院校、科研单位开展深入交流和合作，促使</w:t>
      </w:r>
      <w:r>
        <w:rPr>
          <w:spacing w:val="-68"/>
        </w:rPr>
        <w:t> </w:t>
      </w:r>
      <w:r>
        <w:rPr>
          <w:spacing w:val="-68"/>
        </w:rPr>
      </w:r>
      <w:r>
        <w:rPr>
          <w:spacing w:val="-2"/>
        </w:rPr>
        <w:t>自身拥有持续创新能力。同时公司拥有全面的营销网络和优秀的营销团队，可以向国家电网、南方电网等大型优质企业客户</w:t>
      </w:r>
      <w:r>
        <w:rPr>
          <w:spacing w:val="-63"/>
        </w:rPr>
        <w:t> </w:t>
      </w:r>
      <w:r>
        <w:rPr>
          <w:spacing w:val="-63"/>
        </w:rPr>
      </w:r>
      <w:r>
        <w:rPr>
          <w:spacing w:val="-2"/>
        </w:rPr>
        <w:t>和部分特殊用电客户提供全套的电力设备服务业务。公司电气业务坚持以“惠程造德国造”的一流品牌理念，以产品品质和</w:t>
      </w:r>
      <w:r>
        <w:rPr>
          <w:spacing w:val="-63"/>
        </w:rPr>
        <w:t> </w:t>
      </w:r>
      <w:r>
        <w:rPr>
          <w:spacing w:val="-63"/>
        </w:rPr>
      </w:r>
      <w:r>
        <w:rPr>
          <w:spacing w:val="-2"/>
        </w:rPr>
        <w:t>为客户创造价值理念赢得了客户的认可和好评。本报告期进一步优化电气业务的组织架构和业务架构以及生产布局和服务布</w:t>
      </w:r>
      <w:r>
        <w:rPr>
          <w:spacing w:val="-64"/>
        </w:rPr>
        <w:t> </w:t>
      </w:r>
      <w:r>
        <w:rPr>
          <w:spacing w:val="-64"/>
        </w:rPr>
      </w:r>
      <w:r>
        <w:rPr>
          <w:spacing w:val="-2"/>
        </w:rPr>
        <w:t>局，提高生产效率和效益及对市场、客户需求的快速响应度，坚持智能、高端、绿色、集成的发展方向，聚焦公司传统电力</w:t>
      </w:r>
      <w:r>
        <w:rPr>
          <w:spacing w:val="-69"/>
        </w:rPr>
        <w:t> </w:t>
      </w:r>
      <w:r>
        <w:rPr>
          <w:spacing w:val="-69"/>
        </w:rPr>
      </w:r>
      <w:r>
        <w:rPr>
          <w:spacing w:val="-2"/>
        </w:rPr>
        <w:t>业务，并在智能电网和高端智能技术及产品和制造领域研发拓展和转型，同时跨足布局智能机器人领域，并已开始在公司小</w:t>
      </w:r>
      <w:r>
        <w:rPr>
          <w:spacing w:val="-63"/>
        </w:rPr>
        <w:t> </w:t>
      </w:r>
      <w:r>
        <w:rPr>
          <w:spacing w:val="-63"/>
        </w:rPr>
      </w:r>
      <w:r>
        <w:rPr/>
        <w:t>批量生产制造。</w:t>
      </w:r>
    </w:p>
    <w:p>
      <w:pPr>
        <w:pStyle w:val="BodyText"/>
        <w:spacing w:line="316" w:lineRule="auto" w:before="57"/>
        <w:ind w:right="1124" w:firstLine="360"/>
        <w:jc w:val="left"/>
      </w:pPr>
      <w:r>
        <w:rPr>
          <w:spacing w:val="-2"/>
        </w:rPr>
        <w:t>公司互联网文娱业务的核心竞争力在于拥有经验丰富、勇于创新的互联网文娱行业团队和用户认知度高、活跃度高的自</w:t>
      </w:r>
      <w:r>
        <w:rPr/>
        <w:t> </w:t>
      </w:r>
      <w:r>
        <w:rPr>
          <w:spacing w:val="-5"/>
        </w:rPr>
        <w:t>有平台。控股子公司哆可梦下属研发团队的大部分专业人员曾任职于腾讯、盛大、完美世界、巨人等行业知名游戏制作公司，</w:t>
      </w:r>
      <w:r>
        <w:rPr>
          <w:spacing w:val="-78"/>
        </w:rPr>
        <w:t> </w:t>
      </w:r>
      <w:r>
        <w:rPr>
          <w:spacing w:val="-78"/>
        </w:rPr>
      </w:r>
      <w:r>
        <w:rPr>
          <w:spacing w:val="-2"/>
        </w:rPr>
        <w:t>核心负责人员从事游戏行业近</w:t>
      </w:r>
      <w:r>
        <w:rPr>
          <w:rFonts w:ascii="宋体" w:hAnsi="宋体" w:cs="宋体" w:eastAsia="宋体" w:hint="default"/>
          <w:spacing w:val="-2"/>
        </w:rPr>
        <w:t>10</w:t>
      </w:r>
      <w:r>
        <w:rPr>
          <w:spacing w:val="-2"/>
        </w:rPr>
        <w:t>年，均有完整从事端游、页游和手机游戏制作的成功经验；发行团队大部分专业人员曾任职</w:t>
      </w:r>
      <w:r>
        <w:rPr>
          <w:spacing w:val="-62"/>
        </w:rPr>
        <w:t> </w:t>
      </w:r>
      <w:r>
        <w:rPr>
          <w:spacing w:val="-62"/>
        </w:rPr>
      </w:r>
      <w:r>
        <w:rPr/>
        <w:t>于</w:t>
      </w:r>
      <w:r>
        <w:rPr>
          <w:rFonts w:ascii="宋体" w:hAnsi="宋体" w:cs="宋体" w:eastAsia="宋体" w:hint="default"/>
        </w:rPr>
        <w:t>37</w:t>
      </w:r>
      <w:r>
        <w:rPr/>
        <w:t>互娱、网易、腾讯、</w:t>
      </w:r>
      <w:r>
        <w:rPr>
          <w:rFonts w:ascii="宋体" w:hAnsi="宋体" w:cs="宋体" w:eastAsia="宋体" w:hint="default"/>
        </w:rPr>
        <w:t>IGG</w:t>
      </w:r>
      <w:r>
        <w:rPr/>
        <w:t>、智明星通、巨人网络、欢聚网络等知名游戏公司，核心负责人员具有</w:t>
      </w:r>
      <w:r>
        <w:rPr>
          <w:rFonts w:ascii="宋体" w:hAnsi="宋体" w:cs="宋体" w:eastAsia="宋体" w:hint="default"/>
        </w:rPr>
        <w:t>10</w:t>
      </w:r>
      <w:r>
        <w:rPr/>
        <w:t>年以上游戏行业从业 经验，均有完整从事端游、页游和手机游戏发行的成功经验。同时哆可梦拥有面向国内市场的</w:t>
      </w:r>
      <w:r>
        <w:rPr>
          <w:rFonts w:ascii="宋体" w:hAnsi="宋体" w:cs="宋体" w:eastAsia="宋体" w:hint="default"/>
        </w:rPr>
        <w:t>9187.cn</w:t>
      </w:r>
      <w:r>
        <w:rPr/>
        <w:t>、面向全球市场的</w:t>
      </w:r>
      <w:r>
        <w:rPr>
          <w:spacing w:val="-87"/>
        </w:rPr>
        <w:t> </w:t>
      </w:r>
      <w:r>
        <w:rPr>
          <w:rFonts w:ascii="宋体" w:hAnsi="宋体" w:cs="宋体" w:eastAsia="宋体" w:hint="default"/>
          <w:spacing w:val="-2"/>
        </w:rPr>
        <w:t>Yahgame</w:t>
      </w:r>
      <w:r>
        <w:rPr>
          <w:spacing w:val="-2"/>
        </w:rPr>
        <w:t>游戏运营平台，</w:t>
      </w:r>
      <w:r>
        <w:rPr>
          <w:rFonts w:ascii="宋体" w:hAnsi="宋体" w:cs="宋体" w:eastAsia="宋体" w:hint="default"/>
          <w:spacing w:val="-2"/>
        </w:rPr>
        <w:t>9187.cn</w:t>
      </w:r>
      <w:r>
        <w:rPr>
          <w:spacing w:val="-2"/>
        </w:rPr>
        <w:t>自</w:t>
      </w:r>
      <w:r>
        <w:rPr>
          <w:rFonts w:ascii="宋体" w:hAnsi="宋体" w:cs="宋体" w:eastAsia="宋体" w:hint="default"/>
          <w:spacing w:val="-2"/>
        </w:rPr>
        <w:t>2016</w:t>
      </w:r>
      <w:r>
        <w:rPr>
          <w:spacing w:val="-2"/>
        </w:rPr>
        <w:t>年成立至今已跃居国内一线手游发行平台，其流量聚合能力、变现能力均处于国内同</w:t>
      </w:r>
      <w:r>
        <w:rPr>
          <w:spacing w:val="-53"/>
        </w:rPr>
        <w:t> </w:t>
      </w:r>
      <w:r>
        <w:rPr>
          <w:spacing w:val="-53"/>
        </w:rPr>
      </w:r>
      <w:r>
        <w:rPr/>
        <w:t>行领先地位，同期海外游戏运营平台</w:t>
      </w:r>
      <w:r>
        <w:rPr>
          <w:rFonts w:ascii="宋体" w:hAnsi="宋体" w:cs="宋体" w:eastAsia="宋体" w:hint="default"/>
        </w:rPr>
        <w:t>Yahgame</w:t>
      </w:r>
      <w:r>
        <w:rPr/>
        <w:t>在海外也具有较高的用户知名度和行业影响力。优秀的行业团队和自有平台结 合哆可梦自主开发的可对所运营游戏进行实时数据监控的游戏数据分析平台</w:t>
      </w:r>
      <w:r>
        <w:rPr>
          <w:rFonts w:ascii="宋体" w:hAnsi="宋体" w:cs="宋体" w:eastAsia="宋体" w:hint="default"/>
        </w:rPr>
        <w:t>GM</w:t>
      </w:r>
      <w:r>
        <w:rPr>
          <w:rFonts w:ascii="宋体" w:hAnsi="宋体" w:cs="宋体" w:eastAsia="宋体" w:hint="default"/>
          <w:spacing w:val="-2"/>
        </w:rPr>
        <w:t> </w:t>
      </w:r>
      <w:r>
        <w:rPr>
          <w:rFonts w:ascii="宋体" w:hAnsi="宋体" w:cs="宋体" w:eastAsia="宋体" w:hint="default"/>
        </w:rPr>
        <w:t>Tool</w:t>
      </w:r>
      <w:r>
        <w:rPr/>
        <w:t>，通过优秀的数据分析能力实现精准市 </w:t>
      </w:r>
      <w:r>
        <w:rPr>
          <w:spacing w:val="-5"/>
        </w:rPr>
        <w:t>场投放，建立了以数据为基础、以用户行为为导向的精细化运营体系，从而成功打造“自研为主、精品代理、精准流量运营”</w:t>
      </w:r>
      <w:r>
        <w:rPr>
          <w:spacing w:val="-79"/>
        </w:rPr>
        <w:t> </w:t>
      </w:r>
      <w:r>
        <w:rPr>
          <w:spacing w:val="-79"/>
        </w:rPr>
      </w:r>
      <w:r>
        <w:rPr/>
        <w:t>的立体发行模式。</w:t>
      </w:r>
    </w:p>
    <w:p>
      <w:pPr>
        <w:pStyle w:val="BodyText"/>
        <w:spacing w:line="316" w:lineRule="auto" w:before="59"/>
        <w:ind w:right="1130" w:firstLine="360"/>
        <w:jc w:val="both"/>
      </w:pPr>
      <w:r>
        <w:rPr>
          <w:spacing w:val="-5"/>
        </w:rPr>
        <w:t>此外，公司拥有完善的管理体系和专业的管理团队。公司以精益生产为目标不断完善内部管理体系，提升内部运营效率、</w:t>
      </w:r>
      <w:r>
        <w:rPr/>
        <w:t> </w:t>
      </w:r>
      <w:r>
        <w:rPr>
          <w:spacing w:val="-2"/>
        </w:rPr>
        <w:t>减少浪费并严格控制经营费用；公司专业管理团队在把握行业发展趋势、严控产品质量、提高精细化管理水平、形成企业凝</w:t>
      </w:r>
      <w:r>
        <w:rPr>
          <w:spacing w:val="-64"/>
        </w:rPr>
        <w:t> </w:t>
      </w:r>
      <w:r>
        <w:rPr>
          <w:spacing w:val="-64"/>
        </w:rPr>
      </w:r>
      <w:r>
        <w:rPr/>
        <w:t>聚力方面积累了丰富的经验和较高的管理能力，有力地推动了公司产品和服务的升级及业务领域的拓展。</w:t>
      </w:r>
    </w:p>
    <w:p>
      <w:pPr>
        <w:spacing w:after="0" w:line="316"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1"/>
        <w:spacing w:line="240" w:lineRule="auto"/>
        <w:ind w:left="2964" w:right="1133"/>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一、概述</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0" w:firstLine="360"/>
        <w:jc w:val="both"/>
      </w:pPr>
      <w:r>
        <w:rPr>
          <w:rFonts w:ascii="宋体" w:hAnsi="宋体" w:cs="宋体" w:eastAsia="宋体" w:hint="default"/>
        </w:rPr>
        <w:t>2017</w:t>
      </w:r>
      <w:r>
        <w:rPr/>
        <w:t>年底公司成功布局互联网文娱行业，明确了“高端智能制造</w:t>
      </w:r>
      <w:r>
        <w:rPr>
          <w:rFonts w:ascii="宋体" w:hAnsi="宋体" w:cs="宋体" w:eastAsia="宋体" w:hint="default"/>
        </w:rPr>
        <w:t>+</w:t>
      </w:r>
      <w:r>
        <w:rPr/>
        <w:t>互联网综合服务”双轮业绩驱动的业务发展格局，作 </w:t>
      </w:r>
      <w:r>
        <w:rPr>
          <w:spacing w:val="-2"/>
        </w:rPr>
        <w:t>为转型后的第一年，</w:t>
      </w:r>
      <w:r>
        <w:rPr>
          <w:rFonts w:ascii="宋体" w:hAnsi="宋体" w:cs="宋体" w:eastAsia="宋体" w:hint="default"/>
          <w:spacing w:val="-2"/>
        </w:rPr>
        <w:t>2018</w:t>
      </w:r>
      <w:r>
        <w:rPr>
          <w:spacing w:val="-2"/>
        </w:rPr>
        <w:t>年公司注重两大业务板块的协调发展，并借助投资业务发现高成长性、高盈利能力的优质标的以助</w:t>
      </w:r>
      <w:r>
        <w:rPr>
          <w:spacing w:val="-60"/>
        </w:rPr>
        <w:t> </w:t>
      </w:r>
      <w:r>
        <w:rPr>
          <w:spacing w:val="-60"/>
        </w:rPr>
      </w:r>
      <w:r>
        <w:rPr>
          <w:spacing w:val="-2"/>
        </w:rPr>
        <w:t>力两大业务板块延伸发展和产业链条的完善，实现了资本运作与产业升级的有机结合和良性互动，增加公司盈利点、提高公</w:t>
      </w:r>
      <w:r>
        <w:rPr>
          <w:spacing w:val="-66"/>
        </w:rPr>
        <w:t> </w:t>
      </w:r>
      <w:r>
        <w:rPr>
          <w:spacing w:val="-66"/>
        </w:rPr>
      </w:r>
      <w:r>
        <w:rPr/>
        <w:t>司抗风险能力，本报告期实现了良好的收益和回报。公司</w:t>
      </w:r>
      <w:r>
        <w:rPr>
          <w:rFonts w:ascii="宋体" w:hAnsi="宋体" w:cs="宋体" w:eastAsia="宋体" w:hint="default"/>
        </w:rPr>
        <w:t>2018</w:t>
      </w:r>
      <w:r>
        <w:rPr/>
        <w:t>年实现营业收入</w:t>
      </w:r>
      <w:r>
        <w:rPr>
          <w:rFonts w:ascii="宋体" w:hAnsi="宋体" w:cs="宋体" w:eastAsia="宋体" w:hint="default"/>
        </w:rPr>
        <w:t>189,815.84</w:t>
      </w:r>
      <w:r>
        <w:rPr/>
        <w:t>万元、净利润</w:t>
      </w:r>
      <w:r>
        <w:rPr>
          <w:rFonts w:ascii="宋体" w:hAnsi="宋体" w:cs="宋体" w:eastAsia="宋体" w:hint="default"/>
        </w:rPr>
        <w:t>33,638.98</w:t>
      </w:r>
      <w:r>
        <w:rPr/>
        <w:t>万元，分 </w:t>
      </w:r>
      <w:r>
        <w:rPr>
          <w:spacing w:val="-2"/>
        </w:rPr>
        <w:t>别同比增长</w:t>
      </w:r>
      <w:r>
        <w:rPr>
          <w:rFonts w:ascii="宋体" w:hAnsi="宋体" w:cs="宋体" w:eastAsia="宋体" w:hint="default"/>
          <w:spacing w:val="-2"/>
        </w:rPr>
        <w:t>408.65%</w:t>
      </w:r>
      <w:r>
        <w:rPr>
          <w:spacing w:val="-2"/>
        </w:rPr>
        <w:t>和</w:t>
      </w:r>
      <w:r>
        <w:rPr>
          <w:rFonts w:ascii="宋体" w:hAnsi="宋体" w:cs="宋体" w:eastAsia="宋体" w:hint="default"/>
          <w:spacing w:val="-2"/>
        </w:rPr>
        <w:t>412.61%</w:t>
      </w:r>
      <w:r>
        <w:rPr>
          <w:spacing w:val="-2"/>
        </w:rPr>
        <w:t>，创造了公司自成立以来的最好业绩，公司的业务结构和财务状况得到明显改善，为股东实现</w:t>
      </w:r>
      <w:r>
        <w:rPr>
          <w:spacing w:val="-56"/>
        </w:rPr>
        <w:t> </w:t>
      </w:r>
      <w:r>
        <w:rPr>
          <w:spacing w:val="-56"/>
        </w:rPr>
      </w:r>
      <w:r>
        <w:rPr/>
        <w:t>良好的投资回报奠定了坚实基础。</w:t>
      </w:r>
    </w:p>
    <w:p>
      <w:pPr>
        <w:pStyle w:val="BodyText"/>
        <w:spacing w:line="360" w:lineRule="auto" w:before="58"/>
        <w:ind w:left="513" w:right="0"/>
        <w:jc w:val="left"/>
      </w:pPr>
      <w:r>
        <w:rPr>
          <w:rFonts w:ascii="宋体" w:hAnsi="宋体" w:cs="宋体" w:eastAsia="宋体" w:hint="default"/>
        </w:rPr>
        <w:t>1</w:t>
      </w:r>
      <w:r>
        <w:rPr/>
        <w:t>、优化升级基础业务，深耕高端智能制造领域 </w:t>
      </w:r>
      <w:r>
        <w:rPr>
          <w:spacing w:val="-2"/>
        </w:rPr>
        <w:t>公司坚持以科技引领未来，重视科技创新，持续关注电气业务智能化产品的研发生产，认识到当前配变电行业正在向信</w:t>
      </w:r>
    </w:p>
    <w:p>
      <w:pPr>
        <w:pStyle w:val="BodyText"/>
        <w:spacing w:line="222" w:lineRule="exact"/>
        <w:ind w:right="0"/>
        <w:jc w:val="left"/>
      </w:pPr>
      <w:r>
        <w:rPr/>
        <w:t>息化、智能化、网络化和集成化发展的趋势，泛在电力物联网更是对技术变更、管理思维提升、管理理念创新提出了更高要</w:t>
      </w:r>
    </w:p>
    <w:p>
      <w:pPr>
        <w:pStyle w:val="BodyText"/>
        <w:spacing w:line="316" w:lineRule="auto" w:before="76"/>
        <w:ind w:right="1129"/>
        <w:jc w:val="both"/>
      </w:pPr>
      <w:r>
        <w:rPr>
          <w:spacing w:val="-2"/>
        </w:rPr>
        <w:t>求，公司从上到下积极学习行业新动态、研究新事物，牢固树立紧跟行业同步发展的意识，积极投入到配电设备一二次融合</w:t>
      </w:r>
      <w:r>
        <w:rPr>
          <w:spacing w:val="-63"/>
        </w:rPr>
        <w:t> </w:t>
      </w:r>
      <w:r>
        <w:rPr>
          <w:spacing w:val="-63"/>
        </w:rPr>
      </w:r>
      <w:r>
        <w:rPr>
          <w:spacing w:val="-4"/>
        </w:rPr>
        <w:t>及高端智能成套设备的研发制造中，成立</w:t>
      </w:r>
      <w:r>
        <w:rPr>
          <w:rFonts w:ascii="宋体" w:hAnsi="宋体" w:cs="宋体" w:eastAsia="宋体" w:hint="default"/>
          <w:spacing w:val="-4"/>
        </w:rPr>
        <w:t>220KV</w:t>
      </w:r>
      <w:r>
        <w:rPr>
          <w:spacing w:val="-4"/>
        </w:rPr>
        <w:t>高压设备检测实验室，推进公司电气设备产品进入更高技术要求的高压领域，</w:t>
      </w:r>
      <w:r>
        <w:rPr>
          <w:spacing w:val="-36"/>
        </w:rPr>
        <w:t> </w:t>
      </w:r>
      <w:r>
        <w:rPr>
          <w:spacing w:val="-36"/>
        </w:rPr>
      </w:r>
      <w:r>
        <w:rPr>
          <w:spacing w:val="-5"/>
        </w:rPr>
        <w:t>在微电网和能源综合治理领域筹备立项研发并积极引入外部科研院所和行业优质资源，提高产品的自动化、智能化、精益化，</w:t>
      </w:r>
      <w:r>
        <w:rPr>
          <w:spacing w:val="-79"/>
        </w:rPr>
        <w:t> </w:t>
      </w:r>
      <w:r>
        <w:rPr>
          <w:spacing w:val="-79"/>
        </w:rPr>
      </w:r>
      <w:r>
        <w:rPr>
          <w:spacing w:val="-5"/>
        </w:rPr>
        <w:t>减弱产品的被替代性，增强客户对产品的满意度和黏性。报告期内，公司经营范围增加“智能设备及软件、机器人及零部件、</w:t>
      </w:r>
      <w:r>
        <w:rPr>
          <w:spacing w:val="-74"/>
        </w:rPr>
        <w:t> </w:t>
      </w:r>
      <w:r>
        <w:rPr>
          <w:spacing w:val="-74"/>
        </w:rPr>
      </w:r>
      <w:r>
        <w:rPr>
          <w:spacing w:val="-5"/>
        </w:rPr>
        <w:t>机器人系统、机器人应用技术、软件产品、无人驾驶物流车整体技术、中低速无人驾驶系统、无人驾驶物流车的研发、设计、</w:t>
      </w:r>
      <w:r>
        <w:rPr>
          <w:spacing w:val="-79"/>
        </w:rPr>
        <w:t> </w:t>
      </w:r>
      <w:r>
        <w:rPr>
          <w:spacing w:val="-79"/>
        </w:rPr>
      </w:r>
      <w:r>
        <w:rPr>
          <w:spacing w:val="-2"/>
        </w:rPr>
        <w:t>生产、销售、咨询及服务”，公司目前所布局的无人配送机器人致力于解决最后一公里配送问题，有利于减少物流配送的人</w:t>
      </w:r>
      <w:r>
        <w:rPr>
          <w:spacing w:val="-66"/>
        </w:rPr>
        <w:t> </w:t>
      </w:r>
      <w:r>
        <w:rPr>
          <w:spacing w:val="-66"/>
        </w:rPr>
      </w:r>
      <w:r>
        <w:rPr>
          <w:spacing w:val="-2"/>
        </w:rPr>
        <w:t>工数量、降低配送成本，更好适应物流业的变革，具有较大发展空间，亦为公司深耕高端智能制造领域的契机点，同时公司</w:t>
      </w:r>
      <w:r>
        <w:rPr>
          <w:spacing w:val="-67"/>
        </w:rPr>
        <w:t> </w:t>
      </w:r>
      <w:r>
        <w:rPr>
          <w:spacing w:val="-67"/>
        </w:rPr>
      </w:r>
      <w:r>
        <w:rPr/>
        <w:t>还在研究工业机器人的发展前景及如何有效在公司落地生产制造，完善公司高端智能制造业务板块。</w:t>
      </w:r>
    </w:p>
    <w:p>
      <w:pPr>
        <w:pStyle w:val="BodyText"/>
        <w:spacing w:line="360" w:lineRule="auto" w:before="57"/>
        <w:ind w:left="513" w:right="0"/>
        <w:jc w:val="left"/>
      </w:pPr>
      <w:r>
        <w:rPr>
          <w:rFonts w:ascii="宋体" w:hAnsi="宋体" w:cs="宋体" w:eastAsia="宋体" w:hint="default"/>
        </w:rPr>
        <w:t>2</w:t>
      </w:r>
      <w:r>
        <w:rPr/>
        <w:t>、互联网文娱业务发展迅猛，业绩远超预期 </w:t>
      </w:r>
      <w:r>
        <w:rPr>
          <w:spacing w:val="-2"/>
        </w:rPr>
        <w:t>哆可梦始终致力于精品移动游戏的研发和发行，坚持“业务平台化、市场全球化、流量自有化、生态链泛娱乐化”的发</w:t>
      </w:r>
    </w:p>
    <w:p>
      <w:pPr>
        <w:pStyle w:val="BodyText"/>
        <w:spacing w:line="222" w:lineRule="exact"/>
        <w:ind w:right="0"/>
        <w:jc w:val="left"/>
      </w:pPr>
      <w:r>
        <w:rPr/>
        <w:t>展战略，凭借高效的游戏研发体系以及精准的游戏推广渠道，推出多款流水过亿的游戏产品，致力于为全球移动用户提供高</w:t>
      </w:r>
    </w:p>
    <w:p>
      <w:pPr>
        <w:pStyle w:val="BodyText"/>
        <w:spacing w:line="316" w:lineRule="auto" w:before="76"/>
        <w:ind w:right="1124"/>
        <w:jc w:val="left"/>
      </w:pPr>
      <w:r>
        <w:rPr>
          <w:spacing w:val="-2"/>
        </w:rPr>
        <w:t>品质的移动娱乐内容。在本报告期内哆可梦注重自我研发，推出多款全新手游，包括主打魔幻未来风格的自研新游《天使圣</w:t>
      </w:r>
      <w:r>
        <w:rPr>
          <w:spacing w:val="-65"/>
        </w:rPr>
        <w:t> </w:t>
      </w:r>
      <w:r>
        <w:rPr>
          <w:spacing w:val="-65"/>
        </w:rPr>
      </w:r>
      <w:r>
        <w:rPr>
          <w:spacing w:val="-2"/>
        </w:rPr>
        <w:t>域》、末世废土风格的自研新游《文明曙光》等，自上线以来均取得不错的成绩。哆可梦注重大数据和科技创新，不断增强</w:t>
      </w:r>
      <w:r>
        <w:rPr>
          <w:spacing w:val="-73"/>
        </w:rPr>
        <w:t> </w:t>
      </w:r>
      <w:r>
        <w:rPr>
          <w:spacing w:val="-73"/>
        </w:rPr>
      </w:r>
      <w:r>
        <w:rPr/>
        <w:t>游戏的人工智能交互，受到更多玩家的好评和市场的认可。哆可梦</w:t>
      </w:r>
      <w:r>
        <w:rPr>
          <w:rFonts w:ascii="宋体" w:hAnsi="宋体" w:cs="宋体" w:eastAsia="宋体" w:hint="default"/>
        </w:rPr>
        <w:t>2018</w:t>
      </w:r>
      <w:r>
        <w:rPr/>
        <w:t>年实现营业收入</w:t>
      </w:r>
      <w:r>
        <w:rPr>
          <w:rFonts w:ascii="宋体" w:hAnsi="宋体" w:cs="宋体" w:eastAsia="宋体" w:hint="default"/>
        </w:rPr>
        <w:t>156,018.52</w:t>
      </w:r>
      <w:r>
        <w:rPr/>
        <w:t>万元，较去年同期 </w:t>
      </w:r>
      <w:r>
        <w:rPr>
          <w:rFonts w:ascii="宋体" w:hAnsi="宋体" w:cs="宋体" w:eastAsia="宋体" w:hint="default"/>
        </w:rPr>
        <w:t>71,478.52</w:t>
      </w:r>
      <w:r>
        <w:rPr/>
        <w:t>万元增长</w:t>
      </w:r>
      <w:r>
        <w:rPr>
          <w:rFonts w:ascii="宋体" w:hAnsi="宋体" w:cs="宋体" w:eastAsia="宋体" w:hint="default"/>
        </w:rPr>
        <w:t>118.27%</w:t>
      </w:r>
      <w:r>
        <w:rPr/>
        <w:t>，实现扣非后净利润</w:t>
      </w:r>
      <w:r>
        <w:rPr>
          <w:rFonts w:ascii="宋体" w:hAnsi="宋体" w:cs="宋体" w:eastAsia="宋体" w:hint="default"/>
        </w:rPr>
        <w:t>32,279.43</w:t>
      </w:r>
      <w:r>
        <w:rPr/>
        <w:t>万元，较去年同期</w:t>
      </w:r>
      <w:r>
        <w:rPr>
          <w:rFonts w:ascii="宋体" w:hAnsi="宋体" w:cs="宋体" w:eastAsia="宋体" w:hint="default"/>
        </w:rPr>
        <w:t>14,844.74</w:t>
      </w:r>
      <w:r>
        <w:rPr/>
        <w:t>万元增长</w:t>
      </w:r>
      <w:r>
        <w:rPr>
          <w:rFonts w:ascii="宋体" w:hAnsi="宋体" w:cs="宋体" w:eastAsia="宋体" w:hint="default"/>
        </w:rPr>
        <w:t>117.45%</w:t>
      </w:r>
      <w:r>
        <w:rPr/>
        <w:t>，超额完成</w:t>
      </w:r>
      <w:r>
        <w:rPr>
          <w:rFonts w:ascii="宋体" w:hAnsi="宋体" w:cs="宋体" w:eastAsia="宋体" w:hint="default"/>
        </w:rPr>
        <w:t>2018</w:t>
      </w:r>
      <w:r>
        <w:rPr/>
        <w:t>年 业绩承诺。</w:t>
      </w:r>
    </w:p>
    <w:p>
      <w:pPr>
        <w:pStyle w:val="BodyText"/>
        <w:spacing w:line="357" w:lineRule="auto" w:before="59"/>
        <w:ind w:left="513" w:right="1118"/>
        <w:jc w:val="left"/>
      </w:pPr>
      <w:r>
        <w:rPr>
          <w:rFonts w:ascii="宋体" w:hAnsi="宋体" w:cs="宋体" w:eastAsia="宋体" w:hint="default"/>
        </w:rPr>
        <w:t>3</w:t>
      </w:r>
      <w:r>
        <w:rPr/>
        <w:t>、投资业务成绩斐然，成功实现资本运营促力产业升级 </w:t>
      </w:r>
      <w:r>
        <w:rPr>
          <w:spacing w:val="-5"/>
        </w:rPr>
        <w:t>公司所参与设立的产业并购基金通过专业化、市场化的投资运作，成功投资了具有较大发展潜力、高成长性的优质标的，</w:t>
      </w:r>
    </w:p>
    <w:p>
      <w:pPr>
        <w:pStyle w:val="BodyText"/>
        <w:spacing w:line="224" w:lineRule="exact"/>
        <w:ind w:right="0"/>
        <w:jc w:val="left"/>
      </w:pPr>
      <w:r>
        <w:rPr/>
        <w:t>部分被投项目已顺利实现退出并取得良好收益，基于上述情况，公司在报告期内择机通过调整和处置产业并购基金出资份额</w:t>
      </w:r>
    </w:p>
    <w:p>
      <w:pPr>
        <w:pStyle w:val="BodyText"/>
        <w:spacing w:line="316" w:lineRule="auto" w:before="76"/>
        <w:ind w:right="1129"/>
        <w:jc w:val="both"/>
      </w:pPr>
      <w:r>
        <w:rPr>
          <w:spacing w:val="-2"/>
        </w:rPr>
        <w:t>方式实现盈利。公司参与设立产业并购基金不仅提高了公司的盈利能力，更是成功探索到用资本运营发现优质标的、促进公</w:t>
      </w:r>
      <w:r>
        <w:rPr>
          <w:spacing w:val="-63"/>
        </w:rPr>
        <w:t> </w:t>
      </w:r>
      <w:r>
        <w:rPr>
          <w:spacing w:val="-63"/>
        </w:rPr>
      </w:r>
      <w:r>
        <w:rPr>
          <w:spacing w:val="-2"/>
        </w:rPr>
        <w:t>司产业升级的成功道路，公司在</w:t>
      </w:r>
      <w:r>
        <w:rPr>
          <w:rFonts w:ascii="宋体" w:hAnsi="宋体" w:cs="宋体" w:eastAsia="宋体" w:hint="default"/>
          <w:spacing w:val="-2"/>
        </w:rPr>
        <w:t>2018</w:t>
      </w:r>
      <w:r>
        <w:rPr>
          <w:spacing w:val="-2"/>
        </w:rPr>
        <w:t>年参与设立惠智网联，重点投向互联网综合服务、智能制造等产业链上下游领域及其他</w:t>
      </w:r>
      <w:r>
        <w:rPr>
          <w:spacing w:val="-59"/>
        </w:rPr>
        <w:t> </w:t>
      </w:r>
      <w:r>
        <w:rPr>
          <w:spacing w:val="-59"/>
        </w:rPr>
      </w:r>
      <w:r>
        <w:rPr>
          <w:spacing w:val="-2"/>
        </w:rPr>
        <w:t>战略新兴产业，不断尝试通过充分利用产业并购基金等形式，围绕公司发展战略，实现上下游资源整合和产业布局，持续提</w:t>
      </w:r>
      <w:r>
        <w:rPr>
          <w:spacing w:val="-64"/>
        </w:rPr>
        <w:t> </w:t>
      </w:r>
      <w:r>
        <w:rPr>
          <w:spacing w:val="-64"/>
        </w:rPr>
      </w:r>
      <w:r>
        <w:rPr/>
        <w:t>升公司的竞争实力。</w:t>
      </w:r>
    </w:p>
    <w:p>
      <w:pPr>
        <w:pStyle w:val="BodyText"/>
        <w:spacing w:line="360" w:lineRule="auto" w:before="59"/>
        <w:ind w:left="513" w:right="0"/>
        <w:jc w:val="left"/>
      </w:pPr>
      <w:r>
        <w:rPr>
          <w:rFonts w:ascii="宋体" w:hAnsi="宋体" w:cs="宋体" w:eastAsia="宋体" w:hint="default"/>
        </w:rPr>
        <w:t>4</w:t>
      </w:r>
      <w:r>
        <w:rPr/>
        <w:t>、大股东切实履行增持承诺，巩固控制权，维护公司整体利益 </w:t>
      </w:r>
      <w:r>
        <w:rPr>
          <w:spacing w:val="-2"/>
        </w:rPr>
        <w:t>基于对公司未来发展的信心，公司控股股东中驰惠程及其一致行动人计划于公司现金收购哆可梦</w:t>
      </w:r>
      <w:r>
        <w:rPr>
          <w:rFonts w:ascii="宋体" w:hAnsi="宋体" w:cs="宋体" w:eastAsia="宋体" w:hint="default"/>
          <w:spacing w:val="-2"/>
        </w:rPr>
        <w:t>77.57%</w:t>
      </w:r>
      <w:r>
        <w:rPr>
          <w:spacing w:val="-2"/>
        </w:rPr>
        <w:t>股权完成之日起</w:t>
      </w:r>
    </w:p>
    <w:p>
      <w:pPr>
        <w:pStyle w:val="BodyText"/>
        <w:spacing w:line="222" w:lineRule="exact"/>
        <w:ind w:right="0"/>
        <w:jc w:val="left"/>
      </w:pPr>
      <w:r>
        <w:rPr>
          <w:rFonts w:ascii="宋体" w:hAnsi="宋体" w:cs="宋体" w:eastAsia="宋体" w:hint="default"/>
        </w:rPr>
        <w:t>12</w:t>
      </w:r>
      <w:r>
        <w:rPr/>
        <w:t>个月内通过深圳证券交易所股票交易系统允许的方式（包括但不限于集中竞价和大宗交易）增持公司股份，拟增持金额原</w:t>
      </w:r>
    </w:p>
    <w:p>
      <w:pPr>
        <w:pStyle w:val="BodyText"/>
        <w:spacing w:line="319" w:lineRule="auto" w:before="76"/>
        <w:ind w:right="1034"/>
        <w:jc w:val="left"/>
      </w:pPr>
      <w:r>
        <w:rPr>
          <w:spacing w:val="-3"/>
        </w:rPr>
        <w:t>则上不少于</w:t>
      </w:r>
      <w:r>
        <w:rPr>
          <w:rFonts w:ascii="宋体" w:hAnsi="宋体" w:cs="宋体" w:eastAsia="宋体" w:hint="default"/>
          <w:spacing w:val="-3"/>
        </w:rPr>
        <w:t>1</w:t>
      </w:r>
      <w:r>
        <w:rPr>
          <w:spacing w:val="-3"/>
        </w:rPr>
        <w:t>亿元、不超过</w:t>
      </w:r>
      <w:r>
        <w:rPr>
          <w:rFonts w:ascii="宋体" w:hAnsi="宋体" w:cs="宋体" w:eastAsia="宋体" w:hint="default"/>
          <w:spacing w:val="-3"/>
        </w:rPr>
        <w:t>10</w:t>
      </w:r>
      <w:r>
        <w:rPr>
          <w:spacing w:val="-3"/>
        </w:rPr>
        <w:t>亿元。前述增持计划于</w:t>
      </w:r>
      <w:r>
        <w:rPr>
          <w:rFonts w:ascii="宋体" w:hAnsi="宋体" w:cs="宋体" w:eastAsia="宋体" w:hint="default"/>
          <w:spacing w:val="-3"/>
        </w:rPr>
        <w:t>2018</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17</w:t>
      </w:r>
      <w:r>
        <w:rPr>
          <w:spacing w:val="-3"/>
        </w:rPr>
        <w:t>日完成后控股股东及其一致行动人又发布了新一轮增持计划，</w:t>
      </w:r>
      <w:r>
        <w:rPr>
          <w:spacing w:val="-85"/>
        </w:rPr>
        <w:t> </w:t>
      </w:r>
      <w:r>
        <w:rPr>
          <w:spacing w:val="-85"/>
        </w:rPr>
      </w:r>
      <w:r>
        <w:rPr/>
        <w:t>自</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18</w:t>
      </w:r>
      <w:r>
        <w:rPr/>
        <w:t>日起未来</w:t>
      </w:r>
      <w:r>
        <w:rPr>
          <w:rFonts w:ascii="宋体" w:hAnsi="宋体" w:cs="宋体" w:eastAsia="宋体" w:hint="default"/>
        </w:rPr>
        <w:t>12</w:t>
      </w:r>
      <w:r>
        <w:rPr/>
        <w:t>个月内拟增持金额原则上不少于</w:t>
      </w:r>
      <w:r>
        <w:rPr>
          <w:rFonts w:ascii="宋体" w:hAnsi="宋体" w:cs="宋体" w:eastAsia="宋体" w:hint="default"/>
        </w:rPr>
        <w:t>1</w:t>
      </w:r>
      <w:r>
        <w:rPr/>
        <w:t>亿元、不超过</w:t>
      </w:r>
      <w:r>
        <w:rPr>
          <w:rFonts w:ascii="宋体" w:hAnsi="宋体" w:cs="宋体" w:eastAsia="宋体" w:hint="default"/>
        </w:rPr>
        <w:t>10</w:t>
      </w:r>
      <w:r>
        <w:rPr/>
        <w:t>亿元。自</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28</w:t>
      </w:r>
      <w:r>
        <w:rPr/>
        <w:t>日公司股票复牌以来，控 </w:t>
      </w:r>
      <w:r>
        <w:rPr>
          <w:spacing w:val="-2"/>
        </w:rPr>
        <w:t>股股东及其一致行动人切实履行增持承诺，已累计用</w:t>
      </w:r>
      <w:r>
        <w:rPr>
          <w:rFonts w:ascii="宋体" w:hAnsi="宋体" w:cs="宋体" w:eastAsia="宋体" w:hint="default"/>
          <w:spacing w:val="-2"/>
        </w:rPr>
        <w:t>12</w:t>
      </w:r>
      <w:r>
        <w:rPr>
          <w:spacing w:val="-2"/>
        </w:rPr>
        <w:t>亿元资金增持公司股份，截至本报告披露日，控股股东及其一致行动</w:t>
      </w:r>
    </w:p>
    <w:p>
      <w:pPr>
        <w:spacing w:after="0" w:line="319"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24"/>
        <w:jc w:val="left"/>
      </w:pPr>
      <w:r>
        <w:rPr/>
        <w:t>人合计持有公司</w:t>
      </w:r>
      <w:r>
        <w:rPr>
          <w:rFonts w:ascii="宋体" w:hAnsi="宋体" w:cs="宋体" w:eastAsia="宋体" w:hint="default"/>
        </w:rPr>
        <w:t>238,524,871</w:t>
      </w:r>
      <w:r>
        <w:rPr/>
        <w:t>股股份，持股比例由</w:t>
      </w:r>
      <w:r>
        <w:rPr>
          <w:rFonts w:ascii="宋体" w:hAnsi="宋体" w:cs="宋体" w:eastAsia="宋体" w:hint="default"/>
        </w:rPr>
        <w:t>15.43%</w:t>
      </w:r>
      <w:r>
        <w:rPr/>
        <w:t>提高到</w:t>
      </w:r>
      <w:r>
        <w:rPr>
          <w:rFonts w:ascii="宋体" w:hAnsi="宋体" w:cs="宋体" w:eastAsia="宋体" w:hint="default"/>
        </w:rPr>
        <w:t>29.30%</w:t>
      </w:r>
      <w:r>
        <w:rPr/>
        <w:t>，公司控制权得到进一步巩固，有利于公司稳定健康 发展。</w:t>
      </w:r>
    </w:p>
    <w:p>
      <w:pPr>
        <w:pStyle w:val="BodyText"/>
        <w:spacing w:line="357" w:lineRule="auto" w:before="59"/>
        <w:ind w:left="513" w:right="0"/>
        <w:jc w:val="left"/>
      </w:pPr>
      <w:r>
        <w:rPr>
          <w:rFonts w:ascii="宋体" w:hAnsi="宋体" w:cs="宋体" w:eastAsia="宋体" w:hint="default"/>
        </w:rPr>
        <w:t>5</w:t>
      </w:r>
      <w:r>
        <w:rPr/>
        <w:t>、完成公司名称变更，致力于实现公司发展战略 </w:t>
      </w:r>
      <w:r>
        <w:rPr>
          <w:spacing w:val="-2"/>
        </w:rPr>
        <w:t>鉴于重组完成后，公司业务格局已发生重大变化，根据公司战略发展规划及经营发展需要，为使公司名称更好地匹配公</w:t>
      </w:r>
    </w:p>
    <w:p>
      <w:pPr>
        <w:pStyle w:val="BodyText"/>
        <w:spacing w:line="224" w:lineRule="exact"/>
        <w:ind w:right="0"/>
        <w:jc w:val="left"/>
      </w:pPr>
      <w:r>
        <w:rPr/>
        <w:t>司现有主营业务实际情况，易于投资者理解，建立公司新的企业形象，公司名称由“深圳市惠程电气股份有限公司”变更为</w:t>
      </w:r>
    </w:p>
    <w:p>
      <w:pPr>
        <w:pStyle w:val="BodyText"/>
        <w:spacing w:line="316" w:lineRule="auto" w:before="76"/>
        <w:ind w:right="1133"/>
        <w:jc w:val="left"/>
      </w:pPr>
      <w:r>
        <w:rPr/>
        <w:t>“深圳市惠程信息科技股份有限公司”、英文名称由“Shenzhen Hifuture Electric Co.,</w:t>
      </w:r>
      <w:r>
        <w:rPr>
          <w:spacing w:val="-13"/>
        </w:rPr>
        <w:t> </w:t>
      </w:r>
      <w:r>
        <w:rPr/>
        <w:t>Ltd.”变更为“Shenzhen</w:t>
      </w:r>
      <w:r>
        <w:rPr/>
        <w:t> Hifuture Information Technology</w:t>
      </w:r>
      <w:r>
        <w:rPr>
          <w:spacing w:val="-13"/>
        </w:rPr>
        <w:t> </w:t>
      </w:r>
      <w:r>
        <w:rPr/>
        <w:t>Co.,Ltd.”、证券简称由“深圳惠程”变更为“惠程科技”。</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7"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6"/>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9"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1,898,158,382.53</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373,172,726.25</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408.65%</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）电力行业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323,568,620.60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17.05%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313,522,139.09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84.01%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）游戏行业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1,572,809,999.93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82.86%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46,979,219.61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12.59%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3,247.88%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1,779,762.00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12,671,367.55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-85.95%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电气产品类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280,557,731.26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264,426,823.68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70.86%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绝缘产品类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43,010,889.34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49,095,315.41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游戏发行类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1,397,227,040.18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73.61%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43,498,403.66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11.66%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3,112.13%</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游戏研发类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175,582,959.75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3,480,815.95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4,944.30%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1,779,762.00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12,671,367.55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-85.95%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1,877,659,251.35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98.92%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369,456,143.15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99.00%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408.22%</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20,499,131.18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3,716,583.10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451.56%</w:t>
            </w:r>
          </w:p>
        </w:tc>
      </w:tr>
    </w:tbl>
    <w:p>
      <w:pPr>
        <w:pStyle w:val="BodyText"/>
        <w:spacing w:line="240" w:lineRule="auto" w:before="49"/>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上市公司从软件与信息技术服务业务》的披露要求</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0"/>
        <w:gridCol w:w="1008"/>
        <w:gridCol w:w="1009"/>
        <w:gridCol w:w="1013"/>
        <w:gridCol w:w="1011"/>
        <w:gridCol w:w="1003"/>
        <w:gridCol w:w="1006"/>
        <w:gridCol w:w="1001"/>
        <w:gridCol w:w="1003"/>
      </w:tblGrid>
      <w:tr>
        <w:trPr>
          <w:trHeight w:val="206" w:hRule="exact"/>
        </w:trPr>
        <w:tc>
          <w:tcPr>
            <w:tcW w:w="1520"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0" w:hRule="exact"/>
        </w:trPr>
        <w:tc>
          <w:tcPr>
            <w:tcW w:w="1520" w:type="dxa"/>
            <w:vMerge w:val="restart"/>
            <w:tcBorders>
              <w:top w:val="nil" w:sz="6" w:space="0" w:color="auto"/>
              <w:left w:val="single" w:sz="4" w:space="0" w:color="000000"/>
              <w:right w:val="single" w:sz="4" w:space="0" w:color="000000"/>
            </w:tcBorders>
            <w:shd w:val="clear" w:color="auto" w:fill="D2D2D2"/>
          </w:tcPr>
          <w:p>
            <w:pPr/>
          </w:p>
        </w:tc>
        <w:tc>
          <w:tcPr>
            <w:tcW w:w="4040" w:type="dxa"/>
            <w:gridSpan w:val="4"/>
            <w:vMerge/>
            <w:tcBorders>
              <w:left w:val="single" w:sz="4" w:space="0" w:color="000000"/>
              <w:bottom w:val="single" w:sz="4" w:space="0" w:color="000000"/>
              <w:right w:val="single" w:sz="4" w:space="0" w:color="000000"/>
            </w:tcBorders>
            <w:shd w:val="clear" w:color="auto" w:fill="D2D2D2"/>
          </w:tcPr>
          <w:p>
            <w:pPr/>
          </w:p>
        </w:tc>
        <w:tc>
          <w:tcPr>
            <w:tcW w:w="4013"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20"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9"/>
              <w:ind w:left="5" w:right="0"/>
              <w:jc w:val="center"/>
              <w:rPr>
                <w:rFonts w:ascii="Times New Roman" w:hAnsi="Times New Roman" w:cs="Times New Roman" w:eastAsia="Times New Roman" w:hint="default"/>
                <w:sz w:val="15"/>
                <w:szCs w:val="15"/>
              </w:rPr>
            </w:pPr>
            <w:r>
              <w:rPr>
                <w:rFonts w:ascii="Times New Roman"/>
                <w:sz w:val="15"/>
              </w:rPr>
              <w:t>604,057,765.92</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6" w:right="0"/>
              <w:jc w:val="center"/>
              <w:rPr>
                <w:rFonts w:ascii="Times New Roman" w:hAnsi="Times New Roman" w:cs="Times New Roman" w:eastAsia="Times New Roman" w:hint="default"/>
                <w:sz w:val="15"/>
                <w:szCs w:val="15"/>
              </w:rPr>
            </w:pPr>
            <w:r>
              <w:rPr>
                <w:rFonts w:ascii="Times New Roman"/>
                <w:sz w:val="15"/>
              </w:rPr>
              <w:t>517,459,917.94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400,601,644.02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9" w:right="0"/>
              <w:jc w:val="center"/>
              <w:rPr>
                <w:rFonts w:ascii="Times New Roman" w:hAnsi="Times New Roman" w:cs="Times New Roman" w:eastAsia="Times New Roman" w:hint="default"/>
                <w:sz w:val="15"/>
                <w:szCs w:val="15"/>
              </w:rPr>
            </w:pPr>
            <w:r>
              <w:rPr>
                <w:rFonts w:ascii="Times New Roman"/>
                <w:sz w:val="15"/>
              </w:rPr>
              <w:t>376,039,054.65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53,208,618.29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6" w:right="0"/>
              <w:jc w:val="center"/>
              <w:rPr>
                <w:rFonts w:ascii="Times New Roman" w:hAnsi="Times New Roman" w:cs="Times New Roman" w:eastAsia="Times New Roman" w:hint="default"/>
                <w:sz w:val="15"/>
                <w:szCs w:val="15"/>
              </w:rPr>
            </w:pPr>
            <w:r>
              <w:rPr>
                <w:rFonts w:ascii="Times New Roman"/>
                <w:sz w:val="15"/>
              </w:rPr>
              <w:t>99,070,089.48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79,177,645.39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 w:right="0"/>
              <w:jc w:val="center"/>
              <w:rPr>
                <w:rFonts w:ascii="Times New Roman" w:hAnsi="Times New Roman" w:cs="Times New Roman" w:eastAsia="Times New Roman" w:hint="default"/>
                <w:sz w:val="15"/>
                <w:szCs w:val="15"/>
              </w:rPr>
            </w:pPr>
            <w:r>
              <w:rPr>
                <w:rFonts w:ascii="Times New Roman"/>
                <w:sz w:val="15"/>
              </w:rPr>
              <w:t>141,716,373.09</w:t>
            </w:r>
          </w:p>
        </w:tc>
      </w:tr>
      <w:tr>
        <w:trPr>
          <w:trHeight w:val="715"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156,162,545.94</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93" w:right="0"/>
              <w:jc w:val="center"/>
              <w:rPr>
                <w:rFonts w:ascii="Times New Roman" w:hAnsi="Times New Roman" w:cs="Times New Roman" w:eastAsia="Times New Roman" w:hint="default"/>
                <w:sz w:val="15"/>
                <w:szCs w:val="15"/>
              </w:rPr>
            </w:pPr>
            <w:r>
              <w:rPr>
                <w:rFonts w:ascii="Times New Roman"/>
                <w:sz w:val="15"/>
              </w:rPr>
              <w:t>93,727,307.84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75,873,908.77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96" w:right="0"/>
              <w:jc w:val="center"/>
              <w:rPr>
                <w:rFonts w:ascii="Times New Roman" w:hAnsi="Times New Roman" w:cs="Times New Roman" w:eastAsia="Times New Roman" w:hint="default"/>
                <w:sz w:val="15"/>
                <w:szCs w:val="15"/>
              </w:rPr>
            </w:pPr>
            <w:r>
              <w:rPr>
                <w:rFonts w:ascii="Times New Roman"/>
                <w:sz w:val="15"/>
              </w:rPr>
              <w:t>10,626,041.98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-5,562,076.38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6" w:right="0"/>
              <w:jc w:val="center"/>
              <w:rPr>
                <w:rFonts w:ascii="Times New Roman" w:hAnsi="Times New Roman" w:cs="Times New Roman" w:eastAsia="Times New Roman" w:hint="default"/>
                <w:sz w:val="15"/>
                <w:szCs w:val="15"/>
              </w:rPr>
            </w:pPr>
            <w:r>
              <w:rPr>
                <w:rFonts w:ascii="Times New Roman"/>
                <w:sz w:val="15"/>
              </w:rPr>
              <w:t>-59,326,129.32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-27,357,759.55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4" w:right="0"/>
              <w:jc w:val="center"/>
              <w:rPr>
                <w:rFonts w:ascii="Times New Roman" w:hAnsi="Times New Roman" w:cs="Times New Roman" w:eastAsia="Times New Roman" w:hint="default"/>
                <w:sz w:val="15"/>
                <w:szCs w:val="15"/>
              </w:rPr>
            </w:pPr>
            <w:r>
              <w:rPr>
                <w:rFonts w:ascii="Times New Roman"/>
                <w:sz w:val="15"/>
              </w:rPr>
              <w:t>-15,361,670.52</w:t>
            </w:r>
          </w:p>
        </w:tc>
      </w:tr>
    </w:tbl>
    <w:p>
      <w:pPr>
        <w:pStyle w:val="BodyText"/>
        <w:spacing w:line="240" w:lineRule="auto" w:before="49"/>
        <w:ind w:right="1133"/>
        <w:jc w:val="left"/>
      </w:pPr>
      <w:r>
        <w:rPr/>
        <w:t>说明经营季节性（或周期性）发生的原因及波动风险</w:t>
      </w:r>
    </w:p>
    <w:p>
      <w:pPr>
        <w:pStyle w:val="BodyText"/>
        <w:spacing w:line="300" w:lineRule="auto" w:before="115"/>
        <w:ind w:right="1213" w:firstLine="360"/>
        <w:jc w:val="both"/>
      </w:pPr>
      <w:r>
        <w:rPr/>
        <w:t>①</w:t>
      </w:r>
      <w:r>
        <w:rPr>
          <w:rFonts w:ascii="Times New Roman" w:hAnsi="Times New Roman" w:cs="Times New Roman" w:eastAsia="Times New Roman" w:hint="default"/>
        </w:rPr>
        <w:t>2017</w:t>
      </w:r>
      <w:r>
        <w:rPr/>
        <w:t>年底公司完成对哆可梦</w:t>
      </w:r>
      <w:r>
        <w:rPr>
          <w:rFonts w:ascii="Times New Roman" w:hAnsi="Times New Roman" w:cs="Times New Roman" w:eastAsia="Times New Roman" w:hint="default"/>
        </w:rPr>
        <w:t>77.57%</w:t>
      </w:r>
      <w:r>
        <w:rPr/>
        <w:t>股权的收购，公司新增互联网文娱业务，</w:t>
      </w:r>
      <w:r>
        <w:rPr>
          <w:rFonts w:ascii="Times New Roman" w:hAnsi="Times New Roman" w:cs="Times New Roman" w:eastAsia="Times New Roman" w:hint="default"/>
        </w:rPr>
        <w:t>2018</w:t>
      </w:r>
      <w:r>
        <w:rPr/>
        <w:t>年度整体营业收入和净利润水平均 高于去年同期；</w:t>
      </w:r>
    </w:p>
    <w:p>
      <w:pPr>
        <w:pStyle w:val="BodyText"/>
        <w:spacing w:line="300" w:lineRule="auto" w:before="32"/>
        <w:ind w:right="1216" w:firstLine="360"/>
        <w:jc w:val="both"/>
      </w:pPr>
      <w:r>
        <w:rPr/>
        <w:t>②公司参与设立的产业并购基金</w:t>
      </w:r>
      <w:r>
        <w:rPr>
          <w:rFonts w:ascii="Times New Roman" w:hAnsi="Times New Roman" w:cs="Times New Roman" w:eastAsia="Times New Roman" w:hint="default"/>
        </w:rPr>
        <w:t>2017</w:t>
      </w:r>
      <w:r>
        <w:rPr/>
        <w:t>年底处置哆可梦</w:t>
      </w:r>
      <w:r>
        <w:rPr>
          <w:rFonts w:ascii="Times New Roman" w:hAnsi="Times New Roman" w:cs="Times New Roman" w:eastAsia="Times New Roman" w:hint="default"/>
        </w:rPr>
        <w:t>22.43%</w:t>
      </w:r>
      <w:r>
        <w:rPr/>
        <w:t>股权的投资收益按照企业会计准则要求确认在本报告期第 一季度，导致本报告期第一季度归属于上市公司股东的净利润大幅提升；</w:t>
      </w:r>
    </w:p>
    <w:p>
      <w:pPr>
        <w:pStyle w:val="BodyText"/>
        <w:spacing w:line="316" w:lineRule="auto" w:before="31"/>
        <w:ind w:right="1130" w:firstLine="360"/>
        <w:jc w:val="both"/>
      </w:pPr>
      <w:r>
        <w:rPr>
          <w:spacing w:val="-2"/>
        </w:rPr>
        <w:t>③受</w:t>
      </w:r>
      <w:r>
        <w:rPr>
          <w:rFonts w:ascii="宋体" w:hAnsi="宋体" w:cs="宋体" w:eastAsia="宋体" w:hint="default"/>
          <w:spacing w:val="-2"/>
        </w:rPr>
        <w:t>2018</w:t>
      </w:r>
      <w:r>
        <w:rPr>
          <w:spacing w:val="-2"/>
        </w:rPr>
        <w:t>年底游戏市场环境竞争白热化以及游戏政策收紧等多方面因素的影响，控股子公司哆可梦自研游戏产品上线时</w:t>
      </w:r>
      <w:r>
        <w:rPr/>
        <w:t> </w:t>
      </w:r>
      <w:r>
        <w:rPr>
          <w:spacing w:val="-2"/>
        </w:rPr>
        <w:t>间推迟、实际上线的代理游戏产品数量少于预期且正式推出时间晚于预期，同时公司报告期新成立的控股子公司上海季娱第</w:t>
      </w:r>
      <w:r>
        <w:rPr>
          <w:spacing w:val="-64"/>
        </w:rPr>
        <w:t> </w:t>
      </w:r>
      <w:r>
        <w:rPr>
          <w:spacing w:val="-64"/>
        </w:rPr>
      </w:r>
      <w:r>
        <w:rPr>
          <w:spacing w:val="-2"/>
        </w:rPr>
        <w:t>四季度开始正式开展业务，尚处于业务开发期和成长期，尚未实现盈利，导致本报告期第四季度归属于上市公司股东的净利</w:t>
      </w:r>
      <w:r>
        <w:rPr>
          <w:spacing w:val="-63"/>
        </w:rPr>
        <w:t> </w:t>
      </w:r>
      <w:r>
        <w:rPr>
          <w:spacing w:val="-63"/>
        </w:rPr>
      </w:r>
      <w:r>
        <w:rPr/>
        <w:t>润减少。</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348" w:lineRule="auto" w:before="44"/>
        <w:ind w:right="58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是</w:t>
      </w:r>
      <w:r>
        <w:rPr>
          <w:spacing w:val="1"/>
        </w:rPr>
        <w:t> </w:t>
      </w:r>
      <w:r>
        <w:rPr/>
        <w:t>软件与信息技术服务业</w:t>
      </w:r>
    </w:p>
    <w:p>
      <w:pPr>
        <w:pStyle w:val="BodyText"/>
        <w:spacing w:line="240" w:lineRule="auto" w:before="36"/>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）电力行业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323,568,620.60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222,108,357.09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）游戏行业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1,572,809,999.93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321,540,391.75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3,247.88%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4,438.35%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1,779,762.00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47.86%</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电气产品类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280,557,731.26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189,247,559.29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0.93%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绝缘产品类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43,010,889.34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32,860,797.80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游戏发行类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1,397,227,040.18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316,165,496.98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3,112.13%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6,065.10%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游戏研发类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175,582,959.75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5,374,894.77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4,944.30%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174.70%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1,779,762.00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47.86%</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1,877,659,251.35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534,239,030.33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34.57%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20,499,131.18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9,409,718.51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30.55%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340" w:lineRule="auto" w:before="44"/>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17,603,194.49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16,924,623.58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178,141,091.95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180,228,778.75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26,364,070.65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25,379,112.94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300,806,531.34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5,320,159.78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5,554.09%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服务器成本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4,207,215.01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620,700.51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577.82%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版权金摊销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6,321,272.05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232,573.55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2,617.97%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10,205,373.35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911,533.90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1,019.58%</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6,064,401.15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33"/>
        <w:jc w:val="left"/>
      </w:pPr>
      <w:r>
        <w:rPr/>
        <w:t>行业和产品分类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222,108,357.09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222,532,515.27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游戏行业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321,540,391.75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7,084,967.74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4,438.35%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6,064,401.15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电气产品类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189,247,559.29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187,512,224.01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绝缘产品类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32,860,797.80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35,020,291.26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游戏发行类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316,165,496.98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5,128,308.58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6,065.10%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游戏研发类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5,374,894.77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1,956,659.16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6,064,401.15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00" w:lineRule="auto" w:before="49"/>
        <w:ind w:right="1134"/>
        <w:jc w:val="both"/>
      </w:pPr>
      <w:r>
        <w:rPr/>
        <w:t>说明：</w:t>
      </w:r>
      <w:r>
        <w:rPr>
          <w:rFonts w:ascii="Times New Roman" w:hAnsi="Times New Roman" w:cs="Times New Roman" w:eastAsia="Times New Roman" w:hint="default"/>
        </w:rPr>
        <w:t>2017</w:t>
      </w:r>
      <w:r>
        <w:rPr>
          <w:rFonts w:ascii="Times New Roman" w:hAnsi="Times New Roman" w:cs="Times New Roman" w:eastAsia="Times New Roman" w:hint="default"/>
          <w:spacing w:val="-21"/>
        </w:rPr>
        <w:t> </w:t>
      </w:r>
      <w:r>
        <w:rPr/>
        <w:t>年底公司完成对哆可梦</w:t>
      </w:r>
      <w:r>
        <w:rPr>
          <w:spacing w:val="-60"/>
        </w:rPr>
        <w:t> </w:t>
      </w:r>
      <w:r>
        <w:rPr>
          <w:rFonts w:ascii="Times New Roman" w:hAnsi="Times New Roman" w:cs="Times New Roman" w:eastAsia="Times New Roman" w:hint="default"/>
        </w:rPr>
        <w:t>77.57%</w:t>
      </w:r>
      <w:r>
        <w:rPr/>
        <w:t>股权的收购，公司新增互联网文娱业务，</w:t>
      </w:r>
      <w:r>
        <w:rPr>
          <w:rFonts w:ascii="Times New Roman" w:hAnsi="Times New Roman" w:cs="Times New Roman" w:eastAsia="Times New Roman" w:hint="default"/>
        </w:rPr>
        <w:t>2018</w:t>
      </w:r>
      <w:r>
        <w:rPr>
          <w:rFonts w:ascii="Times New Roman" w:hAnsi="Times New Roman" w:cs="Times New Roman" w:eastAsia="Times New Roman" w:hint="default"/>
          <w:spacing w:val="-21"/>
        </w:rPr>
        <w:t> </w:t>
      </w:r>
      <w:r>
        <w:rPr/>
        <w:t>年度公司游戏业务整体业务规模扩 大、收入增长且合并报表时间持续一年（去年同期合并报表时间仅</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天），因此游戏业务相关各项营业收入、成本同比涨 幅较大。</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16" w:lineRule="auto" w:before="101"/>
        <w:ind w:right="1130" w:firstLine="360"/>
        <w:jc w:val="both"/>
      </w:pPr>
      <w:r>
        <w:rPr>
          <w:spacing w:val="-2"/>
        </w:rPr>
        <w:t>本公司合并财务报表范围包括本公司及喀什中汇联银、惠程智能、香港惠程、北京中汇联银、中行置盛、中融建银、中</w:t>
      </w:r>
      <w:r>
        <w:rPr/>
        <w:t> </w:t>
      </w:r>
      <w:r>
        <w:rPr>
          <w:spacing w:val="-2"/>
        </w:rPr>
        <w:t>汇联鑫、豪琛投资、鹏胤投资、中汇同盈、哆可梦、吉乾科技、旭梅网络、华向文化、游湛网络、璿游网络、乐珩网络、上</w:t>
      </w:r>
      <w:r>
        <w:rPr>
          <w:spacing w:val="-70"/>
        </w:rPr>
        <w:t> </w:t>
      </w:r>
      <w:r>
        <w:rPr>
          <w:spacing w:val="-70"/>
        </w:rPr>
      </w:r>
      <w:r>
        <w:rPr/>
        <w:t>海季娱、共创网络、翔瑞科技、珂星网络。</w:t>
      </w:r>
    </w:p>
    <w:p>
      <w:pPr>
        <w:pStyle w:val="BodyText"/>
        <w:spacing w:line="300" w:lineRule="auto" w:before="59"/>
        <w:ind w:right="1133" w:firstLine="360"/>
        <w:jc w:val="both"/>
      </w:pPr>
      <w:r>
        <w:rPr>
          <w:rFonts w:ascii="Times New Roman" w:hAnsi="Times New Roman" w:cs="Times New Roman" w:eastAsia="Times New Roman" w:hint="default"/>
        </w:rPr>
        <w:t>2018</w:t>
      </w:r>
      <w:r>
        <w:rPr/>
        <w:t>年合并范围相比上年，增加</w:t>
      </w:r>
      <w:r>
        <w:rPr>
          <w:rFonts w:ascii="Times New Roman" w:hAnsi="Times New Roman" w:cs="Times New Roman" w:eastAsia="Times New Roman" w:hint="default"/>
        </w:rPr>
        <w:t>1</w:t>
      </w:r>
      <w:r>
        <w:rPr/>
        <w:t>家控股子公司上海季娱及其下属</w:t>
      </w:r>
      <w:r>
        <w:rPr>
          <w:rFonts w:ascii="Times New Roman" w:hAnsi="Times New Roman" w:cs="Times New Roman" w:eastAsia="Times New Roman" w:hint="default"/>
        </w:rPr>
        <w:t>1</w:t>
      </w:r>
      <w:r>
        <w:rPr/>
        <w:t>家子公司珂星网络，以及哆可梦下属</w:t>
      </w:r>
      <w:r>
        <w:rPr>
          <w:rFonts w:ascii="Times New Roman" w:hAnsi="Times New Roman" w:cs="Times New Roman" w:eastAsia="Times New Roman" w:hint="default"/>
        </w:rPr>
        <w:t>2</w:t>
      </w:r>
      <w:r>
        <w:rPr/>
        <w:t>家子公司共创 网络、翔瑞科技。</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401"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289,203,597.66</w:t>
            </w:r>
          </w:p>
        </w:tc>
      </w:tr>
      <w:tr>
        <w:trPr>
          <w:trHeight w:val="404"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15.23%</w:t>
            </w:r>
          </w:p>
        </w:tc>
      </w:tr>
      <w:tr>
        <w:trPr>
          <w:trHeight w:val="401"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136,374,010.71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49,057,432.16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45,114,097.30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35,073,151.83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23,584,905.66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289,203,597.66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主要客户其他情况说明</w:t>
      </w:r>
    </w:p>
    <w:p>
      <w:pPr>
        <w:pStyle w:val="BodyText"/>
        <w:spacing w:line="338"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819"/>
        <w:gridCol w:w="4751"/>
      </w:tblGrid>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634,643,500.16</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46.97%</w:t>
            </w:r>
          </w:p>
        </w:tc>
      </w:tr>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214,540,251.42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15.88%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194,438,402.60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14.39%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122,936,610.10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9.10%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62,025,155.84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40,703,080.20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634,643,500.16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46.97%</w:t>
            </w:r>
          </w:p>
        </w:tc>
      </w:tr>
    </w:tbl>
    <w:p>
      <w:pPr>
        <w:pStyle w:val="BodyText"/>
        <w:spacing w:line="240" w:lineRule="auto" w:before="49"/>
        <w:ind w:right="1133"/>
        <w:jc w:val="left"/>
      </w:pPr>
      <w:r>
        <w:rPr/>
        <w:t>主要供应商其他情况说明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71"/>
        <w:gridCol w:w="1285"/>
        <w:gridCol w:w="1277"/>
        <w:gridCol w:w="1133"/>
        <w:gridCol w:w="4892"/>
      </w:tblGrid>
      <w:tr>
        <w:trPr>
          <w:trHeight w:val="403"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894,903,570.23</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81,308,181.79</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1,000.63%</w:t>
            </w:r>
          </w:p>
        </w:tc>
        <w:tc>
          <w:tcPr>
            <w:tcW w:w="4892"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76"/>
              <w:jc w:val="left"/>
              <w:rPr>
                <w:rFonts w:ascii="宋体" w:hAnsi="宋体" w:cs="宋体" w:eastAsia="宋体" w:hint="default"/>
                <w:sz w:val="18"/>
                <w:szCs w:val="18"/>
              </w:rPr>
            </w:pPr>
            <w:r>
              <w:rPr>
                <w:rFonts w:ascii="宋体" w:hAnsi="宋体" w:cs="宋体" w:eastAsia="宋体" w:hint="default"/>
                <w:sz w:val="18"/>
                <w:szCs w:val="18"/>
              </w:rPr>
              <w:t>主要系报告期内控股子公司哆可梦业务规模扩大销售费用增 加所致</w:t>
            </w:r>
          </w:p>
        </w:tc>
      </w:tr>
      <w:tr>
        <w:trPr>
          <w:trHeight w:val="391" w:hRule="exact"/>
        </w:trPr>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85"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4892" w:type="dxa"/>
            <w:vMerge/>
            <w:tcBorders>
              <w:left w:val="single" w:sz="4" w:space="0" w:color="000000"/>
              <w:right w:val="single" w:sz="4" w:space="0" w:color="000000"/>
            </w:tcBorders>
          </w:tcPr>
          <w:p>
            <w:pPr/>
          </w:p>
        </w:tc>
      </w:tr>
      <w:tr>
        <w:trPr>
          <w:trHeight w:val="161" w:hRule="exact"/>
        </w:trPr>
        <w:tc>
          <w:tcPr>
            <w:tcW w:w="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5"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4892" w:type="dxa"/>
            <w:vMerge/>
            <w:tcBorders>
              <w:left w:val="single" w:sz="4" w:space="0" w:color="000000"/>
              <w:bottom w:val="single" w:sz="4" w:space="0" w:color="000000"/>
              <w:right w:val="single" w:sz="4" w:space="0" w:color="000000"/>
            </w:tcBorders>
          </w:tcPr>
          <w:p>
            <w:pPr/>
          </w:p>
        </w:tc>
      </w:tr>
      <w:tr>
        <w:trPr>
          <w:trHeight w:val="403"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87,886,909.20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111,092,724.38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-20.89%</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主要系报告期内确认股权激励费用减少所致</w:t>
            </w:r>
          </w:p>
        </w:tc>
      </w:tr>
      <w:tr>
        <w:trPr>
          <w:trHeight w:val="161" w:hRule="exact"/>
        </w:trPr>
        <w:tc>
          <w:tcPr>
            <w:tcW w:w="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15,739,434.72</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1,409,550.45</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1,016.63%</w:t>
            </w:r>
          </w:p>
        </w:tc>
        <w:tc>
          <w:tcPr>
            <w:tcW w:w="4892"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76"/>
              <w:jc w:val="left"/>
              <w:rPr>
                <w:rFonts w:ascii="宋体" w:hAnsi="宋体" w:cs="宋体" w:eastAsia="宋体" w:hint="default"/>
                <w:sz w:val="18"/>
                <w:szCs w:val="18"/>
              </w:rPr>
            </w:pPr>
            <w:r>
              <w:rPr>
                <w:rFonts w:ascii="宋体" w:hAnsi="宋体" w:cs="宋体" w:eastAsia="宋体" w:hint="default"/>
                <w:sz w:val="18"/>
                <w:szCs w:val="18"/>
              </w:rPr>
              <w:t>主要系报告期内计提的哆可梦项目并购贷款及流动贷款利息 费用增加所致</w:t>
            </w:r>
          </w:p>
        </w:tc>
      </w:tr>
      <w:tr>
        <w:trPr>
          <w:trHeight w:val="391" w:hRule="exact"/>
        </w:trPr>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85"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4892" w:type="dxa"/>
            <w:vMerge/>
            <w:tcBorders>
              <w:left w:val="single" w:sz="4" w:space="0" w:color="000000"/>
              <w:right w:val="single" w:sz="4" w:space="0" w:color="000000"/>
            </w:tcBorders>
          </w:tcPr>
          <w:p>
            <w:pPr/>
          </w:p>
        </w:tc>
      </w:tr>
      <w:tr>
        <w:trPr>
          <w:trHeight w:val="161" w:hRule="exact"/>
        </w:trPr>
        <w:tc>
          <w:tcPr>
            <w:tcW w:w="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5"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4892" w:type="dxa"/>
            <w:vMerge/>
            <w:tcBorders>
              <w:left w:val="single" w:sz="4" w:space="0" w:color="000000"/>
              <w:bottom w:val="single" w:sz="4" w:space="0" w:color="000000"/>
              <w:right w:val="single" w:sz="4" w:space="0" w:color="000000"/>
            </w:tcBorders>
          </w:tcPr>
          <w:p>
            <w:pPr/>
          </w:p>
        </w:tc>
      </w:tr>
      <w:tr>
        <w:trPr>
          <w:trHeight w:val="404"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53,861,967.62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14,706,548.62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266.24%</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主要系报告期内控股子公司哆可梦研发费用增加所致</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133"/>
        <w:jc w:val="left"/>
      </w:pPr>
      <w:r>
        <w:rPr>
          <w:rFonts w:ascii="Times New Roman" w:hAnsi="Times New Roman" w:cs="Times New Roman" w:eastAsia="Times New Roman" w:hint="default"/>
        </w:rPr>
        <w:t>2018</w:t>
      </w:r>
      <w:r>
        <w:rPr/>
        <w:t>年公司进行的研发项目简要情况如下：</w:t>
      </w:r>
    </w:p>
    <w:p>
      <w:pPr>
        <w:pStyle w:val="BodyText"/>
        <w:spacing w:line="309" w:lineRule="auto" w:before="63"/>
        <w:ind w:right="0" w:firstLine="283"/>
        <w:jc w:val="left"/>
      </w:pPr>
      <w:r>
        <w:rPr/>
        <w:t>（</w:t>
      </w:r>
      <w:r>
        <w:rPr>
          <w:rFonts w:ascii="Times New Roman" w:hAnsi="Times New Roman" w:cs="Times New Roman" w:eastAsia="Times New Roman" w:hint="default"/>
        </w:rPr>
        <w:t>1</w:t>
      </w:r>
      <w:r>
        <w:rPr/>
        <w:t>）电气业务</w:t>
      </w:r>
      <w:r>
        <w:rPr>
          <w:rFonts w:ascii="Times New Roman" w:hAnsi="Times New Roman" w:cs="Times New Roman" w:eastAsia="Times New Roman" w:hint="default"/>
        </w:rPr>
        <w:t>2018</w:t>
      </w:r>
      <w:r>
        <w:rPr/>
        <w:t>年开展了</w:t>
      </w:r>
      <w:r>
        <w:rPr>
          <w:rFonts w:ascii="Times New Roman" w:hAnsi="Times New Roman" w:cs="Times New Roman" w:eastAsia="Times New Roman" w:hint="default"/>
        </w:rPr>
        <w:t>9</w:t>
      </w:r>
      <w:r>
        <w:rPr/>
        <w:t>项技改项目、</w:t>
      </w:r>
      <w:r>
        <w:rPr>
          <w:rFonts w:ascii="Times New Roman" w:hAnsi="Times New Roman" w:cs="Times New Roman" w:eastAsia="Times New Roman" w:hint="default"/>
        </w:rPr>
        <w:t>5</w:t>
      </w:r>
      <w:r>
        <w:rPr/>
        <w:t>项研发项目，目的为改善现有工艺</w:t>
      </w:r>
      <w:r>
        <w:rPr>
          <w:rFonts w:ascii="Times New Roman" w:hAnsi="Times New Roman" w:cs="Times New Roman" w:eastAsia="Times New Roman" w:hint="default"/>
        </w:rPr>
        <w:t>/</w:t>
      </w:r>
      <w:r>
        <w:rPr/>
        <w:t>技术升级</w:t>
      </w:r>
      <w:r>
        <w:rPr>
          <w:rFonts w:ascii="Times New Roman" w:hAnsi="Times New Roman" w:cs="Times New Roman" w:eastAsia="Times New Roman" w:hint="default"/>
        </w:rPr>
        <w:t>/</w:t>
      </w:r>
      <w:r>
        <w:rPr/>
        <w:t>开发新产品</w:t>
      </w:r>
      <w:r>
        <w:rPr>
          <w:rFonts w:ascii="Times New Roman" w:hAnsi="Times New Roman" w:cs="Times New Roman" w:eastAsia="Times New Roman" w:hint="default"/>
        </w:rPr>
        <w:t>/</w:t>
      </w:r>
      <w:r>
        <w:rPr/>
        <w:t>满足客户需求</w:t>
      </w:r>
      <w:r>
        <w:rPr>
          <w:rFonts w:ascii="Times New Roman" w:hAnsi="Times New Roman" w:cs="Times New Roman" w:eastAsia="Times New Roman" w:hint="default"/>
        </w:rPr>
        <w:t>/</w:t>
      </w:r>
      <w:r>
        <w:rPr/>
        <w:t>开 </w:t>
      </w:r>
      <w:r>
        <w:rPr>
          <w:spacing w:val="-5"/>
        </w:rPr>
        <w:t>发实用新型专利技术或外观专利，截至报告期末</w:t>
      </w:r>
      <w:r>
        <w:rPr>
          <w:rFonts w:ascii="宋体" w:hAnsi="宋体" w:cs="宋体" w:eastAsia="宋体" w:hint="default"/>
          <w:spacing w:val="-5"/>
        </w:rPr>
        <w:t>9</w:t>
      </w:r>
      <w:r>
        <w:rPr>
          <w:spacing w:val="-5"/>
        </w:rPr>
        <w:t>项技改项目均已完成，</w:t>
      </w:r>
      <w:r>
        <w:rPr>
          <w:rFonts w:ascii="宋体" w:hAnsi="宋体" w:cs="宋体" w:eastAsia="宋体" w:hint="default"/>
          <w:spacing w:val="-5"/>
        </w:rPr>
        <w:t>3</w:t>
      </w:r>
      <w:r>
        <w:rPr>
          <w:spacing w:val="-5"/>
        </w:rPr>
        <w:t>项研发项目已完成，其他研发项目仍在正常开展中，</w:t>
      </w:r>
      <w:r>
        <w:rPr>
          <w:spacing w:val="-74"/>
        </w:rPr>
        <w:t> </w:t>
      </w:r>
      <w:r>
        <w:rPr>
          <w:spacing w:val="-74"/>
        </w:rPr>
      </w:r>
      <w:r>
        <w:rPr/>
        <w:t>预计有利于增强公司技术实力、提高公司产品技术含量、拓宽公司产品利润空间；</w:t>
      </w:r>
    </w:p>
    <w:p>
      <w:pPr>
        <w:pStyle w:val="BodyText"/>
        <w:spacing w:line="300" w:lineRule="auto" w:before="24"/>
        <w:ind w:right="0" w:firstLine="283"/>
        <w:jc w:val="left"/>
      </w:pPr>
      <w:r>
        <w:rPr/>
        <w:t>（</w:t>
      </w:r>
      <w:r>
        <w:rPr>
          <w:rFonts w:ascii="Times New Roman" w:hAnsi="Times New Roman" w:cs="Times New Roman" w:eastAsia="Times New Roman" w:hint="default"/>
        </w:rPr>
        <w:t>2</w:t>
      </w:r>
      <w:r>
        <w:rPr/>
        <w:t>）游戏业务</w:t>
      </w:r>
      <w:r>
        <w:rPr>
          <w:rFonts w:ascii="Times New Roman" w:hAnsi="Times New Roman" w:cs="Times New Roman" w:eastAsia="Times New Roman" w:hint="default"/>
        </w:rPr>
        <w:t>2018</w:t>
      </w:r>
      <w:r>
        <w:rPr/>
        <w:t>年开展了</w:t>
      </w:r>
      <w:r>
        <w:rPr>
          <w:rFonts w:ascii="Times New Roman" w:hAnsi="Times New Roman" w:cs="Times New Roman" w:eastAsia="Times New Roman" w:hint="default"/>
        </w:rPr>
        <w:t>8</w:t>
      </w:r>
      <w:r>
        <w:rPr/>
        <w:t>项自研游戏项目，目的为开发</w:t>
      </w:r>
      <w:r>
        <w:rPr>
          <w:rFonts w:ascii="Times New Roman" w:hAnsi="Times New Roman" w:cs="Times New Roman" w:eastAsia="Times New Roman" w:hint="default"/>
        </w:rPr>
        <w:t>ARPG</w:t>
      </w:r>
      <w:r>
        <w:rPr/>
        <w:t>、</w:t>
      </w:r>
      <w:r>
        <w:rPr>
          <w:rFonts w:ascii="Times New Roman" w:hAnsi="Times New Roman" w:cs="Times New Roman" w:eastAsia="Times New Roman" w:hint="default"/>
        </w:rPr>
        <w:t>MMORPG</w:t>
      </w:r>
      <w:r>
        <w:rPr/>
        <w:t>、挂机</w:t>
      </w:r>
      <w:r>
        <w:rPr>
          <w:rFonts w:ascii="Times New Roman" w:hAnsi="Times New Roman" w:cs="Times New Roman" w:eastAsia="Times New Roman" w:hint="default"/>
        </w:rPr>
        <w:t>MMORPG</w:t>
      </w:r>
      <w:r>
        <w:rPr/>
        <w:t>类型自研游戏，截至报 </w:t>
      </w:r>
      <w:r>
        <w:rPr>
          <w:spacing w:val="-2"/>
        </w:rPr>
        <w:t>告期末</w:t>
      </w:r>
      <w:r>
        <w:rPr>
          <w:rFonts w:ascii="宋体" w:hAnsi="宋体" w:cs="宋体" w:eastAsia="宋体" w:hint="default"/>
          <w:spacing w:val="-2"/>
        </w:rPr>
        <w:t>2</w:t>
      </w:r>
      <w:r>
        <w:rPr>
          <w:spacing w:val="-2"/>
        </w:rPr>
        <w:t>个项目已完成、</w:t>
      </w:r>
      <w:r>
        <w:rPr>
          <w:rFonts w:ascii="Times New Roman" w:hAnsi="Times New Roman" w:cs="Times New Roman" w:eastAsia="Times New Roman" w:hint="default"/>
          <w:spacing w:val="-2"/>
        </w:rPr>
        <w:t>1</w:t>
      </w:r>
      <w:r>
        <w:rPr>
          <w:spacing w:val="-2"/>
        </w:rPr>
        <w:t>个项目正在商业测试中、</w:t>
      </w:r>
      <w:r>
        <w:rPr>
          <w:rFonts w:ascii="Times New Roman" w:hAnsi="Times New Roman" w:cs="Times New Roman" w:eastAsia="Times New Roman" w:hint="default"/>
          <w:spacing w:val="-2"/>
        </w:rPr>
        <w:t>2</w:t>
      </w:r>
      <w:r>
        <w:rPr>
          <w:spacing w:val="-2"/>
        </w:rPr>
        <w:t>个项目正在测试调优中、</w:t>
      </w:r>
      <w:r>
        <w:rPr>
          <w:rFonts w:ascii="Times New Roman" w:hAnsi="Times New Roman" w:cs="Times New Roman" w:eastAsia="Times New Roman" w:hint="default"/>
          <w:spacing w:val="-2"/>
        </w:rPr>
        <w:t>3</w:t>
      </w:r>
      <w:r>
        <w:rPr>
          <w:spacing w:val="-2"/>
        </w:rPr>
        <w:t>个项目正在研发中，预计对公司未来游戏业务</w:t>
      </w:r>
      <w:r>
        <w:rPr>
          <w:spacing w:val="-59"/>
        </w:rPr>
        <w:t> </w:t>
      </w:r>
      <w:r>
        <w:rPr>
          <w:spacing w:val="-59"/>
        </w:rPr>
      </w:r>
      <w:r>
        <w:rPr/>
        <w:t>的业绩表现有积极的影响。</w:t>
      </w:r>
    </w:p>
    <w:p>
      <w:pPr>
        <w:pStyle w:val="BodyText"/>
        <w:spacing w:line="240" w:lineRule="auto" w:before="72"/>
        <w:ind w:right="1133"/>
        <w:jc w:val="left"/>
      </w:pPr>
      <w:r>
        <w:rPr/>
        <w:t>公司研发投入情况</w:t>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54"/>
        <w:gridCol w:w="1818"/>
        <w:gridCol w:w="2393"/>
        <w:gridCol w:w="2393"/>
      </w:tblGrid>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11.21%</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41.89%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62,432,149.09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14,706,548.62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324.52%</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-0.65%</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4,176,522.57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w:t>
            </w:r>
          </w:p>
        </w:tc>
      </w:tr>
    </w:tbl>
    <w:p>
      <w:pPr>
        <w:pStyle w:val="BodyText"/>
        <w:spacing w:line="240" w:lineRule="auto" w:before="49"/>
        <w:ind w:right="1133"/>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328" w:lineRule="auto" w:before="39"/>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本期研发投入资本化率大幅变动主要是因为报告期内公司加大研发投入，符合资本化条件的自研专利技术项目较上年同期增</w:t>
      </w:r>
      <w:r>
        <w:rPr>
          <w:spacing w:val="-64"/>
        </w:rPr>
        <w:t> </w:t>
      </w:r>
      <w:r>
        <w:rPr>
          <w:spacing w:val="-64"/>
        </w:rPr>
      </w:r>
      <w:r>
        <w:rPr/>
        <w:t>多。</w:t>
      </w:r>
    </w:p>
    <w:p>
      <w:pPr>
        <w:pStyle w:val="BodyText"/>
        <w:spacing w:line="240" w:lineRule="auto" w:before="50"/>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1419"/>
        <w:gridCol w:w="4109"/>
        <w:gridCol w:w="2765"/>
      </w:tblGrid>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4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0"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71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YF-18001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2,665,233.57</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开发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12kV</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自动化成套开关设备，目的是提高公司产</w:t>
            </w:r>
            <w:r>
              <w:rPr>
                <w:rFonts w:ascii="宋体" w:hAnsi="宋体" w:cs="宋体" w:eastAsia="宋体" w:hint="default"/>
                <w:sz w:val="18"/>
                <w:szCs w:val="18"/>
              </w:rPr>
              <w:t> 品的市场竞争力和市场占有率</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项目已完成，已进行了订单生产</w:t>
            </w:r>
          </w:p>
        </w:tc>
      </w:tr>
      <w:tr>
        <w:trPr>
          <w:trHeight w:val="360" w:hRule="exact"/>
        </w:trPr>
        <w:tc>
          <w:tcPr>
            <w:tcW w:w="1277"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41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36kV</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型、十字型连接器项目，目的是打开国</w:t>
            </w:r>
          </w:p>
        </w:tc>
        <w:tc>
          <w:tcPr>
            <w:tcW w:w="276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4" w:right="0"/>
              <w:jc w:val="left"/>
              <w:rPr>
                <w:rFonts w:ascii="Times New Roman" w:hAnsi="Times New Roman" w:cs="Times New Roman" w:eastAsia="Times New Roman" w:hint="default"/>
                <w:sz w:val="18"/>
                <w:szCs w:val="18"/>
              </w:rPr>
            </w:pPr>
            <w:r>
              <w:rPr>
                <w:rFonts w:ascii="Times New Roman"/>
                <w:sz w:val="18"/>
              </w:rPr>
              <w:t>YF-18008</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574,544.56</w:t>
            </w:r>
          </w:p>
        </w:tc>
        <w:tc>
          <w:tcPr>
            <w:tcW w:w="41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外市场，目前国外需求量较大，相对于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20kV</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连接器</w:t>
            </w: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目前项目已完成</w:t>
            </w:r>
          </w:p>
        </w:tc>
      </w:tr>
      <w:tr>
        <w:trPr>
          <w:trHeight w:val="353" w:hRule="exact"/>
        </w:trPr>
        <w:tc>
          <w:tcPr>
            <w:tcW w:w="1277"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41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产品来说，有更好的利润空间</w:t>
            </w:r>
          </w:p>
        </w:tc>
        <w:tc>
          <w:tcPr>
            <w:tcW w:w="2765"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YF-17005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936,744.44</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65"/>
              <w:jc w:val="left"/>
              <w:rPr>
                <w:rFonts w:ascii="宋体" w:hAnsi="宋体" w:cs="宋体" w:eastAsia="宋体" w:hint="default"/>
                <w:sz w:val="18"/>
                <w:szCs w:val="18"/>
              </w:rPr>
            </w:pPr>
            <w:r>
              <w:rPr>
                <w:rFonts w:ascii="宋体" w:hAnsi="宋体" w:cs="宋体" w:eastAsia="宋体" w:hint="default"/>
                <w:sz w:val="18"/>
                <w:szCs w:val="18"/>
              </w:rPr>
              <w:t>开发出满足客户需要的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8.7/15kV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可分离连接器（小 型化）产品</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目前项目已完成</w:t>
            </w:r>
          </w:p>
        </w:tc>
      </w:tr>
    </w:tbl>
    <w:p>
      <w:pPr>
        <w:pStyle w:val="BodyText"/>
        <w:spacing w:line="312" w:lineRule="auto" w:before="8"/>
        <w:ind w:right="0"/>
        <w:jc w:val="left"/>
      </w:pPr>
      <w:r>
        <w:rPr/>
        <w:t>研发投入资本化的依据：详见第十一节财务报告之五、重要会计政策及会计估计之</w:t>
      </w:r>
      <w:r>
        <w:rPr>
          <w:rFonts w:ascii="Times New Roman" w:hAnsi="Times New Roman" w:cs="Times New Roman" w:eastAsia="Times New Roman" w:hint="default"/>
        </w:rPr>
        <w:t>19</w:t>
      </w:r>
      <w:r>
        <w:rPr/>
        <w:t>、无形资产。 </w:t>
      </w:r>
      <w:r>
        <w:rPr>
          <w:spacing w:val="-2"/>
        </w:rPr>
        <w:t>相关内部控制的内容和执行情况：公司高度重视产品开发工作，以市场为导向，根据发展战略和技术进步要求，严格规范研</w:t>
      </w:r>
      <w:r>
        <w:rPr>
          <w:spacing w:val="-64"/>
        </w:rPr>
        <w:t> </w:t>
      </w:r>
      <w:r>
        <w:rPr>
          <w:spacing w:val="-64"/>
        </w:rPr>
      </w:r>
      <w:r>
        <w:rPr>
          <w:spacing w:val="-2"/>
        </w:rPr>
        <w:t>发业务的立项、过程管理、验收、研究成果的开发和保护等关键控制环节，有效降低研发风险、保证研发质量，提高了研发</w:t>
      </w:r>
      <w:r>
        <w:rPr>
          <w:spacing w:val="-68"/>
        </w:rPr>
        <w:t> </w:t>
      </w:r>
      <w:r>
        <w:rPr>
          <w:spacing w:val="-68"/>
        </w:rPr>
      </w:r>
      <w:r>
        <w:rPr/>
        <w:t>工作的效率和效益，不断提高公司的自主创新能力。</w:t>
      </w:r>
    </w:p>
    <w:p>
      <w:pPr>
        <w:spacing w:line="240" w:lineRule="auto" w:before="1"/>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72"/>
        <w:gridCol w:w="2100"/>
        <w:gridCol w:w="2393"/>
        <w:gridCol w:w="2393"/>
      </w:tblGrid>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0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1,851,679,307.61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464,322,863.79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298.79%</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0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1,542,729,303.98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469,793,410.59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228.38%</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0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308,950,003.63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-5,470,546.80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5,747.52%</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0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1,550,488,725.91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4,062,299,509.43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-61.83%</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0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1,198,132,177.40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3,809,052,814.73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-68.55%</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0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352,356,548.51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253,246,694.70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95"/>
        <w:gridCol w:w="2088"/>
        <w:gridCol w:w="2393"/>
        <w:gridCol w:w="2393"/>
      </w:tblGrid>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463,428,352.58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84,519,723.90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448.31%</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681,494,731.14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93,692,496.59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627.37%</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-218,066,378.56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-9,172,772.69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-2,277.32%</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443,990,841.85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238,720,001.66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85.99%</w:t>
            </w:r>
          </w:p>
        </w:tc>
      </w:tr>
    </w:tbl>
    <w:p>
      <w:pPr>
        <w:pStyle w:val="BodyText"/>
        <w:spacing w:line="240" w:lineRule="auto" w:before="49"/>
        <w:ind w:right="1133"/>
        <w:jc w:val="left"/>
      </w:pPr>
      <w:r>
        <w:rPr/>
        <w:t>相关数据同比发生重大变动的主要影响因素说明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left="258" w:right="1133" w:firstLine="319"/>
        <w:jc w:val="left"/>
      </w:pPr>
      <w:r>
        <w:rPr>
          <w:spacing w:val="-2"/>
        </w:rPr>
        <w:t>（</w:t>
      </w:r>
      <w:r>
        <w:rPr>
          <w:rFonts w:ascii="Times New Roman" w:hAnsi="Times New Roman" w:cs="Times New Roman" w:eastAsia="Times New Roman" w:hint="default"/>
          <w:spacing w:val="-2"/>
        </w:rPr>
        <w:t>1</w:t>
      </w:r>
      <w:r>
        <w:rPr>
          <w:spacing w:val="-2"/>
        </w:rPr>
        <w:t>）经营活动现金流入、现金流出同比增加，主要原因为控股子公司哆可梦业务规模扩大，收入上升，对应的销售收</w:t>
      </w:r>
      <w:r>
        <w:rPr/>
        <w:t> 款及采购业务支出均有不同程度的增加。</w:t>
      </w:r>
    </w:p>
    <w:p>
      <w:pPr>
        <w:pStyle w:val="BodyText"/>
        <w:spacing w:line="300" w:lineRule="auto" w:before="31"/>
        <w:ind w:left="258" w:right="1133" w:firstLine="319"/>
        <w:jc w:val="left"/>
      </w:pPr>
      <w:r>
        <w:rPr>
          <w:spacing w:val="-2"/>
        </w:rPr>
        <w:t>（</w:t>
      </w:r>
      <w:r>
        <w:rPr>
          <w:rFonts w:ascii="Times New Roman" w:hAnsi="Times New Roman" w:cs="Times New Roman" w:eastAsia="Times New Roman" w:hint="default"/>
          <w:spacing w:val="-2"/>
        </w:rPr>
        <w:t>2</w:t>
      </w:r>
      <w:r>
        <w:rPr>
          <w:spacing w:val="-2"/>
        </w:rPr>
        <w:t>）投资活动现金流入、流出同比下降，主要原因是公司投资以中长期为主，资金周转速度下降，同时公司理财产品</w:t>
      </w:r>
      <w:r>
        <w:rPr/>
        <w:t> 投资额度由</w:t>
      </w:r>
      <w:r>
        <w:rPr>
          <w:rFonts w:ascii="Times New Roman" w:hAnsi="Times New Roman" w:cs="Times New Roman" w:eastAsia="Times New Roman" w:hint="default"/>
        </w:rPr>
        <w:t>8</w:t>
      </w:r>
      <w:r>
        <w:rPr/>
        <w:t>亿元调整为</w:t>
      </w:r>
      <w:r>
        <w:rPr>
          <w:rFonts w:ascii="Times New Roman" w:hAnsi="Times New Roman" w:cs="Times New Roman" w:eastAsia="Times New Roman" w:hint="default"/>
        </w:rPr>
        <w:t>4</w:t>
      </w:r>
      <w:r>
        <w:rPr/>
        <w:t>亿元。</w:t>
      </w:r>
    </w:p>
    <w:p>
      <w:pPr>
        <w:pStyle w:val="BodyText"/>
        <w:spacing w:line="319" w:lineRule="auto" w:before="13"/>
        <w:ind w:right="1133" w:firstLine="425"/>
        <w:jc w:val="left"/>
      </w:pPr>
      <w:r>
        <w:rPr>
          <w:spacing w:val="-2"/>
        </w:rPr>
        <w:t>（</w:t>
      </w:r>
      <w:r>
        <w:rPr>
          <w:rFonts w:ascii="Times New Roman" w:hAnsi="Times New Roman" w:cs="Times New Roman" w:eastAsia="Times New Roman" w:hint="default"/>
          <w:spacing w:val="-2"/>
        </w:rPr>
        <w:t>3</w:t>
      </w:r>
      <w:r>
        <w:rPr>
          <w:spacing w:val="-2"/>
        </w:rPr>
        <w:t>）筹资活动现金流入同比增加，主要原因是公司</w:t>
      </w:r>
      <w:r>
        <w:rPr>
          <w:rFonts w:ascii="Times New Roman" w:hAnsi="Times New Roman" w:cs="Times New Roman" w:eastAsia="Times New Roman" w:hint="default"/>
          <w:spacing w:val="-2"/>
        </w:rPr>
        <w:t>2018</w:t>
      </w:r>
      <w:r>
        <w:rPr>
          <w:spacing w:val="-2"/>
        </w:rPr>
        <w:t>年取得中航信托发放的哆可梦项目并购贷款及浦发银行发放的</w:t>
      </w:r>
      <w:r>
        <w:rPr/>
        <w:t> 流动贷款；筹资活动流出同比增加，主要原因是公司</w:t>
      </w:r>
      <w:r>
        <w:rPr>
          <w:rFonts w:ascii="Times New Roman" w:hAnsi="Times New Roman" w:cs="Times New Roman" w:eastAsia="Times New Roman" w:hint="default"/>
        </w:rPr>
        <w:t>2018</w:t>
      </w:r>
      <w:r>
        <w:rPr/>
        <w:t>年按期支付哆可梦股权受让款。 报告期内公司经营活动产生的现金净流量与本年度净利润存在重大差异的原因说明</w:t>
      </w:r>
    </w:p>
    <w:p>
      <w:pPr>
        <w:pStyle w:val="BodyText"/>
        <w:spacing w:line="240" w:lineRule="auto" w:before="5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311"/>
        <w:gridCol w:w="1702"/>
        <w:gridCol w:w="3404"/>
        <w:gridCol w:w="1630"/>
      </w:tblGrid>
      <w:tr>
        <w:trPr>
          <w:trHeight w:val="404"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83,964,228.06</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3" w:right="0"/>
              <w:jc w:val="left"/>
              <w:rPr>
                <w:rFonts w:ascii="Times New Roman" w:hAnsi="Times New Roman" w:cs="Times New Roman" w:eastAsia="Times New Roman" w:hint="default"/>
                <w:sz w:val="18"/>
                <w:szCs w:val="18"/>
              </w:rPr>
            </w:pPr>
            <w:r>
              <w:rPr>
                <w:rFonts w:ascii="Times New Roman"/>
                <w:sz w:val="18"/>
              </w:rPr>
              <w:t>18.32%</w:t>
            </w:r>
          </w:p>
        </w:tc>
        <w:tc>
          <w:tcPr>
            <w:tcW w:w="340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28"/>
              <w:jc w:val="left"/>
              <w:rPr>
                <w:rFonts w:ascii="宋体" w:hAnsi="宋体" w:cs="宋体" w:eastAsia="宋体" w:hint="default"/>
                <w:sz w:val="18"/>
                <w:szCs w:val="18"/>
              </w:rPr>
            </w:pPr>
            <w:r>
              <w:rPr>
                <w:rFonts w:ascii="宋体" w:hAnsi="宋体" w:cs="宋体" w:eastAsia="宋体" w:hint="default"/>
                <w:sz w:val="18"/>
                <w:szCs w:val="18"/>
              </w:rPr>
              <w:t>主要系报告期内处置产业并购基金出资份 额所致</w:t>
            </w:r>
          </w:p>
        </w:tc>
        <w:tc>
          <w:tcPr>
            <w:tcW w:w="163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311" w:type="dxa"/>
            <w:vMerge/>
            <w:tcBorders>
              <w:left w:val="single" w:sz="10" w:space="0" w:color="D2D2D2"/>
              <w:right w:val="single" w:sz="4" w:space="0" w:color="000000"/>
            </w:tcBorders>
          </w:tcPr>
          <w:p>
            <w:pPr/>
          </w:p>
        </w:tc>
        <w:tc>
          <w:tcPr>
            <w:tcW w:w="1702" w:type="dxa"/>
            <w:vMerge/>
            <w:tcBorders>
              <w:left w:val="single" w:sz="4" w:space="0" w:color="000000"/>
              <w:right w:val="single" w:sz="4" w:space="0" w:color="000000"/>
            </w:tcBorders>
          </w:tcPr>
          <w:p>
            <w:pPr/>
          </w:p>
        </w:tc>
        <w:tc>
          <w:tcPr>
            <w:tcW w:w="3404" w:type="dxa"/>
            <w:vMerge/>
            <w:tcBorders>
              <w:left w:val="single" w:sz="4" w:space="0" w:color="000000"/>
              <w:right w:val="single" w:sz="4" w:space="0" w:color="000000"/>
            </w:tcBorders>
          </w:tcPr>
          <w:p>
            <w:pPr/>
          </w:p>
        </w:tc>
        <w:tc>
          <w:tcPr>
            <w:tcW w:w="1630"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1" w:type="dxa"/>
            <w:vMerge/>
            <w:tcBorders>
              <w:left w:val="single" w:sz="10" w:space="0" w:color="D2D2D2"/>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3404"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r>
      <w:tr>
        <w:trPr>
          <w:trHeight w:val="163"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1"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-179,500.00</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3404" w:type="dxa"/>
            <w:vMerge w:val="restart"/>
            <w:tcBorders>
              <w:top w:val="single" w:sz="4" w:space="0" w:color="000000"/>
              <w:left w:val="single" w:sz="4" w:space="0" w:color="000000"/>
              <w:right w:val="single" w:sz="4" w:space="0" w:color="000000"/>
            </w:tcBorders>
          </w:tcPr>
          <w:p>
            <w:pPr>
              <w:pStyle w:val="TableParagraph"/>
              <w:spacing w:line="314" w:lineRule="auto" w:before="51"/>
              <w:ind w:left="24" w:right="128"/>
              <w:jc w:val="left"/>
              <w:rPr>
                <w:rFonts w:ascii="宋体" w:hAnsi="宋体" w:cs="宋体" w:eastAsia="宋体" w:hint="default"/>
                <w:sz w:val="18"/>
                <w:szCs w:val="18"/>
              </w:rPr>
            </w:pPr>
            <w:r>
              <w:rPr>
                <w:rFonts w:ascii="宋体" w:hAnsi="宋体" w:cs="宋体" w:eastAsia="宋体" w:hint="default"/>
                <w:sz w:val="18"/>
                <w:szCs w:val="18"/>
              </w:rPr>
              <w:t>主要系报告期内所持有投资性房地公允价 值变动所致</w:t>
            </w:r>
          </w:p>
        </w:tc>
        <w:tc>
          <w:tcPr>
            <w:tcW w:w="163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311" w:type="dxa"/>
            <w:vMerge/>
            <w:tcBorders>
              <w:left w:val="single" w:sz="10" w:space="0" w:color="D2D2D2"/>
              <w:right w:val="single" w:sz="4" w:space="0" w:color="000000"/>
            </w:tcBorders>
          </w:tcPr>
          <w:p>
            <w:pPr/>
          </w:p>
        </w:tc>
        <w:tc>
          <w:tcPr>
            <w:tcW w:w="1702" w:type="dxa"/>
            <w:vMerge/>
            <w:tcBorders>
              <w:left w:val="single" w:sz="4" w:space="0" w:color="000000"/>
              <w:right w:val="single" w:sz="4" w:space="0" w:color="000000"/>
            </w:tcBorders>
          </w:tcPr>
          <w:p>
            <w:pPr/>
          </w:p>
        </w:tc>
        <w:tc>
          <w:tcPr>
            <w:tcW w:w="3404" w:type="dxa"/>
            <w:vMerge/>
            <w:tcBorders>
              <w:left w:val="single" w:sz="4" w:space="0" w:color="000000"/>
              <w:right w:val="single" w:sz="4" w:space="0" w:color="000000"/>
            </w:tcBorders>
          </w:tcPr>
          <w:p>
            <w:pPr/>
          </w:p>
        </w:tc>
        <w:tc>
          <w:tcPr>
            <w:tcW w:w="1630"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1" w:type="dxa"/>
            <w:vMerge/>
            <w:tcBorders>
              <w:left w:val="single" w:sz="10" w:space="0" w:color="D2D2D2"/>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3404"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r>
      <w:tr>
        <w:trPr>
          <w:trHeight w:val="161"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16,806,838.60</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w:t>
            </w:r>
          </w:p>
        </w:tc>
        <w:tc>
          <w:tcPr>
            <w:tcW w:w="340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28"/>
              <w:jc w:val="left"/>
              <w:rPr>
                <w:rFonts w:ascii="宋体" w:hAnsi="宋体" w:cs="宋体" w:eastAsia="宋体" w:hint="default"/>
                <w:sz w:val="18"/>
                <w:szCs w:val="18"/>
              </w:rPr>
            </w:pPr>
            <w:r>
              <w:rPr>
                <w:rFonts w:ascii="宋体" w:hAnsi="宋体" w:cs="宋体" w:eastAsia="宋体" w:hint="default"/>
                <w:sz w:val="18"/>
                <w:szCs w:val="18"/>
              </w:rPr>
              <w:t>主要系报告期内计提应收账款及其他应收 款坏账准备所致</w:t>
            </w:r>
          </w:p>
        </w:tc>
        <w:tc>
          <w:tcPr>
            <w:tcW w:w="163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311" w:type="dxa"/>
            <w:vMerge/>
            <w:tcBorders>
              <w:left w:val="single" w:sz="10" w:space="0" w:color="D2D2D2"/>
              <w:right w:val="single" w:sz="4" w:space="0" w:color="000000"/>
            </w:tcBorders>
          </w:tcPr>
          <w:p>
            <w:pPr/>
          </w:p>
        </w:tc>
        <w:tc>
          <w:tcPr>
            <w:tcW w:w="1702" w:type="dxa"/>
            <w:vMerge/>
            <w:tcBorders>
              <w:left w:val="single" w:sz="4" w:space="0" w:color="000000"/>
              <w:right w:val="single" w:sz="4" w:space="0" w:color="000000"/>
            </w:tcBorders>
          </w:tcPr>
          <w:p>
            <w:pPr/>
          </w:p>
        </w:tc>
        <w:tc>
          <w:tcPr>
            <w:tcW w:w="3404" w:type="dxa"/>
            <w:vMerge/>
            <w:tcBorders>
              <w:left w:val="single" w:sz="4" w:space="0" w:color="000000"/>
              <w:right w:val="single" w:sz="4" w:space="0" w:color="000000"/>
            </w:tcBorders>
          </w:tcPr>
          <w:p>
            <w:pPr/>
          </w:p>
        </w:tc>
        <w:tc>
          <w:tcPr>
            <w:tcW w:w="1630"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1" w:type="dxa"/>
            <w:vMerge/>
            <w:tcBorders>
              <w:left w:val="single" w:sz="10" w:space="0" w:color="D2D2D2"/>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3404"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1,867,494.58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0.41%</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主要系报告期内收到的政府补助所致</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3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473,906.76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主要系报告期内支付公益性捐赠所致</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71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2,114,659.71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0.46%</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28"/>
              <w:jc w:val="left"/>
              <w:rPr>
                <w:rFonts w:ascii="宋体" w:hAnsi="宋体" w:cs="宋体" w:eastAsia="宋体" w:hint="default"/>
                <w:sz w:val="18"/>
                <w:szCs w:val="18"/>
              </w:rPr>
            </w:pPr>
            <w:r>
              <w:rPr>
                <w:rFonts w:ascii="宋体" w:hAnsi="宋体" w:cs="宋体" w:eastAsia="宋体" w:hint="default"/>
                <w:sz w:val="18"/>
                <w:szCs w:val="18"/>
              </w:rPr>
              <w:t>主要系报告期内收到的增值税返还及个税 返还所致</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1,052,454.07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主要系报告期内处置公司闲置房产所致</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b/>
          <w:bCs/>
          <w:sz w:val="25"/>
          <w:szCs w:val="25"/>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26"/>
        <w:gridCol w:w="1318"/>
        <w:gridCol w:w="869"/>
        <w:gridCol w:w="1318"/>
        <w:gridCol w:w="872"/>
        <w:gridCol w:w="722"/>
        <w:gridCol w:w="3445"/>
      </w:tblGrid>
      <w:tr>
        <w:trPr>
          <w:trHeight w:val="206" w:hRule="exact"/>
        </w:trPr>
        <w:tc>
          <w:tcPr>
            <w:tcW w:w="1126" w:type="dxa"/>
            <w:vMerge w:val="restart"/>
            <w:tcBorders>
              <w:top w:val="single" w:sz="4" w:space="0" w:color="000000"/>
              <w:left w:val="single" w:sz="4" w:space="0" w:color="000000"/>
              <w:right w:val="single" w:sz="4" w:space="0" w:color="000000"/>
            </w:tcBorders>
            <w:shd w:val="clear" w:color="auto" w:fill="D2D2D2"/>
          </w:tcPr>
          <w:p>
            <w:pPr/>
          </w:p>
        </w:tc>
        <w:tc>
          <w:tcPr>
            <w:tcW w:w="2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3445" w:type="dxa"/>
            <w:vMerge w:val="restart"/>
            <w:tcBorders>
              <w:top w:val="single" w:sz="4" w:space="0" w:color="000000"/>
              <w:left w:val="single" w:sz="4" w:space="0" w:color="000000"/>
              <w:right w:val="single" w:sz="4" w:space="0" w:color="000000"/>
            </w:tcBorders>
            <w:shd w:val="clear" w:color="auto" w:fill="D2D2D2"/>
          </w:tcPr>
          <w:p>
            <w:pPr/>
          </w:p>
        </w:tc>
      </w:tr>
      <w:tr>
        <w:trPr>
          <w:trHeight w:val="175" w:hRule="exact"/>
        </w:trPr>
        <w:tc>
          <w:tcPr>
            <w:tcW w:w="1126" w:type="dxa"/>
            <w:vMerge/>
            <w:tcBorders>
              <w:left w:val="single" w:sz="4" w:space="0" w:color="000000"/>
              <w:bottom w:val="nil" w:sz="6" w:space="0" w:color="auto"/>
              <w:right w:val="single" w:sz="4" w:space="0" w:color="000000"/>
            </w:tcBorders>
            <w:shd w:val="clear" w:color="auto" w:fill="D2D2D2"/>
          </w:tcPr>
          <w:p>
            <w:pPr/>
          </w:p>
        </w:tc>
        <w:tc>
          <w:tcPr>
            <w:tcW w:w="2187" w:type="dxa"/>
            <w:gridSpan w:val="2"/>
            <w:vMerge/>
            <w:tcBorders>
              <w:left w:val="single" w:sz="4" w:space="0" w:color="000000"/>
              <w:bottom w:val="single" w:sz="4" w:space="0" w:color="000000"/>
              <w:right w:val="single" w:sz="4" w:space="0" w:color="000000"/>
            </w:tcBorders>
            <w:shd w:val="clear" w:color="auto" w:fill="D2D2D2"/>
          </w:tcPr>
          <w:p>
            <w:pPr/>
          </w:p>
        </w:tc>
        <w:tc>
          <w:tcPr>
            <w:tcW w:w="2189" w:type="dxa"/>
            <w:gridSpan w:val="2"/>
            <w:vMerge/>
            <w:tcBorders>
              <w:left w:val="single" w:sz="4" w:space="0" w:color="000000"/>
              <w:bottom w:val="single" w:sz="4" w:space="0" w:color="000000"/>
              <w:right w:val="single" w:sz="4" w:space="0" w:color="000000"/>
            </w:tcBorders>
            <w:shd w:val="clear" w:color="auto" w:fill="D2D2D2"/>
          </w:tcPr>
          <w:p>
            <w:pPr/>
          </w:p>
        </w:tc>
        <w:tc>
          <w:tcPr>
            <w:tcW w:w="72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66" w:right="84"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3445"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126" w:type="dxa"/>
            <w:vMerge w:val="restart"/>
            <w:tcBorders>
              <w:top w:val="nil" w:sz="6" w:space="0" w:color="auto"/>
              <w:left w:val="single" w:sz="4" w:space="0" w:color="000000"/>
              <w:right w:val="single" w:sz="4" w:space="0" w:color="000000"/>
            </w:tcBorders>
            <w:shd w:val="clear" w:color="auto" w:fill="D2D2D2"/>
          </w:tcPr>
          <w:p>
            <w:pP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52" w:right="65"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52" w:right="6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22" w:type="dxa"/>
            <w:vMerge/>
            <w:tcBorders>
              <w:left w:val="single" w:sz="4" w:space="0" w:color="000000"/>
              <w:right w:val="single" w:sz="4" w:space="0" w:color="000000"/>
            </w:tcBorders>
            <w:shd w:val="clear" w:color="auto" w:fill="D2D2D2"/>
          </w:tcPr>
          <w:p>
            <w:pPr/>
          </w:p>
        </w:tc>
        <w:tc>
          <w:tcPr>
            <w:tcW w:w="34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126" w:type="dxa"/>
            <w:vMerge/>
            <w:tcBorders>
              <w:left w:val="single" w:sz="4" w:space="0" w:color="000000"/>
              <w:bottom w:val="nil" w:sz="6" w:space="0" w:color="auto"/>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9"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2"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3445"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126" w:type="dxa"/>
            <w:vMerge w:val="restart"/>
            <w:tcBorders>
              <w:top w:val="nil" w:sz="6" w:space="0" w:color="auto"/>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722" w:type="dxa"/>
            <w:vMerge/>
            <w:tcBorders>
              <w:left w:val="single" w:sz="4" w:space="0" w:color="000000"/>
              <w:bottom w:val="nil" w:sz="6" w:space="0" w:color="auto"/>
              <w:right w:val="single" w:sz="4" w:space="0" w:color="000000"/>
            </w:tcBorders>
            <w:shd w:val="clear" w:color="auto" w:fill="D2D2D2"/>
          </w:tcPr>
          <w:p>
            <w:pPr/>
          </w:p>
        </w:tc>
        <w:tc>
          <w:tcPr>
            <w:tcW w:w="3445"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126" w:type="dxa"/>
            <w:vMerge/>
            <w:tcBorders>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3445"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749,630,841.74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Times New Roman"/>
                <w:sz w:val="18"/>
              </w:rPr>
              <w:t>20.25%</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346,559,958.83</w:t>
            </w:r>
          </w:p>
        </w:tc>
        <w:tc>
          <w:tcPr>
            <w:tcW w:w="8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10.72%</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9.53%</w:t>
            </w:r>
          </w:p>
        </w:tc>
        <w:tc>
          <w:tcPr>
            <w:tcW w:w="3445"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主要系报告期内收回调整和处置产业并购 基金出资份额部分款项所致</w:t>
            </w:r>
          </w:p>
        </w:tc>
      </w:tr>
      <w:tr>
        <w:trPr>
          <w:trHeight w:val="391" w:hRule="exact"/>
        </w:trPr>
        <w:tc>
          <w:tcPr>
            <w:tcW w:w="11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18" w:type="dxa"/>
            <w:vMerge/>
            <w:tcBorders>
              <w:left w:val="single" w:sz="10" w:space="0" w:color="D2D2D2"/>
              <w:right w:val="single" w:sz="4" w:space="0" w:color="000000"/>
            </w:tcBorders>
          </w:tcPr>
          <w:p>
            <w:pPr/>
          </w:p>
        </w:tc>
        <w:tc>
          <w:tcPr>
            <w:tcW w:w="869" w:type="dxa"/>
            <w:vMerge/>
            <w:tcBorders>
              <w:left w:val="single" w:sz="4" w:space="0" w:color="000000"/>
              <w:right w:val="single" w:sz="4" w:space="0" w:color="000000"/>
            </w:tcBorders>
          </w:tcPr>
          <w:p>
            <w:pPr/>
          </w:p>
        </w:tc>
        <w:tc>
          <w:tcPr>
            <w:tcW w:w="1318" w:type="dxa"/>
            <w:vMerge/>
            <w:tcBorders>
              <w:left w:val="single" w:sz="4" w:space="0" w:color="000000"/>
              <w:right w:val="single" w:sz="4" w:space="0" w:color="000000"/>
            </w:tcBorders>
          </w:tcPr>
          <w:p>
            <w:pPr/>
          </w:p>
        </w:tc>
        <w:tc>
          <w:tcPr>
            <w:tcW w:w="872"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3445" w:type="dxa"/>
            <w:vMerge/>
            <w:tcBorders>
              <w:left w:val="single" w:sz="4" w:space="0" w:color="000000"/>
              <w:right w:val="single" w:sz="4" w:space="0" w:color="000000"/>
            </w:tcBorders>
          </w:tcPr>
          <w:p>
            <w:pPr/>
          </w:p>
        </w:tc>
      </w:tr>
      <w:tr>
        <w:trPr>
          <w:trHeight w:val="161" w:hRule="exact"/>
        </w:trPr>
        <w:tc>
          <w:tcPr>
            <w:tcW w:w="1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vMerge/>
            <w:tcBorders>
              <w:left w:val="single" w:sz="10" w:space="0" w:color="D2D2D2"/>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3445" w:type="dxa"/>
            <w:vMerge/>
            <w:tcBorders>
              <w:left w:val="single" w:sz="4" w:space="0" w:color="000000"/>
              <w:bottom w:val="single" w:sz="4" w:space="0" w:color="000000"/>
              <w:right w:val="single" w:sz="4" w:space="0" w:color="000000"/>
            </w:tcBorders>
          </w:tcPr>
          <w:p>
            <w:pPr/>
          </w:p>
        </w:tc>
      </w:tr>
      <w:tr>
        <w:trPr>
          <w:trHeight w:val="161" w:hRule="exact"/>
        </w:trPr>
        <w:tc>
          <w:tcPr>
            <w:tcW w:w="1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380,247,011.00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Times New Roman"/>
                <w:sz w:val="18"/>
              </w:rPr>
              <w:t>10.27%</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176,228,380.66</w:t>
            </w:r>
          </w:p>
        </w:tc>
        <w:tc>
          <w:tcPr>
            <w:tcW w:w="8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5.45%</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4.82%</w:t>
            </w:r>
          </w:p>
        </w:tc>
        <w:tc>
          <w:tcPr>
            <w:tcW w:w="344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主要系报告期控股子公司哆可梦业务规模 扩大所致</w:t>
            </w:r>
          </w:p>
        </w:tc>
      </w:tr>
      <w:tr>
        <w:trPr>
          <w:trHeight w:val="394" w:hRule="exact"/>
        </w:trPr>
        <w:tc>
          <w:tcPr>
            <w:tcW w:w="11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18" w:type="dxa"/>
            <w:vMerge/>
            <w:tcBorders>
              <w:left w:val="single" w:sz="10" w:space="0" w:color="D2D2D2"/>
              <w:right w:val="single" w:sz="4" w:space="0" w:color="000000"/>
            </w:tcBorders>
          </w:tcPr>
          <w:p>
            <w:pPr/>
          </w:p>
        </w:tc>
        <w:tc>
          <w:tcPr>
            <w:tcW w:w="869" w:type="dxa"/>
            <w:vMerge/>
            <w:tcBorders>
              <w:left w:val="single" w:sz="4" w:space="0" w:color="000000"/>
              <w:right w:val="single" w:sz="4" w:space="0" w:color="000000"/>
            </w:tcBorders>
          </w:tcPr>
          <w:p>
            <w:pPr/>
          </w:p>
        </w:tc>
        <w:tc>
          <w:tcPr>
            <w:tcW w:w="1318" w:type="dxa"/>
            <w:vMerge/>
            <w:tcBorders>
              <w:left w:val="single" w:sz="4" w:space="0" w:color="000000"/>
              <w:right w:val="single" w:sz="4" w:space="0" w:color="000000"/>
            </w:tcBorders>
          </w:tcPr>
          <w:p>
            <w:pPr/>
          </w:p>
        </w:tc>
        <w:tc>
          <w:tcPr>
            <w:tcW w:w="872"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3445" w:type="dxa"/>
            <w:vMerge/>
            <w:tcBorders>
              <w:left w:val="single" w:sz="4" w:space="0" w:color="000000"/>
              <w:right w:val="single" w:sz="4" w:space="0" w:color="000000"/>
            </w:tcBorders>
          </w:tcPr>
          <w:p>
            <w:pPr/>
          </w:p>
        </w:tc>
      </w:tr>
      <w:tr>
        <w:trPr>
          <w:trHeight w:val="161" w:hRule="exact"/>
        </w:trPr>
        <w:tc>
          <w:tcPr>
            <w:tcW w:w="1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vMerge/>
            <w:tcBorders>
              <w:left w:val="single" w:sz="10" w:space="0" w:color="D2D2D2"/>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3445" w:type="dxa"/>
            <w:vMerge/>
            <w:tcBorders>
              <w:left w:val="single" w:sz="4" w:space="0" w:color="000000"/>
              <w:bottom w:val="single" w:sz="4" w:space="0" w:color="000000"/>
              <w:right w:val="single" w:sz="4" w:space="0" w:color="000000"/>
            </w:tcBorders>
          </w:tcPr>
          <w:p>
            <w:pPr/>
          </w:p>
        </w:tc>
      </w:tr>
      <w:tr>
        <w:trPr>
          <w:trHeight w:val="161" w:hRule="exact"/>
        </w:trPr>
        <w:tc>
          <w:tcPr>
            <w:tcW w:w="1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64,987,559.66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1.76%</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62,128,773.68</w:t>
            </w:r>
          </w:p>
        </w:tc>
        <w:tc>
          <w:tcPr>
            <w:tcW w:w="8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1.92%</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-0.16%</w:t>
            </w:r>
          </w:p>
        </w:tc>
        <w:tc>
          <w:tcPr>
            <w:tcW w:w="344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主要系报告期内存货增加比例低于总资产 增加比例所致</w:t>
            </w:r>
          </w:p>
        </w:tc>
      </w:tr>
      <w:tr>
        <w:trPr>
          <w:trHeight w:val="391" w:hRule="exact"/>
        </w:trPr>
        <w:tc>
          <w:tcPr>
            <w:tcW w:w="11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18" w:type="dxa"/>
            <w:vMerge/>
            <w:tcBorders>
              <w:left w:val="single" w:sz="10" w:space="0" w:color="D2D2D2"/>
              <w:right w:val="single" w:sz="4" w:space="0" w:color="000000"/>
            </w:tcBorders>
          </w:tcPr>
          <w:p>
            <w:pPr/>
          </w:p>
        </w:tc>
        <w:tc>
          <w:tcPr>
            <w:tcW w:w="869" w:type="dxa"/>
            <w:vMerge/>
            <w:tcBorders>
              <w:left w:val="single" w:sz="4" w:space="0" w:color="000000"/>
              <w:right w:val="single" w:sz="4" w:space="0" w:color="000000"/>
            </w:tcBorders>
          </w:tcPr>
          <w:p>
            <w:pPr/>
          </w:p>
        </w:tc>
        <w:tc>
          <w:tcPr>
            <w:tcW w:w="1318" w:type="dxa"/>
            <w:vMerge/>
            <w:tcBorders>
              <w:left w:val="single" w:sz="4" w:space="0" w:color="000000"/>
              <w:right w:val="single" w:sz="4" w:space="0" w:color="000000"/>
            </w:tcBorders>
          </w:tcPr>
          <w:p>
            <w:pPr/>
          </w:p>
        </w:tc>
        <w:tc>
          <w:tcPr>
            <w:tcW w:w="872"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3445" w:type="dxa"/>
            <w:vMerge/>
            <w:tcBorders>
              <w:left w:val="single" w:sz="4" w:space="0" w:color="000000"/>
              <w:right w:val="single" w:sz="4" w:space="0" w:color="000000"/>
            </w:tcBorders>
          </w:tcPr>
          <w:p>
            <w:pPr/>
          </w:p>
        </w:tc>
      </w:tr>
      <w:tr>
        <w:trPr>
          <w:trHeight w:val="161" w:hRule="exact"/>
        </w:trPr>
        <w:tc>
          <w:tcPr>
            <w:tcW w:w="1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vMerge/>
            <w:tcBorders>
              <w:left w:val="single" w:sz="10" w:space="0" w:color="D2D2D2"/>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3445" w:type="dxa"/>
            <w:vMerge/>
            <w:tcBorders>
              <w:left w:val="single" w:sz="4" w:space="0" w:color="000000"/>
              <w:bottom w:val="single" w:sz="4" w:space="0" w:color="000000"/>
              <w:right w:val="single" w:sz="4" w:space="0" w:color="000000"/>
            </w:tcBorders>
          </w:tcPr>
          <w:p>
            <w:pPr/>
          </w:p>
        </w:tc>
      </w:tr>
      <w:tr>
        <w:trPr>
          <w:trHeight w:val="715"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0"/>
              <w:jc w:val="left"/>
              <w:rPr>
                <w:rFonts w:ascii="宋体" w:hAnsi="宋体" w:cs="宋体" w:eastAsia="宋体" w:hint="default"/>
                <w:sz w:val="18"/>
                <w:szCs w:val="18"/>
              </w:rPr>
            </w:pPr>
            <w:r>
              <w:rPr>
                <w:rFonts w:ascii="宋体" w:hAnsi="宋体" w:cs="宋体" w:eastAsia="宋体" w:hint="default"/>
                <w:sz w:val="18"/>
                <w:szCs w:val="18"/>
              </w:rPr>
              <w:t>投资性房地 产</w:t>
            </w:r>
          </w:p>
        </w:tc>
        <w:tc>
          <w:tcPr>
            <w:tcW w:w="1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277,298,900.00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7.49%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266,262,100.00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-0.74%</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主要系报告期内投资性房地产增加比例低 于总资产增加比例所致</w:t>
            </w:r>
          </w:p>
        </w:tc>
      </w:tr>
      <w:tr>
        <w:trPr>
          <w:trHeight w:val="713"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0"/>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1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167,806,260.17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578,483,866.20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17.89%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-13.36%</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主要系报告期内调整和处置产业并购基金 出资份额所致</w:t>
            </w:r>
          </w:p>
        </w:tc>
      </w:tr>
      <w:tr>
        <w:trPr>
          <w:trHeight w:val="161" w:hRule="exact"/>
        </w:trPr>
        <w:tc>
          <w:tcPr>
            <w:tcW w:w="1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94,457,715.15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2.55%</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100,527,900.22</w:t>
            </w:r>
          </w:p>
        </w:tc>
        <w:tc>
          <w:tcPr>
            <w:tcW w:w="8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3.11%</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-0.56%</w:t>
            </w:r>
          </w:p>
        </w:tc>
        <w:tc>
          <w:tcPr>
            <w:tcW w:w="344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主要系报告期内固定资产转入投资性房地 产所致</w:t>
            </w:r>
          </w:p>
        </w:tc>
      </w:tr>
      <w:tr>
        <w:trPr>
          <w:trHeight w:val="394" w:hRule="exact"/>
        </w:trPr>
        <w:tc>
          <w:tcPr>
            <w:tcW w:w="11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18" w:type="dxa"/>
            <w:vMerge/>
            <w:tcBorders>
              <w:left w:val="single" w:sz="10" w:space="0" w:color="D2D2D2"/>
              <w:right w:val="single" w:sz="4" w:space="0" w:color="000000"/>
            </w:tcBorders>
          </w:tcPr>
          <w:p>
            <w:pPr/>
          </w:p>
        </w:tc>
        <w:tc>
          <w:tcPr>
            <w:tcW w:w="869" w:type="dxa"/>
            <w:vMerge/>
            <w:tcBorders>
              <w:left w:val="single" w:sz="4" w:space="0" w:color="000000"/>
              <w:right w:val="single" w:sz="4" w:space="0" w:color="000000"/>
            </w:tcBorders>
          </w:tcPr>
          <w:p>
            <w:pPr/>
          </w:p>
        </w:tc>
        <w:tc>
          <w:tcPr>
            <w:tcW w:w="1318" w:type="dxa"/>
            <w:vMerge/>
            <w:tcBorders>
              <w:left w:val="single" w:sz="4" w:space="0" w:color="000000"/>
              <w:right w:val="single" w:sz="4" w:space="0" w:color="000000"/>
            </w:tcBorders>
          </w:tcPr>
          <w:p>
            <w:pPr/>
          </w:p>
        </w:tc>
        <w:tc>
          <w:tcPr>
            <w:tcW w:w="872"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3445" w:type="dxa"/>
            <w:vMerge/>
            <w:tcBorders>
              <w:left w:val="single" w:sz="4" w:space="0" w:color="000000"/>
              <w:right w:val="single" w:sz="4" w:space="0" w:color="000000"/>
            </w:tcBorders>
          </w:tcPr>
          <w:p>
            <w:pPr/>
          </w:p>
        </w:tc>
      </w:tr>
      <w:tr>
        <w:trPr>
          <w:trHeight w:val="161" w:hRule="exact"/>
        </w:trPr>
        <w:tc>
          <w:tcPr>
            <w:tcW w:w="1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vMerge/>
            <w:tcBorders>
              <w:left w:val="single" w:sz="10" w:space="0" w:color="D2D2D2"/>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3445" w:type="dxa"/>
            <w:vMerge/>
            <w:tcBorders>
              <w:left w:val="single" w:sz="4" w:space="0" w:color="000000"/>
              <w:bottom w:val="single" w:sz="4" w:space="0" w:color="000000"/>
              <w:right w:val="single" w:sz="4" w:space="0" w:color="000000"/>
            </w:tcBorders>
          </w:tcPr>
          <w:p>
            <w:pPr/>
          </w:p>
        </w:tc>
      </w:tr>
      <w:tr>
        <w:trPr>
          <w:trHeight w:val="401"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7,085,519.87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1,315,533.32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主要系报告期内办公场所装修费增加所致</w:t>
            </w:r>
          </w:p>
        </w:tc>
      </w:tr>
      <w:tr>
        <w:trPr>
          <w:trHeight w:val="403"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113,871,471.84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66,481,627.61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主要系报告期内新增流动贷款所致</w:t>
            </w:r>
          </w:p>
        </w:tc>
      </w:tr>
      <w:tr>
        <w:trPr>
          <w:trHeight w:val="161" w:hRule="exact"/>
        </w:trPr>
        <w:tc>
          <w:tcPr>
            <w:tcW w:w="1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289,100,000.00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7.81%</w:t>
            </w:r>
          </w:p>
        </w:tc>
        <w:tc>
          <w:tcPr>
            <w:tcW w:w="1318" w:type="dxa"/>
            <w:vMerge w:val="restart"/>
            <w:tcBorders>
              <w:top w:val="single" w:sz="4" w:space="0" w:color="000000"/>
              <w:left w:val="single" w:sz="4" w:space="0" w:color="000000"/>
              <w:right w:val="single" w:sz="4" w:space="0" w:color="000000"/>
            </w:tcBorders>
          </w:tcPr>
          <w:p>
            <w:pPr/>
          </w:p>
        </w:tc>
        <w:tc>
          <w:tcPr>
            <w:tcW w:w="8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0.00%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7.81%</w:t>
            </w:r>
          </w:p>
        </w:tc>
        <w:tc>
          <w:tcPr>
            <w:tcW w:w="3445"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主要系报告期内收到中航信托发放的哆可 梦项目并购贷款所致</w:t>
            </w:r>
          </w:p>
        </w:tc>
      </w:tr>
      <w:tr>
        <w:trPr>
          <w:trHeight w:val="392" w:hRule="exact"/>
        </w:trPr>
        <w:tc>
          <w:tcPr>
            <w:tcW w:w="11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18" w:type="dxa"/>
            <w:vMerge/>
            <w:tcBorders>
              <w:left w:val="single" w:sz="10" w:space="0" w:color="D2D2D2"/>
              <w:right w:val="single" w:sz="4" w:space="0" w:color="000000"/>
            </w:tcBorders>
          </w:tcPr>
          <w:p>
            <w:pPr/>
          </w:p>
        </w:tc>
        <w:tc>
          <w:tcPr>
            <w:tcW w:w="869" w:type="dxa"/>
            <w:vMerge/>
            <w:tcBorders>
              <w:left w:val="single" w:sz="4" w:space="0" w:color="000000"/>
              <w:right w:val="single" w:sz="4" w:space="0" w:color="000000"/>
            </w:tcBorders>
          </w:tcPr>
          <w:p>
            <w:pPr/>
          </w:p>
        </w:tc>
        <w:tc>
          <w:tcPr>
            <w:tcW w:w="1318" w:type="dxa"/>
            <w:vMerge/>
            <w:tcBorders>
              <w:left w:val="single" w:sz="4" w:space="0" w:color="000000"/>
              <w:right w:val="single" w:sz="4" w:space="0" w:color="000000"/>
            </w:tcBorders>
          </w:tcPr>
          <w:p>
            <w:pPr/>
          </w:p>
        </w:tc>
        <w:tc>
          <w:tcPr>
            <w:tcW w:w="872"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3445" w:type="dxa"/>
            <w:vMerge/>
            <w:tcBorders>
              <w:left w:val="single" w:sz="4" w:space="0" w:color="000000"/>
              <w:right w:val="single" w:sz="4" w:space="0" w:color="000000"/>
            </w:tcBorders>
          </w:tcPr>
          <w:p>
            <w:pPr/>
          </w:p>
        </w:tc>
      </w:tr>
      <w:tr>
        <w:trPr>
          <w:trHeight w:val="161" w:hRule="exact"/>
        </w:trPr>
        <w:tc>
          <w:tcPr>
            <w:tcW w:w="1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vMerge/>
            <w:tcBorders>
              <w:left w:val="single" w:sz="10" w:space="0" w:color="D2D2D2"/>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3445" w:type="dxa"/>
            <w:vMerge/>
            <w:tcBorders>
              <w:left w:val="single" w:sz="4" w:space="0" w:color="000000"/>
              <w:bottom w:val="single" w:sz="4" w:space="0" w:color="000000"/>
              <w:right w:val="single" w:sz="4" w:space="0" w:color="000000"/>
            </w:tcBorders>
          </w:tcPr>
          <w:p>
            <w:pPr/>
          </w:p>
        </w:tc>
      </w:tr>
      <w:tr>
        <w:trPr>
          <w:trHeight w:val="715"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274,033,329.43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7.40%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40,244,841.26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主要系报告期内处置产业并购基金出资份 额的部分款项尚未收回所致</w:t>
            </w:r>
          </w:p>
        </w:tc>
      </w:tr>
      <w:tr>
        <w:trPr>
          <w:trHeight w:val="713"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1,220,600,461.98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32.98%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1,220,600,461.98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37.74%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主要系报告期末商誉未发生变化而总资产 增加所致</w:t>
            </w:r>
          </w:p>
        </w:tc>
      </w:tr>
      <w:tr>
        <w:trPr>
          <w:trHeight w:val="715"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left"/>
              <w:rPr>
                <w:rFonts w:ascii="宋体" w:hAnsi="宋体" w:cs="宋体" w:eastAsia="宋体" w:hint="default"/>
                <w:sz w:val="18"/>
                <w:szCs w:val="18"/>
              </w:rPr>
            </w:pPr>
            <w:r>
              <w:rPr>
                <w:rFonts w:ascii="宋体" w:hAnsi="宋体" w:cs="宋体" w:eastAsia="宋体" w:hint="default"/>
                <w:sz w:val="18"/>
                <w:szCs w:val="18"/>
              </w:rPr>
              <w:t>应付票据及 应付账款</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424,493,722.08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11.47%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197,314,542.96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5.37%</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主要系报告期内控股子公司哆可梦业务规 模扩大后正常结算期内应付款项增加所致</w:t>
            </w:r>
          </w:p>
        </w:tc>
      </w:tr>
      <w:tr>
        <w:trPr>
          <w:trHeight w:val="713"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159,723,864.50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440,438,123.63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13.62%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-9.30%</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主要系报告期内部分限制性股票解锁和回 购注销减少股票回购义务所致</w:t>
            </w:r>
          </w:p>
        </w:tc>
      </w:tr>
      <w:tr>
        <w:trPr>
          <w:trHeight w:val="1027"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一年内到期 的非流动负 债</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387,154,615.89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10.46%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547,788,574.59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16.94%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-6.48%</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主要系报告期内支付部分哆可梦股权受让 款所致</w:t>
            </w:r>
          </w:p>
        </w:tc>
      </w:tr>
      <w:tr>
        <w:trPr>
          <w:trHeight w:val="1025"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174,864,050.46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520,461,455.17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16.09%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-11.37%</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both"/>
              <w:rPr>
                <w:rFonts w:ascii="宋体" w:hAnsi="宋体" w:cs="宋体" w:eastAsia="宋体" w:hint="default"/>
                <w:sz w:val="18"/>
                <w:szCs w:val="18"/>
              </w:rPr>
            </w:pPr>
            <w:r>
              <w:rPr>
                <w:rFonts w:ascii="宋体" w:hAnsi="宋体" w:cs="宋体" w:eastAsia="宋体" w:hint="default"/>
                <w:sz w:val="18"/>
                <w:szCs w:val="18"/>
              </w:rPr>
              <w:t>主要系报告期末一年内应支付的哆可梦股 权受让款转入一年内到期的非流动负债所 致</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744"/>
        <w:gridCol w:w="1198"/>
        <w:gridCol w:w="1317"/>
        <w:gridCol w:w="1409"/>
        <w:gridCol w:w="602"/>
        <w:gridCol w:w="1102"/>
        <w:gridCol w:w="1096"/>
        <w:gridCol w:w="1189"/>
      </w:tblGrid>
      <w:tr>
        <w:trPr>
          <w:trHeight w:val="161" w:hRule="exact"/>
        </w:trPr>
        <w:tc>
          <w:tcPr>
            <w:tcW w:w="174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5" w:right="26"/>
              <w:jc w:val="center"/>
              <w:rPr>
                <w:rFonts w:ascii="宋体" w:hAnsi="宋体" w:cs="宋体" w:eastAsia="宋体" w:hint="default"/>
                <w:sz w:val="18"/>
                <w:szCs w:val="18"/>
              </w:rPr>
            </w:pPr>
            <w:r>
              <w:rPr>
                <w:rFonts w:ascii="宋体" w:hAnsi="宋体" w:cs="宋体" w:eastAsia="宋体" w:hint="default"/>
                <w:sz w:val="18"/>
                <w:szCs w:val="18"/>
              </w:rPr>
              <w:t>本期计 提的减 值</w:t>
            </w:r>
          </w:p>
        </w:tc>
        <w:tc>
          <w:tcPr>
            <w:tcW w:w="11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9"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74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31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80" w:right="25"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140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8"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602" w:type="dxa"/>
            <w:vMerge/>
            <w:tcBorders>
              <w:left w:val="single" w:sz="4" w:space="0" w:color="000000"/>
              <w:right w:val="single" w:sz="4" w:space="0" w:color="000000"/>
            </w:tcBorders>
            <w:shd w:val="clear" w:color="auto" w:fill="D2D2D2"/>
          </w:tcPr>
          <w:p>
            <w:pPr/>
          </w:p>
        </w:tc>
        <w:tc>
          <w:tcPr>
            <w:tcW w:w="110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55" w:right="94"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0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56" w:right="89" w:hanging="361"/>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189"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7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17"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shd w:val="clear" w:color="auto" w:fill="D2D2D2"/>
          </w:tcPr>
          <w:p>
            <w:pPr/>
          </w:p>
        </w:tc>
        <w:tc>
          <w:tcPr>
            <w:tcW w:w="602" w:type="dxa"/>
            <w:vMerge/>
            <w:tcBorders>
              <w:left w:val="single" w:sz="4" w:space="0" w:color="000000"/>
              <w:right w:val="single" w:sz="4" w:space="0" w:color="000000"/>
            </w:tcBorders>
            <w:shd w:val="clear" w:color="auto" w:fill="D2D2D2"/>
          </w:tcPr>
          <w:p>
            <w:pPr/>
          </w:p>
        </w:tc>
        <w:tc>
          <w:tcPr>
            <w:tcW w:w="1102" w:type="dxa"/>
            <w:vMerge/>
            <w:tcBorders>
              <w:left w:val="single" w:sz="4" w:space="0" w:color="000000"/>
              <w:right w:val="single" w:sz="4" w:space="0" w:color="000000"/>
            </w:tcBorders>
            <w:shd w:val="clear" w:color="auto" w:fill="D2D2D2"/>
          </w:tcPr>
          <w:p>
            <w:pPr/>
          </w:p>
        </w:tc>
        <w:tc>
          <w:tcPr>
            <w:tcW w:w="1096" w:type="dxa"/>
            <w:vMerge/>
            <w:tcBorders>
              <w:left w:val="single" w:sz="4" w:space="0" w:color="000000"/>
              <w:right w:val="single" w:sz="4" w:space="0" w:color="000000"/>
            </w:tcBorders>
            <w:shd w:val="clear" w:color="auto" w:fill="D2D2D2"/>
          </w:tcPr>
          <w:p>
            <w:pPr/>
          </w:p>
        </w:tc>
        <w:tc>
          <w:tcPr>
            <w:tcW w:w="1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74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
        </w:tc>
        <w:tc>
          <w:tcPr>
            <w:tcW w:w="1317" w:type="dxa"/>
            <w:vMerge/>
            <w:tcBorders>
              <w:left w:val="single" w:sz="4" w:space="0" w:color="000000"/>
              <w:bottom w:val="nil" w:sz="6" w:space="0" w:color="auto"/>
              <w:right w:val="single" w:sz="4" w:space="0" w:color="000000"/>
            </w:tcBorders>
            <w:shd w:val="clear" w:color="auto" w:fill="D2D2D2"/>
          </w:tcPr>
          <w:p>
            <w:pPr/>
          </w:p>
        </w:tc>
        <w:tc>
          <w:tcPr>
            <w:tcW w:w="1409" w:type="dxa"/>
            <w:vMerge/>
            <w:tcBorders>
              <w:left w:val="single" w:sz="4" w:space="0" w:color="000000"/>
              <w:bottom w:val="nil" w:sz="6" w:space="0" w:color="auto"/>
              <w:right w:val="single" w:sz="4" w:space="0" w:color="000000"/>
            </w:tcBorders>
            <w:shd w:val="clear" w:color="auto" w:fill="D2D2D2"/>
          </w:tcPr>
          <w:p>
            <w:pPr/>
          </w:p>
        </w:tc>
        <w:tc>
          <w:tcPr>
            <w:tcW w:w="602" w:type="dxa"/>
            <w:vMerge/>
            <w:tcBorders>
              <w:left w:val="single" w:sz="4" w:space="0" w:color="000000"/>
              <w:right w:val="single" w:sz="4" w:space="0" w:color="000000"/>
            </w:tcBorders>
            <w:shd w:val="clear" w:color="auto" w:fill="D2D2D2"/>
          </w:tcPr>
          <w:p>
            <w:pPr/>
          </w:p>
        </w:tc>
        <w:tc>
          <w:tcPr>
            <w:tcW w:w="1102" w:type="dxa"/>
            <w:vMerge/>
            <w:tcBorders>
              <w:left w:val="single" w:sz="4" w:space="0" w:color="000000"/>
              <w:bottom w:val="nil" w:sz="6" w:space="0" w:color="auto"/>
              <w:right w:val="single" w:sz="4" w:space="0" w:color="000000"/>
            </w:tcBorders>
            <w:shd w:val="clear" w:color="auto" w:fill="D2D2D2"/>
          </w:tcPr>
          <w:p>
            <w:pPr/>
          </w:p>
        </w:tc>
        <w:tc>
          <w:tcPr>
            <w:tcW w:w="1096" w:type="dxa"/>
            <w:vMerge/>
            <w:tcBorders>
              <w:left w:val="single" w:sz="4" w:space="0" w:color="000000"/>
              <w:bottom w:val="nil" w:sz="6" w:space="0" w:color="auto"/>
              <w:right w:val="single" w:sz="4" w:space="0" w:color="000000"/>
            </w:tcBorders>
            <w:shd w:val="clear" w:color="auto" w:fill="D2D2D2"/>
          </w:tcPr>
          <w:p>
            <w:pPr/>
          </w:p>
        </w:tc>
        <w:tc>
          <w:tcPr>
            <w:tcW w:w="1189"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174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4" w:space="0" w:color="000000"/>
              <w:bottom w:val="single" w:sz="4" w:space="0" w:color="000000"/>
              <w:right w:val="single" w:sz="4" w:space="0" w:color="000000"/>
            </w:tcBorders>
            <w:shd w:val="clear" w:color="auto" w:fill="D2D2D2"/>
          </w:tcPr>
          <w:p>
            <w:pPr/>
          </w:p>
        </w:tc>
        <w:tc>
          <w:tcPr>
            <w:tcW w:w="11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913"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7"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 其变动计入当期损益 </w:t>
            </w:r>
            <w:r>
              <w:rPr>
                <w:rFonts w:ascii="宋体" w:hAnsi="宋体" w:cs="宋体" w:eastAsia="宋体" w:hint="default"/>
                <w:spacing w:val="-10"/>
                <w:sz w:val="18"/>
                <w:szCs w:val="18"/>
              </w:rPr>
              <w:t>的金融资产（不含衍生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金融资产）</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52,697,854.32</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-15,385,358.48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66,342,154.86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50,661,337.04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47,111,134.92</w:t>
            </w:r>
          </w:p>
        </w:tc>
      </w:tr>
      <w:tr>
        <w:trPr>
          <w:trHeight w:val="403"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67,518,000.00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16,509,162.97</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56,549,462.26</w:t>
            </w:r>
          </w:p>
        </w:tc>
      </w:tr>
      <w:tr>
        <w:trPr>
          <w:trHeight w:val="403"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120,215,854.32</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-15,385,358.48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16,509,162.97</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66,342,154.86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50,661,337.04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103,660,597.18</w:t>
            </w:r>
          </w:p>
        </w:tc>
      </w:tr>
      <w:tr>
        <w:trPr>
          <w:trHeight w:val="401"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266,262,100.00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11,216,300.00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277,298,900.00</w:t>
            </w:r>
          </w:p>
        </w:tc>
      </w:tr>
      <w:tr>
        <w:trPr>
          <w:trHeight w:val="403"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386,477,954.32</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-15,564,858.48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16,509,162.97</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77,558,454.86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50,661,337.04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380,959,497.18</w:t>
            </w:r>
          </w:p>
        </w:tc>
      </w:tr>
      <w:tr>
        <w:trPr>
          <w:trHeight w:val="403"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3"/>
        <w:jc w:val="left"/>
      </w:pPr>
      <w:r>
        <w:rPr/>
        <w:t>报告期内公司主要资产计量属性是否发生重大变化</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3087"/>
        <w:gridCol w:w="3173"/>
        <w:gridCol w:w="3399"/>
      </w:tblGrid>
      <w:tr>
        <w:trPr>
          <w:trHeight w:val="346" w:hRule="exact"/>
        </w:trPr>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79" w:right="0"/>
              <w:jc w:val="left"/>
              <w:rPr>
                <w:rFonts w:ascii="宋体" w:hAnsi="宋体" w:cs="宋体" w:eastAsia="宋体" w:hint="default"/>
                <w:sz w:val="18"/>
                <w:szCs w:val="18"/>
              </w:rPr>
            </w:pPr>
            <w:r>
              <w:rPr>
                <w:rFonts w:ascii="宋体" w:hAnsi="宋体" w:cs="宋体" w:eastAsia="宋体" w:hint="default"/>
                <w:sz w:val="18"/>
                <w:szCs w:val="18"/>
              </w:rPr>
              <w:t>期末账面价值（净值）</w:t>
            </w:r>
          </w:p>
        </w:tc>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8" w:hRule="exact"/>
        </w:trPr>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16,327,184.41</w:t>
            </w:r>
          </w:p>
        </w:tc>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保函、银行承兑汇票保证金</w:t>
            </w:r>
          </w:p>
        </w:tc>
      </w:tr>
      <w:tr>
        <w:trPr>
          <w:trHeight w:val="346" w:hRule="exact"/>
        </w:trPr>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65,833,037.79</w:t>
            </w:r>
          </w:p>
        </w:tc>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借款抵押、融资租赁</w:t>
            </w:r>
          </w:p>
        </w:tc>
      </w:tr>
      <w:tr>
        <w:trPr>
          <w:trHeight w:val="348" w:hRule="exact"/>
        </w:trPr>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3,594,279.35</w:t>
            </w:r>
          </w:p>
        </w:tc>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借款抵押</w:t>
            </w:r>
          </w:p>
        </w:tc>
      </w:tr>
      <w:tr>
        <w:trPr>
          <w:trHeight w:val="346" w:hRule="exact"/>
        </w:trPr>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1,383,460,950.00</w:t>
            </w:r>
          </w:p>
        </w:tc>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并购贷款项目股权质押</w:t>
            </w:r>
          </w:p>
        </w:tc>
      </w:tr>
      <w:tr>
        <w:trPr>
          <w:trHeight w:val="349" w:hRule="exact"/>
        </w:trPr>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149,041,600.00</w:t>
            </w:r>
          </w:p>
        </w:tc>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借款抵押</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6" w:right="0"/>
              <w:jc w:val="left"/>
              <w:rPr>
                <w:rFonts w:ascii="Times New Roman" w:hAnsi="Times New Roman" w:cs="Times New Roman" w:eastAsia="Times New Roman" w:hint="default"/>
                <w:sz w:val="18"/>
                <w:szCs w:val="18"/>
              </w:rPr>
            </w:pPr>
            <w:r>
              <w:rPr>
                <w:rFonts w:ascii="Times New Roman"/>
                <w:sz w:val="18"/>
              </w:rPr>
              <w:t>1,673,759,933.46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5,983,472,168.93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97"/>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line="1872" w:lineRule="exact"/>
        <w:ind w:left="11227" w:right="0" w:firstLine="0"/>
        <w:rPr>
          <w:rFonts w:ascii="宋体" w:hAnsi="宋体" w:cs="宋体" w:eastAsia="宋体" w:hint="default"/>
          <w:sz w:val="20"/>
          <w:szCs w:val="20"/>
        </w:rPr>
      </w:pPr>
      <w:r>
        <w:rPr>
          <w:rFonts w:ascii="宋体" w:hAnsi="宋体" w:cs="宋体" w:eastAsia="宋体" w:hint="default"/>
          <w:position w:val="-36"/>
          <w:sz w:val="20"/>
          <w:szCs w:val="20"/>
        </w:rPr>
        <w:pict>
          <v:group style="width:143.7pt;height:93.6pt;mso-position-horizontal-relative:char;mso-position-vertical-relative:line" coordorigin="0,0" coordsize="2874,1872">
            <v:group style="position:absolute;left:0;top:0;width:2874;height:312" coordorigin="0,0" coordsize="2874,312">
              <v:shape style="position:absolute;left:0;top:0;width:2874;height:312" coordorigin="0,0" coordsize="2874,312" path="m0,312l2873,312,2873,0,0,0,0,312xe" filled="true" fillcolor="#ffffff" stroked="false">
                <v:path arrowok="t"/>
                <v:fill type="solid"/>
              </v:shape>
            </v:group>
            <v:group style="position:absolute;left:0;top:312;width:2874;height:312" coordorigin="0,312" coordsize="2874,312">
              <v:shape style="position:absolute;left:0;top:312;width:2874;height:312" coordorigin="0,312" coordsize="2874,312" path="m0,624l2873,624,2873,312,0,312,0,624xe" filled="true" fillcolor="#ffffff" stroked="false">
                <v:path arrowok="t"/>
                <v:fill type="solid"/>
              </v:shape>
            </v:group>
            <v:group style="position:absolute;left:0;top:624;width:2874;height:312" coordorigin="0,624" coordsize="2874,312">
              <v:shape style="position:absolute;left:0;top:624;width:2874;height:312" coordorigin="0,624" coordsize="2874,312" path="m0,936l2873,936,2873,624,0,624,0,936xe" filled="true" fillcolor="#ffffff" stroked="false">
                <v:path arrowok="t"/>
                <v:fill type="solid"/>
              </v:shape>
            </v:group>
            <v:group style="position:absolute;left:0;top:936;width:2874;height:312" coordorigin="0,936" coordsize="2874,312">
              <v:shape style="position:absolute;left:0;top:936;width:2874;height:312" coordorigin="0,936" coordsize="2874,312" path="m0,1248l2873,1248,2873,936,0,936,0,1248xe" filled="true" fillcolor="#ffffff" stroked="false">
                <v:path arrowok="t"/>
                <v:fill type="solid"/>
              </v:shape>
            </v:group>
            <v:group style="position:absolute;left:0;top:1248;width:2874;height:312" coordorigin="0,1248" coordsize="2874,312">
              <v:shape style="position:absolute;left:0;top:1248;width:2874;height:312" coordorigin="0,1248" coordsize="2874,312" path="m0,1560l2873,1560,2873,1248,0,1248,0,1560xe" filled="true" fillcolor="#ffffff" stroked="false">
                <v:path arrowok="t"/>
                <v:fill type="solid"/>
              </v:shape>
            </v:group>
            <v:group style="position:absolute;left:0;top:1560;width:2874;height:312" coordorigin="0,1560" coordsize="2874,312">
              <v:shape style="position:absolute;left:0;top:1560;width:2874;height:312" coordorigin="0,1560" coordsize="2874,312" path="m0,1872l2873,1872,2873,1560,0,1560,0,1872xe" filled="true" fillcolor="#ffffff" stroked="false">
                <v:path arrowok="t"/>
                <v:fill type="solid"/>
              </v:shape>
            </v:group>
          </v:group>
        </w:pict>
      </w:r>
      <w:r>
        <w:rPr>
          <w:rFonts w:ascii="宋体" w:hAnsi="宋体" w:cs="宋体" w:eastAsia="宋体" w:hint="default"/>
          <w:position w:val="-36"/>
          <w:sz w:val="20"/>
          <w:szCs w:val="20"/>
        </w:rPr>
      </w:r>
    </w:p>
    <w:p>
      <w:pPr>
        <w:spacing w:line="240" w:lineRule="auto" w:before="1"/>
        <w:rPr>
          <w:rFonts w:ascii="宋体" w:hAnsi="宋体" w:cs="宋体" w:eastAsia="宋体" w:hint="default"/>
          <w:sz w:val="21"/>
          <w:szCs w:val="21"/>
        </w:rPr>
      </w:pPr>
    </w:p>
    <w:p>
      <w:pPr>
        <w:pStyle w:val="BodyText"/>
        <w:spacing w:line="240" w:lineRule="auto" w:before="44"/>
        <w:ind w:left="0" w:right="104"/>
        <w:jc w:val="right"/>
      </w:pPr>
      <w:r>
        <w:rPr/>
        <w:pict>
          <v:shape style="position:absolute;margin-left:70.320pt;margin-top:-208.078293pt;width:701.65pt;height:393.0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6"/>
                    <w:gridCol w:w="569"/>
                    <w:gridCol w:w="425"/>
                    <w:gridCol w:w="1277"/>
                    <w:gridCol w:w="708"/>
                    <w:gridCol w:w="567"/>
                    <w:gridCol w:w="1418"/>
                    <w:gridCol w:w="566"/>
                    <w:gridCol w:w="566"/>
                    <w:gridCol w:w="992"/>
                    <w:gridCol w:w="569"/>
                    <w:gridCol w:w="926"/>
                    <w:gridCol w:w="490"/>
                    <w:gridCol w:w="1558"/>
                    <w:gridCol w:w="2931"/>
                  </w:tblGrid>
                  <w:tr>
                    <w:trPr>
                      <w:trHeight w:val="1338" w:hRule="exact"/>
                    </w:trPr>
                    <w:tc>
                      <w:tcPr>
                        <w:tcW w:w="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 w:right="41"/>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00" w:right="96"/>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6" w:right="2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6" w:right="7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8" w:right="9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5" w:right="98"/>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6" w:right="98"/>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8" w:right="41"/>
                          <w:jc w:val="center"/>
                          <w:rPr>
                            <w:rFonts w:ascii="宋体" w:hAnsi="宋体" w:cs="宋体" w:eastAsia="宋体" w:hint="default"/>
                            <w:sz w:val="18"/>
                            <w:szCs w:val="18"/>
                          </w:rPr>
                        </w:pPr>
                        <w:r>
                          <w:rPr>
                            <w:rFonts w:ascii="宋体" w:hAnsi="宋体" w:cs="宋体" w:eastAsia="宋体" w:hint="default"/>
                            <w:sz w:val="18"/>
                            <w:szCs w:val="18"/>
                          </w:rPr>
                          <w:t>截至资产负 债表日的进 展情况</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8" w:right="98"/>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8" w:right="96" w:hanging="180"/>
                          <w:jc w:val="left"/>
                          <w:rPr>
                            <w:rFonts w:ascii="宋体" w:hAnsi="宋体" w:cs="宋体" w:eastAsia="宋体" w:hint="default"/>
                            <w:sz w:val="18"/>
                            <w:szCs w:val="18"/>
                          </w:rPr>
                        </w:pPr>
                        <w:r>
                          <w:rPr>
                            <w:rFonts w:ascii="宋体" w:hAnsi="宋体" w:cs="宋体" w:eastAsia="宋体" w:hint="default"/>
                            <w:sz w:val="18"/>
                            <w:szCs w:val="18"/>
                          </w:rPr>
                          <w:t>本期投资 盈亏</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7" w:right="60"/>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披露日期（如有）</w:t>
                        </w:r>
                      </w:p>
                    </w:tc>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361" w:hRule="exact"/>
                    </w:trPr>
                    <w:tc>
                      <w:tcPr>
                        <w:tcW w:w="456"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926" w:type="dxa"/>
                        <w:tcBorders>
                          <w:top w:val="single" w:sz="4" w:space="0" w:color="000000"/>
                          <w:left w:val="single" w:sz="4" w:space="0" w:color="000000"/>
                          <w:bottom w:val="nil" w:sz="6" w:space="0" w:color="auto"/>
                          <w:right w:val="single" w:sz="4" w:space="0" w:color="000000"/>
                        </w:tcBorders>
                      </w:tcPr>
                      <w:p>
                        <w:pPr/>
                      </w:p>
                    </w:tc>
                    <w:tc>
                      <w:tcPr>
                        <w:tcW w:w="490"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10" w:space="0" w:color="FFFFFF"/>
                        </w:tcBorders>
                      </w:tcPr>
                      <w:p>
                        <w:pPr/>
                      </w:p>
                    </w:tc>
                    <w:tc>
                      <w:tcPr>
                        <w:tcW w:w="2931" w:type="dxa"/>
                        <w:tcBorders>
                          <w:top w:val="single" w:sz="4" w:space="0" w:color="000000"/>
                          <w:left w:val="single" w:sz="10" w:space="0" w:color="FFFFFF"/>
                          <w:bottom w:val="nil" w:sz="6" w:space="0" w:color="auto"/>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56"/>
                            <w:sz w:val="18"/>
                            <w:szCs w:val="18"/>
                          </w:rPr>
                          <w:t>网</w:t>
                        </w:r>
                        <w:r>
                          <w:rPr>
                            <w:rFonts w:ascii="宋体" w:hAnsi="宋体" w:cs="宋体" w:eastAsia="宋体" w:hint="default"/>
                            <w:sz w:val="18"/>
                            <w:szCs w:val="18"/>
                          </w:rPr>
                          <w:t>（</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147"/>
                            <w:sz w:val="18"/>
                            <w:szCs w:val="18"/>
                          </w:rPr>
                          <w:t>）</w:t>
                        </w:r>
                        <w:r>
                          <w:rPr>
                            <w:rFonts w:ascii="宋体" w:hAnsi="宋体" w:cs="宋体" w:eastAsia="宋体" w:hint="default"/>
                            <w:sz w:val="18"/>
                            <w:szCs w:val="18"/>
                          </w:rPr>
                          <w:t>《关</w:t>
                        </w:r>
                      </w:p>
                    </w:tc>
                  </w:tr>
                  <w:tr>
                    <w:trPr>
                      <w:trHeight w:val="307" w:hRule="exact"/>
                    </w:trPr>
                    <w:tc>
                      <w:tcPr>
                        <w:tcW w:w="456"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49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10" w:space="0" w:color="FFFFFF"/>
                        </w:tcBorders>
                      </w:tcPr>
                      <w:p>
                        <w:pPr/>
                      </w:p>
                    </w:tc>
                    <w:tc>
                      <w:tcPr>
                        <w:tcW w:w="2931" w:type="dxa"/>
                        <w:tcBorders>
                          <w:top w:val="nil" w:sz="6" w:space="0" w:color="auto"/>
                          <w:left w:val="single" w:sz="10" w:space="0" w:color="FFFFFF"/>
                          <w:bottom w:val="nil" w:sz="6" w:space="0" w:color="auto"/>
                          <w:right w:val="single" w:sz="4" w:space="0" w:color="000000"/>
                        </w:tcBorders>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于子公司喀什中汇联银创业投资有</w:t>
                        </w:r>
                      </w:p>
                    </w:tc>
                  </w:tr>
                  <w:tr>
                    <w:trPr>
                      <w:trHeight w:val="317" w:hRule="exact"/>
                    </w:trPr>
                    <w:tc>
                      <w:tcPr>
                        <w:tcW w:w="456"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49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10" w:space="0" w:color="FFFFFF"/>
                        </w:tcBorders>
                      </w:tcPr>
                      <w:p>
                        <w:pPr>
                          <w:pStyle w:val="TableParagraph"/>
                          <w:spacing w:line="240" w:lineRule="auto" w:before="10"/>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4"/>
                            <w:sz w:val="18"/>
                            <w:szCs w:val="18"/>
                          </w:rPr>
                          <w:t> </w:t>
                        </w:r>
                        <w:r>
                          <w:rPr>
                            <w:rFonts w:ascii="宋体" w:hAnsi="宋体" w:cs="宋体" w:eastAsia="宋体" w:hint="default"/>
                            <w:spacing w:val="-18"/>
                            <w:sz w:val="18"/>
                            <w:szCs w:val="18"/>
                          </w:rPr>
                          <w:t>日、</w:t>
                        </w:r>
                        <w:r>
                          <w:rPr>
                            <w:rFonts w:ascii="宋体" w:hAnsi="宋体" w:cs="宋体" w:eastAsia="宋体" w:hint="default"/>
                            <w:sz w:val="18"/>
                            <w:szCs w:val="18"/>
                          </w:rPr>
                        </w:r>
                      </w:p>
                    </w:tc>
                    <w:tc>
                      <w:tcPr>
                        <w:tcW w:w="2931"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限公司与专业投资机构合作投资的</w:t>
                        </w:r>
                      </w:p>
                    </w:tc>
                  </w:tr>
                  <w:tr>
                    <w:trPr>
                      <w:trHeight w:val="1560" w:hRule="exact"/>
                    </w:trPr>
                    <w:tc>
                      <w:tcPr>
                        <w:tcW w:w="4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惠智 网联</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5"/>
                          <w:jc w:val="left"/>
                          <w:rPr>
                            <w:rFonts w:ascii="宋体" w:hAnsi="宋体" w:cs="宋体" w:eastAsia="宋体" w:hint="default"/>
                            <w:sz w:val="18"/>
                            <w:szCs w:val="18"/>
                          </w:rPr>
                        </w:pPr>
                        <w:r>
                          <w:rPr>
                            <w:rFonts w:ascii="宋体" w:hAnsi="宋体" w:cs="宋体" w:eastAsia="宋体" w:hint="default"/>
                            <w:sz w:val="18"/>
                            <w:szCs w:val="18"/>
                          </w:rPr>
                          <w:t>项目 投资， 实业 投资</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5"/>
                          <w:jc w:val="center"/>
                          <w:rPr>
                            <w:rFonts w:ascii="宋体" w:hAnsi="宋体" w:cs="宋体" w:eastAsia="宋体" w:hint="default"/>
                            <w:sz w:val="18"/>
                            <w:szCs w:val="18"/>
                          </w:rPr>
                        </w:pPr>
                        <w:r>
                          <w:rPr>
                            <w:rFonts w:ascii="宋体" w:hAnsi="宋体" w:cs="宋体" w:eastAsia="宋体" w:hint="default"/>
                            <w:sz w:val="18"/>
                            <w:szCs w:val="18"/>
                          </w:rPr>
                          <w:t>新设</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250,000,000.00</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25.00%</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23" w:right="17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宁波亿人股权投 资管理有限公司</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6"/>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21" w:right="173"/>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21" w:right="58"/>
                          <w:jc w:val="left"/>
                          <w:rPr>
                            <w:rFonts w:ascii="宋体" w:hAnsi="宋体" w:cs="宋体" w:eastAsia="宋体" w:hint="default"/>
                            <w:sz w:val="18"/>
                            <w:szCs w:val="18"/>
                          </w:rPr>
                        </w:pPr>
                        <w:r>
                          <w:rPr>
                            <w:rFonts w:ascii="宋体" w:hAnsi="宋体" w:cs="宋体" w:eastAsia="宋体" w:hint="default"/>
                            <w:sz w:val="18"/>
                            <w:szCs w:val="18"/>
                          </w:rPr>
                          <w:t>已完成工商 变更登记</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976.68</w:t>
                        </w:r>
                      </w:p>
                    </w:tc>
                    <w:tc>
                      <w:tcPr>
                        <w:tcW w:w="4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nil" w:sz="6" w:space="0" w:color="auto"/>
                          <w:left w:val="single" w:sz="4" w:space="0" w:color="000000"/>
                          <w:bottom w:val="nil" w:sz="6" w:space="0" w:color="auto"/>
                          <w:right w:val="single" w:sz="10" w:space="0" w:color="FFFFFF"/>
                        </w:tcBorders>
                      </w:tcPr>
                      <w:p>
                        <w:pPr>
                          <w:pStyle w:val="TableParagraph"/>
                          <w:spacing w:line="240" w:lineRule="auto" w:before="5"/>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4"/>
                            <w:sz w:val="18"/>
                            <w:szCs w:val="18"/>
                          </w:rPr>
                          <w:t> </w:t>
                        </w:r>
                        <w:r>
                          <w:rPr>
                            <w:rFonts w:ascii="宋体" w:hAnsi="宋体" w:cs="宋体" w:eastAsia="宋体" w:hint="default"/>
                            <w:spacing w:val="-18"/>
                            <w:sz w:val="18"/>
                            <w:szCs w:val="18"/>
                          </w:rPr>
                          <w:t>日、</w:t>
                        </w:r>
                        <w:r>
                          <w:rPr>
                            <w:rFonts w:ascii="宋体" w:hAnsi="宋体" w:cs="宋体" w:eastAsia="宋体" w:hint="default"/>
                            <w:sz w:val="18"/>
                            <w:szCs w:val="18"/>
                          </w:rPr>
                        </w:r>
                      </w:p>
                      <w:p>
                        <w:pPr>
                          <w:pStyle w:val="TableParagraph"/>
                          <w:spacing w:line="240" w:lineRule="auto" w:before="63"/>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4"/>
                            <w:sz w:val="18"/>
                            <w:szCs w:val="18"/>
                          </w:rPr>
                          <w:t> </w:t>
                        </w:r>
                        <w:r>
                          <w:rPr>
                            <w:rFonts w:ascii="宋体" w:hAnsi="宋体" w:cs="宋体" w:eastAsia="宋体" w:hint="default"/>
                            <w:spacing w:val="-18"/>
                            <w:sz w:val="18"/>
                            <w:szCs w:val="18"/>
                          </w:rPr>
                          <w:t>日、</w:t>
                        </w:r>
                        <w:r>
                          <w:rPr>
                            <w:rFonts w:ascii="宋体" w:hAnsi="宋体" w:cs="宋体" w:eastAsia="宋体" w:hint="default"/>
                            <w:sz w:val="18"/>
                            <w:szCs w:val="18"/>
                          </w:rPr>
                        </w:r>
                      </w:p>
                      <w:p>
                        <w:pPr>
                          <w:pStyle w:val="TableParagraph"/>
                          <w:spacing w:line="240" w:lineRule="auto" w:before="63"/>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4"/>
                            <w:sz w:val="18"/>
                            <w:szCs w:val="18"/>
                          </w:rPr>
                          <w:t> </w:t>
                        </w:r>
                        <w:r>
                          <w:rPr>
                            <w:rFonts w:ascii="宋体" w:hAnsi="宋体" w:cs="宋体" w:eastAsia="宋体" w:hint="default"/>
                            <w:spacing w:val="-18"/>
                            <w:sz w:val="18"/>
                            <w:szCs w:val="18"/>
                          </w:rPr>
                          <w:t>日、</w:t>
                        </w:r>
                        <w:r>
                          <w:rPr>
                            <w:rFonts w:ascii="宋体" w:hAnsi="宋体" w:cs="宋体" w:eastAsia="宋体" w:hint="default"/>
                            <w:sz w:val="18"/>
                            <w:szCs w:val="18"/>
                          </w:rPr>
                        </w:r>
                      </w:p>
                      <w:p>
                        <w:pPr>
                          <w:pStyle w:val="TableParagraph"/>
                          <w:spacing w:line="240" w:lineRule="auto" w:before="63"/>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4"/>
                            <w:sz w:val="18"/>
                            <w:szCs w:val="18"/>
                          </w:rPr>
                          <w:t> </w:t>
                        </w:r>
                        <w:r>
                          <w:rPr>
                            <w:rFonts w:ascii="宋体" w:hAnsi="宋体" w:cs="宋体" w:eastAsia="宋体" w:hint="default"/>
                            <w:spacing w:val="-18"/>
                            <w:sz w:val="18"/>
                            <w:szCs w:val="18"/>
                          </w:rPr>
                          <w:t>日、</w:t>
                        </w:r>
                        <w:r>
                          <w:rPr>
                            <w:rFonts w:ascii="宋体" w:hAnsi="宋体" w:cs="宋体" w:eastAsia="宋体" w:hint="default"/>
                            <w:sz w:val="18"/>
                            <w:szCs w:val="18"/>
                          </w:rPr>
                        </w:r>
                      </w:p>
                      <w:p>
                        <w:pPr>
                          <w:pStyle w:val="TableParagraph"/>
                          <w:spacing w:line="240" w:lineRule="auto" w:before="63"/>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4"/>
                            <w:sz w:val="18"/>
                            <w:szCs w:val="18"/>
                          </w:rPr>
                          <w:t> </w:t>
                        </w:r>
                        <w:r>
                          <w:rPr>
                            <w:rFonts w:ascii="宋体" w:hAnsi="宋体" w:cs="宋体" w:eastAsia="宋体" w:hint="default"/>
                            <w:spacing w:val="-18"/>
                            <w:sz w:val="18"/>
                            <w:szCs w:val="18"/>
                          </w:rPr>
                          <w:t>日、</w:t>
                        </w:r>
                        <w:r>
                          <w:rPr>
                            <w:rFonts w:ascii="宋体" w:hAnsi="宋体" w:cs="宋体" w:eastAsia="宋体" w:hint="default"/>
                            <w:sz w:val="18"/>
                            <w:szCs w:val="18"/>
                          </w:rPr>
                        </w:r>
                      </w:p>
                    </w:tc>
                    <w:tc>
                      <w:tcPr>
                        <w:tcW w:w="2931" w:type="dxa"/>
                        <w:tcBorders>
                          <w:top w:val="nil" w:sz="6" w:space="0" w:color="auto"/>
                          <w:left w:val="single" w:sz="10" w:space="0" w:color="FFFFFF"/>
                          <w:bottom w:val="nil" w:sz="6" w:space="0" w:color="auto"/>
                          <w:right w:val="single" w:sz="4" w:space="0" w:color="000000"/>
                        </w:tcBorders>
                      </w:tcPr>
                      <w:p>
                        <w:pPr>
                          <w:pStyle w:val="TableParagraph"/>
                          <w:spacing w:line="309" w:lineRule="auto" w:before="5"/>
                          <w:ind w:left="16" w:right="22"/>
                          <w:jc w:val="left"/>
                          <w:rPr>
                            <w:rFonts w:ascii="宋体" w:hAnsi="宋体" w:cs="宋体" w:eastAsia="宋体" w:hint="default"/>
                            <w:sz w:val="18"/>
                            <w:szCs w:val="18"/>
                          </w:rPr>
                        </w:pPr>
                        <w:r>
                          <w:rPr>
                            <w:rFonts w:ascii="宋体" w:hAnsi="宋体" w:cs="宋体" w:eastAsia="宋体" w:hint="default"/>
                            <w:spacing w:val="-16"/>
                            <w:sz w:val="18"/>
                            <w:szCs w:val="18"/>
                          </w:rPr>
                          <w:t>公告》（公告编号：</w:t>
                        </w:r>
                        <w:r>
                          <w:rPr>
                            <w:rFonts w:ascii="Times New Roman" w:hAnsi="Times New Roman" w:cs="Times New Roman" w:eastAsia="Times New Roman" w:hint="default"/>
                            <w:spacing w:val="-16"/>
                            <w:sz w:val="18"/>
                            <w:szCs w:val="18"/>
                          </w:rPr>
                          <w:t>2018-133</w:t>
                        </w:r>
                        <w:r>
                          <w:rPr>
                            <w:rFonts w:ascii="宋体" w:hAnsi="宋体" w:cs="宋体" w:eastAsia="宋体" w:hint="default"/>
                            <w:spacing w:val="-16"/>
                            <w:sz w:val="18"/>
                            <w:szCs w:val="18"/>
                          </w:rPr>
                          <w:t>）、《关于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子公司喀什中汇联银创业投资有限 公司与专业投资机构合作投资的进 </w:t>
                        </w:r>
                        <w:r>
                          <w:rPr>
                            <w:rFonts w:ascii="宋体" w:hAnsi="宋体" w:cs="宋体" w:eastAsia="宋体" w:hint="default"/>
                            <w:spacing w:val="-5"/>
                            <w:sz w:val="18"/>
                            <w:szCs w:val="18"/>
                          </w:rPr>
                          <w:t>展公告》（公告编号：</w:t>
                        </w:r>
                        <w:r>
                          <w:rPr>
                            <w:rFonts w:ascii="Times New Roman" w:hAnsi="Times New Roman" w:cs="Times New Roman" w:eastAsia="Times New Roman" w:hint="default"/>
                            <w:spacing w:val="-5"/>
                            <w:sz w:val="18"/>
                            <w:szCs w:val="18"/>
                          </w:rPr>
                          <w:t>2018-136</w:t>
                        </w:r>
                        <w:r>
                          <w:rPr>
                            <w:rFonts w:ascii="宋体" w:hAnsi="宋体" w:cs="宋体" w:eastAsia="宋体" w:hint="default"/>
                            <w:spacing w:val="-5"/>
                            <w:sz w:val="18"/>
                            <w:szCs w:val="18"/>
                          </w:rPr>
                          <w:t>、</w:t>
                        </w:r>
                        <w:r>
                          <w:rPr>
                            <w:rFonts w:ascii="宋体" w:hAnsi="宋体" w:cs="宋体" w:eastAsia="宋体" w:hint="default"/>
                            <w:spacing w:val="-88"/>
                            <w:sz w:val="18"/>
                            <w:szCs w:val="18"/>
                          </w:rPr>
                          <w:t> </w:t>
                        </w:r>
                        <w:r>
                          <w:rPr>
                            <w:rFonts w:ascii="Times New Roman" w:hAnsi="Times New Roman" w:cs="Times New Roman" w:eastAsia="Times New Roman" w:hint="default"/>
                            <w:spacing w:val="-8"/>
                            <w:sz w:val="18"/>
                            <w:szCs w:val="18"/>
                          </w:rPr>
                          <w:t>2018-156</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2019-017</w:t>
                        </w:r>
                        <w:r>
                          <w:rPr>
                            <w:rFonts w:ascii="宋体" w:hAnsi="宋体" w:cs="宋体" w:eastAsia="宋体" w:hint="default"/>
                            <w:spacing w:val="-8"/>
                            <w:sz w:val="18"/>
                            <w:szCs w:val="18"/>
                          </w:rPr>
                          <w:t>）、《关于子公司</w:t>
                        </w:r>
                      </w:p>
                    </w:tc>
                  </w:tr>
                  <w:tr>
                    <w:trPr>
                      <w:trHeight w:val="312" w:hRule="exact"/>
                    </w:trPr>
                    <w:tc>
                      <w:tcPr>
                        <w:tcW w:w="456"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49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10" w:space="0" w:color="FFFFFF"/>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931" w:type="dxa"/>
                        <w:tcBorders>
                          <w:top w:val="nil" w:sz="6" w:space="0" w:color="auto"/>
                          <w:left w:val="single" w:sz="10" w:space="0" w:color="FFFFFF"/>
                          <w:bottom w:val="nil" w:sz="6" w:space="0" w:color="auto"/>
                          <w:right w:val="single" w:sz="4" w:space="0" w:color="000000"/>
                        </w:tcBorders>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投资的产业并购基金对外投资的公</w:t>
                        </w:r>
                      </w:p>
                    </w:tc>
                  </w:tr>
                  <w:tr>
                    <w:trPr>
                      <w:trHeight w:val="312" w:hRule="exact"/>
                    </w:trPr>
                    <w:tc>
                      <w:tcPr>
                        <w:tcW w:w="456"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49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10" w:space="0" w:color="FFFFFF"/>
                        </w:tcBorders>
                      </w:tcPr>
                      <w:p>
                        <w:pPr/>
                      </w:p>
                    </w:tc>
                    <w:tc>
                      <w:tcPr>
                        <w:tcW w:w="2931" w:type="dxa"/>
                        <w:tcBorders>
                          <w:top w:val="nil" w:sz="6" w:space="0" w:color="auto"/>
                          <w:left w:val="single" w:sz="10" w:space="0" w:color="FFFFFF"/>
                          <w:bottom w:val="nil" w:sz="6" w:space="0" w:color="auto"/>
                          <w:right w:val="single" w:sz="4" w:space="0" w:color="000000"/>
                        </w:tcBorders>
                      </w:tcPr>
                      <w:p>
                        <w:pPr>
                          <w:pStyle w:val="TableParagraph"/>
                          <w:spacing w:line="240" w:lineRule="auto" w:before="5"/>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w:t>
                        </w:r>
                        <w:r>
                          <w:rPr>
                            <w:rFonts w:ascii="宋体" w:hAnsi="宋体" w:cs="宋体" w:eastAsia="宋体" w:hint="default"/>
                            <w:spacing w:val="-135"/>
                            <w:sz w:val="18"/>
                            <w:szCs w:val="18"/>
                          </w:rPr>
                          <w:t>》</w:t>
                        </w:r>
                        <w:r>
                          <w:rPr>
                            <w:rFonts w:ascii="宋体" w:hAnsi="宋体" w:cs="宋体" w:eastAsia="宋体" w:hint="default"/>
                            <w:sz w:val="18"/>
                            <w:szCs w:val="18"/>
                          </w:rPr>
                          <w:t>（公告编号</w:t>
                        </w:r>
                        <w:r>
                          <w:rPr>
                            <w:rFonts w:ascii="宋体" w:hAnsi="宋体" w:cs="宋体" w:eastAsia="宋体" w:hint="default"/>
                            <w:spacing w:val="-44"/>
                            <w:sz w:val="18"/>
                            <w:szCs w:val="18"/>
                          </w:rPr>
                          <w:t>：</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64</w:t>
                        </w:r>
                        <w:r>
                          <w:rPr>
                            <w:rFonts w:ascii="宋体" w:hAnsi="宋体" w:cs="宋体" w:eastAsia="宋体" w:hint="default"/>
                            <w:spacing w:val="-44"/>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p>
                    </w:tc>
                  </w:tr>
                  <w:tr>
                    <w:trPr>
                      <w:trHeight w:val="353" w:hRule="exact"/>
                    </w:trPr>
                    <w:tc>
                      <w:tcPr>
                        <w:tcW w:w="456"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926" w:type="dxa"/>
                        <w:tcBorders>
                          <w:top w:val="nil" w:sz="6" w:space="0" w:color="auto"/>
                          <w:left w:val="single" w:sz="4" w:space="0" w:color="000000"/>
                          <w:bottom w:val="single" w:sz="4" w:space="0" w:color="000000"/>
                          <w:right w:val="single" w:sz="4" w:space="0" w:color="000000"/>
                        </w:tcBorders>
                      </w:tcPr>
                      <w:p>
                        <w:pPr/>
                      </w:p>
                    </w:tc>
                    <w:tc>
                      <w:tcPr>
                        <w:tcW w:w="490"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10" w:space="0" w:color="FFFFFF"/>
                        </w:tcBorders>
                      </w:tcPr>
                      <w:p>
                        <w:pPr/>
                      </w:p>
                    </w:tc>
                    <w:tc>
                      <w:tcPr>
                        <w:tcW w:w="2931" w:type="dxa"/>
                        <w:tcBorders>
                          <w:top w:val="nil" w:sz="6" w:space="0" w:color="auto"/>
                          <w:left w:val="single" w:sz="10" w:space="0" w:color="FFFFFF"/>
                          <w:bottom w:val="single" w:sz="4" w:space="0" w:color="000000"/>
                          <w:right w:val="single" w:sz="4" w:space="0" w:color="000000"/>
                        </w:tcBorders>
                      </w:tcPr>
                      <w:p>
                        <w:pPr>
                          <w:pStyle w:val="TableParagraph"/>
                          <w:spacing w:line="240" w:lineRule="auto" w:before="5"/>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2019-031</w:t>
                        </w:r>
                        <w:r>
                          <w:rPr>
                            <w:rFonts w:ascii="宋体" w:hAnsi="宋体" w:cs="宋体" w:eastAsia="宋体" w:hint="default"/>
                            <w:sz w:val="18"/>
                            <w:szCs w:val="18"/>
                          </w:rPr>
                          <w:t>）</w:t>
                        </w:r>
                      </w:p>
                    </w:tc>
                  </w:tr>
                  <w:tr>
                    <w:trPr>
                      <w:trHeight w:val="357" w:hRule="exact"/>
                    </w:trPr>
                    <w:tc>
                      <w:tcPr>
                        <w:tcW w:w="456"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无人</w:t>
                        </w:r>
                      </w:p>
                    </w:tc>
                    <w:tc>
                      <w:tcPr>
                        <w:tcW w:w="425"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197" w:lineRule="exact" w:before="150"/>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7" w:lineRule="exact"/>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926" w:type="dxa"/>
                        <w:tcBorders>
                          <w:top w:val="single" w:sz="4" w:space="0" w:color="000000"/>
                          <w:left w:val="single" w:sz="4" w:space="0" w:color="000000"/>
                          <w:bottom w:val="nil" w:sz="6" w:space="0" w:color="auto"/>
                          <w:right w:val="single" w:sz="4" w:space="0" w:color="000000"/>
                        </w:tcBorders>
                      </w:tcPr>
                      <w:p>
                        <w:pPr/>
                      </w:p>
                    </w:tc>
                    <w:tc>
                      <w:tcPr>
                        <w:tcW w:w="490"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293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456"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配送</w:t>
                        </w:r>
                      </w:p>
                    </w:tc>
                    <w:tc>
                      <w:tcPr>
                        <w:tcW w:w="425"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刘智勇、顾夏萌</w:t>
                        </w:r>
                      </w:p>
                    </w:tc>
                    <w:tc>
                      <w:tcPr>
                        <w:tcW w:w="566" w:type="dxa"/>
                        <w:vMerge/>
                        <w:tcBorders>
                          <w:left w:val="single" w:sz="4" w:space="0" w:color="000000"/>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49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2931" w:type="dxa"/>
                        <w:tcBorders>
                          <w:top w:val="nil" w:sz="6" w:space="0" w:color="auto"/>
                          <w:left w:val="single" w:sz="4" w:space="0" w:color="000000"/>
                          <w:bottom w:val="nil" w:sz="6" w:space="0" w:color="auto"/>
                          <w:right w:val="single" w:sz="4" w:space="0" w:color="000000"/>
                        </w:tcBorders>
                      </w:tcPr>
                      <w:p>
                        <w:pPr/>
                      </w:p>
                    </w:tc>
                  </w:tr>
                  <w:tr>
                    <w:trPr>
                      <w:trHeight w:val="1247" w:hRule="exact"/>
                    </w:trPr>
                    <w:tc>
                      <w:tcPr>
                        <w:tcW w:w="4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3" w:right="60"/>
                          <w:jc w:val="left"/>
                          <w:rPr>
                            <w:rFonts w:ascii="宋体" w:hAnsi="宋体" w:cs="宋体" w:eastAsia="宋体" w:hint="default"/>
                            <w:sz w:val="18"/>
                            <w:szCs w:val="18"/>
                          </w:rPr>
                        </w:pPr>
                        <w:r>
                          <w:rPr>
                            <w:rFonts w:ascii="宋体" w:hAnsi="宋体" w:cs="宋体" w:eastAsia="宋体" w:hint="default"/>
                            <w:sz w:val="18"/>
                            <w:szCs w:val="18"/>
                          </w:rPr>
                          <w:t>真机 智能</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319" w:lineRule="auto" w:before="9"/>
                          <w:ind w:left="23" w:right="173"/>
                          <w:jc w:val="both"/>
                          <w:rPr>
                            <w:rFonts w:ascii="宋体" w:hAnsi="宋体" w:cs="宋体" w:eastAsia="宋体" w:hint="default"/>
                            <w:sz w:val="18"/>
                            <w:szCs w:val="18"/>
                          </w:rPr>
                        </w:pPr>
                        <w:r>
                          <w:rPr>
                            <w:rFonts w:ascii="宋体" w:hAnsi="宋体" w:cs="宋体" w:eastAsia="宋体" w:hint="default"/>
                            <w:sz w:val="18"/>
                            <w:szCs w:val="18"/>
                          </w:rPr>
                          <w:t>机器 人及 其他 智能</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增资</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15,000,000.00</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15.00%</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3" w:right="17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319" w:lineRule="auto" w:before="9"/>
                          <w:ind w:left="23" w:right="23"/>
                          <w:jc w:val="both"/>
                          <w:rPr>
                            <w:rFonts w:ascii="宋体" w:hAnsi="宋体" w:cs="宋体" w:eastAsia="宋体" w:hint="default"/>
                            <w:sz w:val="18"/>
                            <w:szCs w:val="18"/>
                          </w:rPr>
                        </w:pPr>
                        <w:r>
                          <w:rPr>
                            <w:rFonts w:ascii="宋体" w:hAnsi="宋体" w:cs="宋体" w:eastAsia="宋体" w:hint="default"/>
                            <w:sz w:val="18"/>
                            <w:szCs w:val="18"/>
                          </w:rPr>
                          <w:t>北京即联即用创 业投资有限公司 天津黑马贰号投 </w:t>
                        </w:r>
                        <w:r>
                          <w:rPr>
                            <w:rFonts w:ascii="宋体" w:hAnsi="宋体" w:cs="宋体" w:eastAsia="宋体" w:hint="default"/>
                            <w:spacing w:val="-10"/>
                            <w:sz w:val="18"/>
                            <w:szCs w:val="18"/>
                          </w:rPr>
                          <w:t>资合伙企业（有限</w:t>
                        </w:r>
                      </w:p>
                    </w:tc>
                    <w:tc>
                      <w:tcPr>
                        <w:tcW w:w="566" w:type="dxa"/>
                        <w:vMerge/>
                        <w:tcBorders>
                          <w:left w:val="single" w:sz="4" w:space="0" w:color="000000"/>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1" w:right="173"/>
                          <w:jc w:val="both"/>
                          <w:rPr>
                            <w:rFonts w:ascii="宋体" w:hAnsi="宋体" w:cs="宋体" w:eastAsia="宋体" w:hint="default"/>
                            <w:sz w:val="18"/>
                            <w:szCs w:val="18"/>
                          </w:rPr>
                        </w:pPr>
                        <w:r>
                          <w:rPr>
                            <w:rFonts w:ascii="宋体" w:hAnsi="宋体" w:cs="宋体" w:eastAsia="宋体" w:hint="default"/>
                            <w:sz w:val="18"/>
                            <w:szCs w:val="18"/>
                          </w:rPr>
                          <w:t>无人 配送 机器 人</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1" w:right="58"/>
                          <w:jc w:val="left"/>
                          <w:rPr>
                            <w:rFonts w:ascii="宋体" w:hAnsi="宋体" w:cs="宋体" w:eastAsia="宋体" w:hint="default"/>
                            <w:sz w:val="18"/>
                            <w:szCs w:val="18"/>
                          </w:rPr>
                        </w:pPr>
                        <w:r>
                          <w:rPr>
                            <w:rFonts w:ascii="宋体" w:hAnsi="宋体" w:cs="宋体" w:eastAsia="宋体" w:hint="default"/>
                            <w:sz w:val="18"/>
                            <w:szCs w:val="18"/>
                          </w:rPr>
                          <w:t>已完成工商 变更登记</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-304,904.58</w:t>
                        </w:r>
                      </w:p>
                    </w:tc>
                    <w:tc>
                      <w:tcPr>
                        <w:tcW w:w="4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07" w:lineRule="auto"/>
                          <w:ind w:left="23" w:right="21"/>
                          <w:jc w:val="left"/>
                          <w:rPr>
                            <w:rFonts w:ascii="宋体" w:hAnsi="宋体" w:cs="宋体" w:eastAsia="宋体" w:hint="default"/>
                            <w:sz w:val="18"/>
                            <w:szCs w:val="18"/>
                          </w:rPr>
                        </w:pPr>
                        <w:r>
                          <w:rPr>
                            <w:rFonts w:ascii="宋体" w:hAnsi="宋体" w:cs="宋体" w:eastAsia="宋体" w:hint="default"/>
                            <w:spacing w:val="-9"/>
                            <w:w w:val="99"/>
                            <w:sz w:val="18"/>
                            <w:szCs w:val="18"/>
                          </w:rPr>
                          <w:t>巨潮资讯网（</w:t>
                        </w:r>
                        <w:hyperlink r:id="rId13">
                          <w:r>
                            <w:rPr>
                              <w:rFonts w:ascii="Times New Roman" w:hAnsi="Times New Roman" w:cs="Times New Roman" w:eastAsia="Times New Roman" w:hint="default"/>
                              <w:spacing w:val="-9"/>
                              <w:w w:val="99"/>
                              <w:sz w:val="18"/>
                              <w:szCs w:val="18"/>
                            </w:rPr>
                            <w:t>www.cninfo.com.cn</w:t>
                          </w:r>
                        </w:hyperlink>
                        <w:r>
                          <w:rPr>
                            <w:rFonts w:ascii="宋体" w:hAnsi="宋体" w:cs="宋体" w:eastAsia="宋体" w:hint="default"/>
                            <w:spacing w:val="-9"/>
                            <w:w w:val="99"/>
                            <w:sz w:val="18"/>
                            <w:szCs w:val="18"/>
                          </w:rPr>
                          <w:t>）《关</w:t>
                        </w:r>
                        <w:r>
                          <w:rPr>
                            <w:rFonts w:ascii="宋体" w:hAnsi="宋体" w:cs="宋体" w:eastAsia="宋体" w:hint="default"/>
                            <w:spacing w:val="-74"/>
                            <w:w w:val="99"/>
                            <w:sz w:val="18"/>
                            <w:szCs w:val="18"/>
                          </w:rPr>
                          <w:t> </w:t>
                        </w:r>
                        <w:r>
                          <w:rPr>
                            <w:rFonts w:ascii="宋体" w:hAnsi="宋体" w:cs="宋体" w:eastAsia="宋体" w:hint="default"/>
                            <w:spacing w:val="-74"/>
                            <w:w w:val="99"/>
                            <w:sz w:val="18"/>
                            <w:szCs w:val="18"/>
                          </w:rPr>
                        </w:r>
                        <w:r>
                          <w:rPr>
                            <w:rFonts w:ascii="宋体" w:hAnsi="宋体" w:cs="宋体" w:eastAsia="宋体" w:hint="default"/>
                            <w:spacing w:val="-7"/>
                            <w:sz w:val="18"/>
                            <w:szCs w:val="18"/>
                          </w:rPr>
                          <w:t>于公司对外投资的公告》（公告编号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Times New Roman" w:hAnsi="Times New Roman" w:cs="Times New Roman" w:eastAsia="Times New Roman" w:hint="default"/>
                            <w:sz w:val="18"/>
                            <w:szCs w:val="18"/>
                          </w:rPr>
                          <w:t>2018-119</w:t>
                        </w:r>
                        <w:r>
                          <w:rPr>
                            <w:rFonts w:ascii="宋体" w:hAnsi="宋体" w:cs="宋体" w:eastAsia="宋体" w:hint="default"/>
                            <w:sz w:val="18"/>
                            <w:szCs w:val="18"/>
                          </w:rPr>
                          <w:t>）</w:t>
                        </w:r>
                      </w:p>
                    </w:tc>
                  </w:tr>
                  <w:tr>
                    <w:trPr>
                      <w:trHeight w:val="312" w:hRule="exact"/>
                    </w:trPr>
                    <w:tc>
                      <w:tcPr>
                        <w:tcW w:w="456"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机器</w:t>
                        </w:r>
                      </w:p>
                    </w:tc>
                    <w:tc>
                      <w:tcPr>
                        <w:tcW w:w="425"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宋体" w:hAnsi="宋体" w:cs="宋体" w:eastAsia="宋体" w:hint="default"/>
                            <w:spacing w:val="-92"/>
                            <w:sz w:val="18"/>
                            <w:szCs w:val="18"/>
                          </w:rPr>
                          <w:t>）</w:t>
                        </w:r>
                        <w:r>
                          <w:rPr>
                            <w:rFonts w:ascii="宋体" w:hAnsi="宋体" w:cs="宋体" w:eastAsia="宋体" w:hint="default"/>
                            <w:sz w:val="18"/>
                            <w:szCs w:val="18"/>
                          </w:rPr>
                          <w:t>、李兴龙</w:t>
                        </w:r>
                      </w:p>
                    </w:tc>
                    <w:tc>
                      <w:tcPr>
                        <w:tcW w:w="566" w:type="dxa"/>
                        <w:vMerge/>
                        <w:tcBorders>
                          <w:left w:val="single" w:sz="4" w:space="0" w:color="000000"/>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49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2931"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456"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w:t>
                        </w:r>
                      </w:p>
                    </w:tc>
                    <w:tc>
                      <w:tcPr>
                        <w:tcW w:w="425"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926" w:type="dxa"/>
                        <w:tcBorders>
                          <w:top w:val="nil" w:sz="6" w:space="0" w:color="auto"/>
                          <w:left w:val="single" w:sz="4" w:space="0" w:color="000000"/>
                          <w:bottom w:val="single" w:sz="4" w:space="0" w:color="000000"/>
                          <w:right w:val="single" w:sz="4" w:space="0" w:color="000000"/>
                        </w:tcBorders>
                      </w:tcPr>
                      <w:p>
                        <w:pPr/>
                      </w:p>
                    </w:tc>
                    <w:tc>
                      <w:tcPr>
                        <w:tcW w:w="490"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2931"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265,000,000.00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8"/>
                          <w:jc w:val="righ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6"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-303,927.90</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44"/>
        <w:ind w:left="0" w:right="105"/>
        <w:jc w:val="right"/>
      </w:pPr>
      <w:r>
        <w:rPr/>
        <w:pict>
          <v:group style="position:absolute;margin-left:341.809998pt;margin-top:-54.728279pt;width:27.85pt;height:74.7pt;mso-position-horizontal-relative:page;mso-position-vertical-relative:paragraph;z-index:1216" coordorigin="6836,-1095" coordsize="557,1494">
            <v:group style="position:absolute;left:6836;top:-1095;width:557;height:1092" coordorigin="6836,-1095" coordsize="557,1092">
              <v:shape style="position:absolute;left:6836;top:-1095;width:557;height:1092" coordorigin="6836,-1095" coordsize="557,1092" path="m6836,-3l7393,-3,7393,-1095,6836,-1095,6836,-3xe" filled="true" fillcolor="#ffffff" stroked="false">
                <v:path arrowok="t"/>
                <v:fill type="solid"/>
              </v:shape>
            </v:group>
            <v:group style="position:absolute;left:6847;top:-3;width:2;height:392" coordorigin="6847,-3" coordsize="2,392">
              <v:shape style="position:absolute;left:6847;top:-3;width:2;height:392" coordorigin="6847,-3" coordsize="0,392" path="m6847,-3l6847,389e" filled="false" stroked="true" strokeweight="1.08pt" strokecolor="#ffffff">
                <v:path arrowok="t"/>
              </v:shape>
            </v:group>
            <v:group style="position:absolute;left:6858;top:-3;width:512;height:392" coordorigin="6858,-3" coordsize="512,392">
              <v:shape style="position:absolute;left:6858;top:-3;width:512;height:392" coordorigin="6858,-3" coordsize="512,392" path="m6858,389l7369,389,7369,-3,6858,-3,6858,389xe" filled="true" fillcolor="#ffffff" stroked="false">
                <v:path arrowok="t"/>
                <v:fill type="solid"/>
              </v:shape>
            </v:group>
            <w10:wrap type="none"/>
          </v:group>
        </w:pict>
      </w:r>
      <w:r>
        <w:rPr/>
        <w:t>：</w:t>
      </w:r>
    </w:p>
    <w:p>
      <w:pPr>
        <w:spacing w:after="0" w:line="240" w:lineRule="auto"/>
        <w:jc w:val="right"/>
        <w:sectPr>
          <w:headerReference w:type="default" r:id="rId14"/>
          <w:footerReference w:type="default" r:id="rId15"/>
          <w:pgSz w:w="16840" w:h="11910" w:orient="landscape"/>
          <w:pgMar w:header="867" w:footer="980" w:top="1060" w:bottom="1160" w:left="1300" w:right="1240"/>
          <w:pgNumType w:start="26"/>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152"/>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140" w:right="152"/>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7"/>
        <w:jc w:val="right"/>
      </w:pPr>
      <w:r>
        <w:rPr/>
        <w:t>单位：元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033"/>
        <w:gridCol w:w="1313"/>
        <w:gridCol w:w="1594"/>
        <w:gridCol w:w="1728"/>
        <w:gridCol w:w="1750"/>
        <w:gridCol w:w="1399"/>
        <w:gridCol w:w="1402"/>
        <w:gridCol w:w="1402"/>
        <w:gridCol w:w="1397"/>
      </w:tblGrid>
      <w:tr>
        <w:trPr>
          <w:trHeight w:val="713"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50"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0" w:right="74" w:hanging="541"/>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48" w:hanging="452"/>
              <w:jc w:val="left"/>
              <w:rPr>
                <w:rFonts w:ascii="宋体" w:hAnsi="宋体" w:cs="宋体" w:eastAsia="宋体" w:hint="default"/>
                <w:sz w:val="18"/>
                <w:szCs w:val="18"/>
              </w:rPr>
            </w:pPr>
            <w:r>
              <w:rPr>
                <w:rFonts w:ascii="宋体" w:hAnsi="宋体" w:cs="宋体" w:eastAsia="宋体" w:hint="default"/>
                <w:sz w:val="18"/>
                <w:szCs w:val="18"/>
              </w:rPr>
              <w:t>计入权益的累计公允 价值变动</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报告期内购入金额</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2" w:right="65" w:hanging="540"/>
              <w:jc w:val="left"/>
              <w:rPr>
                <w:rFonts w:ascii="宋体" w:hAnsi="宋体" w:cs="宋体" w:eastAsia="宋体" w:hint="default"/>
                <w:sz w:val="18"/>
                <w:szCs w:val="18"/>
              </w:rPr>
            </w:pPr>
            <w:r>
              <w:rPr>
                <w:rFonts w:ascii="宋体" w:hAnsi="宋体" w:cs="宋体" w:eastAsia="宋体" w:hint="default"/>
                <w:sz w:val="18"/>
                <w:szCs w:val="18"/>
              </w:rPr>
              <w:t>报告期内售出金 额</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累计投资收益</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67,796,637.74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-15,246,364.28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61,598,376.66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50,661,337.04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-5,638,791.73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42,506,350.92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1"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4,743,778.20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-138,994.20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4,743,778.20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161,138.00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4,604,784.00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40,040,299.29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16,509,162.97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56,549,462.26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112,580,715.23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-15,385,358.48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16,509,162.97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66,342,154.86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50,661,337.04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-5,477,653.73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103,660,597.18</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140" w:right="152"/>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140" w:right="113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line="240" w:lineRule="auto" w:before="4"/>
        <w:rPr>
          <w:rFonts w:ascii="宋体" w:hAnsi="宋体" w:cs="宋体" w:eastAsia="宋体" w:hint="default"/>
          <w:sz w:val="19"/>
          <w:szCs w:val="19"/>
        </w:rPr>
      </w:pPr>
    </w:p>
    <w:p>
      <w:pPr>
        <w:pStyle w:val="Heading2"/>
        <w:spacing w:line="240" w:lineRule="auto"/>
        <w:ind w:left="140" w:right="152"/>
        <w:jc w:val="left"/>
        <w:rPr>
          <w:b w:val="0"/>
          <w:bCs w:val="0"/>
        </w:rPr>
      </w:pPr>
      <w:r>
        <w:rPr/>
        <w:t>六、重大资产和股权出售</w:t>
      </w:r>
      <w:r>
        <w:rPr>
          <w:b w:val="0"/>
          <w:bCs w:val="0"/>
        </w:rPr>
      </w:r>
    </w:p>
    <w:p>
      <w:pPr>
        <w:spacing w:after="0" w:line="240" w:lineRule="auto"/>
        <w:jc w:val="left"/>
        <w:sectPr>
          <w:pgSz w:w="16840" w:h="11910" w:orient="landscape"/>
          <w:pgMar w:header="867" w:footer="980" w:top="1060" w:bottom="1160" w:left="1300" w:right="1280"/>
        </w:sectPr>
      </w:pPr>
    </w:p>
    <w:p>
      <w:pPr>
        <w:spacing w:line="240" w:lineRule="auto" w:before="11"/>
        <w:rPr>
          <w:rFonts w:ascii="宋体" w:hAnsi="宋体" w:cs="宋体" w:eastAsia="宋体" w:hint="default"/>
          <w:b/>
          <w:bCs/>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44"/>
        <w:ind w:left="0" w:right="101"/>
        <w:jc w:val="right"/>
      </w:pPr>
      <w:r>
        <w:rPr/>
        <w:pict>
          <v:shape style="position:absolute;margin-left:70.320pt;margin-top:-176.798279pt;width:701.65pt;height:341.6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64"/>
                    <w:gridCol w:w="871"/>
                    <w:gridCol w:w="864"/>
                    <w:gridCol w:w="872"/>
                    <w:gridCol w:w="866"/>
                    <w:gridCol w:w="866"/>
                    <w:gridCol w:w="872"/>
                    <w:gridCol w:w="866"/>
                    <w:gridCol w:w="871"/>
                    <w:gridCol w:w="866"/>
                    <w:gridCol w:w="867"/>
                    <w:gridCol w:w="871"/>
                    <w:gridCol w:w="866"/>
                    <w:gridCol w:w="1870"/>
                  </w:tblGrid>
                  <w:tr>
                    <w:trPr>
                      <w:trHeight w:val="258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338" w:right="65" w:hanging="272"/>
                          <w:jc w:val="left"/>
                          <w:rPr>
                            <w:rFonts w:ascii="宋体" w:hAnsi="宋体" w:cs="宋体" w:eastAsia="宋体" w:hint="default"/>
                            <w:sz w:val="18"/>
                            <w:szCs w:val="18"/>
                          </w:rPr>
                        </w:pPr>
                        <w:r>
                          <w:rPr>
                            <w:rFonts w:ascii="宋体" w:hAnsi="宋体" w:cs="宋体" w:eastAsia="宋体" w:hint="default"/>
                            <w:sz w:val="18"/>
                            <w:szCs w:val="18"/>
                          </w:rPr>
                          <w:t>被出售资 产</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0" w:right="71"/>
                          <w:jc w:val="center"/>
                          <w:rPr>
                            <w:rFonts w:ascii="宋体" w:hAnsi="宋体" w:cs="宋体" w:eastAsia="宋体" w:hint="default"/>
                            <w:sz w:val="18"/>
                            <w:szCs w:val="18"/>
                          </w:rPr>
                        </w:pPr>
                        <w:r>
                          <w:rPr>
                            <w:rFonts w:ascii="宋体" w:hAnsi="宋体" w:cs="宋体" w:eastAsia="宋体" w:hint="default"/>
                            <w:sz w:val="18"/>
                            <w:szCs w:val="18"/>
                          </w:rPr>
                          <w:t>本期初起 至出售日 该资产为 上市公司 贡献的净 利润（万 元）</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7" w:right="67"/>
                          <w:jc w:val="left"/>
                          <w:rPr>
                            <w:rFonts w:ascii="宋体" w:hAnsi="宋体" w:cs="宋体" w:eastAsia="宋体" w:hint="default"/>
                            <w:sz w:val="18"/>
                            <w:szCs w:val="18"/>
                          </w:rPr>
                        </w:pPr>
                        <w:r>
                          <w:rPr>
                            <w:rFonts w:ascii="宋体" w:hAnsi="宋体" w:cs="宋体" w:eastAsia="宋体" w:hint="default"/>
                            <w:sz w:val="18"/>
                            <w:szCs w:val="18"/>
                          </w:rPr>
                          <w:t>出售对公 司的影响</w:t>
                        </w:r>
                      </w:p>
                      <w:p>
                        <w:pPr>
                          <w:pStyle w:val="TableParagraph"/>
                          <w:spacing w:line="240" w:lineRule="auto" w:before="19"/>
                          <w:ind w:left="8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9" w:right="65"/>
                          <w:jc w:val="both"/>
                          <w:rPr>
                            <w:rFonts w:ascii="宋体" w:hAnsi="宋体" w:cs="宋体" w:eastAsia="宋体" w:hint="default"/>
                            <w:sz w:val="18"/>
                            <w:szCs w:val="18"/>
                          </w:rPr>
                        </w:pPr>
                        <w:r>
                          <w:rPr>
                            <w:rFonts w:ascii="宋体" w:hAnsi="宋体" w:cs="宋体" w:eastAsia="宋体" w:hint="default"/>
                            <w:sz w:val="18"/>
                            <w:szCs w:val="18"/>
                          </w:rPr>
                          <w:t>资产出售 为上市公 司贡献的 净利润占 净利润总 额的比例</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9" w:right="70"/>
                          <w:jc w:val="left"/>
                          <w:rPr>
                            <w:rFonts w:ascii="宋体" w:hAnsi="宋体" w:cs="宋体" w:eastAsia="宋体" w:hint="default"/>
                            <w:sz w:val="18"/>
                            <w:szCs w:val="18"/>
                          </w:rPr>
                        </w:pPr>
                        <w:r>
                          <w:rPr>
                            <w:rFonts w:ascii="宋体" w:hAnsi="宋体" w:cs="宋体" w:eastAsia="宋体" w:hint="default"/>
                            <w:sz w:val="18"/>
                            <w:szCs w:val="18"/>
                          </w:rPr>
                          <w:t>资产出售 定价原则</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56" w:right="67" w:hanging="89"/>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23" w:hanging="3"/>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67" w:right="67"/>
                          <w:jc w:val="both"/>
                          <w:rPr>
                            <w:rFonts w:ascii="宋体" w:hAnsi="宋体" w:cs="宋体" w:eastAsia="宋体" w:hint="default"/>
                            <w:sz w:val="18"/>
                            <w:szCs w:val="18"/>
                          </w:rPr>
                        </w:pPr>
                        <w:r>
                          <w:rPr>
                            <w:rFonts w:ascii="宋体" w:hAnsi="宋体" w:cs="宋体" w:eastAsia="宋体" w:hint="default"/>
                            <w:sz w:val="18"/>
                            <w:szCs w:val="18"/>
                          </w:rPr>
                          <w:t>所涉及的 资产产权 是否已全 部过户</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67" w:right="68"/>
                          <w:jc w:val="both"/>
                          <w:rPr>
                            <w:rFonts w:ascii="宋体" w:hAnsi="宋体" w:cs="宋体" w:eastAsia="宋体" w:hint="default"/>
                            <w:sz w:val="18"/>
                            <w:szCs w:val="18"/>
                          </w:rPr>
                        </w:pPr>
                        <w:r>
                          <w:rPr>
                            <w:rFonts w:ascii="宋体" w:hAnsi="宋体" w:cs="宋体" w:eastAsia="宋体" w:hint="default"/>
                            <w:sz w:val="18"/>
                            <w:szCs w:val="18"/>
                          </w:rPr>
                          <w:t>所涉及的 债权债务 是否已全 部转移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hanging="3"/>
                          <w:jc w:val="center"/>
                          <w:rPr>
                            <w:rFonts w:ascii="宋体" w:hAnsi="宋体" w:cs="宋体" w:eastAsia="宋体" w:hint="default"/>
                            <w:sz w:val="18"/>
                            <w:szCs w:val="18"/>
                          </w:rPr>
                        </w:pPr>
                        <w:r>
                          <w:rPr>
                            <w:rFonts w:ascii="宋体" w:hAnsi="宋体" w:cs="宋体" w:eastAsia="宋体" w:hint="default"/>
                            <w:sz w:val="18"/>
                            <w:szCs w:val="18"/>
                          </w:rPr>
                          <w:t>是否按计 划如期实 </w:t>
                        </w:r>
                        <w:r>
                          <w:rPr>
                            <w:rFonts w:ascii="宋体" w:hAnsi="宋体" w:cs="宋体" w:eastAsia="宋体" w:hint="default"/>
                            <w:spacing w:val="-18"/>
                            <w:sz w:val="18"/>
                            <w:szCs w:val="18"/>
                          </w:rPr>
                          <w:t>施，如未按</w:t>
                        </w:r>
                        <w:r>
                          <w:rPr>
                            <w:rFonts w:ascii="宋体" w:hAnsi="宋体" w:cs="宋体" w:eastAsia="宋体" w:hint="default"/>
                            <w:sz w:val="18"/>
                            <w:szCs w:val="18"/>
                          </w:rPr>
                          <w:t> 计划实施 应当说明 原因及公 司已采取 的措施</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196"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6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李某某</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天津市河 东区创智 大厦</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1-1711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评估</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2" w:lineRule="auto" w:before="76"/>
                          <w:ind w:left="21" w:right="24"/>
                          <w:jc w:val="left"/>
                          <w:rPr>
                            <w:rFonts w:ascii="宋体" w:hAnsi="宋体" w:cs="宋体" w:eastAsia="宋体" w:hint="default"/>
                            <w:sz w:val="18"/>
                            <w:szCs w:val="18"/>
                          </w:rPr>
                        </w:pPr>
                        <w:r>
                          <w:rPr>
                            <w:rFonts w:ascii="宋体" w:hAnsi="宋体" w:cs="宋体" w:eastAsia="宋体" w:hint="default"/>
                            <w:spacing w:val="-1"/>
                            <w:sz w:val="18"/>
                            <w:szCs w:val="18"/>
                          </w:rPr>
                          <w:t>（</w:t>
                        </w:r>
                        <w:hyperlink r:id="rId13">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w:t>
                        </w:r>
                        <w:r>
                          <w:rPr>
                            <w:rFonts w:ascii="宋体" w:hAnsi="宋体" w:cs="宋体" w:eastAsia="宋体" w:hint="default"/>
                            <w:sz w:val="18"/>
                            <w:szCs w:val="18"/>
                          </w:rPr>
                          <w:t> 上的《关于处置公司房 </w:t>
                        </w:r>
                        <w:r>
                          <w:rPr>
                            <w:rFonts w:ascii="宋体" w:hAnsi="宋体" w:cs="宋体" w:eastAsia="宋体" w:hint="default"/>
                            <w:spacing w:val="-10"/>
                            <w:sz w:val="18"/>
                            <w:szCs w:val="18"/>
                          </w:rPr>
                          <w:t>产的公告》（公告编号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2017-037</w:t>
                        </w:r>
                        <w:r>
                          <w:rPr>
                            <w:rFonts w:ascii="宋体" w:hAnsi="宋体" w:cs="宋体" w:eastAsia="宋体" w:hint="default"/>
                            <w:sz w:val="18"/>
                            <w:szCs w:val="18"/>
                          </w:rPr>
                          <w:t>）</w:t>
                        </w:r>
                      </w:p>
                    </w:tc>
                  </w:tr>
                  <w:tr>
                    <w:trPr>
                      <w:trHeight w:val="356" w:hRule="exact"/>
                    </w:trPr>
                    <w:tc>
                      <w:tcPr>
                        <w:tcW w:w="864"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四川省成</w:t>
                        </w:r>
                      </w:p>
                    </w:tc>
                    <w:tc>
                      <w:tcPr>
                        <w:tcW w:w="871"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867"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1870" w:type="dxa"/>
                        <w:tcBorders>
                          <w:top w:val="single" w:sz="4" w:space="0" w:color="000000"/>
                          <w:left w:val="single" w:sz="4" w:space="0" w:color="000000"/>
                          <w:bottom w:val="nil" w:sz="6" w:space="0" w:color="auto"/>
                          <w:right w:val="single" w:sz="4" w:space="0" w:color="000000"/>
                        </w:tcBorders>
                      </w:tcPr>
                      <w:p>
                        <w:pPr/>
                      </w:p>
                    </w:tc>
                  </w:tr>
                  <w:tr>
                    <w:trPr>
                      <w:trHeight w:val="1877"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倪某某</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3" w:right="60"/>
                          <w:jc w:val="both"/>
                          <w:rPr>
                            <w:rFonts w:ascii="宋体" w:hAnsi="宋体" w:cs="宋体" w:eastAsia="宋体" w:hint="default"/>
                            <w:sz w:val="18"/>
                            <w:szCs w:val="18"/>
                          </w:rPr>
                        </w:pPr>
                        <w:r>
                          <w:rPr>
                            <w:rFonts w:ascii="宋体" w:hAnsi="宋体" w:cs="宋体" w:eastAsia="宋体" w:hint="default"/>
                            <w:sz w:val="18"/>
                            <w:szCs w:val="18"/>
                          </w:rPr>
                          <w:t>都市锦江 区东大街 下东大街 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216 </w:t>
                        </w:r>
                        <w:r>
                          <w:rPr>
                            <w:rFonts w:ascii="宋体" w:hAnsi="宋体" w:cs="宋体" w:eastAsia="宋体" w:hint="default"/>
                            <w:sz w:val="18"/>
                            <w:szCs w:val="18"/>
                          </w:rPr>
                          <w:t>号 喜年广场 </w:t>
                        </w:r>
                        <w:r>
                          <w:rPr>
                            <w:rFonts w:ascii="Times New Roman" w:hAnsi="Times New Roman" w:cs="Times New Roman" w:eastAsia="Times New Roman" w:hint="default"/>
                            <w:sz w:val="18"/>
                            <w:szCs w:val="18"/>
                          </w:rPr>
                          <w:t>1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层</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z w:val="18"/>
                          </w:rPr>
                          <w:t>137</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75.28</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0.22%</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评估</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2" w:lineRule="auto" w:before="76"/>
                          <w:ind w:left="21" w:right="24"/>
                          <w:jc w:val="left"/>
                          <w:rPr>
                            <w:rFonts w:ascii="宋体" w:hAnsi="宋体" w:cs="宋体" w:eastAsia="宋体" w:hint="default"/>
                            <w:sz w:val="18"/>
                            <w:szCs w:val="18"/>
                          </w:rPr>
                        </w:pPr>
                        <w:r>
                          <w:rPr>
                            <w:rFonts w:ascii="宋体" w:hAnsi="宋体" w:cs="宋体" w:eastAsia="宋体" w:hint="default"/>
                            <w:spacing w:val="-1"/>
                            <w:sz w:val="18"/>
                            <w:szCs w:val="18"/>
                          </w:rPr>
                          <w:t>（</w:t>
                        </w:r>
                        <w:hyperlink r:id="rId13">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w:t>
                        </w:r>
                        <w:r>
                          <w:rPr>
                            <w:rFonts w:ascii="宋体" w:hAnsi="宋体" w:cs="宋体" w:eastAsia="宋体" w:hint="default"/>
                            <w:sz w:val="18"/>
                            <w:szCs w:val="18"/>
                          </w:rPr>
                          <w:t> 上的《关于处置公司房 </w:t>
                        </w:r>
                        <w:r>
                          <w:rPr>
                            <w:rFonts w:ascii="宋体" w:hAnsi="宋体" w:cs="宋体" w:eastAsia="宋体" w:hint="default"/>
                            <w:spacing w:val="-10"/>
                            <w:sz w:val="18"/>
                            <w:szCs w:val="18"/>
                          </w:rPr>
                          <w:t>产的公告》（公告编号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2017-037</w:t>
                        </w:r>
                        <w:r>
                          <w:rPr>
                            <w:rFonts w:ascii="宋体" w:hAnsi="宋体" w:cs="宋体" w:eastAsia="宋体" w:hint="default"/>
                            <w:sz w:val="18"/>
                            <w:szCs w:val="18"/>
                          </w:rPr>
                          <w:t>）</w:t>
                        </w:r>
                      </w:p>
                    </w:tc>
                  </w:tr>
                  <w:tr>
                    <w:trPr>
                      <w:trHeight w:val="353" w:hRule="exact"/>
                    </w:trPr>
                    <w:tc>
                      <w:tcPr>
                        <w:tcW w:w="864"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871"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867"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1870"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before="44"/>
        <w:ind w:left="0" w:right="101"/>
        <w:jc w:val="right"/>
      </w:pPr>
      <w:r>
        <w:rPr/>
        <w:t>：</w:t>
      </w:r>
    </w:p>
    <w:p>
      <w:pPr>
        <w:spacing w:after="0" w:line="240" w:lineRule="auto"/>
        <w:jc w:val="right"/>
        <w:sectPr>
          <w:pgSz w:w="16840" w:h="11910" w:orient="landscape"/>
          <w:pgMar w:header="867" w:footer="980" w:top="1060" w:bottom="1160" w:left="1300" w:right="126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before="44"/>
        <w:ind w:left="0" w:right="107"/>
        <w:jc w:val="right"/>
      </w:pPr>
      <w:r>
        <w:rPr/>
        <w:pict>
          <v:shape style="position:absolute;margin-left:70.320pt;margin-top:-270.418274pt;width:701.65pt;height:352.8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40"/>
                    <w:gridCol w:w="857"/>
                    <w:gridCol w:w="845"/>
                    <w:gridCol w:w="708"/>
                    <w:gridCol w:w="853"/>
                    <w:gridCol w:w="852"/>
                    <w:gridCol w:w="850"/>
                    <w:gridCol w:w="852"/>
                    <w:gridCol w:w="567"/>
                    <w:gridCol w:w="566"/>
                    <w:gridCol w:w="708"/>
                    <w:gridCol w:w="2269"/>
                    <w:gridCol w:w="850"/>
                    <w:gridCol w:w="2504"/>
                  </w:tblGrid>
                  <w:tr>
                    <w:trPr>
                      <w:trHeight w:val="2273" w:hRule="exact"/>
                    </w:trPr>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74" w:right="94"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331" w:right="65" w:hanging="272"/>
                          <w:jc w:val="left"/>
                          <w:rPr>
                            <w:rFonts w:ascii="宋体" w:hAnsi="宋体" w:cs="宋体" w:eastAsia="宋体" w:hint="default"/>
                            <w:sz w:val="18"/>
                            <w:szCs w:val="18"/>
                          </w:rPr>
                        </w:pPr>
                        <w:r>
                          <w:rPr>
                            <w:rFonts w:ascii="宋体" w:hAnsi="宋体" w:cs="宋体" w:eastAsia="宋体" w:hint="default"/>
                            <w:sz w:val="18"/>
                            <w:szCs w:val="18"/>
                          </w:rPr>
                          <w:t>被出售股 权</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6" w:right="79"/>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 w:right="62"/>
                          <w:jc w:val="center"/>
                          <w:rPr>
                            <w:rFonts w:ascii="宋体" w:hAnsi="宋体" w:cs="宋体" w:eastAsia="宋体" w:hint="default"/>
                            <w:sz w:val="18"/>
                            <w:szCs w:val="18"/>
                          </w:rPr>
                        </w:pPr>
                        <w:r>
                          <w:rPr>
                            <w:rFonts w:ascii="宋体" w:hAnsi="宋体" w:cs="宋体" w:eastAsia="宋体" w:hint="default"/>
                            <w:sz w:val="18"/>
                            <w:szCs w:val="18"/>
                          </w:rPr>
                          <w:t>本期初起 至出售日 该股权为 上市公司 贡献的净 利润（万 元）</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59" w:right="60"/>
                          <w:jc w:val="left"/>
                          <w:rPr>
                            <w:rFonts w:ascii="宋体" w:hAnsi="宋体" w:cs="宋体" w:eastAsia="宋体" w:hint="default"/>
                            <w:sz w:val="18"/>
                            <w:szCs w:val="18"/>
                          </w:rPr>
                        </w:pPr>
                        <w:r>
                          <w:rPr>
                            <w:rFonts w:ascii="宋体" w:hAnsi="宋体" w:cs="宋体" w:eastAsia="宋体" w:hint="default"/>
                            <w:sz w:val="18"/>
                            <w:szCs w:val="18"/>
                          </w:rPr>
                          <w:t>出售对公 司的影响</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9" w:right="59"/>
                          <w:jc w:val="both"/>
                          <w:rPr>
                            <w:rFonts w:ascii="宋体" w:hAnsi="宋体" w:cs="宋体" w:eastAsia="宋体" w:hint="default"/>
                            <w:sz w:val="18"/>
                            <w:szCs w:val="18"/>
                          </w:rPr>
                        </w:pPr>
                        <w:r>
                          <w:rPr>
                            <w:rFonts w:ascii="宋体" w:hAnsi="宋体" w:cs="宋体" w:eastAsia="宋体" w:hint="default"/>
                            <w:sz w:val="18"/>
                            <w:szCs w:val="18"/>
                          </w:rPr>
                          <w:t>股权出售 为上市公 司贡献的 净利润占 净利润总 额的比例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2" w:right="59"/>
                          <w:jc w:val="left"/>
                          <w:rPr>
                            <w:rFonts w:ascii="宋体" w:hAnsi="宋体" w:cs="宋体" w:eastAsia="宋体" w:hint="default"/>
                            <w:sz w:val="18"/>
                            <w:szCs w:val="18"/>
                          </w:rPr>
                        </w:pPr>
                        <w:r>
                          <w:rPr>
                            <w:rFonts w:ascii="宋体" w:hAnsi="宋体" w:cs="宋体" w:eastAsia="宋体" w:hint="default"/>
                            <w:sz w:val="18"/>
                            <w:szCs w:val="18"/>
                          </w:rPr>
                          <w:t>股权出售 定价原则</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8" w:right="96"/>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76" w:right="79"/>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7" w:right="50"/>
                          <w:jc w:val="center"/>
                          <w:rPr>
                            <w:rFonts w:ascii="宋体" w:hAnsi="宋体" w:cs="宋体" w:eastAsia="宋体" w:hint="default"/>
                            <w:sz w:val="18"/>
                            <w:szCs w:val="18"/>
                          </w:rPr>
                        </w:pPr>
                        <w:r>
                          <w:rPr>
                            <w:rFonts w:ascii="宋体" w:hAnsi="宋体" w:cs="宋体" w:eastAsia="宋体" w:hint="default"/>
                            <w:sz w:val="18"/>
                            <w:szCs w:val="18"/>
                          </w:rPr>
                          <w:t>是否按计划如期实施，如未 按计划实施，应当说明原因 及公司已采取的措施</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5" w:hRule="exact"/>
                    </w:trPr>
                    <w:tc>
                      <w:tcPr>
                        <w:tcW w:w="740" w:type="dxa"/>
                        <w:tcBorders>
                          <w:top w:val="single" w:sz="4" w:space="0" w:color="000000"/>
                          <w:left w:val="single" w:sz="4" w:space="0" w:color="000000"/>
                          <w:bottom w:val="nil" w:sz="6" w:space="0" w:color="auto"/>
                          <w:right w:val="single" w:sz="4" w:space="0" w:color="000000"/>
                        </w:tcBorders>
                      </w:tcPr>
                      <w:p>
                        <w:pPr/>
                      </w:p>
                    </w:tc>
                    <w:tc>
                      <w:tcPr>
                        <w:tcW w:w="857" w:type="dxa"/>
                        <w:tcBorders>
                          <w:top w:val="single" w:sz="4" w:space="0" w:color="000000"/>
                          <w:left w:val="single" w:sz="4" w:space="0" w:color="000000"/>
                          <w:bottom w:val="nil" w:sz="6" w:space="0" w:color="auto"/>
                          <w:right w:val="single" w:sz="4" w:space="0" w:color="000000"/>
                        </w:tcBorders>
                      </w:tcPr>
                      <w:p>
                        <w:pPr/>
                      </w:p>
                    </w:tc>
                    <w:tc>
                      <w:tcPr>
                        <w:tcW w:w="845"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2269"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7" w:hRule="exact"/>
                    </w:trPr>
                    <w:tc>
                      <w:tcPr>
                        <w:tcW w:w="740" w:type="dxa"/>
                        <w:tcBorders>
                          <w:top w:val="nil" w:sz="6" w:space="0" w:color="auto"/>
                          <w:left w:val="single" w:sz="4" w:space="0" w:color="000000"/>
                          <w:bottom w:val="nil" w:sz="6" w:space="0" w:color="auto"/>
                          <w:right w:val="single" w:sz="4" w:space="0" w:color="000000"/>
                        </w:tcBorders>
                      </w:tcPr>
                      <w:p>
                        <w:pPr/>
                      </w:p>
                    </w:tc>
                    <w:tc>
                      <w:tcPr>
                        <w:tcW w:w="857"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226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5"/>
                            <w:sz w:val="18"/>
                            <w:szCs w:val="18"/>
                          </w:rPr>
                          <w:t>（</w:t>
                        </w:r>
                        <w:hyperlink r:id="rId13">
                          <w:r>
                            <w:rPr>
                              <w:rFonts w:ascii="Times New Roman" w:hAnsi="Times New Roman" w:cs="Times New Roman" w:eastAsia="Times New Roman" w:hint="default"/>
                              <w:spacing w:val="-5"/>
                              <w:sz w:val="18"/>
                              <w:szCs w:val="18"/>
                            </w:rPr>
                            <w:t>www.cninfo.com.cn</w:t>
                          </w:r>
                        </w:hyperlink>
                        <w:r>
                          <w:rPr>
                            <w:rFonts w:ascii="宋体" w:hAnsi="宋体" w:cs="宋体" w:eastAsia="宋体" w:hint="default"/>
                            <w:spacing w:val="-5"/>
                            <w:sz w:val="18"/>
                            <w:szCs w:val="18"/>
                          </w:rPr>
                          <w:t>）上的《关</w:t>
                        </w:r>
                      </w:p>
                    </w:tc>
                  </w:tr>
                  <w:tr>
                    <w:trPr>
                      <w:trHeight w:val="3427" w:hRule="exact"/>
                    </w:trPr>
                    <w:tc>
                      <w:tcPr>
                        <w:tcW w:w="74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23" w:right="165"/>
                          <w:jc w:val="both"/>
                          <w:rPr>
                            <w:rFonts w:ascii="宋体" w:hAnsi="宋体" w:cs="宋体" w:eastAsia="宋体" w:hint="default"/>
                            <w:sz w:val="18"/>
                            <w:szCs w:val="18"/>
                          </w:rPr>
                        </w:pPr>
                        <w:r>
                          <w:rPr>
                            <w:rFonts w:ascii="宋体" w:hAnsi="宋体" w:cs="宋体" w:eastAsia="宋体" w:hint="default"/>
                            <w:sz w:val="18"/>
                            <w:szCs w:val="18"/>
                          </w:rPr>
                          <w:t>宁波梅 山保税 港区元 俊投资 管理有 限公司</w:t>
                        </w:r>
                      </w:p>
                      <w:p>
                        <w:pPr>
                          <w:pStyle w:val="TableParagraph"/>
                          <w:spacing w:line="309" w:lineRule="auto" w:before="19"/>
                          <w:ind w:left="23" w:right="84"/>
                          <w:jc w:val="left"/>
                          <w:rPr>
                            <w:rFonts w:ascii="宋体" w:hAnsi="宋体" w:cs="宋体" w:eastAsia="宋体" w:hint="default"/>
                            <w:sz w:val="18"/>
                            <w:szCs w:val="18"/>
                          </w:rPr>
                        </w:pPr>
                        <w:r>
                          <w:rPr>
                            <w:rFonts w:ascii="宋体" w:hAnsi="宋体" w:cs="宋体" w:eastAsia="宋体" w:hint="default"/>
                            <w:sz w:val="18"/>
                            <w:szCs w:val="18"/>
                          </w:rPr>
                          <w:t>（简称 </w:t>
                        </w:r>
                        <w:r>
                          <w:rPr>
                            <w:rFonts w:ascii="Times New Roman" w:hAnsi="Times New Roman" w:cs="Times New Roman" w:eastAsia="Times New Roman" w:hint="default"/>
                            <w:sz w:val="18"/>
                            <w:szCs w:val="18"/>
                          </w:rPr>
                          <w:t>“</w:t>
                        </w:r>
                        <w:r>
                          <w:rPr>
                            <w:rFonts w:ascii="宋体" w:hAnsi="宋体" w:cs="宋体" w:eastAsia="宋体" w:hint="default"/>
                            <w:sz w:val="18"/>
                            <w:szCs w:val="18"/>
                          </w:rPr>
                          <w:t>元俊投 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9" w:lineRule="auto"/>
                          <w:ind w:left="21" w:right="101"/>
                          <w:jc w:val="left"/>
                          <w:rPr>
                            <w:rFonts w:ascii="宋体" w:hAnsi="宋体" w:cs="宋体" w:eastAsia="宋体" w:hint="default"/>
                            <w:sz w:val="18"/>
                            <w:szCs w:val="18"/>
                          </w:rPr>
                        </w:pPr>
                        <w:r>
                          <w:rPr>
                            <w:rFonts w:ascii="宋体" w:hAnsi="宋体" w:cs="宋体" w:eastAsia="宋体" w:hint="default"/>
                            <w:sz w:val="18"/>
                            <w:szCs w:val="18"/>
                          </w:rPr>
                          <w:t>公司在产 业并购基 金中的 </w:t>
                        </w:r>
                        <w:r>
                          <w:rPr>
                            <w:rFonts w:ascii="Times New Roman" w:hAnsi="Times New Roman" w:cs="Times New Roman" w:eastAsia="Times New Roman" w:hint="default"/>
                            <w:sz w:val="18"/>
                            <w:szCs w:val="18"/>
                          </w:rPr>
                          <w:t>29,000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6" w:lineRule="auto"/>
                          <w:ind w:left="21" w:right="103"/>
                          <w:jc w:val="both"/>
                          <w:rPr>
                            <w:rFonts w:ascii="宋体" w:hAnsi="宋体" w:cs="宋体" w:eastAsia="宋体" w:hint="default"/>
                            <w:sz w:val="18"/>
                            <w:szCs w:val="18"/>
                          </w:rPr>
                        </w:pPr>
                        <w:r>
                          <w:rPr>
                            <w:rFonts w:ascii="宋体" w:hAnsi="宋体" w:cs="宋体" w:eastAsia="宋体" w:hint="default"/>
                            <w:sz w:val="18"/>
                            <w:szCs w:val="18"/>
                          </w:rPr>
                          <w:t>元出资份 额及对应 的财产份 额</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45,500</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7,136.96</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7,136.96</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21.22%</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经交易双 方协商确 定</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无关 联关 系</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312" w:lineRule="auto"/>
                          <w:ind w:left="23" w:right="71"/>
                          <w:jc w:val="left"/>
                          <w:rPr>
                            <w:rFonts w:ascii="宋体" w:hAnsi="宋体" w:cs="宋体" w:eastAsia="宋体" w:hint="default"/>
                            <w:sz w:val="18"/>
                            <w:szCs w:val="18"/>
                          </w:rPr>
                        </w:pPr>
                        <w:r>
                          <w:rPr>
                            <w:rFonts w:ascii="宋体" w:hAnsi="宋体" w:cs="宋体" w:eastAsia="宋体" w:hint="default"/>
                            <w:sz w:val="18"/>
                            <w:szCs w:val="18"/>
                          </w:rPr>
                          <w:t>元俊投资未按期支付第二期 目标份额转让价款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 元，公司与元俊投资签订补 充协议，约定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09" w:lineRule="auto" w:before="3"/>
                          <w:ind w:left="23"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日前支付完毕，截止本报 告披露日，公司已收到补充 协议约定的第一笔款项</w:t>
                        </w:r>
                      </w:p>
                      <w:p>
                        <w:pPr>
                          <w:pStyle w:val="TableParagraph"/>
                          <w:spacing w:line="240" w:lineRule="auto" w:before="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万元和第二笔款项</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04"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1" w:right="24"/>
                          <w:jc w:val="left"/>
                          <w:rPr>
                            <w:rFonts w:ascii="宋体" w:hAnsi="宋体" w:cs="宋体" w:eastAsia="宋体" w:hint="default"/>
                            <w:sz w:val="18"/>
                            <w:szCs w:val="18"/>
                          </w:rPr>
                        </w:pPr>
                        <w:r>
                          <w:rPr>
                            <w:rFonts w:ascii="宋体" w:hAnsi="宋体" w:cs="宋体" w:eastAsia="宋体" w:hint="default"/>
                            <w:sz w:val="18"/>
                            <w:szCs w:val="18"/>
                          </w:rPr>
                          <w:t>于对外转让产业并购基金全部 </w:t>
                        </w:r>
                        <w:r>
                          <w:rPr>
                            <w:rFonts w:ascii="宋体" w:hAnsi="宋体" w:cs="宋体" w:eastAsia="宋体" w:hint="default"/>
                            <w:spacing w:val="-7"/>
                            <w:sz w:val="18"/>
                            <w:szCs w:val="18"/>
                          </w:rPr>
                          <w:t>出资份额的公告》（公告编号：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13"/>
                            <w:sz w:val="18"/>
                            <w:szCs w:val="18"/>
                          </w:rPr>
                          <w:t>2018-099</w:t>
                        </w:r>
                        <w:r>
                          <w:rPr>
                            <w:rFonts w:ascii="宋体" w:hAnsi="宋体" w:cs="宋体" w:eastAsia="宋体" w:hint="default"/>
                            <w:spacing w:val="-13"/>
                            <w:sz w:val="18"/>
                            <w:szCs w:val="18"/>
                          </w:rPr>
                          <w:t>）、《关于两次调整产业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并购基金出资额暨公司对外转 让产业并购基金全部出资份额 </w:t>
                        </w:r>
                        <w:r>
                          <w:rPr>
                            <w:rFonts w:ascii="宋体" w:hAnsi="宋体" w:cs="宋体" w:eastAsia="宋体" w:hint="default"/>
                            <w:spacing w:val="-8"/>
                            <w:sz w:val="18"/>
                            <w:szCs w:val="18"/>
                          </w:rPr>
                          <w:t>的进展公告》（公告编号：</w:t>
                        </w:r>
                      </w:p>
                      <w:p>
                        <w:pPr>
                          <w:pStyle w:val="TableParagraph"/>
                          <w:spacing w:line="309" w:lineRule="auto" w:before="20"/>
                          <w:ind w:left="21" w:right="24"/>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2018-109</w:t>
                        </w:r>
                        <w:r>
                          <w:rPr>
                            <w:rFonts w:ascii="宋体" w:hAnsi="宋体" w:cs="宋体" w:eastAsia="宋体" w:hint="default"/>
                            <w:spacing w:val="-13"/>
                            <w:sz w:val="18"/>
                            <w:szCs w:val="18"/>
                          </w:rPr>
                          <w:t>）、《关于对外转让产业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并购基金全部出资份额签订补 </w:t>
                        </w:r>
                        <w:r>
                          <w:rPr>
                            <w:rFonts w:ascii="宋体" w:hAnsi="宋体" w:cs="宋体" w:eastAsia="宋体" w:hint="default"/>
                            <w:spacing w:val="-12"/>
                            <w:sz w:val="18"/>
                            <w:szCs w:val="18"/>
                          </w:rPr>
                          <w:t>充协议暨进展公告》（公告编号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13"/>
                            <w:sz w:val="18"/>
                            <w:szCs w:val="18"/>
                          </w:rPr>
                          <w:t>2018-174</w:t>
                        </w:r>
                        <w:r>
                          <w:rPr>
                            <w:rFonts w:ascii="宋体" w:hAnsi="宋体" w:cs="宋体" w:eastAsia="宋体" w:hint="default"/>
                            <w:spacing w:val="-13"/>
                            <w:sz w:val="18"/>
                            <w:szCs w:val="18"/>
                          </w:rPr>
                          <w:t>）、《关于对外转让产业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并购基金全部出资份额进展公</w:t>
                        </w:r>
                      </w:p>
                    </w:tc>
                  </w:tr>
                  <w:tr>
                    <w:trPr>
                      <w:trHeight w:val="317" w:hRule="exact"/>
                    </w:trPr>
                    <w:tc>
                      <w:tcPr>
                        <w:tcW w:w="740" w:type="dxa"/>
                        <w:tcBorders>
                          <w:top w:val="nil" w:sz="6" w:space="0" w:color="auto"/>
                          <w:left w:val="single" w:sz="4" w:space="0" w:color="000000"/>
                          <w:bottom w:val="nil" w:sz="6" w:space="0" w:color="auto"/>
                          <w:right w:val="single" w:sz="4" w:space="0" w:color="000000"/>
                        </w:tcBorders>
                      </w:tcPr>
                      <w:p>
                        <w:pPr/>
                      </w:p>
                    </w:tc>
                    <w:tc>
                      <w:tcPr>
                        <w:tcW w:w="857"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226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6</w:t>
                        </w:r>
                        <w:r>
                          <w:rPr>
                            <w:rFonts w:ascii="宋体" w:hAnsi="宋体" w:cs="宋体" w:eastAsia="宋体" w:hint="default"/>
                            <w:sz w:val="18"/>
                            <w:szCs w:val="18"/>
                          </w:rPr>
                          <w:t>、</w:t>
                        </w:r>
                      </w:p>
                    </w:tc>
                  </w:tr>
                  <w:tr>
                    <w:trPr>
                      <w:trHeight w:val="355" w:hRule="exact"/>
                    </w:trPr>
                    <w:tc>
                      <w:tcPr>
                        <w:tcW w:w="740" w:type="dxa"/>
                        <w:tcBorders>
                          <w:top w:val="nil" w:sz="6" w:space="0" w:color="auto"/>
                          <w:left w:val="single" w:sz="4" w:space="0" w:color="000000"/>
                          <w:bottom w:val="single" w:sz="4" w:space="0" w:color="000000"/>
                          <w:right w:val="single" w:sz="4" w:space="0" w:color="000000"/>
                        </w:tcBorders>
                      </w:tcPr>
                      <w:p>
                        <w:pPr/>
                      </w:p>
                    </w:tc>
                    <w:tc>
                      <w:tcPr>
                        <w:tcW w:w="857" w:type="dxa"/>
                        <w:tcBorders>
                          <w:top w:val="nil" w:sz="6" w:space="0" w:color="auto"/>
                          <w:left w:val="single" w:sz="4" w:space="0" w:color="000000"/>
                          <w:bottom w:val="single" w:sz="4" w:space="0" w:color="000000"/>
                          <w:right w:val="single" w:sz="4" w:space="0" w:color="000000"/>
                        </w:tcBorders>
                      </w:tcPr>
                      <w:p>
                        <w:pPr/>
                      </w:p>
                    </w:tc>
                    <w:tc>
                      <w:tcPr>
                        <w:tcW w:w="845"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2269"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2019-029</w:t>
                        </w:r>
                        <w:r>
                          <w:rPr>
                            <w:rFonts w:ascii="宋体" w:hAnsi="宋体" w:cs="宋体" w:eastAsia="宋体" w:hint="default"/>
                            <w:sz w:val="18"/>
                            <w:szCs w:val="18"/>
                          </w:rPr>
                          <w:t>）</w:t>
                        </w:r>
                      </w:p>
                    </w:tc>
                  </w:tr>
                </w:tbl>
                <w:p>
                  <w:pPr/>
                </w:p>
              </w:txbxContent>
            </v:textbox>
            <w10:wrap type="none"/>
          </v:shape>
        </w:pict>
      </w:r>
      <w:r>
        <w:rPr/>
        <w:t>：</w:t>
      </w:r>
    </w:p>
    <w:p>
      <w:pPr>
        <w:spacing w:after="0" w:line="240" w:lineRule="auto"/>
        <w:jc w:val="right"/>
        <w:sectPr>
          <w:pgSz w:w="16840" w:h="11910" w:orient="landscape"/>
          <w:pgMar w:header="867" w:footer="980" w:top="1060" w:bottom="1160" w:left="1300" w:right="1240"/>
        </w:sectPr>
      </w:pPr>
    </w:p>
    <w:p>
      <w:pPr>
        <w:pStyle w:val="Heading2"/>
        <w:spacing w:line="240" w:lineRule="auto" w:before="28"/>
        <w:ind w:left="140" w:right="152"/>
        <w:jc w:val="left"/>
        <w:rPr>
          <w:b w:val="0"/>
          <w:bCs w:val="0"/>
        </w:rPr>
      </w:pPr>
      <w:r>
        <w:rPr/>
        <w:pict>
          <v:group style="position:absolute;margin-left:70.559998pt;margin-top:2.195603pt;width:700.95pt;height:.1pt;mso-position-horizontal-relative:page;mso-position-vertical-relative:paragraph;z-index:-1197184" coordorigin="1411,44" coordsize="14019,2">
            <v:shape style="position:absolute;left:1411;top:44;width:14019;height:2" coordorigin="1411,44" coordsize="14019,0" path="m1411,44l15430,44e" filled="false" stroked="true" strokeweight=".72pt" strokecolor="#000000">
              <v:path arrowok="t"/>
            </v:shape>
            <w10:wrap type="none"/>
          </v:group>
        </w:pict>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6840" w:h="11910" w:orient="landscape"/>
          <w:pgMar w:header="867" w:footer="980" w:top="1060" w:bottom="1160" w:left="1300" w:right="1280"/>
        </w:sectPr>
      </w:pPr>
    </w:p>
    <w:p>
      <w:pPr>
        <w:pStyle w:val="BodyText"/>
        <w:spacing w:line="240" w:lineRule="auto" w:before="44"/>
        <w:ind w:left="140"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140" w:right="-19"/>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40" w:right="0"/>
        <w:jc w:val="left"/>
      </w:pPr>
      <w:r>
        <w:rPr/>
        <w:t>单位：元</w:t>
      </w:r>
    </w:p>
    <w:p>
      <w:pPr>
        <w:spacing w:after="0" w:line="240" w:lineRule="auto"/>
        <w:jc w:val="left"/>
        <w:sectPr>
          <w:type w:val="continuous"/>
          <w:pgSz w:w="16840" w:h="11910" w:orient="landscape"/>
          <w:pgMar w:top="1060" w:bottom="1160" w:left="1300" w:right="1280"/>
          <w:cols w:num="2" w:equalWidth="0">
            <w:col w:w="4838" w:space="8403"/>
            <w:col w:w="1019"/>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73"/>
        <w:gridCol w:w="550"/>
        <w:gridCol w:w="5773"/>
        <w:gridCol w:w="1181"/>
        <w:gridCol w:w="1181"/>
        <w:gridCol w:w="1181"/>
        <w:gridCol w:w="1315"/>
        <w:gridCol w:w="1181"/>
        <w:gridCol w:w="1184"/>
      </w:tblGrid>
      <w:tr>
        <w:trPr>
          <w:trHeight w:val="715" w:hRule="exact"/>
        </w:trPr>
        <w:tc>
          <w:tcPr>
            <w:tcW w:w="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51"/>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9"/>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5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北京 中汇 联银</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5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投资管理；项目投资；资产管理；投资咨询；经济贸易咨询</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296,158,276.54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-13,792,297.11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880,000.14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-19,595,897.78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-17,757,305.02</w:t>
            </w:r>
          </w:p>
        </w:tc>
      </w:tr>
      <w:tr>
        <w:trPr>
          <w:trHeight w:val="1027" w:hRule="exact"/>
        </w:trPr>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喀什 中汇 联银</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4"/>
              <w:jc w:val="both"/>
              <w:rPr>
                <w:rFonts w:ascii="宋体" w:hAnsi="宋体" w:cs="宋体" w:eastAsia="宋体" w:hint="default"/>
                <w:sz w:val="18"/>
                <w:szCs w:val="18"/>
              </w:rPr>
            </w:pPr>
            <w:r>
              <w:rPr>
                <w:rFonts w:ascii="宋体" w:hAnsi="宋体" w:cs="宋体" w:eastAsia="宋体" w:hint="default"/>
                <w:spacing w:val="-2"/>
                <w:sz w:val="18"/>
                <w:szCs w:val="18"/>
              </w:rPr>
              <w:t>创业投资业务；代理其他创业投资企业等机构或个人的创业投资业务；创</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业投资咨询业务；为创业企业提供创业管理服务业务；参与设立创业投资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企业与企业投资管理顾问机构</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1"/>
              <w:jc w:val="center"/>
              <w:rPr>
                <w:rFonts w:ascii="Times New Roman" w:hAnsi="Times New Roman" w:cs="Times New Roman" w:eastAsia="Times New Roman" w:hint="default"/>
                <w:sz w:val="18"/>
                <w:szCs w:val="18"/>
              </w:rPr>
            </w:pPr>
            <w:r>
              <w:rPr>
                <w:rFonts w:ascii="Times New Roman"/>
                <w:sz w:val="18"/>
              </w:rPr>
              <w:t>30,000,000.00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277,246,172.18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78,245,683.74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-21,081,847.01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-21,081,847.01</w:t>
            </w:r>
          </w:p>
        </w:tc>
      </w:tr>
      <w:tr>
        <w:trPr>
          <w:trHeight w:val="1025" w:hRule="exact"/>
        </w:trPr>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77"/>
              <w:jc w:val="left"/>
              <w:rPr>
                <w:rFonts w:ascii="宋体" w:hAnsi="宋体" w:cs="宋体" w:eastAsia="宋体" w:hint="default"/>
                <w:sz w:val="18"/>
                <w:szCs w:val="18"/>
              </w:rPr>
            </w:pPr>
            <w:r>
              <w:rPr>
                <w:rFonts w:ascii="宋体" w:hAnsi="宋体" w:cs="宋体" w:eastAsia="宋体" w:hint="default"/>
                <w:sz w:val="18"/>
                <w:szCs w:val="18"/>
              </w:rPr>
              <w:t>哆可 梦</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5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4"/>
              <w:jc w:val="both"/>
              <w:rPr>
                <w:rFonts w:ascii="宋体" w:hAnsi="宋体" w:cs="宋体" w:eastAsia="宋体" w:hint="default"/>
                <w:sz w:val="18"/>
                <w:szCs w:val="18"/>
              </w:rPr>
            </w:pPr>
            <w:r>
              <w:rPr>
                <w:rFonts w:ascii="宋体" w:hAnsi="宋体" w:cs="宋体" w:eastAsia="宋体" w:hint="default"/>
                <w:spacing w:val="-2"/>
                <w:sz w:val="18"/>
                <w:szCs w:val="18"/>
              </w:rPr>
              <w:t>网络技术服务；电脑游戏软件开发。计算机、软件及辅助设备销售；第二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类增值电信业务中的信息服务业务（不含固定网电话信息服务和互联网信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息服务）；互联网游戏出版；手机游戏出版</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0"/>
              <w:jc w:val="center"/>
              <w:rPr>
                <w:rFonts w:ascii="Times New Roman" w:hAnsi="Times New Roman" w:cs="Times New Roman" w:eastAsia="Times New Roman" w:hint="default"/>
                <w:sz w:val="18"/>
                <w:szCs w:val="18"/>
              </w:rPr>
            </w:pPr>
            <w:r>
              <w:rPr>
                <w:rFonts w:ascii="Times New Roman"/>
                <w:sz w:val="18"/>
              </w:rPr>
              <w:t>20,000,000.00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900,986,604.94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539,104,860.93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1,560,185,210.70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360,318,864.18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323,158,093.89</w:t>
            </w:r>
          </w:p>
        </w:tc>
      </w:tr>
      <w:tr>
        <w:trPr>
          <w:trHeight w:val="355" w:hRule="exact"/>
        </w:trPr>
        <w:tc>
          <w:tcPr>
            <w:tcW w:w="473"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7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pacing w:val="-2"/>
                <w:sz w:val="18"/>
                <w:szCs w:val="18"/>
              </w:rPr>
              <w:t>从事网络技术、计算机技术领域内的技术开发、技术咨询、技术转让、技</w:t>
            </w: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315"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4"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47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7"/>
              <w:jc w:val="left"/>
              <w:rPr>
                <w:rFonts w:ascii="宋体" w:hAnsi="宋体" w:cs="宋体" w:eastAsia="宋体" w:hint="default"/>
                <w:sz w:val="18"/>
                <w:szCs w:val="18"/>
              </w:rPr>
            </w:pPr>
            <w:r>
              <w:rPr>
                <w:rFonts w:ascii="宋体" w:hAnsi="宋体" w:cs="宋体" w:eastAsia="宋体" w:hint="default"/>
                <w:sz w:val="18"/>
                <w:szCs w:val="18"/>
              </w:rPr>
              <w:t>上海 季娱</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5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773" w:type="dxa"/>
            <w:tcBorders>
              <w:top w:val="nil" w:sz="6" w:space="0" w:color="auto"/>
              <w:left w:val="single" w:sz="4" w:space="0" w:color="000000"/>
              <w:bottom w:val="nil" w:sz="6" w:space="0" w:color="auto"/>
              <w:right w:val="single" w:sz="9" w:space="0" w:color="FFFFFF"/>
            </w:tcBorders>
          </w:tcPr>
          <w:p>
            <w:pPr>
              <w:pStyle w:val="TableParagraph"/>
              <w:spacing w:line="316" w:lineRule="auto" w:before="10"/>
              <w:ind w:left="21" w:right="-25"/>
              <w:jc w:val="left"/>
              <w:rPr>
                <w:rFonts w:ascii="宋体" w:hAnsi="宋体" w:cs="宋体" w:eastAsia="宋体" w:hint="default"/>
                <w:sz w:val="18"/>
                <w:szCs w:val="18"/>
              </w:rPr>
            </w:pPr>
            <w:r>
              <w:rPr>
                <w:rFonts w:ascii="宋体" w:hAnsi="宋体" w:cs="宋体" w:eastAsia="宋体" w:hint="default"/>
                <w:sz w:val="18"/>
                <w:szCs w:val="18"/>
              </w:rPr>
              <w:t>术服务，计算机系统集成，图文设计制作，设计、制作、代理各类广告， </w:t>
            </w:r>
            <w:r>
              <w:rPr>
                <w:rFonts w:ascii="宋体" w:hAnsi="宋体" w:cs="宋体" w:eastAsia="宋体" w:hint="default"/>
                <w:spacing w:val="-2"/>
                <w:sz w:val="18"/>
                <w:szCs w:val="18"/>
              </w:rPr>
              <w:t>利用自有媒体发布广告，企业形象策划，展览展示服务，计算机、软件及</w:t>
            </w:r>
          </w:p>
        </w:tc>
        <w:tc>
          <w:tcPr>
            <w:tcW w:w="1181" w:type="dxa"/>
            <w:tcBorders>
              <w:top w:val="nil" w:sz="6" w:space="0" w:color="auto"/>
              <w:left w:val="single" w:sz="9" w:space="0" w:color="FFFFFF"/>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7"/>
              <w:jc w:val="center"/>
              <w:rPr>
                <w:rFonts w:ascii="Times New Roman" w:hAnsi="Times New Roman" w:cs="Times New Roman" w:eastAsia="Times New Roman" w:hint="default"/>
                <w:sz w:val="18"/>
                <w:szCs w:val="18"/>
              </w:rPr>
            </w:pPr>
            <w:r>
              <w:rPr>
                <w:rFonts w:ascii="Times New Roman"/>
                <w:sz w:val="18"/>
              </w:rPr>
              <w:t>10,000,000.00</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10,858,633.51</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-7,975,052.66</w:t>
            </w: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13,092,253.38</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-17,898,234.57</w:t>
            </w:r>
          </w:p>
        </w:tc>
        <w:tc>
          <w:tcPr>
            <w:tcW w:w="11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-13,075,052.66</w:t>
            </w:r>
          </w:p>
        </w:tc>
      </w:tr>
      <w:tr>
        <w:trPr>
          <w:trHeight w:val="360" w:hRule="exact"/>
        </w:trPr>
        <w:tc>
          <w:tcPr>
            <w:tcW w:w="473"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7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辅助设备的销售，从事货物及技术的进出口业务。</w:t>
            </w: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315"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4"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left="140" w:right="152"/>
        <w:jc w:val="left"/>
      </w:pPr>
      <w:r>
        <w:rPr/>
        <w:t>报告期内取得和处置子公司的情况</w:t>
      </w:r>
    </w:p>
    <w:p>
      <w:pPr>
        <w:pStyle w:val="BodyText"/>
        <w:spacing w:line="240" w:lineRule="auto" w:before="115"/>
        <w:ind w:left="140" w:right="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4283"/>
        <w:gridCol w:w="5062"/>
        <w:gridCol w:w="4674"/>
      </w:tblGrid>
      <w:tr>
        <w:trPr>
          <w:trHeight w:val="401" w:hRule="exact"/>
        </w:trPr>
        <w:tc>
          <w:tcPr>
            <w:tcW w:w="4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5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64"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上海季娱网络科技有限公司</w:t>
            </w:r>
          </w:p>
        </w:tc>
        <w:tc>
          <w:tcPr>
            <w:tcW w:w="5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公司新设控股子公司</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对归属于上市公司净利润的影响为</w:t>
            </w:r>
            <w:r>
              <w:rPr>
                <w:rFonts w:ascii="Times New Roman" w:hAnsi="Times New Roman" w:cs="Times New Roman" w:eastAsia="Times New Roman" w:hint="default"/>
                <w:sz w:val="18"/>
                <w:szCs w:val="18"/>
              </w:rPr>
              <w:t>-613.24 </w:t>
            </w:r>
            <w:r>
              <w:rPr>
                <w:rFonts w:ascii="宋体" w:hAnsi="宋体" w:cs="宋体" w:eastAsia="宋体" w:hint="default"/>
                <w:sz w:val="18"/>
                <w:szCs w:val="18"/>
              </w:rPr>
              <w:t>万元</w:t>
            </w:r>
          </w:p>
        </w:tc>
      </w:tr>
      <w:tr>
        <w:trPr>
          <w:trHeight w:val="401"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成都珂星网络科技有限公司</w:t>
            </w:r>
          </w:p>
        </w:tc>
        <w:tc>
          <w:tcPr>
            <w:tcW w:w="5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上海季娱新设子公司</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对归属于上市公司净利润的影响为</w:t>
            </w:r>
            <w:r>
              <w:rPr>
                <w:rFonts w:ascii="Times New Roman" w:hAnsi="Times New Roman" w:cs="Times New Roman" w:eastAsia="Times New Roman" w:hint="default"/>
                <w:sz w:val="18"/>
                <w:szCs w:val="18"/>
              </w:rPr>
              <w:t>-53.59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403"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葫芦岛共创网络科技有限公司</w:t>
            </w:r>
          </w:p>
        </w:tc>
        <w:tc>
          <w:tcPr>
            <w:tcW w:w="5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pacing w:val="-2"/>
                <w:sz w:val="18"/>
                <w:szCs w:val="18"/>
              </w:rPr>
              <w:t>哆可梦新设子公司，截至本报告披露日共创网络已完成注销手续</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对归属于上市公司净利润的影响为</w:t>
            </w: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type w:val="continuous"/>
          <w:pgSz w:w="16840" w:h="11910" w:orient="landscape"/>
          <w:pgMar w:top="1060" w:bottom="1160" w:left="1300" w:right="1280"/>
        </w:sectPr>
      </w:pPr>
    </w:p>
    <w:p>
      <w:pPr>
        <w:spacing w:line="240" w:lineRule="auto" w:before="1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283"/>
        <w:gridCol w:w="5062"/>
        <w:gridCol w:w="4674"/>
      </w:tblGrid>
      <w:tr>
        <w:trPr>
          <w:trHeight w:val="418" w:hRule="exact"/>
        </w:trPr>
        <w:tc>
          <w:tcPr>
            <w:tcW w:w="42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翔瑞科技有限公司</w:t>
            </w:r>
          </w:p>
        </w:tc>
        <w:tc>
          <w:tcPr>
            <w:tcW w:w="506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哆可梦新受让子公司</w:t>
            </w:r>
          </w:p>
        </w:tc>
        <w:tc>
          <w:tcPr>
            <w:tcW w:w="46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对归属于上市公司净利润的影响为</w:t>
            </w:r>
            <w:r>
              <w:rPr>
                <w:rFonts w:ascii="Times New Roman" w:hAnsi="Times New Roman" w:cs="Times New Roman" w:eastAsia="Times New Roman" w:hint="default"/>
                <w:sz w:val="18"/>
                <w:szCs w:val="18"/>
              </w:rPr>
              <w:t>-32.44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401"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霍尔果斯璿游网络科技有限公司</w:t>
            </w:r>
          </w:p>
        </w:tc>
        <w:tc>
          <w:tcPr>
            <w:tcW w:w="5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哆可梦已注销子公司</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对归属于上市公司净利润的影响为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3"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霍尔果斯乐珩网络科技有限公司</w:t>
            </w:r>
          </w:p>
        </w:tc>
        <w:tc>
          <w:tcPr>
            <w:tcW w:w="5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哆可梦已注销子公司</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对归属于上市公司净利润的影响为</w:t>
            </w:r>
            <w:r>
              <w:rPr>
                <w:rFonts w:ascii="Times New Roman" w:hAnsi="Times New Roman" w:cs="Times New Roman" w:eastAsia="Times New Roman" w:hint="default"/>
                <w:sz w:val="18"/>
                <w:szCs w:val="18"/>
              </w:rPr>
              <w:t>-0.07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Style w:val="BodyText"/>
        <w:spacing w:line="240" w:lineRule="auto" w:before="49"/>
        <w:ind w:left="140" w:right="152"/>
        <w:jc w:val="left"/>
      </w:pPr>
      <w:r>
        <w:rPr/>
        <w:t>主要控股参股公司情况说明</w:t>
      </w:r>
    </w:p>
    <w:p>
      <w:pPr>
        <w:pStyle w:val="BodyText"/>
        <w:spacing w:line="300" w:lineRule="auto" w:before="115"/>
        <w:ind w:left="140" w:right="150" w:firstLine="283"/>
        <w:jc w:val="both"/>
      </w:pPr>
      <w:r>
        <w:rPr>
          <w:rFonts w:ascii="Times New Roman" w:hAnsi="Times New Roman" w:cs="Times New Roman" w:eastAsia="Times New Roman" w:hint="default"/>
          <w:spacing w:val="-3"/>
        </w:rPr>
        <w:t>1</w:t>
      </w:r>
      <w:r>
        <w:rPr>
          <w:spacing w:val="-3"/>
        </w:rPr>
        <w:t>、经</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9</w:t>
      </w:r>
      <w:r>
        <w:rPr>
          <w:spacing w:val="-3"/>
        </w:rPr>
        <w:t>日公司第六届董事会第九次会议、</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28</w:t>
      </w:r>
      <w:r>
        <w:rPr>
          <w:spacing w:val="-3"/>
        </w:rPr>
        <w:t>日公司</w:t>
      </w:r>
      <w:r>
        <w:rPr>
          <w:rFonts w:ascii="Times New Roman" w:hAnsi="Times New Roman" w:cs="Times New Roman" w:eastAsia="Times New Roman" w:hint="default"/>
          <w:spacing w:val="-3"/>
        </w:rPr>
        <w:t>2018</w:t>
      </w:r>
      <w:r>
        <w:rPr>
          <w:spacing w:val="-3"/>
        </w:rPr>
        <w:t>年第三次临时股东大会审议批准，公司参与设立的产业并购基金出资总额由</w:t>
      </w:r>
      <w:r>
        <w:rPr>
          <w:rFonts w:ascii="Times New Roman" w:hAnsi="Times New Roman" w:cs="Times New Roman" w:eastAsia="Times New Roman" w:hint="default"/>
          <w:spacing w:val="-3"/>
        </w:rPr>
        <w:t>18</w:t>
      </w:r>
      <w:r>
        <w:rPr>
          <w:spacing w:val="-3"/>
        </w:rPr>
        <w:t>亿元调整至</w:t>
      </w:r>
      <w:r>
        <w:rPr>
          <w:rFonts w:ascii="Times New Roman" w:hAnsi="Times New Roman" w:cs="Times New Roman" w:eastAsia="Times New Roman" w:hint="default"/>
          <w:spacing w:val="-3"/>
        </w:rPr>
        <w:t>13.55</w:t>
      </w:r>
      <w:r>
        <w:rPr>
          <w:spacing w:val="-3"/>
        </w:rPr>
        <w:t>亿元，</w:t>
      </w:r>
      <w:r>
        <w:rPr/>
        <w:t> </w:t>
      </w:r>
      <w:r>
        <w:rPr>
          <w:spacing w:val="-1"/>
        </w:rPr>
        <w:t>其中公司对产业并购基金出资额由</w:t>
      </w:r>
      <w:r>
        <w:rPr>
          <w:rFonts w:ascii="Times New Roman" w:hAnsi="Times New Roman" w:cs="Times New Roman" w:eastAsia="Times New Roman" w:hint="default"/>
          <w:spacing w:val="-1"/>
        </w:rPr>
        <w:t>5.8</w:t>
      </w:r>
      <w:r>
        <w:rPr>
          <w:spacing w:val="-1"/>
        </w:rPr>
        <w:t>亿元调整至</w:t>
      </w:r>
      <w:r>
        <w:rPr>
          <w:rFonts w:ascii="Times New Roman" w:hAnsi="Times New Roman" w:cs="Times New Roman" w:eastAsia="Times New Roman" w:hint="default"/>
          <w:spacing w:val="-1"/>
        </w:rPr>
        <w:t>4.35</w:t>
      </w:r>
      <w:r>
        <w:rPr>
          <w:spacing w:val="-1"/>
        </w:rPr>
        <w:t>亿元，中航信托对产业并购基金出资额由</w:t>
      </w:r>
      <w:r>
        <w:rPr>
          <w:rFonts w:ascii="Times New Roman" w:hAnsi="Times New Roman" w:cs="Times New Roman" w:eastAsia="Times New Roman" w:hint="default"/>
          <w:spacing w:val="-1"/>
        </w:rPr>
        <w:t>12</w:t>
      </w:r>
      <w:r>
        <w:rPr>
          <w:spacing w:val="-1"/>
        </w:rPr>
        <w:t>亿元调整至</w:t>
      </w:r>
      <w:r>
        <w:rPr>
          <w:rFonts w:ascii="Times New Roman" w:hAnsi="Times New Roman" w:cs="Times New Roman" w:eastAsia="Times New Roman" w:hint="default"/>
          <w:spacing w:val="-1"/>
        </w:rPr>
        <w:t>9</w:t>
      </w:r>
      <w:r>
        <w:rPr>
          <w:spacing w:val="-1"/>
        </w:rPr>
        <w:t>亿元。经</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w:t>
      </w:r>
      <w:r>
        <w:rPr>
          <w:spacing w:val="-1"/>
        </w:rPr>
        <w:t>日公司第六届董事会第十三次会议、</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43"/>
        </w:rPr>
        <w:t> </w:t>
      </w:r>
      <w:r>
        <w:rPr/>
        <w:t>日公司</w:t>
      </w:r>
      <w:r>
        <w:rPr>
          <w:rFonts w:ascii="Times New Roman" w:hAnsi="Times New Roman" w:cs="Times New Roman" w:eastAsia="Times New Roman" w:hint="default"/>
        </w:rPr>
        <w:t>2017</w:t>
      </w:r>
      <w:r>
        <w:rPr/>
        <w:t>年年度股东大会审议批准，产业并购基金出资总额由</w:t>
      </w:r>
      <w:r>
        <w:rPr>
          <w:rFonts w:ascii="Times New Roman" w:hAnsi="Times New Roman" w:cs="Times New Roman" w:eastAsia="Times New Roman" w:hint="default"/>
        </w:rPr>
        <w:t>13.55</w:t>
      </w:r>
      <w:r>
        <w:rPr/>
        <w:t>亿元调整至</w:t>
      </w:r>
      <w:r>
        <w:rPr>
          <w:rFonts w:ascii="Times New Roman" w:hAnsi="Times New Roman" w:cs="Times New Roman" w:eastAsia="Times New Roman" w:hint="default"/>
        </w:rPr>
        <w:t>9.1</w:t>
      </w:r>
      <w:r>
        <w:rPr/>
        <w:t>亿元，其中公司对产业并购基金出资额由</w:t>
      </w:r>
      <w:r>
        <w:rPr>
          <w:rFonts w:ascii="Times New Roman" w:hAnsi="Times New Roman" w:cs="Times New Roman" w:eastAsia="Times New Roman" w:hint="default"/>
        </w:rPr>
        <w:t>4.35</w:t>
      </w:r>
      <w:r>
        <w:rPr/>
        <w:t>亿元调整至</w:t>
      </w:r>
      <w:r>
        <w:rPr>
          <w:rFonts w:ascii="Times New Roman" w:hAnsi="Times New Roman" w:cs="Times New Roman" w:eastAsia="Times New Roman" w:hint="default"/>
        </w:rPr>
        <w:t>2.9</w:t>
      </w:r>
      <w:r>
        <w:rPr/>
        <w:t>亿元，中航信托对产业并购基金出 </w:t>
      </w:r>
      <w:r>
        <w:rPr>
          <w:spacing w:val="-1"/>
        </w:rPr>
        <w:t>资额由</w:t>
      </w:r>
      <w:r>
        <w:rPr>
          <w:rFonts w:ascii="Times New Roman" w:hAnsi="Times New Roman" w:cs="Times New Roman" w:eastAsia="Times New Roman" w:hint="default"/>
          <w:spacing w:val="-1"/>
        </w:rPr>
        <w:t>9</w:t>
      </w:r>
      <w:r>
        <w:rPr>
          <w:spacing w:val="-1"/>
        </w:rPr>
        <w:t>亿元调整至</w:t>
      </w:r>
      <w:r>
        <w:rPr>
          <w:rFonts w:ascii="Times New Roman" w:hAnsi="Times New Roman" w:cs="Times New Roman" w:eastAsia="Times New Roman" w:hint="default"/>
          <w:spacing w:val="-1"/>
        </w:rPr>
        <w:t>6</w:t>
      </w:r>
      <w:r>
        <w:rPr>
          <w:spacing w:val="-1"/>
        </w:rPr>
        <w:t>亿元。经</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8</w:t>
      </w:r>
      <w:r>
        <w:rPr>
          <w:spacing w:val="-1"/>
        </w:rPr>
        <w:t>日公司第六届董事会第十八次会议、</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25</w:t>
      </w:r>
      <w:r>
        <w:rPr>
          <w:spacing w:val="-1"/>
        </w:rPr>
        <w:t>日公司</w:t>
      </w:r>
      <w:r>
        <w:rPr>
          <w:rFonts w:ascii="Times New Roman" w:hAnsi="Times New Roman" w:cs="Times New Roman" w:eastAsia="Times New Roman" w:hint="default"/>
          <w:spacing w:val="-1"/>
        </w:rPr>
        <w:t>2018</w:t>
      </w:r>
      <w:r>
        <w:rPr>
          <w:spacing w:val="-1"/>
        </w:rPr>
        <w:t>年第四次临时股东大会审议批准，公司将在产业并购基金中的</w:t>
      </w:r>
      <w:r>
        <w:rPr>
          <w:rFonts w:ascii="Times New Roman" w:hAnsi="Times New Roman" w:cs="Times New Roman" w:eastAsia="Times New Roman" w:hint="default"/>
          <w:spacing w:val="-1"/>
        </w:rPr>
        <w:t>2.9</w:t>
      </w:r>
      <w:r>
        <w:rPr>
          <w:spacing w:val="-1"/>
        </w:rPr>
        <w:t>亿元出资份</w:t>
      </w:r>
      <w:r>
        <w:rPr>
          <w:spacing w:val="-50"/>
        </w:rPr>
        <w:t> </w:t>
      </w:r>
      <w:r>
        <w:rPr>
          <w:spacing w:val="-1"/>
        </w:rPr>
        <w:t>额及对应的财产份额转让给非关联方元俊投资，转让金额为</w:t>
      </w:r>
      <w:r>
        <w:rPr>
          <w:rFonts w:ascii="Times New Roman" w:hAnsi="Times New Roman" w:cs="Times New Roman" w:eastAsia="Times New Roman" w:hint="default"/>
          <w:spacing w:val="-1"/>
        </w:rPr>
        <w:t>45,500</w:t>
      </w:r>
      <w:r>
        <w:rPr>
          <w:spacing w:val="-1"/>
        </w:rPr>
        <w:t>万元。截至本报告披露日，公司已收到两次调整产业并购基金的相关款项及交易对方元俊投资支付的部分转让价</w:t>
      </w:r>
      <w:r>
        <w:rPr>
          <w:spacing w:val="-51"/>
        </w:rPr>
        <w:t> </w:t>
      </w:r>
      <w:r>
        <w:rPr>
          <w:spacing w:val="-51"/>
        </w:rPr>
      </w:r>
      <w:r>
        <w:rPr/>
        <w:t>款合计人民币</w:t>
      </w:r>
      <w:r>
        <w:rPr>
          <w:rFonts w:ascii="Times New Roman" w:hAnsi="Times New Roman" w:cs="Times New Roman" w:eastAsia="Times New Roman" w:hint="default"/>
        </w:rPr>
        <w:t>34,800</w:t>
      </w:r>
      <w:r>
        <w:rPr/>
        <w:t>万元，相关工商变更登记手续已办理完毕，公司不再持有产业并购基金出资份额。</w:t>
      </w:r>
    </w:p>
    <w:p>
      <w:pPr>
        <w:pStyle w:val="BodyText"/>
        <w:spacing w:line="300" w:lineRule="auto" w:before="53"/>
        <w:ind w:left="140" w:right="152" w:firstLine="283"/>
        <w:jc w:val="both"/>
      </w:pPr>
      <w:r>
        <w:rPr>
          <w:rFonts w:ascii="Times New Roman" w:hAnsi="Times New Roman" w:cs="Times New Roman" w:eastAsia="Times New Roman" w:hint="default"/>
          <w:spacing w:val="-3"/>
        </w:rPr>
        <w:t>2</w:t>
      </w:r>
      <w:r>
        <w:rPr>
          <w:spacing w:val="-3"/>
        </w:rPr>
        <w:t>、经</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月公司总裁办公会审议批准，子公司喀什中汇联银与宁波亿人股权投资管理有限公司（以下简称</w:t>
      </w:r>
      <w:r>
        <w:rPr>
          <w:rFonts w:ascii="Times New Roman" w:hAnsi="Times New Roman" w:cs="Times New Roman" w:eastAsia="Times New Roman" w:hint="default"/>
          <w:spacing w:val="-3"/>
        </w:rPr>
        <w:t>“</w:t>
      </w:r>
      <w:r>
        <w:rPr>
          <w:spacing w:val="-3"/>
        </w:rPr>
        <w:t>宁波亿人</w:t>
      </w:r>
      <w:r>
        <w:rPr>
          <w:rFonts w:ascii="Times New Roman" w:hAnsi="Times New Roman" w:cs="Times New Roman" w:eastAsia="Times New Roman" w:hint="default"/>
          <w:spacing w:val="-3"/>
        </w:rPr>
        <w:t>”</w:t>
      </w:r>
      <w:r>
        <w:rPr>
          <w:spacing w:val="-3"/>
        </w:rPr>
        <w:t>）合作设立惠智网联，惠智网联注册资本为人民币</w:t>
      </w:r>
      <w:r>
        <w:rPr>
          <w:rFonts w:ascii="Times New Roman" w:hAnsi="Times New Roman" w:cs="Times New Roman" w:eastAsia="Times New Roman" w:hint="default"/>
          <w:spacing w:val="-3"/>
        </w:rPr>
        <w:t>1,000</w:t>
      </w:r>
      <w:r>
        <w:rPr>
          <w:rFonts w:ascii="Times New Roman" w:hAnsi="Times New Roman" w:cs="Times New Roman" w:eastAsia="Times New Roman" w:hint="default"/>
        </w:rPr>
        <w:t> </w:t>
      </w:r>
      <w:r>
        <w:rPr>
          <w:spacing w:val="-2"/>
        </w:rPr>
        <w:t>万元，其中喀什中汇联银作为有限合伙人认缴出资人民币</w:t>
      </w:r>
      <w:r>
        <w:rPr>
          <w:rFonts w:ascii="Times New Roman" w:hAnsi="Times New Roman" w:cs="Times New Roman" w:eastAsia="Times New Roman" w:hint="default"/>
          <w:spacing w:val="-2"/>
        </w:rPr>
        <w:t>900</w:t>
      </w:r>
      <w:r>
        <w:rPr>
          <w:spacing w:val="-2"/>
        </w:rPr>
        <w:t>万元，宁波亿人作为普通合伙人认缴出资人民币</w:t>
      </w:r>
      <w:r>
        <w:rPr>
          <w:rFonts w:ascii="Times New Roman" w:hAnsi="Times New Roman" w:cs="Times New Roman" w:eastAsia="Times New Roman" w:hint="default"/>
          <w:spacing w:val="-2"/>
        </w:rPr>
        <w:t>100</w:t>
      </w:r>
      <w:r>
        <w:rPr>
          <w:spacing w:val="-2"/>
        </w:rPr>
        <w:t>万元。经</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26</w:t>
      </w:r>
      <w:r>
        <w:rPr>
          <w:spacing w:val="-2"/>
        </w:rPr>
        <w:t>日公司第六届董事会第二十五次会议审议批</w:t>
      </w:r>
      <w:r>
        <w:rPr>
          <w:spacing w:val="-8"/>
        </w:rPr>
        <w:t> </w:t>
      </w:r>
      <w:r>
        <w:rPr>
          <w:spacing w:val="-8"/>
        </w:rPr>
      </w:r>
      <w:r>
        <w:rPr/>
        <w:t>准，子公司喀什中汇联银对惠智网联追加投资，喀什中汇联银作为有限合伙人认缴出资额由人民币</w:t>
      </w:r>
      <w:r>
        <w:rPr>
          <w:rFonts w:ascii="Times New Roman" w:hAnsi="Times New Roman" w:cs="Times New Roman" w:eastAsia="Times New Roman" w:hint="default"/>
        </w:rPr>
        <w:t>900</w:t>
      </w:r>
      <w:r>
        <w:rPr/>
        <w:t>万元追加至人民币</w:t>
      </w:r>
      <w:r>
        <w:rPr>
          <w:rFonts w:ascii="Times New Roman" w:hAnsi="Times New Roman" w:cs="Times New Roman" w:eastAsia="Times New Roman" w:hint="default"/>
        </w:rPr>
        <w:t>25,000</w:t>
      </w:r>
      <w:r>
        <w:rPr/>
        <w:t>万元，宁波亿人作为普通合伙人认缴出资额由人民</w:t>
      </w:r>
      <w:r>
        <w:rPr>
          <w:spacing w:val="-45"/>
        </w:rPr>
        <w:t> </w:t>
      </w:r>
      <w:r>
        <w:rPr>
          <w:spacing w:val="-45"/>
        </w:rPr>
      </w:r>
      <w:r>
        <w:rPr/>
        <w:t>币</w:t>
      </w:r>
      <w:r>
        <w:rPr>
          <w:rFonts w:ascii="Times New Roman" w:hAnsi="Times New Roman" w:cs="Times New Roman" w:eastAsia="Times New Roman" w:hint="default"/>
        </w:rPr>
        <w:t>100</w:t>
      </w:r>
      <w:r>
        <w:rPr/>
        <w:t>万元追加至人民币</w:t>
      </w:r>
      <w:r>
        <w:rPr>
          <w:rFonts w:ascii="Times New Roman" w:hAnsi="Times New Roman" w:cs="Times New Roman" w:eastAsia="Times New Roman" w:hint="default"/>
        </w:rPr>
        <w:t>75,000</w:t>
      </w:r>
      <w:r>
        <w:rPr/>
        <w:t>万元。截止本报告披露日，相关工商变更登记手续已办理完毕。</w:t>
      </w:r>
    </w:p>
    <w:p>
      <w:pPr>
        <w:pStyle w:val="BodyText"/>
        <w:spacing w:line="300" w:lineRule="auto" w:before="53"/>
        <w:ind w:left="140" w:right="156" w:firstLine="283"/>
        <w:jc w:val="both"/>
      </w:pPr>
      <w:r>
        <w:rPr>
          <w:rFonts w:ascii="Times New Roman" w:hAnsi="Times New Roman" w:cs="Times New Roman" w:eastAsia="Times New Roman" w:hint="default"/>
        </w:rPr>
        <w:t>3</w:t>
      </w:r>
      <w:r>
        <w:rPr/>
        <w:t>、哆可梦在本报告期内推出多款全新手游，包括主打魔幻未来风格的自研新游《天使圣域》、末世废土风格的自研新游《文明曙光》等；注重大数据和科技创新，不断增强 </w:t>
      </w:r>
      <w:r>
        <w:rPr>
          <w:spacing w:val="-1"/>
        </w:rPr>
        <w:t>游戏的人工智能交互，受到更多玩家的好评和市场的认可；坚持</w:t>
      </w:r>
      <w:r>
        <w:rPr>
          <w:rFonts w:ascii="Times New Roman" w:hAnsi="Times New Roman" w:cs="Times New Roman" w:eastAsia="Times New Roman" w:hint="default"/>
          <w:spacing w:val="-1"/>
        </w:rPr>
        <w:t>“</w:t>
      </w:r>
      <w:r>
        <w:rPr>
          <w:spacing w:val="-1"/>
        </w:rPr>
        <w:t>业务平台化、市场全球化、流量自有化、生态链泛娱乐化</w:t>
      </w:r>
      <w:r>
        <w:rPr>
          <w:rFonts w:ascii="Times New Roman" w:hAnsi="Times New Roman" w:cs="Times New Roman" w:eastAsia="Times New Roman" w:hint="default"/>
          <w:spacing w:val="-1"/>
        </w:rPr>
        <w:t>”</w:t>
      </w:r>
      <w:r>
        <w:rPr>
          <w:spacing w:val="-1"/>
        </w:rPr>
        <w:t>的发展战略，凭借高效的游戏研发体系以及精准的游戏</w:t>
      </w:r>
      <w:r>
        <w:rPr>
          <w:spacing w:val="-76"/>
        </w:rPr>
        <w:t> </w:t>
      </w:r>
      <w:r>
        <w:rPr>
          <w:spacing w:val="-76"/>
        </w:rPr>
      </w:r>
      <w:r>
        <w:rPr/>
        <w:t>推广渠道，</w:t>
      </w:r>
      <w:r>
        <w:rPr>
          <w:rFonts w:ascii="Times New Roman" w:hAnsi="Times New Roman" w:cs="Times New Roman" w:eastAsia="Times New Roman" w:hint="default"/>
        </w:rPr>
        <w:t>2018</w:t>
      </w:r>
      <w:r>
        <w:rPr/>
        <w:t>年实现营业收入</w:t>
      </w:r>
      <w:r>
        <w:rPr>
          <w:rFonts w:ascii="Times New Roman" w:hAnsi="Times New Roman" w:cs="Times New Roman" w:eastAsia="Times New Roman" w:hint="default"/>
        </w:rPr>
        <w:t>156,018.52</w:t>
      </w:r>
      <w:r>
        <w:rPr/>
        <w:t>万元，较去年同期</w:t>
      </w:r>
      <w:r>
        <w:rPr>
          <w:rFonts w:ascii="Times New Roman" w:hAnsi="Times New Roman" w:cs="Times New Roman" w:eastAsia="Times New Roman" w:hint="default"/>
        </w:rPr>
        <w:t>71,478.52</w:t>
      </w:r>
      <w:r>
        <w:rPr/>
        <w:t>万元增长</w:t>
      </w:r>
      <w:r>
        <w:rPr>
          <w:rFonts w:ascii="Times New Roman" w:hAnsi="Times New Roman" w:cs="Times New Roman" w:eastAsia="Times New Roman" w:hint="default"/>
        </w:rPr>
        <w:t>118.27%</w:t>
      </w:r>
      <w:r>
        <w:rPr/>
        <w:t>，实现净利润</w:t>
      </w:r>
      <w:r>
        <w:rPr>
          <w:rFonts w:ascii="Times New Roman" w:hAnsi="Times New Roman" w:cs="Times New Roman" w:eastAsia="Times New Roman" w:hint="default"/>
        </w:rPr>
        <w:t>32,315.81</w:t>
      </w:r>
      <w:r>
        <w:rPr/>
        <w:t>万元，较去年同期</w:t>
      </w:r>
      <w:r>
        <w:rPr>
          <w:rFonts w:ascii="Times New Roman" w:hAnsi="Times New Roman" w:cs="Times New Roman" w:eastAsia="Times New Roman" w:hint="default"/>
        </w:rPr>
        <w:t>14,939.84</w:t>
      </w:r>
      <w:r>
        <w:rPr/>
        <w:t>万元增长</w:t>
      </w:r>
      <w:r>
        <w:rPr>
          <w:rFonts w:ascii="Times New Roman" w:hAnsi="Times New Roman" w:cs="Times New Roman" w:eastAsia="Times New Roman" w:hint="default"/>
        </w:rPr>
        <w:t>116.31%</w:t>
      </w:r>
      <w:r>
        <w:rPr/>
        <w:t>。</w:t>
      </w:r>
    </w:p>
    <w:p>
      <w:pPr>
        <w:pStyle w:val="BodyText"/>
        <w:spacing w:line="300" w:lineRule="auto" w:before="51"/>
        <w:ind w:left="140" w:right="162" w:firstLine="283"/>
        <w:jc w:val="both"/>
      </w:pPr>
      <w:r>
        <w:rPr>
          <w:rFonts w:ascii="Times New Roman" w:hAnsi="Times New Roman" w:cs="Times New Roman" w:eastAsia="Times New Roman" w:hint="default"/>
        </w:rPr>
        <w:t>4</w:t>
      </w:r>
      <w:r>
        <w:rPr/>
        <w:t>、北京中汇联银、喀什中汇联银作为公司设立的专门投资业务平台，主要从事投资类业务，</w:t>
      </w:r>
      <w:r>
        <w:rPr>
          <w:rFonts w:ascii="Times New Roman" w:hAnsi="Times New Roman" w:cs="Times New Roman" w:eastAsia="Times New Roman" w:hint="default"/>
        </w:rPr>
        <w:t>2018</w:t>
      </w:r>
      <w:r>
        <w:rPr/>
        <w:t>年受制于国内外经济金融形势和资管新规等监管政策环境变化的影响，投资 业务收益出现明显的波动。</w:t>
      </w:r>
    </w:p>
    <w:p>
      <w:pPr>
        <w:pStyle w:val="BodyText"/>
        <w:spacing w:line="300" w:lineRule="auto" w:before="72"/>
        <w:ind w:left="140" w:right="158" w:firstLine="283"/>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月，经公司总裁办公会审议批准，公司出资</w:t>
      </w:r>
      <w:r>
        <w:rPr>
          <w:rFonts w:ascii="Times New Roman" w:hAnsi="Times New Roman" w:cs="Times New Roman" w:eastAsia="Times New Roman" w:hint="default"/>
        </w:rPr>
        <w:t>510</w:t>
      </w:r>
      <w:r>
        <w:rPr/>
        <w:t>万元参与设立上海季娱，公司持股比例为</w:t>
      </w:r>
      <w:r>
        <w:rPr>
          <w:rFonts w:ascii="Times New Roman" w:hAnsi="Times New Roman" w:cs="Times New Roman" w:eastAsia="Times New Roman" w:hint="default"/>
        </w:rPr>
        <w:t>51%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月，经公司总裁办公会审议批准，公司控股子公司上海季娱 出资</w:t>
      </w:r>
      <w:r>
        <w:rPr>
          <w:rFonts w:ascii="Times New Roman" w:hAnsi="Times New Roman" w:cs="Times New Roman" w:eastAsia="Times New Roman" w:hint="default"/>
        </w:rPr>
        <w:t>100</w:t>
      </w:r>
      <w:r>
        <w:rPr/>
        <w:t>万元设立全资子公司珂星网络。截至本报告披露日，上海季娱和珂星网络均已完成工商登记。上海季娱和珂星网络属于新设公司，正处于初始运营和业务开拓阶段，前期</w:t>
      </w:r>
      <w:r>
        <w:rPr>
          <w:spacing w:val="-85"/>
        </w:rPr>
        <w:t> </w:t>
      </w:r>
      <w:r>
        <w:rPr>
          <w:spacing w:val="-85"/>
        </w:rPr>
      </w:r>
      <w:r>
        <w:rPr/>
        <w:t>投入较大，尚未实现盈利。</w:t>
      </w:r>
    </w:p>
    <w:p>
      <w:pPr>
        <w:pStyle w:val="BodyText"/>
        <w:spacing w:line="300" w:lineRule="auto" w:before="72"/>
        <w:ind w:left="140" w:right="154" w:firstLine="283"/>
        <w:jc w:val="both"/>
      </w:pPr>
      <w:r>
        <w:rPr>
          <w:rFonts w:ascii="Times New Roman" w:hAnsi="Times New Roman" w:cs="Times New Roman" w:eastAsia="Times New Roman" w:hint="default"/>
          <w:spacing w:val="-1"/>
        </w:rPr>
        <w:t>6</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月，经公司总裁办公会审议批准，控股子公司哆可梦出资</w:t>
      </w:r>
      <w:r>
        <w:rPr>
          <w:rFonts w:ascii="Times New Roman" w:hAnsi="Times New Roman" w:cs="Times New Roman" w:eastAsia="Times New Roman" w:hint="default"/>
          <w:spacing w:val="-1"/>
        </w:rPr>
        <w:t>100</w:t>
      </w:r>
      <w:r>
        <w:rPr>
          <w:spacing w:val="-1"/>
        </w:rPr>
        <w:t>万元设立全资子公司共创网络。</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月，经公司总裁办公会审议批准，因共创网络自成立以来未实</w:t>
      </w:r>
      <w:r>
        <w:rPr/>
        <w:t> 际开展业务并且无法取得相关优惠政策，哆可梦尚未实际出资，哆可梦拟注销共创网络，截至本报告披露日，相关注销登记手续已办理完毕。</w:t>
      </w:r>
    </w:p>
    <w:p>
      <w:pPr>
        <w:pStyle w:val="BodyText"/>
        <w:spacing w:line="300" w:lineRule="auto" w:before="70"/>
        <w:ind w:left="140" w:right="151" w:firstLine="283"/>
        <w:jc w:val="both"/>
      </w:pPr>
      <w:r>
        <w:rPr>
          <w:rFonts w:ascii="Times New Roman" w:hAnsi="Times New Roman" w:cs="Times New Roman" w:eastAsia="Times New Roman" w:hint="default"/>
          <w:spacing w:val="-1"/>
        </w:rPr>
        <w:t>7</w:t>
      </w:r>
      <w:r>
        <w:rPr>
          <w:spacing w:val="-1"/>
        </w:rPr>
        <w:t>、经</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8</w:t>
      </w:r>
      <w:r>
        <w:rPr>
          <w:spacing w:val="-1"/>
        </w:rPr>
        <w:t>日公司第六届董事会第六次会议审议批准，鉴于孙公司乐珩网络和璿游网络自成立以来，受地方政策限制，一直未能办理网络文化经营许可证和</w:t>
      </w:r>
      <w:r>
        <w:rPr>
          <w:rFonts w:ascii="Times New Roman" w:hAnsi="Times New Roman" w:cs="Times New Roman" w:eastAsia="Times New Roman" w:hint="default"/>
          <w:spacing w:val="-1"/>
        </w:rPr>
        <w:t>ICP</w:t>
      </w:r>
      <w:r>
        <w:rPr>
          <w:spacing w:val="-1"/>
        </w:rPr>
        <w:t>证，未进</w:t>
      </w:r>
      <w:r>
        <w:rPr/>
        <w:t> 入实质性运营阶段，董事会同意控股子公司哆可梦注销乐珩网络和璿游网络，截至报告期末，相关注销登记手续已办理完毕。</w:t>
      </w:r>
    </w:p>
    <w:p>
      <w:pPr>
        <w:spacing w:after="0" w:line="300" w:lineRule="auto"/>
        <w:jc w:val="both"/>
        <w:sectPr>
          <w:pgSz w:w="16840" w:h="11910" w:orient="landscape"/>
          <w:pgMar w:header="867" w:footer="980" w:top="1060" w:bottom="1160" w:left="1300" w:right="12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right="1133"/>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九、公司未来发展的展望</w:t>
      </w:r>
      <w:r>
        <w:rPr>
          <w:b w:val="0"/>
          <w:bCs w:val="0"/>
        </w:rPr>
      </w:r>
    </w:p>
    <w:p>
      <w:pPr>
        <w:spacing w:line="240" w:lineRule="auto" w:before="4"/>
        <w:rPr>
          <w:rFonts w:ascii="宋体" w:hAnsi="宋体" w:cs="宋体" w:eastAsia="宋体" w:hint="default"/>
          <w:b/>
          <w:bCs/>
          <w:sz w:val="26"/>
          <w:szCs w:val="26"/>
        </w:rPr>
      </w:pPr>
    </w:p>
    <w:p>
      <w:pPr>
        <w:pStyle w:val="Heading4"/>
        <w:spacing w:line="240" w:lineRule="auto" w:before="0"/>
        <w:ind w:right="1133"/>
        <w:jc w:val="left"/>
        <w:rPr>
          <w:b w:val="0"/>
          <w:bCs w:val="0"/>
        </w:rPr>
      </w:pPr>
      <w:r>
        <w:rPr>
          <w:rFonts w:ascii="Times New Roman" w:hAnsi="Times New Roman" w:cs="Times New Roman" w:eastAsia="Times New Roman" w:hint="default"/>
        </w:rPr>
        <w:t>1</w:t>
      </w:r>
      <w:r>
        <w:rPr/>
        <w:t>、行业情况</w:t>
      </w:r>
      <w:r>
        <w:rPr>
          <w:b w:val="0"/>
          <w:bCs w:val="0"/>
        </w:rPr>
      </w:r>
    </w:p>
    <w:p>
      <w:pPr>
        <w:pStyle w:val="BodyText"/>
        <w:spacing w:line="304" w:lineRule="auto" w:before="63"/>
        <w:ind w:right="1044" w:firstLine="360"/>
        <w:jc w:val="left"/>
      </w:pPr>
      <w:r>
        <w:rPr>
          <w:rFonts w:ascii="宋体" w:hAnsi="宋体" w:cs="宋体" w:eastAsia="宋体" w:hint="default"/>
          <w:b/>
          <w:bCs/>
          <w:spacing w:val="-2"/>
        </w:rPr>
        <w:t>高端智能制造行业：</w:t>
      </w:r>
      <w:r>
        <w:rPr>
          <w:spacing w:val="-2"/>
        </w:rPr>
        <w:t>中电联发布《</w:t>
      </w:r>
      <w:r>
        <w:rPr>
          <w:rFonts w:ascii="Times New Roman" w:hAnsi="Times New Roman" w:cs="Times New Roman" w:eastAsia="Times New Roman" w:hint="default"/>
          <w:spacing w:val="-2"/>
        </w:rPr>
        <w:t>2018-2019</w:t>
      </w:r>
      <w:r>
        <w:rPr>
          <w:spacing w:val="-2"/>
        </w:rPr>
        <w:t>年度全国电力供需形势分析预测报告》显示，</w:t>
      </w:r>
      <w:r>
        <w:rPr>
          <w:rFonts w:ascii="Times New Roman" w:hAnsi="Times New Roman" w:cs="Times New Roman" w:eastAsia="Times New Roman" w:hint="default"/>
          <w:spacing w:val="-2"/>
        </w:rPr>
        <w:t>2018</w:t>
      </w:r>
      <w:r>
        <w:rPr>
          <w:spacing w:val="-2"/>
        </w:rPr>
        <w:t>年全国全社会用电量</w:t>
      </w:r>
      <w:r>
        <w:rPr>
          <w:rFonts w:ascii="Times New Roman" w:hAnsi="Times New Roman" w:cs="Times New Roman" w:eastAsia="Times New Roman" w:hint="default"/>
          <w:spacing w:val="-2"/>
        </w:rPr>
        <w:t>6.84</w:t>
      </w:r>
      <w:r>
        <w:rPr>
          <w:rFonts w:ascii="Times New Roman" w:hAnsi="Times New Roman" w:cs="Times New Roman" w:eastAsia="Times New Roman" w:hint="default"/>
        </w:rPr>
        <w:t> </w:t>
      </w:r>
      <w:r>
        <w:rPr>
          <w:spacing w:val="-2"/>
        </w:rPr>
        <w:t>万亿千瓦时，同比增长</w:t>
      </w:r>
      <w:r>
        <w:rPr>
          <w:rFonts w:ascii="Times New Roman" w:hAnsi="Times New Roman" w:cs="Times New Roman" w:eastAsia="Times New Roman" w:hint="default"/>
          <w:spacing w:val="-2"/>
        </w:rPr>
        <w:t>8.5%</w:t>
      </w:r>
      <w:r>
        <w:rPr>
          <w:spacing w:val="-2"/>
        </w:rPr>
        <w:t>、同比提高</w:t>
      </w:r>
      <w:r>
        <w:rPr>
          <w:rFonts w:ascii="Times New Roman" w:hAnsi="Times New Roman" w:cs="Times New Roman" w:eastAsia="Times New Roman" w:hint="default"/>
          <w:spacing w:val="-2"/>
        </w:rPr>
        <w:t>1.9</w:t>
      </w:r>
      <w:r>
        <w:rPr>
          <w:spacing w:val="-2"/>
        </w:rPr>
        <w:t>个百分点，为</w:t>
      </w:r>
      <w:r>
        <w:rPr>
          <w:rFonts w:ascii="Times New Roman" w:hAnsi="Times New Roman" w:cs="Times New Roman" w:eastAsia="Times New Roman" w:hint="default"/>
          <w:spacing w:val="-2"/>
        </w:rPr>
        <w:t>2012</w:t>
      </w:r>
      <w:r>
        <w:rPr>
          <w:spacing w:val="-2"/>
        </w:rPr>
        <w:t>年以来最高增速，截至</w:t>
      </w:r>
      <w:r>
        <w:rPr>
          <w:rFonts w:ascii="Times New Roman" w:hAnsi="Times New Roman" w:cs="Times New Roman" w:eastAsia="Times New Roman" w:hint="default"/>
          <w:spacing w:val="-2"/>
        </w:rPr>
        <w:t>2018</w:t>
      </w:r>
      <w:r>
        <w:rPr>
          <w:spacing w:val="-2"/>
        </w:rPr>
        <w:t>年底，全国全口径发电装机容量</w:t>
      </w:r>
      <w:r>
        <w:rPr>
          <w:rFonts w:ascii="Times New Roman" w:hAnsi="Times New Roman" w:cs="Times New Roman" w:eastAsia="Times New Roman" w:hint="default"/>
          <w:spacing w:val="-2"/>
        </w:rPr>
        <w:t>19.0</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亿千瓦、同比增长</w:t>
      </w:r>
      <w:r>
        <w:rPr>
          <w:rFonts w:ascii="Times New Roman" w:hAnsi="Times New Roman" w:cs="Times New Roman" w:eastAsia="Times New Roman" w:hint="default"/>
        </w:rPr>
        <w:t>6.5%</w:t>
      </w:r>
      <w:r>
        <w:rPr/>
        <w:t>，且发电装机绿色转型将持续推进；预计</w:t>
      </w:r>
      <w:r>
        <w:rPr>
          <w:rFonts w:ascii="Times New Roman" w:hAnsi="Times New Roman" w:cs="Times New Roman" w:eastAsia="Times New Roman" w:hint="default"/>
        </w:rPr>
        <w:t>2019</w:t>
      </w:r>
      <w:r>
        <w:rPr/>
        <w:t>年全社会用电量增长</w:t>
      </w:r>
      <w:r>
        <w:rPr>
          <w:rFonts w:ascii="Times New Roman" w:hAnsi="Times New Roman" w:cs="Times New Roman" w:eastAsia="Times New Roman" w:hint="default"/>
        </w:rPr>
        <w:t>5.5%</w:t>
      </w:r>
      <w:r>
        <w:rPr/>
        <w:t>左右，</w:t>
      </w:r>
      <w:r>
        <w:rPr>
          <w:rFonts w:ascii="Times New Roman" w:hAnsi="Times New Roman" w:cs="Times New Roman" w:eastAsia="Times New Roman" w:hint="default"/>
        </w:rPr>
        <w:t>2019</w:t>
      </w:r>
      <w:r>
        <w:rPr/>
        <w:t>年全国基建新增 发电装机容量约为</w:t>
      </w:r>
      <w:r>
        <w:rPr>
          <w:rFonts w:ascii="Times New Roman" w:hAnsi="Times New Roman" w:cs="Times New Roman" w:eastAsia="Times New Roman" w:hint="default"/>
        </w:rPr>
        <w:t>1.1</w:t>
      </w:r>
      <w:r>
        <w:rPr/>
        <w:t>亿千瓦左右，到</w:t>
      </w:r>
      <w:r>
        <w:rPr>
          <w:rFonts w:ascii="Times New Roman" w:hAnsi="Times New Roman" w:cs="Times New Roman" w:eastAsia="Times New Roman" w:hint="default"/>
        </w:rPr>
        <w:t>2019</w:t>
      </w:r>
      <w:r>
        <w:rPr/>
        <w:t>年底全国发电装机容量约</w:t>
      </w:r>
      <w:r>
        <w:rPr>
          <w:rFonts w:ascii="Times New Roman" w:hAnsi="Times New Roman" w:cs="Times New Roman" w:eastAsia="Times New Roman" w:hint="default"/>
        </w:rPr>
        <w:t>20</w:t>
      </w:r>
      <w:r>
        <w:rPr/>
        <w:t>亿千瓦、同比增长</w:t>
      </w:r>
      <w:r>
        <w:rPr>
          <w:rFonts w:ascii="Times New Roman" w:hAnsi="Times New Roman" w:cs="Times New Roman" w:eastAsia="Times New Roman" w:hint="default"/>
        </w:rPr>
        <w:t>5.5%</w:t>
      </w:r>
      <w:r>
        <w:rPr/>
        <w:t>左右。中国国家发改委、能源 </w:t>
      </w:r>
      <w:r>
        <w:rPr>
          <w:spacing w:val="-2"/>
        </w:rPr>
        <w:t>局提出到</w:t>
      </w:r>
      <w:r>
        <w:rPr>
          <w:rFonts w:ascii="Times New Roman" w:hAnsi="Times New Roman" w:cs="Times New Roman" w:eastAsia="Times New Roman" w:hint="default"/>
          <w:spacing w:val="-2"/>
        </w:rPr>
        <w:t>2020</w:t>
      </w:r>
      <w:r>
        <w:rPr>
          <w:spacing w:val="-2"/>
        </w:rPr>
        <w:t>年，初步建成安全可靠、开放兼容、双向互动、高效经济、清洁环保的智能电网体系，在《国家能源局关于印</w:t>
      </w:r>
      <w:r>
        <w:rPr>
          <w:spacing w:val="-71"/>
        </w:rPr>
        <w:t> </w:t>
      </w:r>
      <w:r>
        <w:rPr>
          <w:spacing w:val="-71"/>
        </w:rPr>
      </w:r>
      <w:r>
        <w:rPr/>
        <w:t>发配电网建设改造行动计划（</w:t>
      </w:r>
      <w:r>
        <w:rPr>
          <w:rFonts w:ascii="Times New Roman" w:hAnsi="Times New Roman" w:cs="Times New Roman" w:eastAsia="Times New Roman" w:hint="default"/>
        </w:rPr>
        <w:t>2015-2020</w:t>
      </w:r>
      <w:r>
        <w:rPr/>
        <w:t>）年的通知》中，要求全国配电自动化覆盖率从</w:t>
      </w:r>
      <w:r>
        <w:rPr>
          <w:rFonts w:ascii="Times New Roman" w:hAnsi="Times New Roman" w:cs="Times New Roman" w:eastAsia="Times New Roman" w:hint="default"/>
        </w:rPr>
        <w:t>2014</w:t>
      </w:r>
      <w:r>
        <w:rPr/>
        <w:t>年的</w:t>
      </w:r>
      <w:r>
        <w:rPr>
          <w:rFonts w:ascii="Times New Roman" w:hAnsi="Times New Roman" w:cs="Times New Roman" w:eastAsia="Times New Roman" w:hint="default"/>
        </w:rPr>
        <w:t>20%</w:t>
      </w:r>
      <w:r>
        <w:rPr/>
        <w:t>提升至</w:t>
      </w:r>
      <w:r>
        <w:rPr>
          <w:rFonts w:ascii="Times New Roman" w:hAnsi="Times New Roman" w:cs="Times New Roman" w:eastAsia="Times New Roman" w:hint="default"/>
        </w:rPr>
        <w:t>2020</w:t>
      </w:r>
      <w:r>
        <w:rPr/>
        <w:t>年的</w:t>
      </w:r>
      <w:r>
        <w:rPr>
          <w:rFonts w:ascii="Times New Roman" w:hAnsi="Times New Roman" w:cs="Times New Roman" w:eastAsia="Times New Roman" w:hint="default"/>
        </w:rPr>
        <w:t>90%</w:t>
      </w:r>
      <w:r>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日国家电网董事长寇伟召开</w:t>
      </w:r>
      <w:r>
        <w:rPr>
          <w:rFonts w:ascii="Times New Roman" w:hAnsi="Times New Roman" w:cs="Times New Roman" w:eastAsia="Times New Roman" w:hint="default"/>
        </w:rPr>
        <w:t>“</w:t>
      </w:r>
      <w:r>
        <w:rPr/>
        <w:t>泛在电力物联网</w:t>
      </w:r>
      <w:r>
        <w:rPr>
          <w:rFonts w:ascii="Times New Roman" w:hAnsi="Times New Roman" w:cs="Times New Roman" w:eastAsia="Times New Roman" w:hint="default"/>
        </w:rPr>
        <w:t>”</w:t>
      </w:r>
      <w:r>
        <w:rPr/>
        <w:t>专项部署工作会议，表示国网</w:t>
      </w:r>
      <w:r>
        <w:rPr>
          <w:rFonts w:ascii="Times New Roman" w:hAnsi="Times New Roman" w:cs="Times New Roman" w:eastAsia="Times New Roman" w:hint="default"/>
        </w:rPr>
        <w:t>“</w:t>
      </w:r>
      <w:r>
        <w:rPr/>
        <w:t>最紧迫、最重要的任务就是加快推 进泛在电力物联网建设</w:t>
      </w:r>
      <w:r>
        <w:rPr>
          <w:rFonts w:ascii="Times New Roman" w:hAnsi="Times New Roman" w:cs="Times New Roman" w:eastAsia="Times New Roman" w:hint="default"/>
        </w:rPr>
        <w:t>”</w:t>
      </w:r>
      <w:r>
        <w:rPr/>
        <w:t>，围绕电力系统各环节，充分应用移动互联、人工智能等现代信息技术、先进通信技术，实现电力 </w:t>
      </w:r>
      <w:r>
        <w:rPr>
          <w:spacing w:val="-2"/>
        </w:rPr>
        <w:t>系统各环节万物互联、人机交互，具有状态全面感知、信息高效处理、应用便捷灵活特征的智慧服务系统，其实质是实现各</w:t>
      </w:r>
      <w:r>
        <w:rPr>
          <w:spacing w:val="-67"/>
        </w:rPr>
        <w:t> </w:t>
      </w:r>
      <w:r>
        <w:rPr>
          <w:spacing w:val="-67"/>
        </w:rPr>
      </w:r>
      <w:r>
        <w:rPr>
          <w:spacing w:val="-2"/>
        </w:rPr>
        <w:t>种信息传感设备与通信信息资源（互联网、电信网甚至电力通信专网）的结合，从而形成具有自我标识、感知和智能处理的</w:t>
      </w:r>
      <w:r>
        <w:rPr>
          <w:spacing w:val="-67"/>
        </w:rPr>
        <w:t> </w:t>
      </w:r>
      <w:r>
        <w:rPr>
          <w:spacing w:val="-67"/>
        </w:rPr>
      </w:r>
      <w:r>
        <w:rPr/>
        <w:t>物理实体，这一战略性部署引起了行业内的巨大反响。</w:t>
      </w:r>
    </w:p>
    <w:p>
      <w:pPr>
        <w:pStyle w:val="BodyText"/>
        <w:spacing w:line="307" w:lineRule="auto" w:before="28"/>
        <w:ind w:right="1130" w:firstLine="360"/>
        <w:jc w:val="both"/>
      </w:pPr>
      <w:r>
        <w:rPr>
          <w:spacing w:val="-2"/>
        </w:rPr>
        <w:t>智能制造</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发展规划提出要牢固树立创新、协调、绿色、开放、共享的发展理念，将发展智能制造作为长期坚持</w:t>
      </w:r>
      <w:r>
        <w:rPr/>
        <w:t> </w:t>
      </w:r>
      <w:r>
        <w:rPr>
          <w:spacing w:val="-2"/>
        </w:rPr>
        <w:t>的战略任务，以构建新型制造体系为目标，以实施智能制造工程为重要抓手，着力提升关键技术装备安全可控能力，着力增</w:t>
      </w:r>
      <w:r>
        <w:rPr>
          <w:spacing w:val="-62"/>
        </w:rPr>
        <w:t> </w:t>
      </w:r>
      <w:r>
        <w:rPr>
          <w:spacing w:val="-62"/>
        </w:rPr>
      </w:r>
      <w:r>
        <w:rPr>
          <w:spacing w:val="-2"/>
        </w:rPr>
        <w:t>强软件、标准等基础支撑能力，着力提升集成应用水平，着力探索培育新模式，着力营造良好发展环境，为培育经济增长新</w:t>
      </w:r>
      <w:r>
        <w:rPr>
          <w:spacing w:val="-67"/>
        </w:rPr>
        <w:t> </w:t>
      </w:r>
      <w:r>
        <w:rPr>
          <w:spacing w:val="-67"/>
        </w:rPr>
      </w:r>
      <w:r>
        <w:rPr>
          <w:spacing w:val="-2"/>
        </w:rPr>
        <w:t>动能、打造我国制造业竞争新优势、建设制造强国奠定扎实基础。此外，此发展规划明确了推进智能制造发展实施</w:t>
      </w:r>
      <w:r>
        <w:rPr>
          <w:rFonts w:ascii="Times New Roman" w:hAnsi="Times New Roman" w:cs="Times New Roman" w:eastAsia="Times New Roman" w:hint="default"/>
          <w:spacing w:val="-2"/>
        </w:rPr>
        <w:t>“</w:t>
      </w:r>
      <w:r>
        <w:rPr>
          <w:spacing w:val="-2"/>
        </w:rPr>
        <w:t>两步走</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 </w:t>
      </w:r>
      <w:r>
        <w:rPr>
          <w:spacing w:val="-2"/>
        </w:rPr>
        <w:t>战略：到</w:t>
      </w:r>
      <w:r>
        <w:rPr>
          <w:rFonts w:ascii="Times New Roman" w:hAnsi="Times New Roman" w:cs="Times New Roman" w:eastAsia="Times New Roman" w:hint="default"/>
          <w:spacing w:val="-2"/>
        </w:rPr>
        <w:t>2020</w:t>
      </w:r>
      <w:r>
        <w:rPr>
          <w:spacing w:val="-2"/>
        </w:rPr>
        <w:t>年，智能制造发展基础和支撑能力明显增强，传统制造业重点领域基本实现数字化制造，有条件、有基础的重</w:t>
      </w:r>
      <w:r>
        <w:rPr>
          <w:spacing w:val="-65"/>
        </w:rPr>
        <w:t> </w:t>
      </w:r>
      <w:r>
        <w:rPr>
          <w:spacing w:val="-65"/>
        </w:rPr>
      </w:r>
      <w:r>
        <w:rPr/>
        <w:t>点产业智能转型取得明显进展；到</w:t>
      </w:r>
      <w:r>
        <w:rPr>
          <w:rFonts w:ascii="Times New Roman" w:hAnsi="Times New Roman" w:cs="Times New Roman" w:eastAsia="Times New Roman" w:hint="default"/>
        </w:rPr>
        <w:t>2025</w:t>
      </w:r>
      <w:r>
        <w:rPr/>
        <w:t>年，智能制造支撑体系基本建立，重点产业初步实现智能转型。</w:t>
      </w:r>
    </w:p>
    <w:p>
      <w:pPr>
        <w:pStyle w:val="BodyText"/>
        <w:spacing w:line="300" w:lineRule="auto" w:before="7"/>
        <w:ind w:right="1128" w:firstLine="360"/>
        <w:jc w:val="both"/>
      </w:pPr>
      <w:r>
        <w:rPr>
          <w:rFonts w:ascii="宋体" w:hAnsi="宋体" w:cs="宋体" w:eastAsia="宋体" w:hint="default"/>
          <w:b/>
          <w:bCs/>
        </w:rPr>
        <w:t>互联网综合服务行业：</w:t>
      </w:r>
      <w:r>
        <w:rPr/>
        <w:t>一方面，随着</w:t>
      </w:r>
      <w:r>
        <w:rPr>
          <w:rFonts w:ascii="Times New Roman" w:hAnsi="Times New Roman" w:cs="Times New Roman" w:eastAsia="Times New Roman" w:hint="default"/>
        </w:rPr>
        <w:t>5G</w:t>
      </w:r>
      <w:r>
        <w:rPr/>
        <w:t>时代的来临和云游戏的发展，中国游戏市场尤其是移动游戏市场仍具有较大的 增长潜力，根据 </w:t>
      </w:r>
      <w:r>
        <w:rPr>
          <w:rFonts w:ascii="Times New Roman" w:hAnsi="Times New Roman" w:cs="Times New Roman" w:eastAsia="Times New Roman" w:hint="default"/>
        </w:rPr>
        <w:t>NewZoo</w:t>
      </w:r>
      <w:r>
        <w:rPr>
          <w:rFonts w:ascii="Times New Roman" w:hAnsi="Times New Roman" w:cs="Times New Roman" w:eastAsia="Times New Roman" w:hint="default"/>
          <w:spacing w:val="8"/>
        </w:rPr>
        <w:t> </w:t>
      </w:r>
      <w:r>
        <w:rPr/>
        <w:t>发布的数据，中国已经成为全球最大的游戏市场，</w:t>
      </w:r>
      <w:r>
        <w:rPr>
          <w:rFonts w:ascii="Times New Roman" w:hAnsi="Times New Roman" w:cs="Times New Roman" w:eastAsia="Times New Roman" w:hint="default"/>
        </w:rPr>
        <w:t>2018</w:t>
      </w:r>
      <w:r>
        <w:rPr/>
        <w:t>年中国游戏市场的规模将在全球市场占比 </w:t>
      </w:r>
      <w:r>
        <w:rPr>
          <w:spacing w:val="-3"/>
        </w:rPr>
        <w:t>达到</w:t>
      </w:r>
      <w:r>
        <w:rPr>
          <w:rFonts w:ascii="Times New Roman" w:hAnsi="Times New Roman" w:cs="Times New Roman" w:eastAsia="Times New Roman" w:hint="default"/>
          <w:spacing w:val="-3"/>
        </w:rPr>
        <w:t>28%</w:t>
      </w:r>
      <w:r>
        <w:rPr>
          <w:spacing w:val="-3"/>
        </w:rPr>
        <w:t>，其中手游是最主要的驱动力，</w:t>
      </w:r>
      <w:r>
        <w:rPr>
          <w:rFonts w:ascii="Times New Roman" w:hAnsi="Times New Roman" w:cs="Times New Roman" w:eastAsia="Times New Roman" w:hint="default"/>
          <w:spacing w:val="-3"/>
        </w:rPr>
        <w:t>2018</w:t>
      </w:r>
      <w:r>
        <w:rPr>
          <w:spacing w:val="-3"/>
        </w:rPr>
        <w:t>年将会占中国游戏市场规模</w:t>
      </w:r>
      <w:r>
        <w:rPr>
          <w:rFonts w:ascii="Times New Roman" w:hAnsi="Times New Roman" w:cs="Times New Roman" w:eastAsia="Times New Roman" w:hint="default"/>
          <w:spacing w:val="-3"/>
        </w:rPr>
        <w:t>61%</w:t>
      </w:r>
      <w:r>
        <w:rPr>
          <w:spacing w:val="-3"/>
        </w:rPr>
        <w:t>的份额，到</w:t>
      </w:r>
      <w:r>
        <w:rPr>
          <w:rFonts w:ascii="Times New Roman" w:hAnsi="Times New Roman" w:cs="Times New Roman" w:eastAsia="Times New Roman" w:hint="default"/>
          <w:spacing w:val="-3"/>
        </w:rPr>
        <w:t>2021</w:t>
      </w:r>
      <w:r>
        <w:rPr>
          <w:spacing w:val="-3"/>
        </w:rPr>
        <w:t>年，该比例预计会提高到</w:t>
      </w:r>
      <w:r>
        <w:rPr>
          <w:rFonts w:ascii="Times New Roman" w:hAnsi="Times New Roman" w:cs="Times New Roman" w:eastAsia="Times New Roman" w:hint="default"/>
          <w:spacing w:val="-3"/>
        </w:rPr>
        <w:t>70%</w:t>
      </w:r>
      <w:r>
        <w:rPr>
          <w:spacing w:val="-3"/>
        </w:rPr>
        <w:t>。</w:t>
      </w:r>
      <w:r>
        <w:rPr>
          <w:spacing w:val="-82"/>
        </w:rPr>
        <w:t> </w:t>
      </w:r>
      <w:r>
        <w:rPr>
          <w:spacing w:val="-1"/>
        </w:rPr>
        <w:t>同时</w:t>
      </w:r>
      <w:r>
        <w:rPr>
          <w:rFonts w:ascii="Times New Roman" w:hAnsi="Times New Roman" w:cs="Times New Roman" w:eastAsia="Times New Roman" w:hint="default"/>
          <w:spacing w:val="-1"/>
        </w:rPr>
        <w:t>Newzoo</w:t>
      </w:r>
      <w:r>
        <w:rPr>
          <w:spacing w:val="-1"/>
        </w:rPr>
        <w:t>预计</w:t>
      </w:r>
      <w:r>
        <w:rPr>
          <w:rFonts w:ascii="Times New Roman" w:hAnsi="Times New Roman" w:cs="Times New Roman" w:eastAsia="Times New Roman" w:hint="default"/>
          <w:spacing w:val="-1"/>
        </w:rPr>
        <w:t>2019</w:t>
      </w:r>
      <w:r>
        <w:rPr>
          <w:spacing w:val="-1"/>
        </w:rPr>
        <w:t>年全球将有超过</w:t>
      </w:r>
      <w:r>
        <w:rPr>
          <w:rFonts w:ascii="Times New Roman" w:hAnsi="Times New Roman" w:cs="Times New Roman" w:eastAsia="Times New Roman" w:hint="default"/>
          <w:spacing w:val="-1"/>
        </w:rPr>
        <w:t>24</w:t>
      </w:r>
      <w:r>
        <w:rPr>
          <w:spacing w:val="-1"/>
        </w:rPr>
        <w:t>亿人玩游戏，全球游戏产业将在</w:t>
      </w:r>
      <w:r>
        <w:rPr>
          <w:rFonts w:ascii="Times New Roman" w:hAnsi="Times New Roman" w:cs="Times New Roman" w:eastAsia="Times New Roman" w:hint="default"/>
          <w:spacing w:val="-1"/>
        </w:rPr>
        <w:t>2019</w:t>
      </w:r>
      <w:r>
        <w:rPr>
          <w:spacing w:val="-1"/>
        </w:rPr>
        <w:t>年创造</w:t>
      </w:r>
      <w:r>
        <w:rPr>
          <w:rFonts w:ascii="Times New Roman" w:hAnsi="Times New Roman" w:cs="Times New Roman" w:eastAsia="Times New Roman" w:hint="default"/>
          <w:spacing w:val="-1"/>
        </w:rPr>
        <w:t>1,480</w:t>
      </w:r>
      <w:r>
        <w:rPr>
          <w:spacing w:val="-1"/>
        </w:rPr>
        <w:t>亿美元的收入，移动游戏收入将再</w:t>
      </w:r>
      <w:r>
        <w:rPr>
          <w:spacing w:val="-40"/>
        </w:rPr>
        <w:t> </w:t>
      </w:r>
      <w:r>
        <w:rPr>
          <w:spacing w:val="-40"/>
        </w:rPr>
      </w:r>
      <w:r>
        <w:rPr>
          <w:spacing w:val="-2"/>
        </w:rPr>
        <w:t>次大幅增长。另一方面，中国游戏行业监管制度在不断完善和严格，根据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月教育部、国家卫生健康委员会等</w:t>
      </w:r>
      <w:r>
        <w:rPr>
          <w:rFonts w:ascii="Times New Roman" w:hAnsi="Times New Roman" w:cs="Times New Roman" w:eastAsia="Times New Roman" w:hint="default"/>
          <w:spacing w:val="-2"/>
        </w:rPr>
        <w:t>8</w:t>
      </w:r>
      <w:r>
        <w:rPr>
          <w:spacing w:val="-2"/>
        </w:rPr>
        <w:t>部门联</w:t>
      </w:r>
      <w:r>
        <w:rPr>
          <w:spacing w:val="-61"/>
        </w:rPr>
        <w:t> </w:t>
      </w:r>
      <w:r>
        <w:rPr/>
        <w:t>合印发的《综合防控儿童青少年近视实施方案》和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月国务院办公厅发布的《完善促进消费体制机制实施方案</w:t>
      </w:r>
    </w:p>
    <w:p>
      <w:pPr>
        <w:pStyle w:val="BodyText"/>
        <w:spacing w:line="300" w:lineRule="auto" w:before="13"/>
        <w:ind w:right="0"/>
        <w:jc w:val="left"/>
      </w:pPr>
      <w:r>
        <w:rPr>
          <w:spacing w:val="-2"/>
        </w:rPr>
        <w:t>（</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2020</w:t>
      </w:r>
      <w:r>
        <w:rPr>
          <w:spacing w:val="-2"/>
        </w:rPr>
        <w:t>年）》，国家有关部门对互联网游戏的质量和数量控制都提出了更高的要求，版号审批重新启动后，推进网络</w:t>
      </w:r>
      <w:r>
        <w:rPr>
          <w:spacing w:val="-60"/>
        </w:rPr>
        <w:t> </w:t>
      </w:r>
      <w:r>
        <w:rPr>
          <w:spacing w:val="-60"/>
        </w:rPr>
      </w:r>
      <w:r>
        <w:rPr>
          <w:spacing w:val="-2"/>
        </w:rPr>
        <w:t>游戏转型升级、规范网络游戏研发出版运营、实施游戏总量调控是大概率事件。此外，</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月国家统计局公布了《战略</w:t>
      </w:r>
      <w:r>
        <w:rPr>
          <w:spacing w:val="-60"/>
        </w:rPr>
        <w:t> </w:t>
      </w:r>
      <w:r>
        <w:rPr>
          <w:spacing w:val="-60"/>
        </w:rPr>
      </w:r>
      <w:r>
        <w:rPr/>
        <w:t>性新兴产业分类（</w:t>
      </w:r>
      <w:r>
        <w:rPr>
          <w:rFonts w:ascii="Times New Roman" w:hAnsi="Times New Roman" w:cs="Times New Roman" w:eastAsia="Times New Roman" w:hint="default"/>
        </w:rPr>
        <w:t>2018</w:t>
      </w:r>
      <w:r>
        <w:rPr/>
        <w:t>）》，列明了战略性新兴产业中包括数字创意产业，其中</w:t>
      </w:r>
      <w:r>
        <w:rPr>
          <w:rFonts w:ascii="Times New Roman" w:hAnsi="Times New Roman" w:cs="Times New Roman" w:eastAsia="Times New Roman" w:hint="default"/>
        </w:rPr>
        <w:t>“</w:t>
      </w:r>
      <w:r>
        <w:rPr/>
        <w:t>动漫、数字游戏内容服务</w:t>
      </w:r>
      <w:r>
        <w:rPr>
          <w:rFonts w:ascii="Times New Roman" w:hAnsi="Times New Roman" w:cs="Times New Roman" w:eastAsia="Times New Roman" w:hint="default"/>
        </w:rPr>
        <w:t>”</w:t>
      </w:r>
      <w:r>
        <w:rPr/>
        <w:t>在其子目录中，</w:t>
      </w:r>
      <w:r>
        <w:rPr>
          <w:spacing w:val="-70"/>
        </w:rPr>
        <w:t> </w:t>
      </w:r>
      <w:r>
        <w:rPr/>
        <w:t>动漫、游戏数字内容服务首次上榜，有利于行业的健康稳定发展。</w:t>
      </w:r>
    </w:p>
    <w:p>
      <w:pPr>
        <w:pStyle w:val="BodyText"/>
        <w:spacing w:line="307" w:lineRule="auto" w:before="31"/>
        <w:ind w:right="1124" w:firstLine="360"/>
        <w:jc w:val="left"/>
      </w:pPr>
      <w:r>
        <w:rPr>
          <w:rFonts w:ascii="宋体" w:hAnsi="宋体" w:cs="宋体" w:eastAsia="宋体" w:hint="default"/>
          <w:b/>
          <w:bCs/>
        </w:rPr>
        <w:t>投资行业：</w:t>
      </w:r>
      <w:r>
        <w:rPr>
          <w:rFonts w:ascii="Times New Roman" w:hAnsi="Times New Roman" w:cs="Times New Roman" w:eastAsia="Times New Roman" w:hint="default"/>
        </w:rPr>
        <w:t>2018</w:t>
      </w:r>
      <w:r>
        <w:rPr/>
        <w:t>年中国国内生产总值突破</w:t>
      </w:r>
      <w:r>
        <w:rPr>
          <w:rFonts w:ascii="Times New Roman" w:hAnsi="Times New Roman" w:cs="Times New Roman" w:eastAsia="Times New Roman" w:hint="default"/>
        </w:rPr>
        <w:t>90</w:t>
      </w:r>
      <w:r>
        <w:rPr/>
        <w:t>万亿元，增长</w:t>
      </w:r>
      <w:r>
        <w:rPr>
          <w:rFonts w:ascii="Times New Roman" w:hAnsi="Times New Roman" w:cs="Times New Roman" w:eastAsia="Times New Roman" w:hint="default"/>
        </w:rPr>
        <w:t>6.6%</w:t>
      </w:r>
      <w:r>
        <w:rPr/>
        <w:t>，经济长期向好的基本面不断巩固和发展，经济实力跃 上新台阶。</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日，国家主席习近平出席首届中国国际进口博览会开幕式并发表题为《共建创新包容的开放型世界 </w:t>
      </w:r>
      <w:r>
        <w:rPr>
          <w:spacing w:val="-2"/>
        </w:rPr>
        <w:t>经济》的主旨演讲，宣布增设中国上海自由贸易试验区的新片区，在上海证券交易所设立科创板并试点注册制。</w:t>
      </w:r>
      <w:r>
        <w:rPr>
          <w:rFonts w:ascii="Times New Roman" w:hAnsi="Times New Roman" w:cs="Times New Roman" w:eastAsia="Times New Roman" w:hint="default"/>
          <w:spacing w:val="-2"/>
        </w:rPr>
        <w:t>2018</w:t>
      </w:r>
      <w:r>
        <w:rPr>
          <w:spacing w:val="-2"/>
        </w:rPr>
        <w:t>年中国</w:t>
      </w:r>
      <w:r>
        <w:rPr>
          <w:spacing w:val="-59"/>
        </w:rPr>
        <w:t> </w:t>
      </w:r>
      <w:r>
        <w:rPr>
          <w:spacing w:val="-59"/>
        </w:rPr>
      </w:r>
      <w:r>
        <w:rPr>
          <w:spacing w:val="-2"/>
        </w:rPr>
        <w:t>证监会在上市公司并购重组领域推出了一系列服务举措，如针对小额并购交易推出快速审核通道、明确在并购重组中定向可</w:t>
      </w:r>
      <w:r>
        <w:rPr>
          <w:spacing w:val="-64"/>
        </w:rPr>
        <w:t> </w:t>
      </w:r>
      <w:r>
        <w:rPr>
          <w:spacing w:val="-64"/>
        </w:rPr>
      </w:r>
      <w:r>
        <w:rPr>
          <w:spacing w:val="-2"/>
        </w:rPr>
        <w:t>转换债券可作为支付工具、允许募集配套资金用于补充流动资金和偿还债务等，大大简化了审批程序，增加了并购交易的谈</w:t>
      </w:r>
      <w:r>
        <w:rPr>
          <w:spacing w:val="-63"/>
        </w:rPr>
        <w:t> </w:t>
      </w:r>
      <w:r>
        <w:rPr>
          <w:spacing w:val="-63"/>
        </w:rPr>
      </w:r>
      <w:r>
        <w:rPr>
          <w:spacing w:val="-2"/>
        </w:rPr>
        <w:t>判弹性，有利于缓解上市公司现金压力及大股东股权稀释风险，丰富并购重组的支付方式和融资渠道，充分发挥并购重组在</w:t>
      </w:r>
      <w:r>
        <w:rPr>
          <w:spacing w:val="-63"/>
        </w:rPr>
        <w:t> </w:t>
      </w:r>
      <w:r>
        <w:rPr>
          <w:spacing w:val="-63"/>
        </w:rPr>
      </w:r>
      <w:r>
        <w:rPr/>
        <w:t>上市公司发展中优化资源配置的功效、有利于上市公司不断做大做强和保持长久发展活力。</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日，银保监会正式 </w:t>
      </w:r>
      <w:r>
        <w:rPr>
          <w:spacing w:val="-2"/>
        </w:rPr>
        <w:t>发布实施的《商业银行理财子公司管理办法》，此举有助于培育和壮大机构投资者队伍，引导理财资金以合法、规范形式进</w:t>
      </w:r>
      <w:r>
        <w:rPr>
          <w:spacing w:val="-67"/>
        </w:rPr>
        <w:t> </w:t>
      </w:r>
      <w:r>
        <w:rPr>
          <w:spacing w:val="-67"/>
        </w:rPr>
      </w:r>
      <w:r>
        <w:rPr>
          <w:spacing w:val="-5"/>
        </w:rPr>
        <w:t>入金融市场和支持实体经济发展。此外，</w:t>
      </w:r>
      <w:r>
        <w:rPr>
          <w:rFonts w:ascii="Times New Roman" w:hAnsi="Times New Roman" w:cs="Times New Roman" w:eastAsia="Times New Roman" w:hint="default"/>
          <w:spacing w:val="-5"/>
        </w:rPr>
        <w:t>2018</w:t>
      </w:r>
      <w:r>
        <w:rPr>
          <w:spacing w:val="-5"/>
        </w:rPr>
        <w:t>年以来，养老金体系建设不断提速，为资本市场健康发展提供源头活水；央行、</w:t>
      </w:r>
      <w:r>
        <w:rPr>
          <w:spacing w:val="-68"/>
        </w:rPr>
        <w:t> </w:t>
      </w:r>
      <w:r>
        <w:rPr>
          <w:spacing w:val="-68"/>
        </w:rPr>
      </w:r>
      <w:r>
        <w:rPr>
          <w:spacing w:val="-2"/>
        </w:rPr>
        <w:t>银保监会、证监会以及其他相关部门研究出台一系列改革措施提振市场信心，形成新的制度安排和政策工具，要求金融机构</w:t>
      </w:r>
    </w:p>
    <w:p>
      <w:pPr>
        <w:spacing w:after="0" w:line="307" w:lineRule="auto"/>
        <w:jc w:val="left"/>
        <w:sectPr>
          <w:headerReference w:type="default" r:id="rId16"/>
          <w:footerReference w:type="default" r:id="rId17"/>
          <w:pgSz w:w="11910" w:h="16840"/>
          <w:pgMar w:header="877" w:footer="979" w:top="1100" w:bottom="1160" w:left="980" w:right="0"/>
          <w:pgNumType w:start="32"/>
        </w:sectPr>
      </w:pPr>
    </w:p>
    <w:p>
      <w:pPr>
        <w:spacing w:line="240" w:lineRule="auto" w:before="11"/>
        <w:rPr>
          <w:rFonts w:ascii="宋体" w:hAnsi="宋体" w:cs="宋体" w:eastAsia="宋体" w:hint="default"/>
          <w:sz w:val="21"/>
          <w:szCs w:val="21"/>
        </w:rPr>
      </w:pPr>
    </w:p>
    <w:p>
      <w:pPr>
        <w:pStyle w:val="BodyText"/>
        <w:spacing w:line="316" w:lineRule="auto" w:before="44"/>
        <w:ind w:right="1132"/>
        <w:jc w:val="left"/>
      </w:pPr>
      <w:r>
        <w:rPr>
          <w:spacing w:val="-2"/>
        </w:rPr>
        <w:t>科学合理做好股权质押融资业务风险管理，鼓励地方政府管理的基金、私募股权基金帮助有发展前景的公司纾解股权质押困</w:t>
      </w:r>
      <w:r>
        <w:rPr>
          <w:spacing w:val="-64"/>
        </w:rPr>
        <w:t> </w:t>
      </w:r>
      <w:r>
        <w:rPr>
          <w:spacing w:val="-64"/>
        </w:rPr>
      </w:r>
      <w:r>
        <w:rPr/>
        <w:t>难，促进证券市场健康发展。</w:t>
      </w:r>
    </w:p>
    <w:p>
      <w:pPr>
        <w:pStyle w:val="BodyText"/>
        <w:spacing w:line="300" w:lineRule="auto" w:before="19"/>
        <w:ind w:left="513" w:right="1127"/>
        <w:jc w:val="left"/>
      </w:pPr>
      <w:r>
        <w:rPr>
          <w:rFonts w:ascii="Times New Roman" w:hAnsi="Times New Roman" w:cs="Times New Roman" w:eastAsia="Times New Roman" w:hint="default"/>
          <w:b/>
          <w:bCs/>
        </w:rPr>
        <w:t>2</w:t>
      </w:r>
      <w:r>
        <w:rPr>
          <w:rFonts w:ascii="宋体" w:hAnsi="宋体" w:cs="宋体" w:eastAsia="宋体" w:hint="default"/>
          <w:b/>
          <w:bCs/>
        </w:rPr>
        <w:t>、公司未来发展战略</w:t>
      </w:r>
      <w:r>
        <w:rPr>
          <w:rFonts w:ascii="宋体" w:hAnsi="宋体" w:cs="宋体" w:eastAsia="宋体" w:hint="default"/>
          <w:b/>
          <w:bCs/>
          <w:w w:val="99"/>
        </w:rPr>
        <w:t> </w:t>
      </w:r>
      <w:r>
        <w:rPr>
          <w:spacing w:val="-1"/>
        </w:rPr>
        <w:t>公司已形成</w:t>
      </w:r>
      <w:r>
        <w:rPr>
          <w:rFonts w:ascii="Times New Roman" w:hAnsi="Times New Roman" w:cs="Times New Roman" w:eastAsia="Times New Roman" w:hint="default"/>
          <w:spacing w:val="-1"/>
        </w:rPr>
        <w:t>“</w:t>
      </w:r>
      <w:r>
        <w:rPr>
          <w:spacing w:val="-1"/>
        </w:rPr>
        <w:t>高端智能制造</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互联网综合服务</w:t>
      </w:r>
      <w:r>
        <w:rPr>
          <w:rFonts w:ascii="Times New Roman" w:hAnsi="Times New Roman" w:cs="Times New Roman" w:eastAsia="Times New Roman" w:hint="default"/>
          <w:spacing w:val="-1"/>
        </w:rPr>
        <w:t>”</w:t>
      </w:r>
      <w:r>
        <w:rPr>
          <w:spacing w:val="-1"/>
        </w:rPr>
        <w:t>双轮驱动的多业务板块支撑格局，未来将利用自身核心技术和持续创新</w:t>
      </w:r>
    </w:p>
    <w:p>
      <w:pPr>
        <w:pStyle w:val="BodyText"/>
        <w:spacing w:line="307" w:lineRule="auto" w:before="13"/>
        <w:ind w:right="1034"/>
        <w:jc w:val="left"/>
      </w:pPr>
      <w:r>
        <w:rPr/>
        <w:t>能力，加大自主研发力度，将低附加值竞争力弱的产品转变为适应并引领市场需求的智能化高附加值产品，探索轻资产化、</w:t>
      </w:r>
      <w:r>
        <w:rPr>
          <w:spacing w:val="-85"/>
        </w:rPr>
        <w:t> </w:t>
      </w:r>
      <w:r>
        <w:rPr>
          <w:spacing w:val="-85"/>
        </w:rPr>
      </w:r>
      <w:r>
        <w:rPr/>
        <w:t>重自主研发的新商业模式；还将充分发挥投资业务对产业发展的促进作用，按照发展战略寻找</w:t>
      </w:r>
      <w:r>
        <w:rPr>
          <w:rFonts w:ascii="Times New Roman" w:hAnsi="Times New Roman" w:cs="Times New Roman" w:eastAsia="Times New Roman" w:hint="default"/>
        </w:rPr>
        <w:t>“</w:t>
      </w:r>
      <w:r>
        <w:rPr/>
        <w:t>高端智能制造</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互联网综 合服务</w:t>
      </w:r>
      <w:r>
        <w:rPr>
          <w:rFonts w:ascii="Times New Roman" w:hAnsi="Times New Roman" w:cs="Times New Roman" w:eastAsia="Times New Roman" w:hint="default"/>
        </w:rPr>
        <w:t>”</w:t>
      </w:r>
      <w:r>
        <w:rPr/>
        <w:t>领域的优质标的，夯实产业基础并延伸生产链条，以进一步完善公司产业布局，寻求更多的发展机会，增强公司的 竞争力，改善公司产品质量和经营业绩，维护广大投资者利益。</w:t>
      </w:r>
    </w:p>
    <w:p>
      <w:pPr>
        <w:pStyle w:val="Heading4"/>
        <w:spacing w:line="240" w:lineRule="auto" w:before="26"/>
        <w:ind w:right="1133"/>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年度经营计划</w:t>
      </w:r>
      <w:r>
        <w:rPr>
          <w:b w:val="0"/>
          <w:bCs w:val="0"/>
        </w:rPr>
      </w:r>
    </w:p>
    <w:p>
      <w:pPr>
        <w:pStyle w:val="BodyText"/>
        <w:spacing w:line="312" w:lineRule="auto" w:before="63"/>
        <w:ind w:right="1129" w:firstLine="360"/>
        <w:jc w:val="both"/>
      </w:pPr>
      <w:r>
        <w:rPr>
          <w:rFonts w:ascii="Times New Roman" w:hAnsi="Times New Roman" w:cs="Times New Roman" w:eastAsia="Times New Roman" w:hint="default"/>
          <w:spacing w:val="-2"/>
        </w:rPr>
        <w:t>2019</w:t>
      </w:r>
      <w:r>
        <w:rPr>
          <w:spacing w:val="-2"/>
        </w:rPr>
        <w:t>年公司将从治理理念、管理架构、资源配置等方面进一步提高治理水平和优化产业布局，实现变革创新，完善公司</w:t>
      </w:r>
      <w:r>
        <w:rPr/>
        <w:t> </w:t>
      </w:r>
      <w:r>
        <w:rPr>
          <w:spacing w:val="-2"/>
        </w:rPr>
        <w:t>各项业务的规范运作，提升自身的运营效率和核心竞争力，认真分析发展方向并抓住机遇，充分利用资本市场平台，深化高</w:t>
      </w:r>
      <w:r>
        <w:rPr>
          <w:spacing w:val="-63"/>
        </w:rPr>
        <w:t> </w:t>
      </w:r>
      <w:r>
        <w:rPr>
          <w:spacing w:val="-63"/>
        </w:rPr>
      </w:r>
      <w:r>
        <w:rPr>
          <w:spacing w:val="-2"/>
        </w:rPr>
        <w:t>端智能制造和互联网综合服务提供商的转型升级，提高自身品牌影响力，增强持续盈利能力和综合竞争力，保证公司稳健发</w:t>
      </w:r>
      <w:r>
        <w:rPr>
          <w:spacing w:val="-63"/>
        </w:rPr>
        <w:t> </w:t>
      </w:r>
      <w:r>
        <w:rPr>
          <w:spacing w:val="-63"/>
        </w:rPr>
      </w:r>
      <w:r>
        <w:rPr/>
        <w:t>展。</w:t>
      </w:r>
    </w:p>
    <w:p>
      <w:pPr>
        <w:pStyle w:val="BodyText"/>
        <w:spacing w:line="307" w:lineRule="auto" w:before="22"/>
        <w:ind w:right="1129" w:firstLine="360"/>
        <w:jc w:val="both"/>
      </w:pPr>
      <w:r>
        <w:rPr>
          <w:spacing w:val="-3"/>
        </w:rPr>
        <w:t>高端智能制造层面：公司将继续推进原有的电气设备业务发展，加大对配电设备一二次融合</w:t>
      </w:r>
      <w:r>
        <w:rPr>
          <w:rFonts w:ascii="Times New Roman" w:hAnsi="Times New Roman" w:cs="Times New Roman" w:eastAsia="Times New Roman" w:hint="default"/>
          <w:spacing w:val="-3"/>
        </w:rPr>
        <w:t>/</w:t>
      </w:r>
      <w:r>
        <w:rPr>
          <w:spacing w:val="-3"/>
        </w:rPr>
        <w:t>智能成套产品的研发力度，</w:t>
      </w:r>
      <w:r>
        <w:rPr/>
        <w:t> </w:t>
      </w:r>
      <w:r>
        <w:rPr>
          <w:spacing w:val="-2"/>
        </w:rPr>
        <w:t>继续借助</w:t>
      </w:r>
      <w:r>
        <w:rPr>
          <w:rFonts w:ascii="Times New Roman" w:hAnsi="Times New Roman" w:cs="Times New Roman" w:eastAsia="Times New Roman" w:hint="default"/>
          <w:spacing w:val="-2"/>
        </w:rPr>
        <w:t>20</w:t>
      </w:r>
      <w:r>
        <w:rPr>
          <w:spacing w:val="-2"/>
        </w:rPr>
        <w:t>年电气行业的深厚技术和客户资源，抓住电气设备智能化和信息化的物联网创新发展机遇，夯实电气业务基础并</w:t>
      </w:r>
      <w:r>
        <w:rPr>
          <w:spacing w:val="-63"/>
        </w:rPr>
        <w:t> </w:t>
      </w:r>
      <w:r>
        <w:rPr>
          <w:spacing w:val="-63"/>
        </w:rPr>
      </w:r>
      <w:r>
        <w:rPr>
          <w:spacing w:val="-2"/>
        </w:rPr>
        <w:t>实现向高端智能制造领域的战略转型；公司将以无人配送机器人的生产制造为切入点，同时深入加大对工业制造机器人的生</w:t>
      </w:r>
      <w:r>
        <w:rPr>
          <w:spacing w:val="-64"/>
        </w:rPr>
        <w:t> </w:t>
      </w:r>
      <w:r>
        <w:rPr>
          <w:spacing w:val="-64"/>
        </w:rPr>
      </w:r>
      <w:r>
        <w:rPr/>
        <w:t>产研发力度，加快对高端智能制造领域的深度开拓和发展。</w:t>
      </w:r>
    </w:p>
    <w:p>
      <w:pPr>
        <w:pStyle w:val="BodyText"/>
        <w:spacing w:line="312" w:lineRule="auto" w:before="26"/>
        <w:ind w:right="1042" w:firstLine="360"/>
        <w:jc w:val="both"/>
      </w:pPr>
      <w:r>
        <w:rPr>
          <w:spacing w:val="-2"/>
        </w:rPr>
        <w:t>互联网综合服务层面：公司将认真学习和领会各项监管政策及行业发展动态，保证产品内容的合法合规性，实现业务规</w:t>
      </w:r>
      <w:r>
        <w:rPr/>
        <w:t> 范运作。公司继续围绕</w:t>
      </w:r>
      <w:r>
        <w:rPr>
          <w:rFonts w:ascii="Times New Roman" w:hAnsi="Times New Roman" w:cs="Times New Roman" w:eastAsia="Times New Roman" w:hint="default"/>
        </w:rPr>
        <w:t>IP</w:t>
      </w:r>
      <w:r>
        <w:rPr/>
        <w:t>化，坚持既定的</w:t>
      </w:r>
      <w:r>
        <w:rPr>
          <w:rFonts w:ascii="Times New Roman" w:hAnsi="Times New Roman" w:cs="Times New Roman" w:eastAsia="Times New Roman" w:hint="default"/>
        </w:rPr>
        <w:t>“</w:t>
      </w:r>
      <w:r>
        <w:rPr/>
        <w:t>业务平台化、产品精细化、流量自主化、市场全球化</w:t>
      </w:r>
      <w:r>
        <w:rPr>
          <w:rFonts w:ascii="Times New Roman" w:hAnsi="Times New Roman" w:cs="Times New Roman" w:eastAsia="Times New Roman" w:hint="default"/>
        </w:rPr>
        <w:t>”</w:t>
      </w:r>
      <w:r>
        <w:rPr/>
        <w:t>的发展战略，同时注重</w:t>
      </w:r>
      <w:r>
        <w:rPr>
          <w:rFonts w:ascii="Times New Roman" w:hAnsi="Times New Roman" w:cs="Times New Roman" w:eastAsia="Times New Roman" w:hint="default"/>
        </w:rPr>
        <w:t>“</w:t>
      </w:r>
      <w:r>
        <w:rPr/>
        <w:t>研 运一体</w:t>
      </w:r>
      <w:r>
        <w:rPr>
          <w:rFonts w:ascii="Times New Roman" w:hAnsi="Times New Roman" w:cs="Times New Roman" w:eastAsia="Times New Roman" w:hint="default"/>
        </w:rPr>
        <w:t>”</w:t>
      </w:r>
      <w:r>
        <w:rPr/>
        <w:t>，持续加大产品研发投入和人才培养力度，充分调研市场并利用大数据以敏锐把握用户需求变化，增强自身研发能 </w:t>
      </w:r>
      <w:r>
        <w:rPr>
          <w:spacing w:val="-2"/>
        </w:rPr>
        <w:t>力，不断完善产品研发体系和产品类型，推出更多有质量、有内容、具有智能化和创新性的精品游戏，提高自研游戏产品的</w:t>
      </w:r>
      <w:r>
        <w:rPr>
          <w:spacing w:val="-67"/>
        </w:rPr>
        <w:t> </w:t>
      </w:r>
      <w:r>
        <w:rPr>
          <w:spacing w:val="-67"/>
        </w:rPr>
      </w:r>
      <w:r>
        <w:rPr>
          <w:spacing w:val="-2"/>
        </w:rPr>
        <w:t>占比和业绩贡献度；公司已构建一套较为成熟的流量精准营销的自主经营及分发模式，取得了一定的市场占有率，未来将进</w:t>
      </w:r>
      <w:r>
        <w:rPr>
          <w:spacing w:val="-63"/>
        </w:rPr>
        <w:t> </w:t>
      </w:r>
      <w:r>
        <w:rPr>
          <w:spacing w:val="-63"/>
        </w:rPr>
      </w:r>
      <w:r>
        <w:rPr>
          <w:spacing w:val="-2"/>
        </w:rPr>
        <w:t>一步充分利用大数据及云计算等核心手段，夯实业务基础；会充分利用上市公司的平台优势、品牌优势和资金优势，重点发</w:t>
      </w:r>
      <w:r>
        <w:rPr>
          <w:spacing w:val="-66"/>
        </w:rPr>
        <w:t> </w:t>
      </w:r>
      <w:r>
        <w:rPr>
          <w:spacing w:val="-66"/>
        </w:rPr>
      </w:r>
      <w:r>
        <w:rPr>
          <w:spacing w:val="-4"/>
        </w:rPr>
        <w:t>展国内市场同时还会不断拓展海外市场，也将根据行业的竞争态势及时调整业务发展节奏，以保持公司长久持续的发展潜力。</w:t>
      </w:r>
    </w:p>
    <w:p>
      <w:pPr>
        <w:pStyle w:val="BodyText"/>
        <w:spacing w:line="312" w:lineRule="auto" w:before="22"/>
        <w:ind w:right="1034" w:firstLine="360"/>
        <w:jc w:val="left"/>
      </w:pPr>
      <w:r>
        <w:rPr/>
        <w:t>投资层面：公司将重点加强投资业务的风险管控，明确投资方向，坚持价值投资理念，谋求投资业务的持续稳定发展， </w:t>
      </w:r>
      <w:r>
        <w:rPr>
          <w:spacing w:val="-2"/>
        </w:rPr>
        <w:t>公司将时刻关注最新的政策导向，充分利用股份、定向可转债等支付工具围绕智能制造业务和互联网综合服务行业上下游产</w:t>
      </w:r>
      <w:r>
        <w:rPr>
          <w:spacing w:val="-64"/>
        </w:rPr>
        <w:t> </w:t>
      </w:r>
      <w:r>
        <w:rPr>
          <w:spacing w:val="-64"/>
        </w:rPr>
      </w:r>
      <w:r>
        <w:rPr>
          <w:spacing w:val="-2"/>
        </w:rPr>
        <w:t>业链进行股权投资，充分发挥上市公司平台的投融资功效，以实现外延式发展，让资本驱动产业发展。</w:t>
      </w:r>
      <w:r>
        <w:rPr>
          <w:rFonts w:ascii="Times New Roman" w:hAnsi="Times New Roman" w:cs="Times New Roman" w:eastAsia="Times New Roman" w:hint="default"/>
          <w:spacing w:val="-2"/>
        </w:rPr>
        <w:t>2018</w:t>
      </w:r>
      <w:r>
        <w:rPr>
          <w:spacing w:val="-2"/>
        </w:rPr>
        <w:t>年下半年子公司</w:t>
      </w:r>
      <w:r>
        <w:rPr>
          <w:spacing w:val="-60"/>
        </w:rPr>
        <w:t> </w:t>
      </w:r>
      <w:r>
        <w:rPr>
          <w:spacing w:val="-60"/>
        </w:rPr>
      </w:r>
      <w:r>
        <w:rPr/>
        <w:t>已参与设立新的产业并购基金，公司未来还将考虑多种形式扩展公司产业链上下游的布局，逐步增强自身综合实力。</w:t>
      </w:r>
    </w:p>
    <w:p>
      <w:pPr>
        <w:pStyle w:val="Heading4"/>
        <w:spacing w:line="240" w:lineRule="auto" w:before="22"/>
        <w:ind w:right="1133"/>
        <w:jc w:val="left"/>
        <w:rPr>
          <w:b w:val="0"/>
          <w:bCs w:val="0"/>
        </w:rPr>
      </w:pPr>
      <w:r>
        <w:rPr>
          <w:rFonts w:ascii="Times New Roman" w:hAnsi="Times New Roman" w:cs="Times New Roman" w:eastAsia="Times New Roman" w:hint="default"/>
        </w:rPr>
        <w:t>4</w:t>
      </w:r>
      <w:r>
        <w:rPr/>
        <w:t>、可能面对的风险及解决方案</w:t>
      </w:r>
      <w:r>
        <w:rPr>
          <w:b w:val="0"/>
          <w:bCs w:val="0"/>
        </w:rPr>
      </w:r>
    </w:p>
    <w:p>
      <w:pPr>
        <w:pStyle w:val="BodyText"/>
        <w:spacing w:line="300" w:lineRule="auto" w:before="63"/>
        <w:ind w:left="513" w:right="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）行业政策变化风险</w:t>
      </w:r>
      <w:r>
        <w:rPr>
          <w:rFonts w:ascii="宋体" w:hAnsi="宋体" w:cs="宋体" w:eastAsia="宋体" w:hint="default"/>
          <w:b/>
          <w:bCs/>
          <w:w w:val="99"/>
        </w:rPr>
        <w:t> </w:t>
      </w:r>
      <w:r>
        <w:rPr>
          <w:spacing w:val="-2"/>
        </w:rPr>
        <w:t>受国家总体经济政策和宏观经济环境以及国家在电力基础设施的投资布局等方面因素影响，市场行业环境发生大幅波动</w:t>
      </w:r>
    </w:p>
    <w:p>
      <w:pPr>
        <w:pStyle w:val="BodyText"/>
        <w:spacing w:line="319" w:lineRule="auto" w:before="31"/>
        <w:ind w:right="1130"/>
        <w:jc w:val="both"/>
      </w:pPr>
      <w:r>
        <w:rPr>
          <w:spacing w:val="-2"/>
        </w:rPr>
        <w:t>可能造成公司电气业务收入较大波动。随着国家经济和电力设备行业的快速发展，输配电设备企业数量迅速增加，同时国外</w:t>
      </w:r>
      <w:r>
        <w:rPr>
          <w:spacing w:val="-63"/>
        </w:rPr>
        <w:t> </w:t>
      </w:r>
      <w:r>
        <w:rPr>
          <w:spacing w:val="-63"/>
        </w:rPr>
      </w:r>
      <w:r>
        <w:rPr>
          <w:spacing w:val="-2"/>
        </w:rPr>
        <w:t>输配电企业纷纷进入我国市场，导致供给增加、竞争加剧。公司将严格执行国家政策，紧跟市场，采取差异化产品战略，加</w:t>
      </w:r>
      <w:r>
        <w:rPr>
          <w:spacing w:val="-70"/>
        </w:rPr>
        <w:t> </w:t>
      </w:r>
      <w:r>
        <w:rPr>
          <w:spacing w:val="-70"/>
        </w:rPr>
      </w:r>
      <w:r>
        <w:rPr/>
        <w:t>快产品结构调整，提高产品智能化，优化生产管理流程，完善销售网络建设，切实提高公司竞争实力和抗风险能力。</w:t>
      </w:r>
    </w:p>
    <w:p>
      <w:pPr>
        <w:pStyle w:val="BodyText"/>
        <w:spacing w:line="312" w:lineRule="auto" w:before="17"/>
        <w:ind w:right="0" w:firstLine="360"/>
        <w:jc w:val="left"/>
      </w:pPr>
      <w:r>
        <w:rPr>
          <w:spacing w:val="-2"/>
        </w:rPr>
        <w:t>互联网行业受文化和新闻出版、工业信息等部门监管，尤其</w:t>
      </w:r>
      <w:r>
        <w:rPr>
          <w:rFonts w:ascii="Times New Roman" w:hAnsi="Times New Roman" w:cs="Times New Roman" w:eastAsia="Times New Roman" w:hint="default"/>
          <w:spacing w:val="-2"/>
        </w:rPr>
        <w:t>2018</w:t>
      </w:r>
      <w:r>
        <w:rPr>
          <w:spacing w:val="-2"/>
        </w:rPr>
        <w:t>年国家加强对互联网游戏行业的监管力度，暂停游戏版</w:t>
      </w:r>
      <w:r>
        <w:rPr/>
        <w:t> </w:t>
      </w:r>
      <w:r>
        <w:rPr>
          <w:spacing w:val="-2"/>
        </w:rPr>
        <w:t>号审批、控制未成年人上网时间等政策对游戏行业影响较大，致使</w:t>
      </w:r>
      <w:r>
        <w:rPr>
          <w:rFonts w:ascii="Times New Roman" w:hAnsi="Times New Roman" w:cs="Times New Roman" w:eastAsia="Times New Roman" w:hint="default"/>
          <w:spacing w:val="-2"/>
        </w:rPr>
        <w:t>2018</w:t>
      </w:r>
      <w:r>
        <w:rPr>
          <w:spacing w:val="-2"/>
        </w:rPr>
        <w:t>年部分游戏公司出现推出游戏产品减少、上线时间延</w:t>
      </w:r>
      <w:r>
        <w:rPr>
          <w:spacing w:val="-60"/>
        </w:rPr>
        <w:t> </w:t>
      </w:r>
      <w:r>
        <w:rPr>
          <w:spacing w:val="-60"/>
        </w:rPr>
      </w:r>
      <w:r>
        <w:rPr>
          <w:spacing w:val="-2"/>
        </w:rPr>
        <w:t>迟等情况，进而出现业绩同比下滑的情况。限制版号的数量对于研发实力强劲且符合国家相关规范的研发团队来说，无疑是</w:t>
      </w:r>
      <w:r>
        <w:rPr>
          <w:spacing w:val="-62"/>
        </w:rPr>
        <w:t> </w:t>
      </w:r>
      <w:r>
        <w:rPr>
          <w:spacing w:val="-62"/>
        </w:rPr>
      </w:r>
      <w:r>
        <w:rPr>
          <w:spacing w:val="-2"/>
        </w:rPr>
        <w:t>一利好消息，限制行业的粗制滥造，肃清竞争环境，能够给以产品品质为核心的一流团队提供真正公平的竞争环境。哆可梦</w:t>
      </w:r>
      <w:r>
        <w:rPr>
          <w:spacing w:val="-62"/>
        </w:rPr>
        <w:t> </w:t>
      </w:r>
      <w:r>
        <w:rPr>
          <w:spacing w:val="-62"/>
        </w:rPr>
      </w:r>
      <w:r>
        <w:rPr>
          <w:spacing w:val="-2"/>
        </w:rPr>
        <w:t>自身具备较强的研发实力和精细化运营经验，已在国内游戏市场占据一席之地，所运营游戏产品不涉及棋牌类、主要玩家为</w:t>
      </w:r>
      <w:r>
        <w:rPr>
          <w:spacing w:val="-63"/>
        </w:rPr>
        <w:t> </w:t>
      </w:r>
      <w:r>
        <w:rPr>
          <w:spacing w:val="-63"/>
        </w:rPr>
      </w:r>
      <w:r>
        <w:rPr>
          <w:spacing w:val="-2"/>
        </w:rPr>
        <w:t>成年人，并且在</w:t>
      </w:r>
      <w:r>
        <w:rPr>
          <w:rFonts w:ascii="Times New Roman" w:hAnsi="Times New Roman" w:cs="Times New Roman" w:eastAsia="Times New Roman" w:hint="default"/>
          <w:spacing w:val="-2"/>
        </w:rPr>
        <w:t>2018</w:t>
      </w:r>
      <w:r>
        <w:rPr>
          <w:spacing w:val="-2"/>
        </w:rPr>
        <w:t>年底游戏版号恢复正常审批后已经获得了数款版号；针对国家对青少年保护的一系列举措，哆可梦在研</w:t>
      </w:r>
      <w:r>
        <w:rPr>
          <w:spacing w:val="-61"/>
        </w:rPr>
        <w:t> </w:t>
      </w:r>
      <w:r>
        <w:rPr>
          <w:spacing w:val="-61"/>
        </w:rPr>
      </w:r>
      <w:r>
        <w:rPr>
          <w:spacing w:val="-2"/>
        </w:rPr>
        <w:t>发上注重推出对我国青少年儿童身心健康发展的有益产品及内容，在游戏内树立正确的世界观、价值观，投放运营中对未成</w:t>
      </w:r>
      <w:r>
        <w:rPr>
          <w:spacing w:val="-66"/>
        </w:rPr>
        <w:t> </w:t>
      </w:r>
      <w:r>
        <w:rPr>
          <w:spacing w:val="-66"/>
        </w:rPr>
      </w:r>
      <w:r>
        <w:rPr/>
        <w:t>年人作出隔绝和限制，以符合</w:t>
      </w:r>
      <w:r>
        <w:rPr>
          <w:rFonts w:ascii="宋体" w:hAnsi="宋体" w:cs="宋体" w:eastAsia="宋体" w:hint="default"/>
        </w:rPr>
        <w:t>18</w:t>
      </w:r>
      <w:r>
        <w:rPr/>
        <w:t>周岁为限制准入条件，这些都将有助于在行业竞争中占据优势，因此，哆可梦业务在</w:t>
      </w:r>
      <w:r>
        <w:rPr>
          <w:rFonts w:ascii="宋体" w:hAnsi="宋体" w:cs="宋体" w:eastAsia="宋体" w:hint="default"/>
        </w:rPr>
        <w:t>2018</w:t>
      </w:r>
      <w:r>
        <w:rPr>
          <w:rFonts w:ascii="宋体" w:hAnsi="宋体" w:cs="宋体" w:eastAsia="宋体" w:hint="default"/>
          <w:spacing w:val="-87"/>
        </w:rPr>
        <w:t> </w:t>
      </w:r>
      <w:r>
        <w:rPr>
          <w:rFonts w:ascii="宋体" w:hAnsi="宋体" w:cs="宋体" w:eastAsia="宋体" w:hint="default"/>
          <w:spacing w:val="-87"/>
        </w:rPr>
      </w:r>
      <w:r>
        <w:rPr>
          <w:spacing w:val="-2"/>
        </w:rPr>
        <w:t>年实现了快速发展，超额完成</w:t>
      </w:r>
      <w:r>
        <w:rPr>
          <w:rFonts w:ascii="宋体" w:hAnsi="宋体" w:cs="宋体" w:eastAsia="宋体" w:hint="default"/>
          <w:spacing w:val="-2"/>
        </w:rPr>
        <w:t>2018</w:t>
      </w:r>
      <w:r>
        <w:rPr>
          <w:spacing w:val="-2"/>
        </w:rPr>
        <w:t>年度业绩承诺，但是公司将密切关注相关行业政策发展的动态，加强对行业政策变化的分</w:t>
      </w:r>
      <w:r>
        <w:rPr>
          <w:spacing w:val="-63"/>
        </w:rPr>
        <w:t> </w:t>
      </w:r>
      <w:r>
        <w:rPr>
          <w:spacing w:val="-63"/>
        </w:rPr>
      </w:r>
      <w:r>
        <w:rPr>
          <w:spacing w:val="-2"/>
        </w:rPr>
        <w:t>析，并针对行业政策变化及时调整公司的经营策略，在充分把握当前监管政策精神及行业发展趋势的前提下，加强对优质游</w:t>
      </w:r>
    </w:p>
    <w:p>
      <w:pPr>
        <w:spacing w:after="0" w:line="312"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30"/>
        <w:jc w:val="both"/>
      </w:pPr>
      <w:r>
        <w:rPr/>
        <w:t>戏产品内容的研发，提升市场竞争实力。此外，哆可梦作为国内</w:t>
      </w:r>
      <w:r>
        <w:rPr>
          <w:rFonts w:ascii="宋体" w:hAnsi="宋体" w:cs="宋体" w:eastAsia="宋体" w:hint="default"/>
        </w:rPr>
        <w:t>A</w:t>
      </w:r>
      <w:r>
        <w:rPr/>
        <w:t>股上市公司的控股子公司，具备较强的产品研发实力和精 </w:t>
      </w:r>
      <w:r>
        <w:rPr>
          <w:spacing w:val="-2"/>
        </w:rPr>
        <w:t>细化运营经验，已在国内游戏市场占据一席之地，同时借助于母公司的上市公司资本平台，亦具备较强的融资能力和资信条</w:t>
      </w:r>
      <w:r>
        <w:rPr>
          <w:spacing w:val="-63"/>
        </w:rPr>
        <w:t> </w:t>
      </w:r>
      <w:r>
        <w:rPr>
          <w:spacing w:val="-63"/>
        </w:rPr>
      </w:r>
      <w:r>
        <w:rPr/>
        <w:t>件，有利于业务发展。</w:t>
      </w:r>
    </w:p>
    <w:p>
      <w:pPr>
        <w:pStyle w:val="BodyText"/>
        <w:spacing w:line="300" w:lineRule="auto" w:before="19"/>
        <w:ind w:left="513" w:right="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）业务转型和整合风险</w:t>
      </w:r>
      <w:r>
        <w:rPr>
          <w:rFonts w:ascii="宋体" w:hAnsi="宋体" w:cs="宋体" w:eastAsia="宋体" w:hint="default"/>
          <w:b/>
          <w:bCs/>
          <w:w w:val="99"/>
        </w:rPr>
        <w:t> </w:t>
      </w:r>
      <w:r>
        <w:rPr>
          <w:spacing w:val="-2"/>
        </w:rPr>
        <w:t>公司通过收购哆可梦已成功布局互联网文化娱乐产业，公司增加基于大数据精细化营销的流量经营业务和移动游戏的研</w:t>
      </w:r>
    </w:p>
    <w:p>
      <w:pPr>
        <w:pStyle w:val="BodyText"/>
        <w:spacing w:line="316" w:lineRule="auto" w:before="31"/>
        <w:ind w:right="1130"/>
        <w:jc w:val="both"/>
      </w:pPr>
      <w:r>
        <w:rPr>
          <w:spacing w:val="-2"/>
        </w:rPr>
        <w:t>发、发行及游戏平台的运营业务，实现公司产业转型和升级，哆可梦为公司业绩增长的贡献度已凸显，但公司原有主业与哆</w:t>
      </w:r>
      <w:r>
        <w:rPr>
          <w:spacing w:val="-65"/>
        </w:rPr>
        <w:t> </w:t>
      </w:r>
      <w:r>
        <w:rPr>
          <w:spacing w:val="-65"/>
        </w:rPr>
      </w:r>
      <w:r>
        <w:rPr>
          <w:spacing w:val="-2"/>
        </w:rPr>
        <w:t>可梦业务分属不同行业，在行业监管、商业管理、公司管理制度、企业文化等经营管理方面存在差异，此外公司还围绕高端</w:t>
      </w:r>
      <w:r>
        <w:rPr>
          <w:spacing w:val="-66"/>
        </w:rPr>
        <w:t> </w:t>
      </w:r>
      <w:r>
        <w:rPr>
          <w:spacing w:val="-66"/>
        </w:rPr>
      </w:r>
      <w:r>
        <w:rPr>
          <w:spacing w:val="-2"/>
        </w:rPr>
        <w:t>智能制造和互联网综合服务投资了一些初创型企业，这些企业尚未实现盈利，且与公司在业务成熟度、治理规范化等方面存</w:t>
      </w:r>
      <w:r>
        <w:rPr>
          <w:spacing w:val="-63"/>
        </w:rPr>
        <w:t> </w:t>
      </w:r>
      <w:r>
        <w:rPr>
          <w:spacing w:val="-63"/>
        </w:rPr>
      </w:r>
      <w:r>
        <w:rPr>
          <w:spacing w:val="-2"/>
        </w:rPr>
        <w:t>在较大差异，公司与哆可梦等被投企业之间的整合能否完全达到预期尚存在一定的不确定性，未来业务整合还需要再进一步</w:t>
      </w:r>
      <w:r>
        <w:rPr>
          <w:spacing w:val="-63"/>
        </w:rPr>
        <w:t> </w:t>
      </w:r>
      <w:r>
        <w:rPr>
          <w:spacing w:val="-63"/>
        </w:rPr>
      </w:r>
      <w:r>
        <w:rPr/>
        <w:t>深化。</w:t>
      </w:r>
    </w:p>
    <w:p>
      <w:pPr>
        <w:pStyle w:val="BodyText"/>
        <w:spacing w:line="319" w:lineRule="auto" w:before="19"/>
        <w:ind w:right="1132" w:firstLine="360"/>
        <w:jc w:val="both"/>
      </w:pPr>
      <w:r>
        <w:rPr>
          <w:spacing w:val="-5"/>
        </w:rPr>
        <w:t>公司将进一步完善与哆可梦等被投企业相适应的企业文化、组织模式、财务管理与内控、人力资源管理、技术研发管理、</w:t>
      </w:r>
      <w:r>
        <w:rPr/>
        <w:t> </w:t>
      </w:r>
      <w:r>
        <w:rPr>
          <w:spacing w:val="-2"/>
        </w:rPr>
        <w:t>业务合作等方面的具体整合措施，实现整合效应最大化，并且加大对哆可梦等被投企业尤其是其核心管理人员和财务管理人</w:t>
      </w:r>
      <w:r>
        <w:rPr>
          <w:spacing w:val="-64"/>
        </w:rPr>
        <w:t> </w:t>
      </w:r>
      <w:r>
        <w:rPr>
          <w:spacing w:val="-64"/>
        </w:rPr>
      </w:r>
      <w:r>
        <w:rPr/>
        <w:t>员的上市公司规范运作培训，提高哆可梦等被投企业规范运作意识，保证公司各项业务的合法合规性。</w:t>
      </w: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）商誉减值风险</w:t>
      </w:r>
      <w:r>
        <w:rPr>
          <w:b w:val="0"/>
          <w:bCs w:val="0"/>
        </w:rPr>
      </w:r>
    </w:p>
    <w:p>
      <w:pPr>
        <w:pStyle w:val="BodyText"/>
        <w:spacing w:line="307" w:lineRule="auto" w:before="63"/>
        <w:ind w:right="1133" w:firstLine="360"/>
        <w:jc w:val="both"/>
      </w:pPr>
      <w:r>
        <w:rPr>
          <w:rFonts w:ascii="Times New Roman" w:hAnsi="Times New Roman" w:cs="Times New Roman" w:eastAsia="Times New Roman" w:hint="default"/>
        </w:rPr>
        <w:t>2017</w:t>
      </w:r>
      <w:r>
        <w:rPr/>
        <w:t>年公司以现金方式收购哆可梦</w:t>
      </w:r>
      <w:r>
        <w:rPr>
          <w:rFonts w:ascii="Times New Roman" w:hAnsi="Times New Roman" w:cs="Times New Roman" w:eastAsia="Times New Roman" w:hint="default"/>
        </w:rPr>
        <w:t>77.57%</w:t>
      </w:r>
      <w:r>
        <w:rPr/>
        <w:t>股权为非同一控制下企业合并，且哆可梦为轻资产型公司，本报告期末公司 存在商誉</w:t>
      </w:r>
      <w:r>
        <w:rPr>
          <w:rFonts w:ascii="Times New Roman" w:hAnsi="Times New Roman" w:cs="Times New Roman" w:eastAsia="Times New Roman" w:hint="default"/>
        </w:rPr>
        <w:t>12.21</w:t>
      </w:r>
      <w:r>
        <w:rPr/>
        <w:t>亿元，根据《企业会计准则》等相关规定，商誉不作摊销处理，但需在未来每年年度终了做减值测试。如哆 </w:t>
      </w:r>
      <w:r>
        <w:rPr>
          <w:spacing w:val="-2"/>
        </w:rPr>
        <w:t>可梦受到行业政策和行业竞争白炽化、核心团队人员流失、产品竞争力下降等因素影响导致业务发展滞后、未来经营状况恶</w:t>
      </w:r>
      <w:r>
        <w:rPr>
          <w:spacing w:val="-65"/>
        </w:rPr>
        <w:t> </w:t>
      </w:r>
      <w:r>
        <w:rPr>
          <w:spacing w:val="-65"/>
        </w:rPr>
      </w:r>
      <w:r>
        <w:rPr/>
        <w:t>化，则公司将存在商誉减值的风险，从而对公司当期损益造成不利影响。</w:t>
      </w:r>
    </w:p>
    <w:p>
      <w:pPr>
        <w:pStyle w:val="BodyText"/>
        <w:spacing w:line="312" w:lineRule="auto" w:before="26"/>
        <w:ind w:right="1034" w:firstLine="360"/>
        <w:jc w:val="left"/>
      </w:pPr>
      <w:r>
        <w:rPr/>
        <w:t>寇汉、林嘉喜对哆可梦利润承诺期的经营业绩作出了承诺，若未实现承诺业绩，将按照约定方式对公司进行业绩补偿， </w:t>
      </w:r>
      <w:r>
        <w:rPr>
          <w:spacing w:val="-2"/>
        </w:rPr>
        <w:t>上述业绩补偿措施一定程度上能够减少商誉减值对于公司当期损益的影响。但是，业绩承诺期满后若哆可梦经营业绩大幅下</w:t>
      </w:r>
      <w:r>
        <w:rPr>
          <w:spacing w:val="-64"/>
        </w:rPr>
        <w:t> </w:t>
      </w:r>
      <w:r>
        <w:rPr>
          <w:spacing w:val="-64"/>
        </w:rPr>
      </w:r>
      <w:r>
        <w:rPr>
          <w:spacing w:val="-2"/>
        </w:rPr>
        <w:t>降，仍有可能会造成公司商誉减值，还请投资者注意投资风险。从哆可梦</w:t>
      </w:r>
      <w:r>
        <w:rPr>
          <w:rFonts w:ascii="Times New Roman" w:hAnsi="Times New Roman" w:cs="Times New Roman" w:eastAsia="Times New Roman" w:hint="default"/>
          <w:spacing w:val="-2"/>
        </w:rPr>
        <w:t>2017</w:t>
      </w:r>
      <w:r>
        <w:rPr>
          <w:spacing w:val="-2"/>
        </w:rPr>
        <w:t>年和</w:t>
      </w:r>
      <w:r>
        <w:rPr>
          <w:rFonts w:ascii="Times New Roman" w:hAnsi="Times New Roman" w:cs="Times New Roman" w:eastAsia="Times New Roman" w:hint="default"/>
          <w:spacing w:val="-2"/>
        </w:rPr>
        <w:t>2018</w:t>
      </w:r>
      <w:r>
        <w:rPr>
          <w:spacing w:val="-2"/>
        </w:rPr>
        <w:t>年业绩表现来看，哆可梦已完成</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w:t>
      </w:r>
      <w:r>
        <w:rPr>
          <w:rFonts w:ascii="Times New Roman" w:hAnsi="Times New Roman" w:cs="Times New Roman" w:eastAsia="Times New Roman" w:hint="default"/>
        </w:rPr>
        <w:t>2018</w:t>
      </w:r>
      <w:r>
        <w:rPr/>
        <w:t>年业绩承诺，且</w:t>
      </w:r>
      <w:r>
        <w:rPr>
          <w:rFonts w:ascii="Times New Roman" w:hAnsi="Times New Roman" w:cs="Times New Roman" w:eastAsia="Times New Roman" w:hint="default"/>
        </w:rPr>
        <w:t>2018</w:t>
      </w:r>
      <w:r>
        <w:rPr/>
        <w:t>年业绩承诺的完成率达到</w:t>
      </w:r>
      <w:r>
        <w:rPr>
          <w:rFonts w:ascii="Times New Roman" w:hAnsi="Times New Roman" w:cs="Times New Roman" w:eastAsia="Times New Roman" w:hint="default"/>
        </w:rPr>
        <w:t>171.70%</w:t>
      </w:r>
      <w:r>
        <w:rPr/>
        <w:t>，对于完成</w:t>
      </w:r>
      <w:r>
        <w:rPr>
          <w:rFonts w:ascii="Times New Roman" w:hAnsi="Times New Roman" w:cs="Times New Roman" w:eastAsia="Times New Roman" w:hint="default"/>
        </w:rPr>
        <w:t>2019</w:t>
      </w:r>
      <w:r>
        <w:rPr/>
        <w:t>年业绩承诺具有较大信心，同时公司将采取 </w:t>
      </w:r>
      <w:r>
        <w:rPr>
          <w:spacing w:val="-2"/>
        </w:rPr>
        <w:t>多种措施调动哆可梦团队的积极性和创造性，为哆可梦提供发展所需的各种资源和机会，保持哆可梦的持续盈利能力，保证</w:t>
      </w:r>
      <w:r>
        <w:rPr>
          <w:spacing w:val="-63"/>
        </w:rPr>
        <w:t> </w:t>
      </w:r>
      <w:r>
        <w:rPr>
          <w:spacing w:val="-63"/>
        </w:rPr>
      </w:r>
      <w:r>
        <w:rPr/>
        <w:t>公司与哆可梦的整体利益最大化。</w:t>
      </w:r>
    </w:p>
    <w:p>
      <w:pPr>
        <w:pStyle w:val="BodyText"/>
        <w:spacing w:line="300" w:lineRule="auto" w:before="22"/>
        <w:ind w:left="513" w:right="0"/>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）人才流失风险</w:t>
      </w:r>
      <w:r>
        <w:rPr>
          <w:rFonts w:ascii="宋体" w:hAnsi="宋体" w:cs="宋体" w:eastAsia="宋体" w:hint="default"/>
          <w:b/>
          <w:bCs/>
          <w:w w:val="99"/>
        </w:rPr>
        <w:t> </w:t>
      </w:r>
      <w:r>
        <w:rPr>
          <w:spacing w:val="-2"/>
        </w:rPr>
        <w:t>优秀的管理团队和人才团队是公司的核心优势之一，公司高端智能制造行业需要具有高素质的专业人才，同样互联网综</w:t>
      </w:r>
    </w:p>
    <w:p>
      <w:pPr>
        <w:pStyle w:val="BodyText"/>
        <w:spacing w:line="316" w:lineRule="auto" w:before="31"/>
        <w:ind w:right="1131"/>
        <w:jc w:val="both"/>
      </w:pPr>
      <w:r>
        <w:rPr>
          <w:spacing w:val="-2"/>
        </w:rPr>
        <w:t>合服务行业属于轻资产运营模式，人才的重要性尤为突出。如果公司不能有效保持核心人员的激励机制并根据环境变化而不</w:t>
      </w:r>
      <w:r>
        <w:rPr>
          <w:spacing w:val="-63"/>
        </w:rPr>
        <w:t> </w:t>
      </w:r>
      <w:r>
        <w:rPr>
          <w:spacing w:val="-63"/>
        </w:rPr>
      </w:r>
      <w:r>
        <w:rPr/>
        <w:t>断完善，将会影响到核心人员积极性、创造性的发挥，甚至造成核心人员的流失。</w:t>
      </w:r>
    </w:p>
    <w:p>
      <w:pPr>
        <w:pStyle w:val="BodyText"/>
        <w:spacing w:line="316" w:lineRule="auto" w:before="19"/>
        <w:ind w:right="1130" w:firstLine="360"/>
        <w:jc w:val="both"/>
      </w:pPr>
      <w:r>
        <w:rPr>
          <w:spacing w:val="-2"/>
        </w:rPr>
        <w:t>公司将更加重视吸引人才、培养人才，向员工制定培训计划，为人员提供锻炼机会、业务发展及职务晋升空间，给予其</w:t>
      </w:r>
      <w:r>
        <w:rPr/>
        <w:t> </w:t>
      </w:r>
      <w:r>
        <w:rPr>
          <w:spacing w:val="-2"/>
        </w:rPr>
        <w:t>更大的创作空间；从外部引进并保留与业务发展所需密切相关的技术及运营人才，重视企业文化的建设，增强员工对公司的</w:t>
      </w:r>
      <w:r>
        <w:rPr>
          <w:spacing w:val="-63"/>
        </w:rPr>
        <w:t> </w:t>
      </w:r>
      <w:r>
        <w:rPr>
          <w:spacing w:val="-63"/>
        </w:rPr>
      </w:r>
      <w:r>
        <w:rPr/>
        <w:t>归属感，提升员工的主人翁精神。</w:t>
      </w:r>
    </w:p>
    <w:p>
      <w:pPr>
        <w:pStyle w:val="BodyText"/>
        <w:spacing w:line="300" w:lineRule="auto" w:before="19"/>
        <w:ind w:left="513" w:right="1133"/>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）融资难度加大风险</w:t>
      </w:r>
      <w:r>
        <w:rPr>
          <w:rFonts w:ascii="宋体" w:hAnsi="宋体" w:cs="宋体" w:eastAsia="宋体" w:hint="default"/>
          <w:b/>
          <w:bCs/>
          <w:w w:val="99"/>
        </w:rPr>
        <w:t> </w:t>
      </w:r>
      <w:r>
        <w:rPr>
          <w:spacing w:val="-2"/>
        </w:rPr>
        <w:t>公司在本报告期末共有货币资金</w:t>
      </w:r>
      <w:r>
        <w:rPr>
          <w:rFonts w:ascii="宋体" w:hAnsi="宋体" w:cs="宋体" w:eastAsia="宋体" w:hint="default"/>
          <w:spacing w:val="-2"/>
        </w:rPr>
        <w:t>7.5</w:t>
      </w:r>
      <w:r>
        <w:rPr>
          <w:spacing w:val="-2"/>
        </w:rPr>
        <w:t>亿元，较上年末增加约</w:t>
      </w:r>
      <w:r>
        <w:rPr>
          <w:rFonts w:ascii="宋体" w:hAnsi="宋体" w:cs="宋体" w:eastAsia="宋体" w:hint="default"/>
          <w:spacing w:val="-2"/>
        </w:rPr>
        <w:t>4</w:t>
      </w:r>
      <w:r>
        <w:rPr>
          <w:spacing w:val="-2"/>
        </w:rPr>
        <w:t>亿元，增幅达到</w:t>
      </w:r>
      <w:r>
        <w:rPr>
          <w:rFonts w:ascii="宋体" w:hAnsi="宋体" w:cs="宋体" w:eastAsia="宋体" w:hint="default"/>
          <w:spacing w:val="-2"/>
        </w:rPr>
        <w:t>116.31%</w:t>
      </w:r>
      <w:r>
        <w:rPr>
          <w:spacing w:val="-2"/>
        </w:rPr>
        <w:t>；本期实现营业收入</w:t>
      </w:r>
      <w:r>
        <w:rPr>
          <w:rFonts w:ascii="宋体" w:hAnsi="宋体" w:cs="宋体" w:eastAsia="宋体" w:hint="default"/>
          <w:spacing w:val="-2"/>
        </w:rPr>
        <w:t>18.98</w:t>
      </w:r>
      <w:r>
        <w:rPr>
          <w:spacing w:val="-2"/>
        </w:rPr>
        <w:t>亿元，较</w:t>
      </w:r>
    </w:p>
    <w:p>
      <w:pPr>
        <w:pStyle w:val="BodyText"/>
        <w:spacing w:line="316" w:lineRule="auto" w:before="31"/>
        <w:ind w:left="0" w:right="1129"/>
        <w:jc w:val="right"/>
      </w:pPr>
      <w:r>
        <w:rPr>
          <w:spacing w:val="-2"/>
        </w:rPr>
        <w:t>上年同期增加</w:t>
      </w:r>
      <w:r>
        <w:rPr>
          <w:rFonts w:ascii="宋体" w:hAnsi="宋体" w:cs="宋体" w:eastAsia="宋体" w:hint="default"/>
          <w:spacing w:val="-2"/>
        </w:rPr>
        <w:t>15.25</w:t>
      </w:r>
      <w:r>
        <w:rPr>
          <w:spacing w:val="-2"/>
        </w:rPr>
        <w:t>亿元，涨幅达到</w:t>
      </w:r>
      <w:r>
        <w:rPr>
          <w:rFonts w:ascii="宋体" w:hAnsi="宋体" w:cs="宋体" w:eastAsia="宋体" w:hint="default"/>
          <w:spacing w:val="-2"/>
        </w:rPr>
        <w:t>408.65%</w:t>
      </w:r>
      <w:r>
        <w:rPr>
          <w:spacing w:val="-2"/>
        </w:rPr>
        <w:t>；同时本期经营活动产生的现金净流入约为</w:t>
      </w:r>
      <w:r>
        <w:rPr>
          <w:rFonts w:ascii="宋体" w:hAnsi="宋体" w:cs="宋体" w:eastAsia="宋体" w:hint="default"/>
          <w:spacing w:val="-2"/>
        </w:rPr>
        <w:t>3.09</w:t>
      </w:r>
      <w:r>
        <w:rPr>
          <w:spacing w:val="-2"/>
        </w:rPr>
        <w:t>亿元，与上年同期经营活动产生</w:t>
      </w:r>
      <w:r>
        <w:rPr>
          <w:spacing w:val="-75"/>
        </w:rPr>
        <w:t> </w:t>
      </w:r>
      <w:r>
        <w:rPr>
          <w:spacing w:val="-75"/>
        </w:rPr>
      </w:r>
      <w:r>
        <w:rPr/>
        <w:t>的现金净流出</w:t>
      </w:r>
      <w:r>
        <w:rPr>
          <w:rFonts w:ascii="宋体" w:hAnsi="宋体" w:cs="宋体" w:eastAsia="宋体" w:hint="default"/>
        </w:rPr>
        <w:t>547</w:t>
      </w:r>
      <w:r>
        <w:rPr/>
        <w:t>万元相比，本报告期经营活动自身的“造血功能”大大增强，公司在本报告期盈利能力和资金状况都有了 </w:t>
      </w:r>
      <w:r>
        <w:rPr>
          <w:spacing w:val="-2"/>
        </w:rPr>
        <w:t>较大改善，为公司未来发展提供了强有力的资金支持，但</w:t>
      </w:r>
      <w:r>
        <w:rPr>
          <w:rFonts w:ascii="宋体" w:hAnsi="宋体" w:cs="宋体" w:eastAsia="宋体" w:hint="default"/>
          <w:spacing w:val="-2"/>
        </w:rPr>
        <w:t>2018</w:t>
      </w:r>
      <w:r>
        <w:rPr>
          <w:spacing w:val="-2"/>
        </w:rPr>
        <w:t>年整个市场资金面紧张，融资难度大、融资成本高，对民营企</w:t>
      </w:r>
      <w:r>
        <w:rPr>
          <w:spacing w:val="-75"/>
        </w:rPr>
        <w:t> </w:t>
      </w:r>
      <w:r>
        <w:rPr>
          <w:spacing w:val="-75"/>
        </w:rPr>
      </w:r>
      <w:r>
        <w:rPr>
          <w:spacing w:val="-2"/>
        </w:rPr>
        <w:t>业和中小企业更是不易，公司面临的融资环境不容乐观。随着公司业务规模的扩大以及公司业务转型升级，维持正常生产经</w:t>
      </w:r>
      <w:r>
        <w:rPr>
          <w:spacing w:val="-71"/>
        </w:rPr>
        <w:t> </w:t>
      </w:r>
      <w:r>
        <w:rPr>
          <w:spacing w:val="-71"/>
        </w:rPr>
      </w:r>
      <w:r>
        <w:rPr>
          <w:spacing w:val="-3"/>
          <w:w w:val="95"/>
        </w:rPr>
        <w:t>营所需要的资金也会增多，且</w:t>
      </w:r>
      <w:r>
        <w:rPr>
          <w:rFonts w:ascii="宋体" w:hAnsi="宋体" w:cs="宋体" w:eastAsia="宋体" w:hint="default"/>
          <w:spacing w:val="-3"/>
          <w:w w:val="95"/>
        </w:rPr>
        <w:t>2019</w:t>
      </w:r>
      <w:r>
        <w:rPr>
          <w:spacing w:val="-3"/>
          <w:w w:val="95"/>
        </w:rPr>
        <w:t>年公司需支付</w:t>
      </w:r>
      <w:r>
        <w:rPr>
          <w:rFonts w:ascii="宋体" w:hAnsi="宋体" w:cs="宋体" w:eastAsia="宋体" w:hint="default"/>
          <w:spacing w:val="-3"/>
          <w:w w:val="95"/>
        </w:rPr>
        <w:t>3.6</w:t>
      </w:r>
      <w:r>
        <w:rPr>
          <w:spacing w:val="-3"/>
          <w:w w:val="95"/>
        </w:rPr>
        <w:t>亿元的哆可梦股权受让款，因此，公司也亟需提高自身的资金筹措能力。</w:t>
      </w:r>
      <w:r>
        <w:rPr>
          <w:spacing w:val="48"/>
          <w:w w:val="95"/>
        </w:rPr>
        <w:t> </w:t>
      </w:r>
      <w:r>
        <w:rPr>
          <w:spacing w:val="48"/>
          <w:w w:val="95"/>
        </w:rPr>
      </w:r>
      <w:r>
        <w:rPr>
          <w:spacing w:val="-2"/>
        </w:rPr>
        <w:t>公司不仅需要提高自身“造血能力”，还要开拓更多的融资渠道，为公司转型升级提供强有力的资金支持。对内部，公</w:t>
      </w:r>
      <w:r>
        <w:rPr/>
        <w:t> </w:t>
      </w:r>
      <w:r>
        <w:rPr>
          <w:spacing w:val="-2"/>
        </w:rPr>
        <w:t>司将重点发展主营业务，扩大主营业务规模、提高业绩，减少不必要的费用支出，实现降本增效和“开源节流”，加强资金</w:t>
      </w:r>
      <w:r>
        <w:rPr/>
        <w:t> </w:t>
      </w:r>
      <w:r>
        <w:rPr>
          <w:spacing w:val="-2"/>
        </w:rPr>
        <w:t>管理和对应收款项的催收工作，也充分利用商业信用，进一步增强主营业务自身的“造血功能”；对外部，公司将密切关注</w:t>
      </w:r>
      <w:r>
        <w:rPr>
          <w:spacing w:val="-84"/>
        </w:rPr>
        <w:t> </w:t>
      </w:r>
      <w:r>
        <w:rPr>
          <w:spacing w:val="-84"/>
        </w:rPr>
      </w:r>
      <w:r>
        <w:rPr>
          <w:spacing w:val="-2"/>
        </w:rPr>
        <w:t>各项融资政策，加强与银行、信托等金融机构的业务合作，研究和充分利用股份、债券（包括定向可转债）等融资工具，拓</w:t>
      </w:r>
      <w:r>
        <w:rPr/>
        <w:t> </w:t>
      </w:r>
      <w:r>
        <w:rPr>
          <w:spacing w:val="-2"/>
        </w:rPr>
        <w:t>宽融资渠道以低成本获取充足资金，目前公司已获得平安银行、浦发银行、华夏银行和中航信托等金融机构的授信额度。公</w:t>
      </w:r>
    </w:p>
    <w:p>
      <w:pPr>
        <w:pStyle w:val="BodyText"/>
        <w:spacing w:line="240" w:lineRule="auto" w:before="19"/>
        <w:ind w:right="0"/>
        <w:jc w:val="both"/>
      </w:pPr>
      <w:r>
        <w:rPr/>
        <w:t>司将制定长期的融资策略，形成长远的资本运营能力，实现公司健康稳定发展。</w:t>
      </w:r>
    </w:p>
    <w:p>
      <w:pPr>
        <w:spacing w:after="0" w:line="240" w:lineRule="auto"/>
        <w:jc w:val="both"/>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2"/>
        <w:spacing w:line="240" w:lineRule="auto" w:before="26"/>
        <w:ind w:right="1133"/>
        <w:jc w:val="left"/>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3217"/>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338" w:lineRule="auto" w:before="117"/>
        <w:ind w:left="513" w:right="1213" w:hanging="361"/>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根据中国证监会《关于进一步落实上市公司现金分红有关事项的通知》及深圳证监局有关文件等的规定和要求，</w:t>
      </w:r>
      <w:r>
        <w:rPr>
          <w:rFonts w:ascii="Times New Roman" w:hAnsi="Times New Roman" w:cs="Times New Roman" w:eastAsia="Times New Roman" w:hint="default"/>
        </w:rPr>
        <w:t>2018</w:t>
      </w:r>
    </w:p>
    <w:p>
      <w:pPr>
        <w:pStyle w:val="BodyText"/>
        <w:spacing w:line="230" w:lineRule="exact"/>
        <w:ind w:right="0"/>
        <w:jc w:val="left"/>
      </w:pP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日公司第六届董事会第十一次会议审议通过并发布了《未来三年股东回报规划（</w:t>
      </w:r>
      <w:r>
        <w:rPr>
          <w:rFonts w:ascii="Times New Roman" w:hAnsi="Times New Roman" w:cs="Times New Roman" w:eastAsia="Times New Roman" w:hint="default"/>
        </w:rPr>
        <w:t>2018-2020</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日公司</w:t>
      </w:r>
    </w:p>
    <w:p>
      <w:pPr>
        <w:pStyle w:val="BodyText"/>
        <w:spacing w:line="300" w:lineRule="auto" w:before="63"/>
        <w:ind w:right="1133"/>
        <w:jc w:val="left"/>
      </w:pPr>
      <w:r>
        <w:rPr>
          <w:spacing w:val="-1"/>
        </w:rPr>
        <w:t>召开的</w:t>
      </w:r>
      <w:r>
        <w:rPr>
          <w:rFonts w:ascii="Times New Roman" w:hAnsi="Times New Roman" w:cs="Times New Roman" w:eastAsia="Times New Roman" w:hint="default"/>
          <w:spacing w:val="-1"/>
        </w:rPr>
        <w:t>2017</w:t>
      </w:r>
      <w:r>
        <w:rPr>
          <w:spacing w:val="-1"/>
        </w:rPr>
        <w:t>年年度股东大会审议通过了该规划。公司制定《未来三年股东回报规划（</w:t>
      </w:r>
      <w:r>
        <w:rPr>
          <w:rFonts w:ascii="Times New Roman" w:hAnsi="Times New Roman" w:cs="Times New Roman" w:eastAsia="Times New Roman" w:hint="default"/>
          <w:spacing w:val="-1"/>
        </w:rPr>
        <w:t>2018-2020</w:t>
      </w:r>
      <w:r>
        <w:rPr>
          <w:spacing w:val="-1"/>
        </w:rPr>
        <w:t>）》，明确了</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-2020</w:t>
      </w:r>
      <w:r>
        <w:rPr>
          <w:spacing w:val="-1"/>
        </w:rPr>
        <w:t>年</w:t>
      </w:r>
      <w:r>
        <w:rPr>
          <w:spacing w:val="-55"/>
        </w:rPr>
        <w:t> </w:t>
      </w:r>
      <w:r>
        <w:rPr/>
        <w:t>期间公司的利润分配形式、利润分配周期、利润分配比例和利润分配方案的制定和执行。</w:t>
      </w:r>
    </w:p>
    <w:p>
      <w:pPr>
        <w:spacing w:line="240" w:lineRule="auto" w:before="0"/>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6641"/>
        <w:gridCol w:w="2918"/>
      </w:tblGrid>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7"/>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1"/>
        <w:ind w:right="1133"/>
        <w:jc w:val="left"/>
      </w:pPr>
      <w:r>
        <w:rPr>
          <w:spacing w:val="-4"/>
        </w:rPr>
        <w:t>（</w:t>
      </w:r>
      <w:r>
        <w:rPr>
          <w:rFonts w:ascii="Times New Roman" w:hAnsi="Times New Roman" w:cs="Times New Roman" w:eastAsia="Times New Roman" w:hint="default"/>
          <w:spacing w:val="-4"/>
        </w:rPr>
        <w:t>1</w:t>
      </w:r>
      <w:r>
        <w:rPr>
          <w:spacing w:val="-4"/>
        </w:rPr>
        <w:t>）公司</w:t>
      </w:r>
      <w:r>
        <w:rPr>
          <w:rFonts w:ascii="Times New Roman" w:hAnsi="Times New Roman" w:cs="Times New Roman" w:eastAsia="Times New Roman" w:hint="default"/>
          <w:spacing w:val="-4"/>
        </w:rPr>
        <w:t>2016</w:t>
      </w:r>
      <w:r>
        <w:rPr>
          <w:spacing w:val="-4"/>
        </w:rPr>
        <w:t>年度不进行利润分配，不进行分红送股，也不以资本公积金转增股本，留存收益全部用于公司日常生产经营。</w:t>
      </w:r>
    </w:p>
    <w:p>
      <w:pPr>
        <w:pStyle w:val="BodyText"/>
        <w:spacing w:line="240" w:lineRule="auto" w:before="103"/>
        <w:ind w:right="1133"/>
        <w:jc w:val="left"/>
      </w:pPr>
      <w:r>
        <w:rPr>
          <w:spacing w:val="-4"/>
        </w:rPr>
        <w:t>（</w:t>
      </w:r>
      <w:r>
        <w:rPr>
          <w:rFonts w:ascii="Times New Roman" w:hAnsi="Times New Roman" w:cs="Times New Roman" w:eastAsia="Times New Roman" w:hint="default"/>
          <w:spacing w:val="-4"/>
        </w:rPr>
        <w:t>2</w:t>
      </w:r>
      <w:r>
        <w:rPr>
          <w:spacing w:val="-4"/>
        </w:rPr>
        <w:t>）公司</w:t>
      </w:r>
      <w:r>
        <w:rPr>
          <w:rFonts w:ascii="Times New Roman" w:hAnsi="Times New Roman" w:cs="Times New Roman" w:eastAsia="Times New Roman" w:hint="default"/>
          <w:spacing w:val="-4"/>
        </w:rPr>
        <w:t>2017</w:t>
      </w:r>
      <w:r>
        <w:rPr>
          <w:spacing w:val="-4"/>
        </w:rPr>
        <w:t>年度不进行利润分配，不进行分红送股，也不以资本公积金转增股本，留存收益全部用于公司日常生产经营。</w:t>
      </w:r>
    </w:p>
    <w:p>
      <w:pPr>
        <w:pStyle w:val="BodyText"/>
        <w:spacing w:line="338" w:lineRule="auto" w:before="103"/>
        <w:ind w:right="1133"/>
        <w:jc w:val="left"/>
      </w:pPr>
      <w:r>
        <w:rPr>
          <w:spacing w:val="-4"/>
        </w:rPr>
        <w:t>（</w:t>
      </w:r>
      <w:r>
        <w:rPr>
          <w:rFonts w:ascii="Times New Roman" w:hAnsi="Times New Roman" w:cs="Times New Roman" w:eastAsia="Times New Roman" w:hint="default"/>
          <w:spacing w:val="-4"/>
        </w:rPr>
        <w:t>3</w:t>
      </w:r>
      <w:r>
        <w:rPr>
          <w:spacing w:val="-4"/>
        </w:rPr>
        <w:t>）公司</w:t>
      </w:r>
      <w:r>
        <w:rPr>
          <w:rFonts w:ascii="Times New Roman" w:hAnsi="Times New Roman" w:cs="Times New Roman" w:eastAsia="Times New Roman" w:hint="default"/>
          <w:spacing w:val="-4"/>
        </w:rPr>
        <w:t>2018</w:t>
      </w:r>
      <w:r>
        <w:rPr>
          <w:spacing w:val="-4"/>
        </w:rPr>
        <w:t>年度不进行利润分配，不进行分红送股，也不以资本公积金转增股本，留存收益全部用于公司日常生产经营。</w:t>
      </w:r>
      <w:r>
        <w:rPr>
          <w:spacing w:val="-39"/>
        </w:rPr>
        <w:t> </w:t>
      </w:r>
      <w:r>
        <w:rPr>
          <w:spacing w:val="-39"/>
        </w:rPr>
      </w:r>
      <w:r>
        <w:rPr/>
        <w:t>公司近三年（包括本报告期）普通股现金分红情况表</w:t>
      </w:r>
    </w:p>
    <w:p>
      <w:pPr>
        <w:pStyle w:val="BodyText"/>
        <w:spacing w:line="240" w:lineRule="auto" w:before="4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08"/>
        <w:gridCol w:w="710"/>
        <w:gridCol w:w="1277"/>
        <w:gridCol w:w="1416"/>
        <w:gridCol w:w="852"/>
        <w:gridCol w:w="1558"/>
        <w:gridCol w:w="1277"/>
        <w:gridCol w:w="1771"/>
      </w:tblGrid>
      <w:tr>
        <w:trPr>
          <w:trHeight w:val="317" w:hRule="exact"/>
        </w:trPr>
        <w:tc>
          <w:tcPr>
            <w:tcW w:w="708" w:type="dxa"/>
            <w:vMerge w:val="restart"/>
            <w:tcBorders>
              <w:top w:val="single" w:sz="4" w:space="0" w:color="000000"/>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3" w:right="92"/>
              <w:jc w:val="both"/>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w:t>
            </w:r>
          </w:p>
          <w:p>
            <w:pPr>
              <w:pStyle w:val="TableParagraph"/>
              <w:spacing w:line="240" w:lineRule="auto" w:before="19"/>
              <w:ind w:left="-14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3"/>
                <w:sz w:val="18"/>
                <w:szCs w:val="18"/>
              </w:rPr>
              <w:t> </w:t>
            </w:r>
            <w:r>
              <w:rPr>
                <w:rFonts w:ascii="宋体" w:hAnsi="宋体" w:cs="宋体" w:eastAsia="宋体" w:hint="default"/>
                <w:sz w:val="18"/>
                <w:szCs w:val="18"/>
              </w:rPr>
              <w:t>股股东的净利</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润</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74" w:right="71"/>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59" w:right="60"/>
              <w:jc w:val="both"/>
              <w:rPr>
                <w:rFonts w:ascii="宋体" w:hAnsi="宋体" w:cs="宋体" w:eastAsia="宋体" w:hint="default"/>
                <w:sz w:val="18"/>
                <w:szCs w:val="18"/>
              </w:rPr>
            </w:pPr>
            <w:r>
              <w:rPr>
                <w:rFonts w:ascii="宋体" w:hAnsi="宋体" w:cs="宋体" w:eastAsia="宋体" w:hint="default"/>
                <w:sz w:val="18"/>
                <w:szCs w:val="18"/>
              </w:rPr>
              <w:t>以其他方 式（如回 购股份） 现金分红 的金额</w:t>
            </w:r>
          </w:p>
        </w:tc>
        <w:tc>
          <w:tcPr>
            <w:tcW w:w="155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55" w:right="51"/>
              <w:jc w:val="center"/>
              <w:rPr>
                <w:rFonts w:ascii="宋体" w:hAnsi="宋体" w:cs="宋体" w:eastAsia="宋体" w:hint="default"/>
                <w:sz w:val="18"/>
                <w:szCs w:val="18"/>
              </w:rPr>
            </w:pPr>
            <w:r>
              <w:rPr>
                <w:rFonts w:ascii="宋体" w:hAnsi="宋体" w:cs="宋体" w:eastAsia="宋体" w:hint="default"/>
                <w:sz w:val="18"/>
                <w:szCs w:val="18"/>
              </w:rPr>
              <w:t>以其他方式现金分 红金额占合并报表 中归属于上市公司 普通股股东的净利 润的比例</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40" w:lineRule="auto" w:before="76"/>
              <w:ind w:left="23" w:right="-17"/>
              <w:jc w:val="left"/>
              <w:rPr>
                <w:rFonts w:ascii="宋体" w:hAnsi="宋体" w:cs="宋体" w:eastAsia="宋体" w:hint="default"/>
                <w:sz w:val="18"/>
                <w:szCs w:val="18"/>
              </w:rPr>
            </w:pPr>
            <w:r>
              <w:rPr>
                <w:rFonts w:ascii="宋体" w:hAnsi="宋体" w:cs="宋体" w:eastAsia="宋体" w:hint="default"/>
                <w:sz w:val="18"/>
                <w:szCs w:val="18"/>
              </w:rPr>
              <w:t>（含其他方式）</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9"/>
              <w:jc w:val="both"/>
              <w:rPr>
                <w:rFonts w:ascii="宋体" w:hAnsi="宋体" w:cs="宋体" w:eastAsia="宋体" w:hint="default"/>
                <w:sz w:val="18"/>
                <w:szCs w:val="18"/>
              </w:rPr>
            </w:pPr>
            <w:r>
              <w:rPr>
                <w:rFonts w:ascii="宋体" w:hAnsi="宋体" w:cs="宋体" w:eastAsia="宋体" w:hint="default"/>
                <w:spacing w:val="-9"/>
                <w:sz w:val="18"/>
                <w:szCs w:val="18"/>
              </w:rPr>
              <w:t>现金分红总额（含其他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方式）占合并报表中归</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属于上市公司普通股 股东的净利润的比率</w:t>
            </w:r>
          </w:p>
        </w:tc>
      </w:tr>
      <w:tr>
        <w:trPr>
          <w:trHeight w:val="156" w:hRule="exact"/>
        </w:trPr>
        <w:tc>
          <w:tcPr>
            <w:tcW w:w="708" w:type="dxa"/>
            <w:vMerge/>
            <w:tcBorders>
              <w:left w:val="single" w:sz="4" w:space="0" w:color="000000"/>
              <w:bottom w:val="nil" w:sz="6" w:space="0" w:color="auto"/>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81" w:right="77"/>
              <w:jc w:val="left"/>
              <w:rPr>
                <w:rFonts w:ascii="宋体" w:hAnsi="宋体" w:cs="宋体" w:eastAsia="宋体" w:hint="default"/>
                <w:sz w:val="18"/>
                <w:szCs w:val="18"/>
              </w:rPr>
            </w:pPr>
            <w:r>
              <w:rPr>
                <w:rFonts w:ascii="宋体" w:hAnsi="宋体" w:cs="宋体" w:eastAsia="宋体" w:hint="default"/>
                <w:sz w:val="18"/>
                <w:szCs w:val="18"/>
              </w:rPr>
              <w:t>现金分 红金额</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（含税</w:t>
            </w: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771" w:type="dxa"/>
            <w:vMerge/>
            <w:tcBorders>
              <w:left w:val="single" w:sz="4" w:space="0" w:color="000000"/>
              <w:right w:val="single" w:sz="4" w:space="0" w:color="000000"/>
            </w:tcBorders>
            <w:shd w:val="clear" w:color="auto" w:fill="D2D2D2"/>
          </w:tcPr>
          <w:p>
            <w:pPr/>
          </w:p>
        </w:tc>
      </w:tr>
      <w:tr>
        <w:trPr>
          <w:trHeight w:val="704" w:hRule="exact"/>
        </w:trPr>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59" w:right="77" w:hanging="181"/>
              <w:jc w:val="left"/>
              <w:rPr>
                <w:rFonts w:ascii="宋体" w:hAnsi="宋体" w:cs="宋体" w:eastAsia="宋体" w:hint="default"/>
                <w:sz w:val="18"/>
                <w:szCs w:val="18"/>
              </w:rPr>
            </w:pPr>
            <w:r>
              <w:rPr>
                <w:rFonts w:ascii="宋体" w:hAnsi="宋体" w:cs="宋体" w:eastAsia="宋体" w:hint="default"/>
                <w:sz w:val="18"/>
                <w:szCs w:val="18"/>
              </w:rPr>
              <w:t>分红年 度</w:t>
            </w:r>
          </w:p>
        </w:tc>
        <w:tc>
          <w:tcPr>
            <w:tcW w:w="71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771" w:type="dxa"/>
            <w:vMerge/>
            <w:tcBorders>
              <w:left w:val="single" w:sz="4" w:space="0" w:color="000000"/>
              <w:right w:val="single" w:sz="4" w:space="0" w:color="000000"/>
            </w:tcBorders>
            <w:shd w:val="clear" w:color="auto" w:fill="D2D2D2"/>
          </w:tcPr>
          <w:p>
            <w:pPr/>
          </w:p>
        </w:tc>
      </w:tr>
      <w:tr>
        <w:trPr>
          <w:trHeight w:val="156" w:hRule="exact"/>
        </w:trPr>
        <w:tc>
          <w:tcPr>
            <w:tcW w:w="708" w:type="dxa"/>
            <w:vMerge w:val="restart"/>
            <w:tcBorders>
              <w:top w:val="nil" w:sz="6" w:space="0" w:color="auto"/>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771" w:type="dxa"/>
            <w:vMerge/>
            <w:tcBorders>
              <w:left w:val="single" w:sz="4" w:space="0" w:color="000000"/>
              <w:right w:val="single" w:sz="4" w:space="0" w:color="000000"/>
            </w:tcBorders>
            <w:shd w:val="clear" w:color="auto" w:fill="D2D2D2"/>
          </w:tcPr>
          <w:p>
            <w:pPr/>
          </w:p>
        </w:tc>
      </w:tr>
      <w:tr>
        <w:trPr>
          <w:trHeight w:val="317" w:hRule="exact"/>
        </w:trPr>
        <w:tc>
          <w:tcPr>
            <w:tcW w:w="708"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336,389,804.53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-107,607,635.77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75,912,490.21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6" w:right="44" w:hanging="990"/>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7"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公司日常生产经营、未来投资和发展需要大量资金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用于公司日常生产经营、未来投资和发展</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pStyle w:val="Heading2"/>
        <w:spacing w:line="240" w:lineRule="auto" w:before="28"/>
        <w:ind w:left="140" w:right="152"/>
        <w:jc w:val="left"/>
        <w:rPr>
          <w:b w:val="0"/>
          <w:bCs w:val="0"/>
        </w:rPr>
      </w:pPr>
      <w:r>
        <w:rPr/>
        <w:pict>
          <v:group style="position:absolute;margin-left:70.559998pt;margin-top:2.195603pt;width:700.95pt;height:.1pt;mso-position-horizontal-relative:page;mso-position-vertical-relative:paragraph;z-index:-1197160" coordorigin="1411,44" coordsize="14019,2">
            <v:shape style="position:absolute;left:1411;top:44;width:14019;height:2" coordorigin="1411,44" coordsize="14019,0" path="m1411,44l15430,44e" filled="false" stroked="true" strokeweight=".72pt" strokecolor="#000000">
              <v:path arrowok="t"/>
            </v:shape>
            <w10:wrap type="none"/>
          </v:group>
        </w:pict>
      </w: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140" w:right="88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公司计划年度不派发现金红利，不送红股，不以公积金转增股本。</w:t>
      </w:r>
    </w:p>
    <w:p>
      <w:pPr>
        <w:spacing w:line="240" w:lineRule="auto" w:before="4"/>
        <w:rPr>
          <w:rFonts w:ascii="宋体" w:hAnsi="宋体" w:cs="宋体" w:eastAsia="宋体" w:hint="default"/>
          <w:sz w:val="19"/>
          <w:szCs w:val="19"/>
        </w:rPr>
      </w:pPr>
    </w:p>
    <w:p>
      <w:pPr>
        <w:pStyle w:val="Heading2"/>
        <w:spacing w:line="240" w:lineRule="auto"/>
        <w:ind w:left="140" w:right="152"/>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152"/>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140" w:right="152"/>
        <w:jc w:val="left"/>
      </w:pPr>
      <w:r>
        <w:rPr/>
        <w:pict>
          <v:group style="position:absolute;margin-left:731.5pt;margin-top:89.107712pt;width:39.65pt;height:46.85pt;mso-position-horizontal-relative:page;mso-position-vertical-relative:paragraph;z-index:-1197136" coordorigin="14630,1782" coordsize="793,937">
            <v:shape style="position:absolute;left:14630;top:1782;width:793;height:937" coordorigin="14630,1782" coordsize="793,937" path="m14630,2719l15422,2719,15422,1782,14630,1782,14630,2719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294"/>
        <w:gridCol w:w="1274"/>
        <w:gridCol w:w="1419"/>
        <w:gridCol w:w="5952"/>
        <w:gridCol w:w="1563"/>
        <w:gridCol w:w="1699"/>
        <w:gridCol w:w="804"/>
      </w:tblGrid>
      <w:tr>
        <w:trPr>
          <w:trHeight w:val="40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6"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90"/>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 w:right="22"/>
              <w:jc w:val="left"/>
              <w:rPr>
                <w:rFonts w:ascii="宋体" w:hAnsi="宋体" w:cs="宋体" w:eastAsia="宋体" w:hint="default"/>
                <w:sz w:val="18"/>
                <w:szCs w:val="18"/>
              </w:rPr>
            </w:pPr>
            <w:r>
              <w:rPr>
                <w:rFonts w:ascii="宋体" w:hAnsi="宋体" w:cs="宋体" w:eastAsia="宋体" w:hint="default"/>
                <w:spacing w:val="-6"/>
                <w:sz w:val="18"/>
                <w:szCs w:val="18"/>
              </w:rPr>
              <w:t>中驰惠程；中源</w:t>
            </w:r>
            <w:r>
              <w:rPr>
                <w:rFonts w:ascii="宋体" w:hAnsi="宋体" w:cs="宋体" w:eastAsia="宋体" w:hint="default"/>
                <w:sz w:val="18"/>
                <w:szCs w:val="18"/>
              </w:rPr>
              <w:t> 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保证深圳惠程在资产、人员、财务、业务和机构等方面独立。</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1"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日至 长期</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968"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4" w:right="22"/>
              <w:jc w:val="both"/>
              <w:rPr>
                <w:rFonts w:ascii="宋体" w:hAnsi="宋体" w:cs="宋体" w:eastAsia="宋体" w:hint="default"/>
                <w:sz w:val="18"/>
                <w:szCs w:val="18"/>
              </w:rPr>
            </w:pPr>
            <w:r>
              <w:rPr>
                <w:rFonts w:ascii="宋体" w:hAnsi="宋体" w:cs="宋体" w:eastAsia="宋体" w:hint="default"/>
                <w:spacing w:val="-6"/>
                <w:sz w:val="18"/>
                <w:szCs w:val="18"/>
              </w:rPr>
              <w:t>中驰惠程；中源</w:t>
            </w:r>
            <w:r>
              <w:rPr>
                <w:rFonts w:ascii="宋体" w:hAnsi="宋体" w:cs="宋体" w:eastAsia="宋体" w:hint="default"/>
                <w:sz w:val="18"/>
                <w:szCs w:val="18"/>
              </w:rPr>
              <w:t> </w:t>
            </w:r>
            <w:r>
              <w:rPr>
                <w:rFonts w:ascii="宋体" w:hAnsi="宋体" w:cs="宋体" w:eastAsia="宋体" w:hint="default"/>
                <w:spacing w:val="-7"/>
                <w:sz w:val="18"/>
                <w:szCs w:val="18"/>
              </w:rPr>
              <w:t>信；信中利；汪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超涌；田勇</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2"/>
              <w:jc w:val="both"/>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z w:val="18"/>
                <w:szCs w:val="18"/>
              </w:rPr>
              <w:t> </w:t>
            </w:r>
            <w:r>
              <w:rPr>
                <w:rFonts w:ascii="宋体" w:hAnsi="宋体" w:cs="宋体" w:eastAsia="宋体" w:hint="default"/>
                <w:spacing w:val="-10"/>
                <w:sz w:val="18"/>
                <w:szCs w:val="18"/>
              </w:rPr>
              <w:t>联交易、资金占用</w:t>
            </w:r>
            <w:r>
              <w:rPr>
                <w:rFonts w:ascii="宋体" w:hAnsi="宋体" w:cs="宋体" w:eastAsia="宋体" w:hint="default"/>
                <w:sz w:val="18"/>
                <w:szCs w:val="18"/>
              </w:rPr>
              <w:t> 方面的承诺</w:t>
            </w:r>
          </w:p>
        </w:tc>
        <w:tc>
          <w:tcPr>
            <w:tcW w:w="59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1" w:right="22"/>
              <w:jc w:val="left"/>
              <w:rPr>
                <w:rFonts w:ascii="宋体" w:hAnsi="宋体" w:cs="宋体" w:eastAsia="宋体" w:hint="default"/>
                <w:sz w:val="18"/>
                <w:szCs w:val="18"/>
              </w:rPr>
            </w:pPr>
            <w:r>
              <w:rPr>
                <w:rFonts w:ascii="宋体" w:hAnsi="宋体" w:cs="宋体" w:eastAsia="宋体" w:hint="default"/>
                <w:sz w:val="18"/>
                <w:szCs w:val="18"/>
              </w:rPr>
              <w:t>自身及其控制的企业不会直接或间接从事或参与任何与深圳惠程及其下属 </w:t>
            </w:r>
            <w:r>
              <w:rPr>
                <w:rFonts w:ascii="宋体" w:hAnsi="宋体" w:cs="宋体" w:eastAsia="宋体" w:hint="default"/>
                <w:spacing w:val="-2"/>
                <w:sz w:val="18"/>
                <w:szCs w:val="18"/>
              </w:rPr>
              <w:t>企业构成竞争的任何业务或活动，不以任何方式从事或参与任何与深圳惠程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及其下属企业业务相同、相似或可能取代深圳惠程及其下属企业业务的活 动。</w:t>
            </w:r>
          </w:p>
        </w:tc>
        <w:tc>
          <w:tcPr>
            <w:tcW w:w="15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99" w:type="dxa"/>
            <w:vMerge w:val="restart"/>
            <w:tcBorders>
              <w:top w:val="single" w:sz="4" w:space="0" w:color="000000"/>
              <w:left w:val="single" w:sz="4" w:space="0" w:color="000000"/>
              <w:right w:val="single" w:sz="4" w:space="0" w:color="000000"/>
            </w:tcBorders>
          </w:tcPr>
          <w:p>
            <w:pPr>
              <w:pStyle w:val="TableParagraph"/>
              <w:spacing w:line="307" w:lineRule="auto" w:before="51"/>
              <w:ind w:left="21" w:right="21"/>
              <w:jc w:val="both"/>
              <w:rPr>
                <w:rFonts w:ascii="宋体" w:hAnsi="宋体" w:cs="宋体" w:eastAsia="宋体" w:hint="default"/>
                <w:sz w:val="18"/>
                <w:szCs w:val="18"/>
              </w:rPr>
            </w:pPr>
            <w:r>
              <w:rPr>
                <w:rFonts w:ascii="宋体" w:hAnsi="宋体" w:cs="宋体" w:eastAsia="宋体" w:hint="default"/>
                <w:sz w:val="18"/>
                <w:szCs w:val="18"/>
              </w:rPr>
              <w:t>中驰惠程、中源信、 </w:t>
            </w:r>
            <w:r>
              <w:rPr>
                <w:rFonts w:ascii="宋体" w:hAnsi="宋体" w:cs="宋体" w:eastAsia="宋体" w:hint="default"/>
                <w:spacing w:val="-14"/>
                <w:sz w:val="18"/>
                <w:szCs w:val="18"/>
              </w:rPr>
              <w:t>信中利、汪超涌：</w:t>
            </w:r>
            <w:r>
              <w:rPr>
                <w:rFonts w:ascii="Times New Roman" w:hAnsi="Times New Roman" w:cs="Times New Roman" w:eastAsia="Times New Roman" w:hint="default"/>
                <w:spacing w:val="-14"/>
                <w:sz w:val="18"/>
                <w:szCs w:val="18"/>
              </w:rPr>
              <w:t>2017</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日至长期</w:t>
            </w:r>
          </w:p>
          <w:p>
            <w:pPr>
              <w:pStyle w:val="TableParagraph"/>
              <w:spacing w:line="240" w:lineRule="auto" w:before="7"/>
              <w:ind w:left="2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田勇（自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日起终止一致行</w:t>
            </w:r>
          </w:p>
          <w:p>
            <w:pPr>
              <w:pStyle w:val="TableParagraph"/>
              <w:spacing w:line="240" w:lineRule="auto" w:before="63"/>
              <w:ind w:left="2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动关系</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314" w:lineRule="auto" w:before="79"/>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661"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1" w:right="190"/>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274" w:type="dxa"/>
            <w:vMerge/>
            <w:tcBorders>
              <w:left w:val="single" w:sz="10"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5952" w:type="dxa"/>
            <w:vMerge/>
            <w:tcBorders>
              <w:left w:val="single" w:sz="4" w:space="0" w:color="000000"/>
              <w:bottom w:val="single" w:sz="4" w:space="0" w:color="000000"/>
              <w:right w:val="single" w:sz="4" w:space="0" w:color="000000"/>
            </w:tcBorders>
          </w:tcPr>
          <w:p>
            <w:pPr/>
          </w:p>
        </w:tc>
        <w:tc>
          <w:tcPr>
            <w:tcW w:w="1563"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r>
      <w:tr>
        <w:trPr>
          <w:trHeight w:val="983" w:hRule="exact"/>
        </w:trPr>
        <w:tc>
          <w:tcPr>
            <w:tcW w:w="1294" w:type="dxa"/>
            <w:vMerge w:val="restart"/>
            <w:tcBorders>
              <w:top w:val="nil" w:sz="6" w:space="0" w:color="auto"/>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中驰惠程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
              <w:ind w:left="21" w:right="19"/>
              <w:jc w:val="left"/>
              <w:rPr>
                <w:rFonts w:ascii="宋体" w:hAnsi="宋体" w:cs="宋体" w:eastAsia="宋体" w:hint="default"/>
                <w:sz w:val="18"/>
                <w:szCs w:val="18"/>
              </w:rPr>
            </w:pPr>
            <w:r>
              <w:rPr>
                <w:rFonts w:ascii="宋体" w:hAnsi="宋体" w:cs="宋体" w:eastAsia="宋体" w:hint="default"/>
                <w:sz w:val="18"/>
                <w:szCs w:val="18"/>
              </w:rPr>
              <w:t>自交易完成之日起六十个月内，保证不主动放弃对上市公司的控股股东地 </w:t>
            </w:r>
            <w:r>
              <w:rPr>
                <w:rFonts w:ascii="宋体" w:hAnsi="宋体" w:cs="宋体" w:eastAsia="宋体" w:hint="default"/>
                <w:spacing w:val="-3"/>
                <w:sz w:val="18"/>
                <w:szCs w:val="18"/>
              </w:rPr>
              <w:t>位，详见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日《重大资产购买暨关联交易报告书（草案）（二</w:t>
            </w:r>
            <w:r>
              <w:rPr>
                <w:rFonts w:ascii="宋体" w:hAnsi="宋体" w:cs="宋体" w:eastAsia="宋体" w:hint="default"/>
                <w:sz w:val="18"/>
                <w:szCs w:val="18"/>
              </w:rPr>
              <w:t> </w:t>
            </w:r>
            <w:r>
              <w:rPr>
                <w:rFonts w:ascii="宋体" w:hAnsi="宋体" w:cs="宋体" w:eastAsia="宋体" w:hint="default"/>
                <w:spacing w:val="-27"/>
                <w:sz w:val="18"/>
                <w:szCs w:val="18"/>
              </w:rPr>
              <w:t>次修订稿）》。</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9" w:lineRule="auto"/>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027" w:hRule="exact"/>
        </w:trPr>
        <w:tc>
          <w:tcPr>
            <w:tcW w:w="12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 w:right="0"/>
              <w:jc w:val="left"/>
              <w:rPr>
                <w:rFonts w:ascii="宋体" w:hAnsi="宋体" w:cs="宋体" w:eastAsia="宋体" w:hint="default"/>
                <w:sz w:val="18"/>
                <w:szCs w:val="18"/>
              </w:rPr>
            </w:pPr>
            <w:r>
              <w:rPr>
                <w:rFonts w:ascii="宋体" w:hAnsi="宋体" w:cs="宋体" w:eastAsia="宋体" w:hint="default"/>
                <w:spacing w:val="-6"/>
                <w:sz w:val="18"/>
                <w:szCs w:val="18"/>
              </w:rPr>
              <w:t>汪超涌；李亦非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1" w:right="17"/>
              <w:jc w:val="both"/>
              <w:rPr>
                <w:rFonts w:ascii="宋体" w:hAnsi="宋体" w:cs="宋体" w:eastAsia="宋体" w:hint="default"/>
                <w:sz w:val="18"/>
                <w:szCs w:val="18"/>
              </w:rPr>
            </w:pPr>
            <w:r>
              <w:rPr>
                <w:rFonts w:ascii="宋体" w:hAnsi="宋体" w:cs="宋体" w:eastAsia="宋体" w:hint="default"/>
                <w:spacing w:val="-2"/>
                <w:sz w:val="18"/>
                <w:szCs w:val="18"/>
              </w:rPr>
              <w:t>自交易完成之日起六十个月内，本人及本人控制的主体保证不会主动放弃对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上市公司的控制权，保证上市公司控制权不发生变化，详见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日《重大资产购买暨关联交易报告书（草案）（二次修订稿）》。</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headerReference w:type="default" r:id="rId18"/>
          <w:footerReference w:type="default" r:id="rId19"/>
          <w:pgSz w:w="16840" w:h="11910" w:orient="landscape"/>
          <w:pgMar w:header="867" w:footer="980" w:top="1060" w:bottom="1160" w:left="1300" w:right="1280"/>
          <w:pgNumType w:start="37"/>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306"/>
        <w:gridCol w:w="1274"/>
        <w:gridCol w:w="1419"/>
        <w:gridCol w:w="5952"/>
        <w:gridCol w:w="1563"/>
        <w:gridCol w:w="1699"/>
        <w:gridCol w:w="804"/>
      </w:tblGrid>
      <w:tr>
        <w:trPr>
          <w:trHeight w:val="376" w:hRule="exact"/>
        </w:trPr>
        <w:tc>
          <w:tcPr>
            <w:tcW w:w="1306" w:type="dxa"/>
            <w:vMerge w:val="restart"/>
            <w:tcBorders>
              <w:top w:val="single" w:sz="15" w:space="0" w:color="000000"/>
              <w:left w:val="single" w:sz="4" w:space="0" w:color="000000"/>
              <w:right w:val="single" w:sz="4" w:space="0" w:color="000000"/>
            </w:tcBorders>
            <w:shd w:val="clear" w:color="auto" w:fill="D2D2D2"/>
          </w:tcPr>
          <w:p>
            <w:pPr/>
          </w:p>
        </w:tc>
        <w:tc>
          <w:tcPr>
            <w:tcW w:w="1274" w:type="dxa"/>
            <w:tcBorders>
              <w:top w:val="single" w:sz="15" w:space="0" w:color="000000"/>
              <w:left w:val="single" w:sz="4" w:space="0" w:color="000000"/>
              <w:bottom w:val="nil" w:sz="6" w:space="0" w:color="auto"/>
              <w:right w:val="single" w:sz="4" w:space="0" w:color="000000"/>
            </w:tcBorders>
          </w:tcPr>
          <w:p>
            <w:pPr/>
          </w:p>
        </w:tc>
        <w:tc>
          <w:tcPr>
            <w:tcW w:w="1419" w:type="dxa"/>
            <w:tcBorders>
              <w:top w:val="single" w:sz="15" w:space="0" w:color="000000"/>
              <w:left w:val="single" w:sz="4" w:space="0" w:color="000000"/>
              <w:bottom w:val="nil" w:sz="6" w:space="0" w:color="auto"/>
              <w:right w:val="single" w:sz="4" w:space="0" w:color="000000"/>
            </w:tcBorders>
          </w:tcPr>
          <w:p>
            <w:pPr/>
          </w:p>
        </w:tc>
        <w:tc>
          <w:tcPr>
            <w:tcW w:w="595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交易完成之后的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个月内，本公司（本人）并无通过影响上市公司股东大</w:t>
            </w:r>
          </w:p>
        </w:tc>
        <w:tc>
          <w:tcPr>
            <w:tcW w:w="1563" w:type="dxa"/>
            <w:tcBorders>
              <w:top w:val="single" w:sz="15" w:space="0" w:color="000000"/>
              <w:left w:val="single" w:sz="4" w:space="0" w:color="000000"/>
              <w:bottom w:val="nil" w:sz="6" w:space="0" w:color="auto"/>
              <w:right w:val="single" w:sz="4" w:space="0" w:color="000000"/>
            </w:tcBorders>
          </w:tcPr>
          <w:p>
            <w:pPr/>
          </w:p>
        </w:tc>
        <w:tc>
          <w:tcPr>
            <w:tcW w:w="1699" w:type="dxa"/>
            <w:tcBorders>
              <w:top w:val="single" w:sz="15" w:space="0" w:color="000000"/>
              <w:left w:val="single" w:sz="4" w:space="0" w:color="000000"/>
              <w:bottom w:val="nil" w:sz="6" w:space="0" w:color="auto"/>
              <w:right w:val="single" w:sz="4" w:space="0" w:color="000000"/>
            </w:tcBorders>
          </w:tcPr>
          <w:p>
            <w:pPr/>
          </w:p>
        </w:tc>
        <w:tc>
          <w:tcPr>
            <w:tcW w:w="804" w:type="dxa"/>
            <w:tcBorders>
              <w:top w:val="single" w:sz="15" w:space="0" w:color="000000"/>
              <w:left w:val="single" w:sz="4" w:space="0" w:color="000000"/>
              <w:bottom w:val="nil" w:sz="6" w:space="0" w:color="auto"/>
              <w:right w:val="single" w:sz="4" w:space="0" w:color="000000"/>
            </w:tcBorders>
          </w:tcPr>
          <w:p>
            <w:pPr/>
          </w:p>
        </w:tc>
      </w:tr>
      <w:tr>
        <w:trPr>
          <w:trHeight w:val="623" w:hRule="exact"/>
        </w:trPr>
        <w:tc>
          <w:tcPr>
            <w:tcW w:w="1306"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14" w:lineRule="auto" w:before="6"/>
              <w:ind w:left="21" w:right="22"/>
              <w:jc w:val="left"/>
              <w:rPr>
                <w:rFonts w:ascii="宋体" w:hAnsi="宋体" w:cs="宋体" w:eastAsia="宋体" w:hint="default"/>
                <w:sz w:val="18"/>
                <w:szCs w:val="18"/>
              </w:rPr>
            </w:pPr>
            <w:r>
              <w:rPr>
                <w:rFonts w:ascii="宋体" w:hAnsi="宋体" w:cs="宋体" w:eastAsia="宋体" w:hint="default"/>
                <w:spacing w:val="-6"/>
                <w:sz w:val="18"/>
                <w:szCs w:val="18"/>
              </w:rPr>
              <w:t>中驰惠程；汪超</w:t>
            </w:r>
            <w:r>
              <w:rPr>
                <w:rFonts w:ascii="宋体" w:hAnsi="宋体" w:cs="宋体" w:eastAsia="宋体" w:hint="default"/>
                <w:sz w:val="18"/>
                <w:szCs w:val="18"/>
              </w:rPr>
              <w:t> 涌；李亦非</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52" w:type="dxa"/>
            <w:tcBorders>
              <w:top w:val="nil" w:sz="6" w:space="0" w:color="auto"/>
              <w:left w:val="single" w:sz="4" w:space="0" w:color="000000"/>
              <w:bottom w:val="nil" w:sz="6" w:space="0" w:color="auto"/>
              <w:right w:val="single" w:sz="4" w:space="0" w:color="000000"/>
            </w:tcBorders>
          </w:tcPr>
          <w:p>
            <w:pPr>
              <w:pStyle w:val="TableParagraph"/>
              <w:spacing w:line="316" w:lineRule="auto" w:before="4"/>
              <w:ind w:left="21" w:right="23"/>
              <w:jc w:val="left"/>
              <w:rPr>
                <w:rFonts w:ascii="宋体" w:hAnsi="宋体" w:cs="宋体" w:eastAsia="宋体" w:hint="default"/>
                <w:sz w:val="18"/>
                <w:szCs w:val="18"/>
              </w:rPr>
            </w:pPr>
            <w:r>
              <w:rPr>
                <w:rFonts w:ascii="宋体" w:hAnsi="宋体" w:cs="宋体" w:eastAsia="宋体" w:hint="default"/>
                <w:spacing w:val="-2"/>
                <w:sz w:val="18"/>
                <w:szCs w:val="18"/>
              </w:rPr>
              <w:t>会、董事会而将上市公司现有业务相关的主要资产予以剥离的计划、意向或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sz w:val="18"/>
                <w:szCs w:val="18"/>
              </w:rPr>
              <w:t>安排。详见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日《重大资产购买暨关联交易报告书（草案）（二</w:t>
            </w:r>
          </w:p>
        </w:tc>
        <w:tc>
          <w:tcPr>
            <w:tcW w:w="15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314" w:lineRule="auto" w:before="6"/>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5" w:hRule="exact"/>
        </w:trPr>
        <w:tc>
          <w:tcPr>
            <w:tcW w:w="1306"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59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次修订稿</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563" w:type="dxa"/>
            <w:tcBorders>
              <w:top w:val="nil" w:sz="6" w:space="0" w:color="auto"/>
              <w:left w:val="single" w:sz="4" w:space="0" w:color="000000"/>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06"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59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pacing w:val="-2"/>
                <w:sz w:val="18"/>
                <w:szCs w:val="18"/>
              </w:rPr>
              <w:t>自交易完成之日起六十个月内，本公司（本企业）保证在维护上市公司实际</w:t>
            </w:r>
          </w:p>
        </w:tc>
        <w:tc>
          <w:tcPr>
            <w:tcW w:w="1563" w:type="dxa"/>
            <w:tcBorders>
              <w:top w:val="single" w:sz="4" w:space="0" w:color="000000"/>
              <w:left w:val="single" w:sz="4" w:space="0" w:color="000000"/>
              <w:bottom w:val="nil" w:sz="6" w:space="0" w:color="auto"/>
              <w:right w:val="single" w:sz="4" w:space="0" w:color="000000"/>
            </w:tcBorders>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306"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6"/>
                <w:sz w:val="18"/>
                <w:szCs w:val="18"/>
              </w:rPr>
              <w:t>信中利；中源信</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22"/>
              <w:jc w:val="left"/>
              <w:rPr>
                <w:rFonts w:ascii="宋体" w:hAnsi="宋体" w:cs="宋体" w:eastAsia="宋体" w:hint="default"/>
                <w:sz w:val="18"/>
                <w:szCs w:val="18"/>
              </w:rPr>
            </w:pPr>
            <w:r>
              <w:rPr>
                <w:rFonts w:ascii="宋体" w:hAnsi="宋体" w:cs="宋体" w:eastAsia="宋体" w:hint="default"/>
                <w:spacing w:val="-2"/>
                <w:sz w:val="18"/>
                <w:szCs w:val="18"/>
              </w:rPr>
              <w:t>控制权稳定的前提下不主动终止与上市公司控股股东的一致行动关系，并积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极维护上市公司实际控制权的稳定。详见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日《重大资产购</w:t>
            </w:r>
          </w:p>
        </w:tc>
        <w:tc>
          <w:tcPr>
            <w:tcW w:w="15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3" w:hRule="exact"/>
        </w:trPr>
        <w:tc>
          <w:tcPr>
            <w:tcW w:w="1306"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59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买暨关联交易报告书（草案</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二次修订稿</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563" w:type="dxa"/>
            <w:tcBorders>
              <w:top w:val="nil" w:sz="6" w:space="0" w:color="auto"/>
              <w:left w:val="single" w:sz="4" w:space="0" w:color="000000"/>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06"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59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pacing w:val="-2"/>
                <w:sz w:val="18"/>
                <w:szCs w:val="18"/>
              </w:rPr>
              <w:t>为了维护上市公司控制权稳定，上市公司控股股东及其一致行动人计划自本</w:t>
            </w:r>
          </w:p>
        </w:tc>
        <w:tc>
          <w:tcPr>
            <w:tcW w:w="1563" w:type="dxa"/>
            <w:tcBorders>
              <w:top w:val="single" w:sz="4" w:space="0" w:color="000000"/>
              <w:left w:val="single" w:sz="4" w:space="0" w:color="000000"/>
              <w:bottom w:val="nil" w:sz="6" w:space="0" w:color="auto"/>
              <w:right w:val="single" w:sz="4" w:space="0" w:color="000000"/>
            </w:tcBorders>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306"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1" w:right="22"/>
              <w:jc w:val="left"/>
              <w:rPr>
                <w:rFonts w:ascii="宋体" w:hAnsi="宋体" w:cs="宋体" w:eastAsia="宋体" w:hint="default"/>
                <w:sz w:val="18"/>
                <w:szCs w:val="18"/>
              </w:rPr>
            </w:pPr>
            <w:r>
              <w:rPr>
                <w:rFonts w:ascii="宋体" w:hAnsi="宋体" w:cs="宋体" w:eastAsia="宋体" w:hint="default"/>
                <w:spacing w:val="-6"/>
                <w:sz w:val="18"/>
                <w:szCs w:val="18"/>
              </w:rPr>
              <w:t>中驰惠程；汪超</w:t>
            </w:r>
            <w:r>
              <w:rPr>
                <w:rFonts w:ascii="宋体" w:hAnsi="宋体" w:cs="宋体" w:eastAsia="宋体" w:hint="default"/>
                <w:sz w:val="18"/>
                <w:szCs w:val="18"/>
              </w:rPr>
              <w:t> 涌；李亦非</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股份增持承诺</w:t>
            </w:r>
          </w:p>
        </w:tc>
        <w:tc>
          <w:tcPr>
            <w:tcW w:w="595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次交易完成之日起</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r>
              <w:rPr>
                <w:rFonts w:ascii="宋体" w:hAnsi="宋体" w:cs="宋体" w:eastAsia="宋体" w:hint="default"/>
                <w:spacing w:val="-3"/>
                <w:sz w:val="18"/>
                <w:szCs w:val="18"/>
              </w:rPr>
              <w:t>增</w:t>
            </w:r>
            <w:r>
              <w:rPr>
                <w:rFonts w:ascii="宋体" w:hAnsi="宋体" w:cs="宋体" w:eastAsia="宋体" w:hint="default"/>
                <w:sz w:val="18"/>
                <w:szCs w:val="18"/>
              </w:rPr>
              <w:t>持上市公司股份</w:t>
            </w:r>
            <w:r>
              <w:rPr>
                <w:rFonts w:ascii="宋体" w:hAnsi="宋体" w:cs="宋体" w:eastAsia="宋体" w:hint="default"/>
                <w:spacing w:val="-89"/>
                <w:sz w:val="18"/>
                <w:szCs w:val="18"/>
              </w:rPr>
              <w:t>，</w:t>
            </w:r>
            <w:r>
              <w:rPr>
                <w:rFonts w:ascii="宋体" w:hAnsi="宋体" w:cs="宋体" w:eastAsia="宋体" w:hint="default"/>
                <w:sz w:val="18"/>
                <w:szCs w:val="18"/>
              </w:rPr>
              <w:t>拟增持金额原则上不少于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亿元、不超过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亿元。若增持计划实施期间，上市公司股票如因筹划重大</w:t>
            </w:r>
          </w:p>
        </w:tc>
        <w:tc>
          <w:tcPr>
            <w:tcW w:w="15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3" w:right="48"/>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55" w:hRule="exact"/>
        </w:trPr>
        <w:tc>
          <w:tcPr>
            <w:tcW w:w="1306"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59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事项等情形出现连续停牌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个交易日以上的，增持期限将相应往后顺延。</w:t>
            </w:r>
          </w:p>
        </w:tc>
        <w:tc>
          <w:tcPr>
            <w:tcW w:w="1563" w:type="dxa"/>
            <w:tcBorders>
              <w:top w:val="nil" w:sz="6" w:space="0" w:color="auto"/>
              <w:left w:val="single" w:sz="4" w:space="0" w:color="000000"/>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r>
      <w:tr>
        <w:trPr>
          <w:trHeight w:val="1337" w:hRule="exact"/>
        </w:trPr>
        <w:tc>
          <w:tcPr>
            <w:tcW w:w="1306"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z w:val="18"/>
                <w:szCs w:val="18"/>
              </w:rPr>
              <w:t> </w:t>
            </w:r>
            <w:r>
              <w:rPr>
                <w:rFonts w:ascii="宋体" w:hAnsi="宋体" w:cs="宋体" w:eastAsia="宋体" w:hint="default"/>
                <w:spacing w:val="-10"/>
                <w:sz w:val="18"/>
                <w:szCs w:val="18"/>
              </w:rPr>
              <w:t>联交易、资金占用</w:t>
            </w:r>
            <w:r>
              <w:rPr>
                <w:rFonts w:ascii="宋体" w:hAnsi="宋体" w:cs="宋体" w:eastAsia="宋体" w:hint="default"/>
                <w:sz w:val="18"/>
                <w:szCs w:val="18"/>
              </w:rPr>
              <w:t> 方面的承诺</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23"/>
              <w:jc w:val="left"/>
              <w:rPr>
                <w:rFonts w:ascii="宋体" w:hAnsi="宋体" w:cs="宋体" w:eastAsia="宋体" w:hint="default"/>
                <w:sz w:val="18"/>
                <w:szCs w:val="18"/>
              </w:rPr>
            </w:pPr>
            <w:r>
              <w:rPr>
                <w:rFonts w:ascii="宋体" w:hAnsi="宋体" w:cs="宋体" w:eastAsia="宋体" w:hint="default"/>
                <w:sz w:val="18"/>
                <w:szCs w:val="18"/>
              </w:rPr>
              <w:t>本次交易完成后，本人及本人控制的企业不会直接或间接经营任何与哆可 </w:t>
            </w:r>
            <w:r>
              <w:rPr>
                <w:rFonts w:ascii="宋体" w:hAnsi="宋体" w:cs="宋体" w:eastAsia="宋体" w:hint="default"/>
                <w:spacing w:val="-2"/>
                <w:sz w:val="18"/>
                <w:szCs w:val="18"/>
              </w:rPr>
              <w:t>梦、上市公司及其下属公司经营的业务构成竞争或可能构成竞争的业务，亦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不会投资任何与哆可梦、上市公司及其下属公司经营的业务构成竞争或可能</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构成竞争的其他企业。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1"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 长期</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027" w:hRule="exact"/>
        </w:trPr>
        <w:tc>
          <w:tcPr>
            <w:tcW w:w="1306"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both"/>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z w:val="18"/>
                <w:szCs w:val="18"/>
              </w:rPr>
              <w:t> </w:t>
            </w:r>
            <w:r>
              <w:rPr>
                <w:rFonts w:ascii="宋体" w:hAnsi="宋体" w:cs="宋体" w:eastAsia="宋体" w:hint="default"/>
                <w:spacing w:val="-10"/>
                <w:sz w:val="18"/>
                <w:szCs w:val="18"/>
              </w:rPr>
              <w:t>联交易、资金占用</w:t>
            </w:r>
            <w:r>
              <w:rPr>
                <w:rFonts w:ascii="宋体" w:hAnsi="宋体" w:cs="宋体" w:eastAsia="宋体" w:hint="default"/>
                <w:sz w:val="18"/>
                <w:szCs w:val="18"/>
              </w:rPr>
              <w:t> 方面的承诺</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22"/>
              <w:jc w:val="both"/>
              <w:rPr>
                <w:rFonts w:ascii="宋体" w:hAnsi="宋体" w:cs="宋体" w:eastAsia="宋体" w:hint="default"/>
                <w:sz w:val="18"/>
                <w:szCs w:val="18"/>
              </w:rPr>
            </w:pPr>
            <w:r>
              <w:rPr>
                <w:rFonts w:ascii="宋体" w:hAnsi="宋体" w:cs="宋体" w:eastAsia="宋体" w:hint="default"/>
                <w:spacing w:val="-2"/>
                <w:sz w:val="18"/>
                <w:szCs w:val="18"/>
              </w:rPr>
              <w:t>本次交易完成后，本人及本人控制的企业将尽可能减少与上市公司及其下属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公司的关联交易，若发生必要且不可避免的关联交易，保证关联交易价格具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有公允性，不损害上市公司及上市公司其他股东的合法权益。</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1"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 长期</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025" w:hRule="exact"/>
        </w:trPr>
        <w:tc>
          <w:tcPr>
            <w:tcW w:w="1306"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z w:val="18"/>
                <w:szCs w:val="18"/>
              </w:rPr>
              <w:t> </w:t>
            </w:r>
            <w:r>
              <w:rPr>
                <w:rFonts w:ascii="宋体" w:hAnsi="宋体" w:cs="宋体" w:eastAsia="宋体" w:hint="default"/>
                <w:spacing w:val="-10"/>
                <w:sz w:val="18"/>
                <w:szCs w:val="18"/>
              </w:rPr>
              <w:t>联交易、资金占用</w:t>
            </w:r>
            <w:r>
              <w:rPr>
                <w:rFonts w:ascii="宋体" w:hAnsi="宋体" w:cs="宋体" w:eastAsia="宋体" w:hint="default"/>
                <w:sz w:val="18"/>
                <w:szCs w:val="18"/>
              </w:rPr>
              <w:t> 方面的承诺</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22"/>
              <w:jc w:val="left"/>
              <w:rPr>
                <w:rFonts w:ascii="宋体" w:hAnsi="宋体" w:cs="宋体" w:eastAsia="宋体" w:hint="default"/>
                <w:sz w:val="18"/>
                <w:szCs w:val="18"/>
              </w:rPr>
            </w:pPr>
            <w:r>
              <w:rPr>
                <w:rFonts w:ascii="宋体" w:hAnsi="宋体" w:cs="宋体" w:eastAsia="宋体" w:hint="default"/>
                <w:spacing w:val="-2"/>
                <w:sz w:val="18"/>
                <w:szCs w:val="18"/>
              </w:rPr>
              <w:t>本次交易完成后，本人不会占用哆可梦的资金或要求其为本人及本人控制的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企业提供担保，否则，本人应承担个别及连带责任。</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1"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 长期</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7" w:hRule="exact"/>
        </w:trPr>
        <w:tc>
          <w:tcPr>
            <w:tcW w:w="1306"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59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若因哆可梦及其下属子公司存在因资产交割日前已形成的事实原因受到相</w:t>
            </w:r>
          </w:p>
        </w:tc>
        <w:tc>
          <w:tcPr>
            <w:tcW w:w="1563" w:type="dxa"/>
            <w:tcBorders>
              <w:top w:val="single" w:sz="4" w:space="0" w:color="000000"/>
              <w:left w:val="single" w:sz="4" w:space="0" w:color="000000"/>
              <w:bottom w:val="nil" w:sz="6" w:space="0" w:color="auto"/>
              <w:right w:val="single" w:sz="4" w:space="0" w:color="000000"/>
            </w:tcBorders>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r>
      <w:tr>
        <w:trPr>
          <w:trHeight w:val="940" w:hRule="exact"/>
        </w:trPr>
        <w:tc>
          <w:tcPr>
            <w:tcW w:w="1306"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1"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5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1" w:right="22"/>
              <w:jc w:val="left"/>
              <w:rPr>
                <w:rFonts w:ascii="宋体" w:hAnsi="宋体" w:cs="宋体" w:eastAsia="宋体" w:hint="default"/>
                <w:sz w:val="18"/>
                <w:szCs w:val="18"/>
              </w:rPr>
            </w:pPr>
            <w:r>
              <w:rPr>
                <w:rFonts w:ascii="宋体" w:hAnsi="宋体" w:cs="宋体" w:eastAsia="宋体" w:hint="default"/>
                <w:sz w:val="18"/>
                <w:szCs w:val="18"/>
              </w:rPr>
              <w:t>关主管部门处罚，而导致哆可梦及其下属子公司遭受罚款或其他经济损失 </w:t>
            </w:r>
            <w:r>
              <w:rPr>
                <w:rFonts w:ascii="宋体" w:hAnsi="宋体" w:cs="宋体" w:eastAsia="宋体" w:hint="default"/>
                <w:spacing w:val="-2"/>
                <w:sz w:val="18"/>
                <w:szCs w:val="18"/>
              </w:rPr>
              <w:t>的，由本人无条件代哆可梦及其下属子公司承担，并放弃对哆可梦及其下属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子公司的追索权。详见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日《重大资产购买暨关联交易报告</w:t>
            </w:r>
          </w:p>
        </w:tc>
        <w:tc>
          <w:tcPr>
            <w:tcW w:w="15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97" w:lineRule="auto"/>
              <w:ind w:left="21"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 长期</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4" w:lineRule="auto"/>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5" w:hRule="exact"/>
        </w:trPr>
        <w:tc>
          <w:tcPr>
            <w:tcW w:w="1306"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59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书（草案</w:t>
            </w:r>
            <w:r>
              <w:rPr>
                <w:rFonts w:ascii="宋体" w:hAnsi="宋体" w:cs="宋体" w:eastAsia="宋体" w:hint="default"/>
                <w:spacing w:val="-92"/>
                <w:sz w:val="18"/>
                <w:szCs w:val="18"/>
              </w:rPr>
              <w:t>）</w:t>
            </w:r>
            <w:r>
              <w:rPr>
                <w:rFonts w:ascii="宋体" w:hAnsi="宋体" w:cs="宋体" w:eastAsia="宋体" w:hint="default"/>
                <w:sz w:val="18"/>
                <w:szCs w:val="18"/>
              </w:rPr>
              <w:t>（二次修订稿</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563" w:type="dxa"/>
            <w:tcBorders>
              <w:top w:val="nil" w:sz="6" w:space="0" w:color="auto"/>
              <w:left w:val="single" w:sz="4" w:space="0" w:color="000000"/>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1" w:right="0"/>
              <w:jc w:val="left"/>
              <w:rPr>
                <w:rFonts w:ascii="宋体" w:hAnsi="宋体" w:cs="宋体" w:eastAsia="宋体" w:hint="default"/>
                <w:sz w:val="18"/>
                <w:szCs w:val="18"/>
              </w:rPr>
            </w:pPr>
            <w:r>
              <w:rPr>
                <w:rFonts w:ascii="宋体" w:hAnsi="宋体" w:cs="宋体" w:eastAsia="宋体" w:hint="default"/>
                <w:sz w:val="18"/>
                <w:szCs w:val="18"/>
              </w:rPr>
              <w:t>本人在哆可梦（包括其全资</w:t>
            </w:r>
            <w:r>
              <w:rPr>
                <w:rFonts w:ascii="Times New Roman" w:hAnsi="Times New Roman" w:cs="Times New Roman" w:eastAsia="Times New Roman" w:hint="default"/>
                <w:sz w:val="18"/>
                <w:szCs w:val="18"/>
              </w:rPr>
              <w:t>/</w:t>
            </w:r>
            <w:r>
              <w:rPr>
                <w:rFonts w:ascii="宋体" w:hAnsi="宋体" w:cs="宋体" w:eastAsia="宋体" w:hint="default"/>
                <w:sz w:val="18"/>
                <w:szCs w:val="18"/>
              </w:rPr>
              <w:t>控股子公司、参股公司、分公司）的任职期限</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group style="position:absolute;margin-left:568.390015pt;margin-top:411.910004pt;width:77.7pt;height:43.75pt;mso-position-horizontal-relative:page;mso-position-vertical-relative:page;z-index:-1197112" coordorigin="11368,8238" coordsize="1554,875">
            <v:group style="position:absolute;left:11368;top:8238;width:1554;height:468" coordorigin="11368,8238" coordsize="1554,468">
              <v:shape style="position:absolute;left:11368;top:8238;width:1554;height:468" coordorigin="11368,8238" coordsize="1554,468" path="m11368,8706l12921,8706,12921,8238,11368,8238,11368,8706xe" filled="true" fillcolor="#ffffff" stroked="false">
                <v:path arrowok="t"/>
                <v:fill type="solid"/>
              </v:shape>
            </v:group>
            <v:group style="position:absolute;left:11380;top:8706;width:2;height:395" coordorigin="11380,8706" coordsize="2,395">
              <v:shape style="position:absolute;left:11380;top:8706;width:2;height:395" coordorigin="11380,8706" coordsize="0,395" path="m11380,8706l11380,9100e" filled="false" stroked="true" strokeweight="1.2pt" strokecolor="#ffffff">
                <v:path arrowok="t"/>
              </v:shape>
            </v:group>
            <v:group style="position:absolute;left:11392;top:8706;width:1506;height:395" coordorigin="11392,8706" coordsize="1506,395">
              <v:shape style="position:absolute;left:11392;top:8706;width:1506;height:395" coordorigin="11392,8706" coordsize="1506,395" path="m11392,9100l12897,9100,12897,8706,11392,8706,11392,9100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306"/>
        <w:gridCol w:w="1274"/>
        <w:gridCol w:w="1419"/>
        <w:gridCol w:w="5952"/>
        <w:gridCol w:w="1563"/>
        <w:gridCol w:w="1699"/>
        <w:gridCol w:w="804"/>
      </w:tblGrid>
      <w:tr>
        <w:trPr>
          <w:trHeight w:val="337" w:hRule="exact"/>
        </w:trPr>
        <w:tc>
          <w:tcPr>
            <w:tcW w:w="1306" w:type="dxa"/>
            <w:vMerge w:val="restart"/>
            <w:tcBorders>
              <w:top w:val="single" w:sz="15" w:space="0" w:color="000000"/>
              <w:left w:val="single" w:sz="4" w:space="0" w:color="000000"/>
              <w:right w:val="single" w:sz="4" w:space="0" w:color="000000"/>
            </w:tcBorders>
            <w:shd w:val="clear" w:color="auto" w:fill="D2D2D2"/>
          </w:tcPr>
          <w:p>
            <w:pPr/>
          </w:p>
        </w:tc>
        <w:tc>
          <w:tcPr>
            <w:tcW w:w="1274" w:type="dxa"/>
            <w:vMerge w:val="restart"/>
            <w:tcBorders>
              <w:top w:val="single" w:sz="15" w:space="0" w:color="000000"/>
              <w:left w:val="single" w:sz="4" w:space="0" w:color="000000"/>
              <w:right w:val="single" w:sz="4" w:space="0" w:color="000000"/>
            </w:tcBorders>
          </w:tcPr>
          <w:p>
            <w:pPr/>
          </w:p>
        </w:tc>
        <w:tc>
          <w:tcPr>
            <w:tcW w:w="1419" w:type="dxa"/>
            <w:vMerge w:val="restart"/>
            <w:tcBorders>
              <w:top w:val="single" w:sz="15" w:space="0" w:color="000000"/>
              <w:left w:val="single" w:sz="4" w:space="0" w:color="000000"/>
              <w:right w:val="single" w:sz="4" w:space="0" w:color="000000"/>
            </w:tcBorders>
          </w:tcPr>
          <w:p>
            <w:pPr/>
          </w:p>
        </w:tc>
        <w:tc>
          <w:tcPr>
            <w:tcW w:w="595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将自哆可梦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77.57%</w:t>
            </w:r>
            <w:r>
              <w:rPr>
                <w:rFonts w:ascii="宋体" w:hAnsi="宋体" w:cs="宋体" w:eastAsia="宋体" w:hint="default"/>
                <w:sz w:val="18"/>
                <w:szCs w:val="18"/>
              </w:rPr>
              <w:t>股权过户至上市公司名下之日起不少于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1563" w:type="dxa"/>
            <w:vMerge w:val="restart"/>
            <w:tcBorders>
              <w:top w:val="single" w:sz="15" w:space="0" w:color="000000"/>
              <w:left w:val="single" w:sz="4" w:space="0" w:color="000000"/>
              <w:right w:val="single" w:sz="4" w:space="0" w:color="000000"/>
            </w:tcBorders>
          </w:tcPr>
          <w:p>
            <w:pPr/>
          </w:p>
        </w:tc>
        <w:tc>
          <w:tcPr>
            <w:tcW w:w="169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80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307" w:hRule="exact"/>
        </w:trPr>
        <w:tc>
          <w:tcPr>
            <w:tcW w:w="1306"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59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92"/>
                <w:sz w:val="18"/>
                <w:szCs w:val="18"/>
              </w:rPr>
              <w:t>）</w:t>
            </w:r>
            <w:r>
              <w:rPr>
                <w:rFonts w:ascii="宋体" w:hAnsi="宋体" w:cs="宋体" w:eastAsia="宋体" w:hint="default"/>
                <w:sz w:val="18"/>
                <w:szCs w:val="18"/>
              </w:rPr>
              <w:t>，且不得无故解除与哆可</w:t>
            </w:r>
            <w:r>
              <w:rPr>
                <w:rFonts w:ascii="宋体" w:hAnsi="宋体" w:cs="宋体" w:eastAsia="宋体" w:hint="default"/>
                <w:spacing w:val="2"/>
                <w:sz w:val="18"/>
                <w:szCs w:val="18"/>
              </w:rPr>
              <w:t>梦</w:t>
            </w:r>
            <w:r>
              <w:rPr>
                <w:rFonts w:ascii="宋体" w:hAnsi="宋体" w:cs="宋体" w:eastAsia="宋体" w:hint="default"/>
                <w:sz w:val="18"/>
                <w:szCs w:val="18"/>
              </w:rPr>
              <w:t>的劳动合同。本人在资产交割日前与哆可梦</w:t>
            </w:r>
          </w:p>
        </w:tc>
        <w:tc>
          <w:tcPr>
            <w:tcW w:w="1563" w:type="dxa"/>
            <w:vMerge/>
            <w:tcBorders>
              <w:left w:val="single" w:sz="4" w:space="0" w:color="000000"/>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06"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59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签订令上市公司满意的竞业禁止协议，且在哆可梦任职期间以及离职后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tc>
        <w:tc>
          <w:tcPr>
            <w:tcW w:w="1563" w:type="dxa"/>
            <w:vMerge/>
            <w:tcBorders>
              <w:left w:val="single" w:sz="4" w:space="0" w:color="000000"/>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306"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59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内，不从事与哆可梦相同或竞争的业务。</w:t>
            </w:r>
          </w:p>
        </w:tc>
        <w:tc>
          <w:tcPr>
            <w:tcW w:w="1563" w:type="dxa"/>
            <w:vMerge/>
            <w:tcBorders>
              <w:left w:val="single" w:sz="4" w:space="0" w:color="000000"/>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306"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59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本人在哆可梦（包括其全资</w:t>
            </w:r>
            <w:r>
              <w:rPr>
                <w:rFonts w:ascii="Times New Roman" w:hAnsi="Times New Roman" w:cs="Times New Roman" w:eastAsia="Times New Roman" w:hint="default"/>
                <w:sz w:val="18"/>
                <w:szCs w:val="18"/>
              </w:rPr>
              <w:t>/</w:t>
            </w:r>
            <w:r>
              <w:rPr>
                <w:rFonts w:ascii="宋体" w:hAnsi="宋体" w:cs="宋体" w:eastAsia="宋体" w:hint="default"/>
                <w:sz w:val="18"/>
                <w:szCs w:val="18"/>
              </w:rPr>
              <w:t>控股子公司、参股公司、分公司）的任职期限</w:t>
            </w:r>
          </w:p>
        </w:tc>
        <w:tc>
          <w:tcPr>
            <w:tcW w:w="1563" w:type="dxa"/>
            <w:tcBorders>
              <w:top w:val="single" w:sz="4" w:space="0" w:color="000000"/>
              <w:left w:val="single" w:sz="4" w:space="0" w:color="000000"/>
              <w:bottom w:val="nil" w:sz="6" w:space="0" w:color="auto"/>
              <w:right w:val="single" w:sz="4" w:space="0" w:color="000000"/>
            </w:tcBorders>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06"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1" w:right="0"/>
              <w:jc w:val="left"/>
              <w:rPr>
                <w:rFonts w:ascii="宋体" w:hAnsi="宋体" w:cs="宋体" w:eastAsia="宋体" w:hint="default"/>
                <w:sz w:val="18"/>
                <w:szCs w:val="18"/>
              </w:rPr>
            </w:pPr>
            <w:r>
              <w:rPr>
                <w:rFonts w:ascii="宋体" w:hAnsi="宋体" w:cs="宋体" w:eastAsia="宋体" w:hint="default"/>
                <w:spacing w:val="-6"/>
                <w:sz w:val="18"/>
                <w:szCs w:val="18"/>
              </w:rPr>
              <w:t>陈家斌；杨莲莲</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52"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1" w:right="21"/>
              <w:jc w:val="left"/>
              <w:rPr>
                <w:rFonts w:ascii="宋体" w:hAnsi="宋体" w:cs="宋体" w:eastAsia="宋体" w:hint="default"/>
                <w:sz w:val="18"/>
                <w:szCs w:val="18"/>
              </w:rPr>
            </w:pPr>
            <w:r>
              <w:rPr>
                <w:rFonts w:ascii="宋体" w:hAnsi="宋体" w:cs="宋体" w:eastAsia="宋体" w:hint="default"/>
                <w:sz w:val="18"/>
                <w:szCs w:val="18"/>
              </w:rPr>
              <w:t>将自哆可梦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77.57%</w:t>
            </w:r>
            <w:r>
              <w:rPr>
                <w:rFonts w:ascii="宋体" w:hAnsi="宋体" w:cs="宋体" w:eastAsia="宋体" w:hint="default"/>
                <w:sz w:val="18"/>
                <w:szCs w:val="18"/>
              </w:rPr>
              <w:t>股权过户至上市公司名下之日起不少于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年，且不得无 </w:t>
            </w:r>
            <w:r>
              <w:rPr>
                <w:rFonts w:ascii="宋体" w:hAnsi="宋体" w:cs="宋体" w:eastAsia="宋体" w:hint="default"/>
                <w:spacing w:val="-2"/>
                <w:sz w:val="18"/>
                <w:szCs w:val="18"/>
              </w:rPr>
              <w:t>故解除与哆可梦的劳动合同。本人在资产交割日前与哆可梦签订令上市公司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满意的竞业禁止协议，且在哆可梦任职期间以及离职后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年内，不从事与哆</w:t>
            </w:r>
          </w:p>
        </w:tc>
        <w:tc>
          <w:tcPr>
            <w:tcW w:w="15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5" w:hRule="exact"/>
        </w:trPr>
        <w:tc>
          <w:tcPr>
            <w:tcW w:w="1306"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59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可梦相同或竞争的业务。</w:t>
            </w:r>
          </w:p>
        </w:tc>
        <w:tc>
          <w:tcPr>
            <w:tcW w:w="1563" w:type="dxa"/>
            <w:tcBorders>
              <w:top w:val="nil" w:sz="6" w:space="0" w:color="auto"/>
              <w:left w:val="single" w:sz="4" w:space="0" w:color="000000"/>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06"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17"/>
              <w:jc w:val="left"/>
              <w:rPr>
                <w:rFonts w:ascii="宋体" w:hAnsi="宋体" w:cs="宋体" w:eastAsia="宋体" w:hint="default"/>
                <w:sz w:val="18"/>
                <w:szCs w:val="18"/>
              </w:rPr>
            </w:pPr>
            <w:r>
              <w:rPr>
                <w:rFonts w:ascii="宋体" w:hAnsi="宋体" w:cs="宋体" w:eastAsia="宋体" w:hint="default"/>
                <w:sz w:val="18"/>
                <w:szCs w:val="18"/>
              </w:rPr>
              <w:t>寇汉；林嘉喜；</w:t>
            </w:r>
          </w:p>
        </w:tc>
        <w:tc>
          <w:tcPr>
            <w:tcW w:w="1419" w:type="dxa"/>
            <w:tcBorders>
              <w:top w:val="single" w:sz="4" w:space="0" w:color="000000"/>
              <w:left w:val="single" w:sz="4" w:space="0" w:color="000000"/>
              <w:bottom w:val="nil" w:sz="6" w:space="0" w:color="auto"/>
              <w:right w:val="single" w:sz="4" w:space="0" w:color="000000"/>
            </w:tcBorders>
          </w:tcPr>
          <w:p>
            <w:pPr/>
          </w:p>
        </w:tc>
        <w:tc>
          <w:tcPr>
            <w:tcW w:w="5952" w:type="dxa"/>
            <w:tcBorders>
              <w:top w:val="single" w:sz="4" w:space="0" w:color="000000"/>
              <w:left w:val="single" w:sz="4" w:space="0" w:color="000000"/>
              <w:bottom w:val="nil" w:sz="6" w:space="0" w:color="auto"/>
              <w:right w:val="single" w:sz="4" w:space="0" w:color="000000"/>
            </w:tcBorders>
          </w:tcPr>
          <w:p>
            <w:pPr/>
          </w:p>
        </w:tc>
        <w:tc>
          <w:tcPr>
            <w:tcW w:w="1563" w:type="dxa"/>
            <w:tcBorders>
              <w:top w:val="single" w:sz="4" w:space="0" w:color="000000"/>
              <w:left w:val="single" w:sz="4" w:space="0" w:color="000000"/>
              <w:bottom w:val="nil" w:sz="6" w:space="0" w:color="auto"/>
              <w:right w:val="single" w:sz="4" w:space="0" w:color="000000"/>
            </w:tcBorders>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06"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宁夏和中股权</w:t>
            </w:r>
          </w:p>
        </w:tc>
        <w:tc>
          <w:tcPr>
            <w:tcW w:w="1419" w:type="dxa"/>
            <w:tcBorders>
              <w:top w:val="nil" w:sz="6" w:space="0" w:color="auto"/>
              <w:left w:val="single" w:sz="4" w:space="0" w:color="000000"/>
              <w:bottom w:val="nil" w:sz="6" w:space="0" w:color="auto"/>
              <w:right w:val="single" w:sz="4" w:space="0" w:color="000000"/>
            </w:tcBorders>
          </w:tcPr>
          <w:p>
            <w:pPr/>
          </w:p>
        </w:tc>
        <w:tc>
          <w:tcPr>
            <w:tcW w:w="5952" w:type="dxa"/>
            <w:tcBorders>
              <w:top w:val="nil" w:sz="6" w:space="0" w:color="auto"/>
              <w:left w:val="single" w:sz="4" w:space="0" w:color="000000"/>
              <w:bottom w:val="nil" w:sz="6" w:space="0" w:color="auto"/>
              <w:right w:val="single" w:sz="4" w:space="0" w:color="000000"/>
            </w:tcBorders>
          </w:tcPr>
          <w:p>
            <w:pPr/>
          </w:p>
        </w:tc>
        <w:tc>
          <w:tcPr>
            <w:tcW w:w="1563"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06"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投资管理合伙</w:t>
            </w:r>
          </w:p>
        </w:tc>
        <w:tc>
          <w:tcPr>
            <w:tcW w:w="1419" w:type="dxa"/>
            <w:tcBorders>
              <w:top w:val="nil" w:sz="6" w:space="0" w:color="auto"/>
              <w:left w:val="single" w:sz="4" w:space="0" w:color="000000"/>
              <w:bottom w:val="nil" w:sz="6" w:space="0" w:color="auto"/>
              <w:right w:val="single" w:sz="4" w:space="0" w:color="000000"/>
            </w:tcBorders>
          </w:tcPr>
          <w:p>
            <w:pPr/>
          </w:p>
        </w:tc>
        <w:tc>
          <w:tcPr>
            <w:tcW w:w="5952" w:type="dxa"/>
            <w:tcBorders>
              <w:top w:val="nil" w:sz="6" w:space="0" w:color="auto"/>
              <w:left w:val="single" w:sz="4" w:space="0" w:color="000000"/>
              <w:bottom w:val="nil" w:sz="6" w:space="0" w:color="auto"/>
              <w:right w:val="single" w:sz="4" w:space="0" w:color="000000"/>
            </w:tcBorders>
          </w:tcPr>
          <w:p>
            <w:pPr/>
          </w:p>
        </w:tc>
        <w:tc>
          <w:tcPr>
            <w:tcW w:w="1563"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06"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企业（有限合</w:t>
            </w:r>
          </w:p>
        </w:tc>
        <w:tc>
          <w:tcPr>
            <w:tcW w:w="1419" w:type="dxa"/>
            <w:tcBorders>
              <w:top w:val="nil" w:sz="6" w:space="0" w:color="auto"/>
              <w:left w:val="single" w:sz="4" w:space="0" w:color="000000"/>
              <w:bottom w:val="nil" w:sz="6" w:space="0" w:color="auto"/>
              <w:right w:val="single" w:sz="4" w:space="0" w:color="000000"/>
            </w:tcBorders>
          </w:tcPr>
          <w:p>
            <w:pPr/>
          </w:p>
        </w:tc>
        <w:tc>
          <w:tcPr>
            <w:tcW w:w="5952" w:type="dxa"/>
            <w:tcBorders>
              <w:top w:val="nil" w:sz="6" w:space="0" w:color="auto"/>
              <w:left w:val="single" w:sz="4" w:space="0" w:color="000000"/>
              <w:bottom w:val="nil" w:sz="6" w:space="0" w:color="auto"/>
              <w:right w:val="single" w:sz="4" w:space="0" w:color="000000"/>
            </w:tcBorders>
          </w:tcPr>
          <w:p>
            <w:pPr/>
          </w:p>
        </w:tc>
        <w:tc>
          <w:tcPr>
            <w:tcW w:w="1563"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06"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伙</w:t>
            </w:r>
            <w:r>
              <w:rPr>
                <w:rFonts w:ascii="宋体" w:hAnsi="宋体" w:cs="宋体" w:eastAsia="宋体" w:hint="default"/>
                <w:spacing w:val="-92"/>
                <w:sz w:val="18"/>
                <w:szCs w:val="18"/>
              </w:rPr>
              <w:t>）</w:t>
            </w:r>
            <w:r>
              <w:rPr>
                <w:rFonts w:ascii="宋体" w:hAnsi="宋体" w:cs="宋体" w:eastAsia="宋体" w:hint="default"/>
                <w:sz w:val="18"/>
                <w:szCs w:val="18"/>
              </w:rPr>
              <w:t>；深圳国金</w:t>
            </w:r>
          </w:p>
        </w:tc>
        <w:tc>
          <w:tcPr>
            <w:tcW w:w="1419" w:type="dxa"/>
            <w:tcBorders>
              <w:top w:val="nil" w:sz="6" w:space="0" w:color="auto"/>
              <w:left w:val="single" w:sz="4" w:space="0" w:color="000000"/>
              <w:bottom w:val="nil" w:sz="6" w:space="0" w:color="auto"/>
              <w:right w:val="single" w:sz="4" w:space="0" w:color="000000"/>
            </w:tcBorders>
          </w:tcPr>
          <w:p>
            <w:pPr/>
          </w:p>
        </w:tc>
        <w:tc>
          <w:tcPr>
            <w:tcW w:w="59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本次交易不涉及本方（本人）在取得交易对价后购买上市公司股票的约定或</w:t>
            </w:r>
          </w:p>
        </w:tc>
        <w:tc>
          <w:tcPr>
            <w:tcW w:w="1563"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06"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1" w:right="72"/>
              <w:jc w:val="both"/>
              <w:rPr>
                <w:rFonts w:ascii="宋体" w:hAnsi="宋体" w:cs="宋体" w:eastAsia="宋体" w:hint="default"/>
                <w:sz w:val="18"/>
                <w:szCs w:val="18"/>
              </w:rPr>
            </w:pPr>
            <w:r>
              <w:rPr>
                <w:rFonts w:ascii="宋体" w:hAnsi="宋体" w:cs="宋体" w:eastAsia="宋体" w:hint="default"/>
                <w:sz w:val="18"/>
                <w:szCs w:val="18"/>
              </w:rPr>
              <w:t>凯撒创业投资 企业（有限合 </w:t>
            </w:r>
            <w:r>
              <w:rPr>
                <w:rFonts w:ascii="宋体" w:hAnsi="宋体" w:cs="宋体" w:eastAsia="宋体" w:hint="default"/>
                <w:spacing w:val="-14"/>
                <w:sz w:val="18"/>
                <w:szCs w:val="18"/>
              </w:rPr>
              <w:t>伙）；深圳市岚</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52"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1" w:right="22"/>
              <w:jc w:val="both"/>
              <w:rPr>
                <w:rFonts w:ascii="宋体" w:hAnsi="宋体" w:cs="宋体" w:eastAsia="宋体" w:hint="default"/>
                <w:sz w:val="18"/>
                <w:szCs w:val="18"/>
              </w:rPr>
            </w:pPr>
            <w:r>
              <w:rPr>
                <w:rFonts w:ascii="宋体" w:hAnsi="宋体" w:cs="宋体" w:eastAsia="宋体" w:hint="default"/>
                <w:spacing w:val="-2"/>
                <w:sz w:val="18"/>
                <w:szCs w:val="18"/>
              </w:rPr>
              <w:t>安排，也不涉及与上市公司其他股东达成股票购买的约定或安排；自本声明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签署后直至本次交易完成后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个月内，本方（本人）并不因本次交易而直 </w:t>
            </w:r>
            <w:r>
              <w:rPr>
                <w:rFonts w:ascii="宋体" w:hAnsi="宋体" w:cs="宋体" w:eastAsia="宋体" w:hint="default"/>
                <w:spacing w:val="-2"/>
                <w:sz w:val="18"/>
                <w:szCs w:val="18"/>
              </w:rPr>
              <w:t>接或间接持有上市公司的股份，也没有以任何方式单独或与他人共同谋求上</w:t>
            </w:r>
          </w:p>
        </w:tc>
        <w:tc>
          <w:tcPr>
            <w:tcW w:w="15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306"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悦网络科技有</w:t>
            </w:r>
          </w:p>
        </w:tc>
        <w:tc>
          <w:tcPr>
            <w:tcW w:w="1419" w:type="dxa"/>
            <w:tcBorders>
              <w:top w:val="nil" w:sz="6" w:space="0" w:color="auto"/>
              <w:left w:val="single" w:sz="4" w:space="0" w:color="000000"/>
              <w:bottom w:val="nil" w:sz="6" w:space="0" w:color="auto"/>
              <w:right w:val="single" w:sz="4" w:space="0" w:color="000000"/>
            </w:tcBorders>
          </w:tcPr>
          <w:p>
            <w:pPr/>
          </w:p>
        </w:tc>
        <w:tc>
          <w:tcPr>
            <w:tcW w:w="59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19"/>
              <w:jc w:val="left"/>
              <w:rPr>
                <w:rFonts w:ascii="宋体" w:hAnsi="宋体" w:cs="宋体" w:eastAsia="宋体" w:hint="default"/>
                <w:sz w:val="18"/>
                <w:szCs w:val="18"/>
              </w:rPr>
            </w:pPr>
            <w:r>
              <w:rPr>
                <w:rFonts w:ascii="宋体" w:hAnsi="宋体" w:cs="宋体" w:eastAsia="宋体" w:hint="default"/>
                <w:sz w:val="18"/>
                <w:szCs w:val="18"/>
              </w:rPr>
              <w:t>市公司控制权，或使上市公司股权结构发生重大变化的计划、意向或安排。</w:t>
            </w:r>
          </w:p>
        </w:tc>
        <w:tc>
          <w:tcPr>
            <w:tcW w:w="1563"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06"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6"/>
                <w:sz w:val="18"/>
                <w:szCs w:val="18"/>
              </w:rPr>
              <w:t>限公司；完美世</w:t>
            </w:r>
          </w:p>
        </w:tc>
        <w:tc>
          <w:tcPr>
            <w:tcW w:w="1419" w:type="dxa"/>
            <w:tcBorders>
              <w:top w:val="nil" w:sz="6" w:space="0" w:color="auto"/>
              <w:left w:val="single" w:sz="4" w:space="0" w:color="000000"/>
              <w:bottom w:val="nil" w:sz="6" w:space="0" w:color="auto"/>
              <w:right w:val="single" w:sz="4" w:space="0" w:color="000000"/>
            </w:tcBorders>
          </w:tcPr>
          <w:p>
            <w:pPr/>
          </w:p>
        </w:tc>
        <w:tc>
          <w:tcPr>
            <w:tcW w:w="5952" w:type="dxa"/>
            <w:tcBorders>
              <w:top w:val="nil" w:sz="6" w:space="0" w:color="auto"/>
              <w:left w:val="single" w:sz="4" w:space="0" w:color="000000"/>
              <w:bottom w:val="nil" w:sz="6" w:space="0" w:color="auto"/>
              <w:right w:val="single" w:sz="4" w:space="0" w:color="000000"/>
            </w:tcBorders>
          </w:tcPr>
          <w:p>
            <w:pPr/>
          </w:p>
        </w:tc>
        <w:tc>
          <w:tcPr>
            <w:tcW w:w="1563"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06"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7"/>
                <w:sz w:val="18"/>
                <w:szCs w:val="18"/>
              </w:rPr>
              <w:t>界（北京）软件</w:t>
            </w:r>
          </w:p>
        </w:tc>
        <w:tc>
          <w:tcPr>
            <w:tcW w:w="1419" w:type="dxa"/>
            <w:tcBorders>
              <w:top w:val="nil" w:sz="6" w:space="0" w:color="auto"/>
              <w:left w:val="single" w:sz="4" w:space="0" w:color="000000"/>
              <w:bottom w:val="nil" w:sz="6" w:space="0" w:color="auto"/>
              <w:right w:val="single" w:sz="4" w:space="0" w:color="000000"/>
            </w:tcBorders>
          </w:tcPr>
          <w:p>
            <w:pPr/>
          </w:p>
        </w:tc>
        <w:tc>
          <w:tcPr>
            <w:tcW w:w="5952" w:type="dxa"/>
            <w:tcBorders>
              <w:top w:val="nil" w:sz="6" w:space="0" w:color="auto"/>
              <w:left w:val="single" w:sz="4" w:space="0" w:color="000000"/>
              <w:bottom w:val="nil" w:sz="6" w:space="0" w:color="auto"/>
              <w:right w:val="single" w:sz="4" w:space="0" w:color="000000"/>
            </w:tcBorders>
          </w:tcPr>
          <w:p>
            <w:pPr/>
          </w:p>
        </w:tc>
        <w:tc>
          <w:tcPr>
            <w:tcW w:w="1563"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06"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科技发展有限</w:t>
            </w:r>
          </w:p>
        </w:tc>
        <w:tc>
          <w:tcPr>
            <w:tcW w:w="1419" w:type="dxa"/>
            <w:tcBorders>
              <w:top w:val="nil" w:sz="6" w:space="0" w:color="auto"/>
              <w:left w:val="single" w:sz="4" w:space="0" w:color="000000"/>
              <w:bottom w:val="nil" w:sz="6" w:space="0" w:color="auto"/>
              <w:right w:val="single" w:sz="4" w:space="0" w:color="000000"/>
            </w:tcBorders>
          </w:tcPr>
          <w:p>
            <w:pPr/>
          </w:p>
        </w:tc>
        <w:tc>
          <w:tcPr>
            <w:tcW w:w="5952" w:type="dxa"/>
            <w:tcBorders>
              <w:top w:val="nil" w:sz="6" w:space="0" w:color="auto"/>
              <w:left w:val="single" w:sz="4" w:space="0" w:color="000000"/>
              <w:bottom w:val="nil" w:sz="6" w:space="0" w:color="auto"/>
              <w:right w:val="single" w:sz="4" w:space="0" w:color="000000"/>
            </w:tcBorders>
          </w:tcPr>
          <w:p>
            <w:pPr/>
          </w:p>
        </w:tc>
        <w:tc>
          <w:tcPr>
            <w:tcW w:w="1563"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06"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9" w:type="dxa"/>
            <w:tcBorders>
              <w:top w:val="nil" w:sz="6" w:space="0" w:color="auto"/>
              <w:left w:val="single" w:sz="4" w:space="0" w:color="000000"/>
              <w:bottom w:val="single" w:sz="4" w:space="0" w:color="000000"/>
              <w:right w:val="single" w:sz="4" w:space="0" w:color="000000"/>
            </w:tcBorders>
          </w:tcPr>
          <w:p>
            <w:pPr/>
          </w:p>
        </w:tc>
        <w:tc>
          <w:tcPr>
            <w:tcW w:w="5952" w:type="dxa"/>
            <w:tcBorders>
              <w:top w:val="nil" w:sz="6" w:space="0" w:color="auto"/>
              <w:left w:val="single" w:sz="4" w:space="0" w:color="000000"/>
              <w:bottom w:val="single" w:sz="4" w:space="0" w:color="000000"/>
              <w:right w:val="single" w:sz="4" w:space="0" w:color="000000"/>
            </w:tcBorders>
          </w:tcPr>
          <w:p>
            <w:pPr/>
          </w:p>
        </w:tc>
        <w:tc>
          <w:tcPr>
            <w:tcW w:w="1563" w:type="dxa"/>
            <w:tcBorders>
              <w:top w:val="nil" w:sz="6" w:space="0" w:color="auto"/>
              <w:left w:val="single" w:sz="4" w:space="0" w:color="000000"/>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306"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59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作为业绩补偿义务人承诺哆可梦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pacing w:val="-4"/>
                <w:sz w:val="18"/>
                <w:szCs w:val="18"/>
              </w:rPr>
              <w:t>年各年度实现的净利润（以</w:t>
            </w:r>
          </w:p>
        </w:tc>
        <w:tc>
          <w:tcPr>
            <w:tcW w:w="1563" w:type="dxa"/>
            <w:tcBorders>
              <w:top w:val="single" w:sz="4" w:space="0" w:color="000000"/>
              <w:left w:val="single" w:sz="4" w:space="0" w:color="000000"/>
              <w:bottom w:val="nil" w:sz="6" w:space="0" w:color="auto"/>
              <w:right w:val="single" w:sz="4" w:space="0" w:color="000000"/>
            </w:tcBorders>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306"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寇汉；林嘉喜</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3" w:right="123"/>
              <w:jc w:val="left"/>
              <w:rPr>
                <w:rFonts w:ascii="宋体" w:hAnsi="宋体" w:cs="宋体" w:eastAsia="宋体" w:hint="default"/>
                <w:sz w:val="18"/>
                <w:szCs w:val="18"/>
              </w:rPr>
            </w:pPr>
            <w:r>
              <w:rPr>
                <w:rFonts w:ascii="宋体" w:hAnsi="宋体" w:cs="宋体" w:eastAsia="宋体" w:hint="default"/>
                <w:sz w:val="18"/>
                <w:szCs w:val="18"/>
              </w:rPr>
              <w:t>业绩承诺及补偿 安排</w:t>
            </w:r>
          </w:p>
        </w:tc>
        <w:tc>
          <w:tcPr>
            <w:tcW w:w="59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扣除非经常性损益前后孰低者为计算依据</w:t>
            </w:r>
            <w:r>
              <w:rPr>
                <w:rFonts w:ascii="宋体" w:hAnsi="宋体" w:cs="宋体" w:eastAsia="宋体" w:hint="default"/>
                <w:spacing w:val="-89"/>
                <w:sz w:val="18"/>
                <w:szCs w:val="18"/>
              </w:rPr>
              <w:t>）</w:t>
            </w:r>
            <w:r>
              <w:rPr>
                <w:rFonts w:ascii="宋体" w:hAnsi="宋体" w:cs="宋体" w:eastAsia="宋体" w:hint="default"/>
                <w:sz w:val="18"/>
                <w:szCs w:val="18"/>
              </w:rPr>
              <w:t>不少于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w:t>
            </w:r>
            <w:r>
              <w:rPr>
                <w:rFonts w:ascii="宋体" w:hAnsi="宋体" w:cs="宋体" w:eastAsia="宋体" w:hint="default"/>
                <w:spacing w:val="-89"/>
                <w:sz w:val="18"/>
                <w:szCs w:val="18"/>
              </w:rPr>
              <w:t>、</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万元，如哆可梦任一会计年度未实现承诺净利润则在相应会计年度</w:t>
            </w:r>
          </w:p>
        </w:tc>
        <w:tc>
          <w:tcPr>
            <w:tcW w:w="1563" w:type="dxa"/>
            <w:tcBorders>
              <w:top w:val="nil" w:sz="6" w:space="0" w:color="auto"/>
              <w:left w:val="single" w:sz="4" w:space="0" w:color="000000"/>
              <w:bottom w:val="nil" w:sz="6" w:space="0" w:color="auto"/>
              <w:right w:val="single" w:sz="4" w:space="0" w:color="000000"/>
            </w:tcBorders>
          </w:tcPr>
          <w:p>
            <w:pPr>
              <w:pStyle w:val="TableParagraph"/>
              <w:spacing w:line="196" w:lineRule="exact" w:before="5"/>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5" w:hRule="exact"/>
        </w:trPr>
        <w:tc>
          <w:tcPr>
            <w:tcW w:w="1306"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59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20"/>
              <w:jc w:val="left"/>
              <w:rPr>
                <w:rFonts w:ascii="宋体" w:hAnsi="宋体" w:cs="宋体" w:eastAsia="宋体" w:hint="default"/>
                <w:sz w:val="18"/>
                <w:szCs w:val="18"/>
              </w:rPr>
            </w:pPr>
            <w:r>
              <w:rPr>
                <w:rFonts w:ascii="宋体" w:hAnsi="宋体" w:cs="宋体" w:eastAsia="宋体" w:hint="default"/>
                <w:sz w:val="18"/>
                <w:szCs w:val="18"/>
              </w:rPr>
              <w:t>《专项审核报告》公开披露之日起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个工作日承担相应的盈利补偿义务。</w:t>
            </w:r>
          </w:p>
        </w:tc>
        <w:tc>
          <w:tcPr>
            <w:tcW w:w="1563" w:type="dxa"/>
            <w:tcBorders>
              <w:top w:val="nil" w:sz="6" w:space="0" w:color="auto"/>
              <w:left w:val="single" w:sz="4" w:space="0" w:color="000000"/>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r>
      <w:tr>
        <w:trPr>
          <w:trHeight w:val="986"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如哆可梦在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年度累计实现净利润总和大于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年度至</w:t>
            </w:r>
          </w:p>
          <w:p>
            <w:pPr>
              <w:pStyle w:val="TableParagraph"/>
              <w:spacing w:line="240" w:lineRule="auto" w:before="6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年度承诺净利润总和的，上市公司将该等超过部分净利润的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作为</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哆可梦管理团队、核心人员的业绩奖励，于哆可梦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年度《专项审核报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562.153015pt;margin-top:111.020004pt;width:83.9pt;height:15.6pt;mso-position-horizontal-relative:page;mso-position-vertical-relative:page;z-index:-1197064"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731.5pt;margin-top:367.51001pt;width:39.65pt;height:46.8pt;mso-position-horizontal-relative:page;mso-position-vertical-relative:page;z-index:-1197040" coordorigin="14630,7350" coordsize="793,936">
            <v:shape style="position:absolute;left:14630;top:7350;width:793;height:936" coordorigin="14630,7350" coordsize="793,936" path="m14630,8286l15422,8286,15422,7350,14630,7350,14630,8286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1306"/>
        <w:gridCol w:w="1274"/>
        <w:gridCol w:w="1419"/>
        <w:gridCol w:w="5952"/>
        <w:gridCol w:w="1563"/>
        <w:gridCol w:w="1699"/>
        <w:gridCol w:w="804"/>
      </w:tblGrid>
      <w:tr>
        <w:trPr>
          <w:trHeight w:val="377" w:hRule="exact"/>
        </w:trPr>
        <w:tc>
          <w:tcPr>
            <w:tcW w:w="1306" w:type="dxa"/>
            <w:vMerge w:val="restart"/>
            <w:tcBorders>
              <w:top w:val="single" w:sz="15" w:space="0" w:color="000000"/>
              <w:left w:val="single" w:sz="4" w:space="0" w:color="000000"/>
              <w:right w:val="single" w:sz="4" w:space="0" w:color="000000"/>
            </w:tcBorders>
            <w:shd w:val="clear" w:color="auto" w:fill="D2D2D2"/>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59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告》公开披露之日起十个工作日内一次性以现金方式支付</w:t>
            </w:r>
          </w:p>
        </w:tc>
        <w:tc>
          <w:tcPr>
            <w:tcW w:w="1563" w:type="dxa"/>
            <w:tcBorders>
              <w:top w:val="single" w:sz="15" w:space="0" w:color="000000"/>
              <w:left w:val="single" w:sz="4" w:space="0" w:color="000000"/>
              <w:bottom w:val="single" w:sz="4" w:space="0" w:color="000000"/>
              <w:right w:val="single" w:sz="4" w:space="0" w:color="000000"/>
            </w:tcBorders>
          </w:tcPr>
          <w:p>
            <w:pPr/>
          </w:p>
        </w:tc>
        <w:tc>
          <w:tcPr>
            <w:tcW w:w="1699" w:type="dxa"/>
            <w:tcBorders>
              <w:top w:val="single" w:sz="15" w:space="0" w:color="000000"/>
              <w:left w:val="single" w:sz="4" w:space="0" w:color="000000"/>
              <w:bottom w:val="single" w:sz="4" w:space="0" w:color="000000"/>
              <w:right w:val="single" w:sz="4" w:space="0" w:color="000000"/>
            </w:tcBorders>
          </w:tcPr>
          <w:p>
            <w:pPr/>
          </w:p>
        </w:tc>
        <w:tc>
          <w:tcPr>
            <w:tcW w:w="804"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3"/>
              <w:jc w:val="left"/>
              <w:rPr>
                <w:rFonts w:ascii="宋体" w:hAnsi="宋体" w:cs="宋体" w:eastAsia="宋体" w:hint="default"/>
                <w:sz w:val="18"/>
                <w:szCs w:val="18"/>
              </w:rPr>
            </w:pPr>
            <w:r>
              <w:rPr>
                <w:rFonts w:ascii="宋体" w:hAnsi="宋体" w:cs="宋体" w:eastAsia="宋体" w:hint="default"/>
                <w:sz w:val="18"/>
                <w:szCs w:val="18"/>
              </w:rPr>
              <w:t>不进行重大资产 重组承诺</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w:t>
            </w:r>
            <w:r>
              <w:rPr>
                <w:rFonts w:ascii="宋体" w:hAnsi="宋体" w:cs="宋体" w:eastAsia="宋体" w:hint="default"/>
                <w:spacing w:val="-24"/>
                <w:sz w:val="18"/>
                <w:szCs w:val="18"/>
              </w:rPr>
              <w:t>布</w:t>
            </w:r>
            <w:r>
              <w:rPr>
                <w:rFonts w:ascii="宋体" w:hAnsi="宋体" w:cs="宋体" w:eastAsia="宋体" w:hint="default"/>
                <w:sz w:val="18"/>
                <w:szCs w:val="18"/>
              </w:rPr>
              <w:t>《关于终止重大资产重组事项的公告</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并承</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诺自上述公告披露之日起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个月内，不再筹划重大资产重组事项。</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025" w:hRule="exact"/>
        </w:trPr>
        <w:tc>
          <w:tcPr>
            <w:tcW w:w="13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21"/>
              <w:jc w:val="both"/>
              <w:rPr>
                <w:rFonts w:ascii="宋体" w:hAnsi="宋体" w:cs="宋体" w:eastAsia="宋体" w:hint="default"/>
                <w:sz w:val="18"/>
                <w:szCs w:val="18"/>
              </w:rPr>
            </w:pPr>
            <w:r>
              <w:rPr>
                <w:rFonts w:ascii="宋体" w:hAnsi="宋体" w:cs="宋体" w:eastAsia="宋体" w:hint="default"/>
                <w:spacing w:val="-4"/>
                <w:sz w:val="18"/>
                <w:szCs w:val="18"/>
              </w:rPr>
              <w:t>公司在《深圳市惠程电气股份有限公司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年限制性股票激励计划（草案）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摘要（修订稿）中承诺公司不为激励对象依本激励计划获取有关权益提供贷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款以及其他任何形式的财务资助，包括为其贷款提供担保。</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77.7pt;height:15.6pt;mso-position-horizontal-relative:char;mso-position-vertical-relative:line" coordorigin="0,0" coordsize="1554,312">
                  <v:group style="position:absolute;left:0;top:0;width:1554;height:312" coordorigin="0,0" coordsize="1554,312">
                    <v:shape style="position:absolute;left:0;top:0;width:1554;height:312" coordorigin="0,0" coordsize="1554,312" path="m0,312l1553,312,1553,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028" w:hRule="exact"/>
        </w:trPr>
        <w:tc>
          <w:tcPr>
            <w:tcW w:w="13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22"/>
              <w:jc w:val="both"/>
              <w:rPr>
                <w:rFonts w:ascii="宋体" w:hAnsi="宋体" w:cs="宋体" w:eastAsia="宋体" w:hint="default"/>
                <w:sz w:val="18"/>
                <w:szCs w:val="18"/>
              </w:rPr>
            </w:pPr>
            <w:r>
              <w:rPr>
                <w:rFonts w:ascii="宋体" w:hAnsi="宋体" w:cs="宋体" w:eastAsia="宋体" w:hint="default"/>
                <w:spacing w:val="-2"/>
                <w:sz w:val="18"/>
                <w:szCs w:val="18"/>
              </w:rPr>
              <w:t>公司在《深圳市惠程电气股份有限公司限制性股票与股票期权激励计划（草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案）》中承诺不为激励对象获取有关权益提供贷款以及其他任何形式的财务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资助，包括为其贷款提供担保。</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48"/>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337" w:hRule="exact"/>
        </w:trPr>
        <w:tc>
          <w:tcPr>
            <w:tcW w:w="13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22"/>
              <w:jc w:val="both"/>
              <w:rPr>
                <w:rFonts w:ascii="宋体" w:hAnsi="宋体" w:cs="宋体" w:eastAsia="宋体" w:hint="default"/>
                <w:sz w:val="18"/>
                <w:szCs w:val="18"/>
              </w:rPr>
            </w:pPr>
            <w:r>
              <w:rPr>
                <w:rFonts w:ascii="宋体" w:hAnsi="宋体" w:cs="宋体" w:eastAsia="宋体" w:hint="default"/>
                <w:spacing w:val="-2"/>
                <w:sz w:val="18"/>
                <w:szCs w:val="18"/>
              </w:rPr>
              <w:t>公司在《深圳市惠程电气股份有限公司第二期限制性股票与股票期权激励计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划（草案）》中承诺不为激励对象获取有关权益提供贷款以及其他任何形式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的财务资助，包括为其贷款提供担保。</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截止本报 告披露 日，已履 行完毕</w:t>
            </w:r>
          </w:p>
        </w:tc>
      </w:tr>
      <w:tr>
        <w:trPr>
          <w:trHeight w:val="715" w:hRule="exact"/>
        </w:trPr>
        <w:tc>
          <w:tcPr>
            <w:tcW w:w="13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pacing w:val="-2"/>
                <w:sz w:val="18"/>
                <w:szCs w:val="18"/>
              </w:rPr>
              <w:t>公司在《信中利惠程产业并购基金之合作协议》中承诺不会收购产业并购基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金从本公司控股股东及实际控制人处收购的资产。</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025" w:hRule="exact"/>
        </w:trPr>
        <w:tc>
          <w:tcPr>
            <w:tcW w:w="1306" w:type="dxa"/>
            <w:tcBorders>
              <w:top w:val="nil" w:sz="6" w:space="0" w:color="auto"/>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2"/>
              <w:jc w:val="both"/>
              <w:rPr>
                <w:rFonts w:ascii="宋体" w:hAnsi="宋体" w:cs="宋体" w:eastAsia="宋体" w:hint="default"/>
                <w:sz w:val="18"/>
                <w:szCs w:val="18"/>
              </w:rPr>
            </w:pPr>
            <w:r>
              <w:rPr>
                <w:rFonts w:ascii="宋体" w:hAnsi="宋体" w:cs="宋体" w:eastAsia="宋体" w:hint="default"/>
                <w:spacing w:val="-6"/>
                <w:sz w:val="18"/>
                <w:szCs w:val="18"/>
              </w:rPr>
              <w:t>中驰惠程；中源</w:t>
            </w:r>
            <w:r>
              <w:rPr>
                <w:rFonts w:ascii="宋体" w:hAnsi="宋体" w:cs="宋体" w:eastAsia="宋体" w:hint="default"/>
                <w:sz w:val="18"/>
                <w:szCs w:val="18"/>
              </w:rPr>
              <w:t> </w:t>
            </w:r>
            <w:r>
              <w:rPr>
                <w:rFonts w:ascii="宋体" w:hAnsi="宋体" w:cs="宋体" w:eastAsia="宋体" w:hint="default"/>
                <w:spacing w:val="-7"/>
                <w:sz w:val="18"/>
                <w:szCs w:val="18"/>
              </w:rPr>
              <w:t>信；信中利；田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勇；华宝信托</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22"/>
              <w:jc w:val="both"/>
              <w:rPr>
                <w:rFonts w:ascii="宋体" w:hAnsi="宋体" w:cs="宋体" w:eastAsia="宋体" w:hint="default"/>
                <w:sz w:val="18"/>
                <w:szCs w:val="18"/>
              </w:rPr>
            </w:pPr>
            <w:r>
              <w:rPr>
                <w:rFonts w:ascii="宋体" w:hAnsi="宋体" w:cs="宋体" w:eastAsia="宋体" w:hint="default"/>
                <w:spacing w:val="-3"/>
                <w:sz w:val="18"/>
                <w:szCs w:val="18"/>
              </w:rPr>
              <w:t>在《关于第一大股东及其一致行动人完成增持公司股份计划的公告》（公告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编号：</w:t>
            </w:r>
            <w:r>
              <w:rPr>
                <w:rFonts w:ascii="Times New Roman" w:hAnsi="Times New Roman" w:cs="Times New Roman" w:eastAsia="Times New Roman" w:hint="default"/>
                <w:spacing w:val="-1"/>
                <w:sz w:val="18"/>
                <w:szCs w:val="18"/>
              </w:rPr>
              <w:t>2017-056</w:t>
            </w:r>
            <w:r>
              <w:rPr>
                <w:rFonts w:ascii="宋体" w:hAnsi="宋体" w:cs="宋体" w:eastAsia="宋体" w:hint="default"/>
                <w:spacing w:val="-1"/>
                <w:sz w:val="18"/>
                <w:szCs w:val="18"/>
              </w:rPr>
              <w:t>）中承诺本次增持完成后，中驰惠程及其一致行动人承诺未</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个月内不减持所持有的本公司股份。</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34" w:hRule="exact"/>
        </w:trPr>
        <w:tc>
          <w:tcPr>
            <w:tcW w:w="1306" w:type="dxa"/>
            <w:tcBorders>
              <w:top w:val="nil" w:sz="6" w:space="0" w:color="auto"/>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5952" w:type="dxa"/>
            <w:tcBorders>
              <w:top w:val="single" w:sz="4" w:space="0" w:color="000000"/>
              <w:left w:val="single" w:sz="4" w:space="0" w:color="000000"/>
              <w:bottom w:val="nil" w:sz="6" w:space="0" w:color="auto"/>
              <w:right w:val="single" w:sz="4" w:space="0" w:color="000000"/>
            </w:tcBorders>
          </w:tcPr>
          <w:p>
            <w:pPr/>
          </w:p>
        </w:tc>
        <w:tc>
          <w:tcPr>
            <w:tcW w:w="1563" w:type="dxa"/>
            <w:tcBorders>
              <w:top w:val="single" w:sz="4" w:space="0" w:color="000000"/>
              <w:left w:val="single" w:sz="4" w:space="0" w:color="000000"/>
              <w:bottom w:val="nil" w:sz="6" w:space="0" w:color="auto"/>
              <w:right w:val="single" w:sz="4" w:space="0" w:color="000000"/>
            </w:tcBorders>
          </w:tcPr>
          <w:p>
            <w:pPr/>
          </w:p>
        </w:tc>
        <w:tc>
          <w:tcPr>
            <w:tcW w:w="16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中驰惠程、中源信、</w:t>
            </w:r>
          </w:p>
        </w:tc>
        <w:tc>
          <w:tcPr>
            <w:tcW w:w="804" w:type="dxa"/>
            <w:tcBorders>
              <w:top w:val="single" w:sz="4" w:space="0" w:color="000000"/>
              <w:left w:val="single" w:sz="4" w:space="0" w:color="000000"/>
              <w:bottom w:val="nil" w:sz="6" w:space="0" w:color="auto"/>
              <w:right w:val="single" w:sz="4" w:space="0" w:color="000000"/>
            </w:tcBorders>
          </w:tcPr>
          <w:p>
            <w:pPr/>
          </w:p>
        </w:tc>
      </w:tr>
      <w:tr>
        <w:trPr>
          <w:trHeight w:val="1899" w:hRule="exact"/>
        </w:trPr>
        <w:tc>
          <w:tcPr>
            <w:tcW w:w="13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ind w:left="23" w:right="190"/>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9" w:lineRule="auto"/>
              <w:ind w:left="21" w:right="22"/>
              <w:jc w:val="both"/>
              <w:rPr>
                <w:rFonts w:ascii="宋体" w:hAnsi="宋体" w:cs="宋体" w:eastAsia="宋体" w:hint="default"/>
                <w:sz w:val="18"/>
                <w:szCs w:val="18"/>
              </w:rPr>
            </w:pPr>
            <w:r>
              <w:rPr>
                <w:rFonts w:ascii="宋体" w:hAnsi="宋体" w:cs="宋体" w:eastAsia="宋体" w:hint="default"/>
                <w:spacing w:val="-6"/>
                <w:sz w:val="18"/>
                <w:szCs w:val="18"/>
              </w:rPr>
              <w:t>中驰惠程；中源</w:t>
            </w:r>
            <w:r>
              <w:rPr>
                <w:rFonts w:ascii="宋体" w:hAnsi="宋体" w:cs="宋体" w:eastAsia="宋体" w:hint="default"/>
                <w:sz w:val="18"/>
                <w:szCs w:val="18"/>
              </w:rPr>
              <w:t> </w:t>
            </w:r>
            <w:r>
              <w:rPr>
                <w:rFonts w:ascii="宋体" w:hAnsi="宋体" w:cs="宋体" w:eastAsia="宋体" w:hint="default"/>
                <w:spacing w:val="-7"/>
                <w:sz w:val="18"/>
                <w:szCs w:val="18"/>
              </w:rPr>
              <w:t>信；信中利；汪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超涌；田勇</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9" w:lineRule="auto"/>
              <w:ind w:left="23" w:right="22"/>
              <w:jc w:val="both"/>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z w:val="18"/>
                <w:szCs w:val="18"/>
              </w:rPr>
              <w:t> </w:t>
            </w:r>
            <w:r>
              <w:rPr>
                <w:rFonts w:ascii="宋体" w:hAnsi="宋体" w:cs="宋体" w:eastAsia="宋体" w:hint="default"/>
                <w:spacing w:val="-10"/>
                <w:sz w:val="18"/>
                <w:szCs w:val="18"/>
              </w:rPr>
              <w:t>联交易、资金占用</w:t>
            </w:r>
            <w:r>
              <w:rPr>
                <w:rFonts w:ascii="宋体" w:hAnsi="宋体" w:cs="宋体" w:eastAsia="宋体" w:hint="default"/>
                <w:sz w:val="18"/>
                <w:szCs w:val="18"/>
              </w:rPr>
              <w:t> 方面的承诺</w:t>
            </w:r>
          </w:p>
        </w:tc>
        <w:tc>
          <w:tcPr>
            <w:tcW w:w="595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2"/>
                <w:sz w:val="18"/>
                <w:szCs w:val="18"/>
              </w:rPr>
              <w:t>在作为深圳惠程控股股东及一致行动人、实际控制人期间，及上述期间届满</w:t>
            </w:r>
          </w:p>
          <w:p>
            <w:pPr>
              <w:pStyle w:val="TableParagraph"/>
              <w:spacing w:line="312" w:lineRule="auto" w:before="76"/>
              <w:ind w:left="21" w:right="22"/>
              <w:jc w:val="left"/>
              <w:rPr>
                <w:rFonts w:ascii="宋体" w:hAnsi="宋体" w:cs="宋体" w:eastAsia="宋体" w:hint="default"/>
                <w:sz w:val="18"/>
                <w:szCs w:val="18"/>
              </w:rPr>
            </w:pPr>
            <w:r>
              <w:rPr>
                <w:rFonts w:ascii="宋体" w:hAnsi="宋体" w:cs="宋体" w:eastAsia="宋体" w:hint="default"/>
                <w:sz w:val="18"/>
                <w:szCs w:val="18"/>
              </w:rPr>
              <w:t>（或终止）后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月内不会直接或间接从事或参与任何与深圳惠程及其下属 </w:t>
            </w:r>
            <w:r>
              <w:rPr>
                <w:rFonts w:ascii="宋体" w:hAnsi="宋体" w:cs="宋体" w:eastAsia="宋体" w:hint="default"/>
                <w:spacing w:val="-2"/>
                <w:sz w:val="18"/>
                <w:szCs w:val="18"/>
              </w:rPr>
              <w:t>企业构成竞争的任何业务或活动，不以任何方式从事或参与任何与深圳惠程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及其下属企业业务相同、相似或可能取代深圳惠程及其下属企业业务的活 动。</w:t>
            </w:r>
          </w:p>
        </w:tc>
        <w:tc>
          <w:tcPr>
            <w:tcW w:w="15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300" w:lineRule="auto" w:before="32"/>
              <w:ind w:left="21" w:right="21"/>
              <w:jc w:val="left"/>
              <w:rPr>
                <w:rFonts w:ascii="宋体" w:hAnsi="宋体" w:cs="宋体" w:eastAsia="宋体" w:hint="default"/>
                <w:sz w:val="18"/>
                <w:szCs w:val="18"/>
              </w:rPr>
            </w:pPr>
            <w:r>
              <w:rPr>
                <w:rFonts w:ascii="宋体" w:hAnsi="宋体" w:cs="宋体" w:eastAsia="宋体" w:hint="default"/>
                <w:spacing w:val="-14"/>
                <w:sz w:val="18"/>
                <w:szCs w:val="18"/>
              </w:rPr>
              <w:t>信中利、汪超涌：</w:t>
            </w:r>
            <w:r>
              <w:rPr>
                <w:rFonts w:ascii="Times New Roman" w:hAnsi="Times New Roman" w:cs="Times New Roman" w:eastAsia="Times New Roman" w:hint="default"/>
                <w:spacing w:val="-14"/>
                <w:sz w:val="18"/>
                <w:szCs w:val="18"/>
              </w:rPr>
              <w:t>2017</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日至长期</w:t>
            </w:r>
          </w:p>
          <w:p>
            <w:pPr>
              <w:pStyle w:val="TableParagraph"/>
              <w:spacing w:line="240" w:lineRule="auto" w:before="1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田勇（自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日起终止一致行</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动人关系</w:t>
            </w:r>
            <w:r>
              <w:rPr>
                <w:rFonts w:ascii="宋体" w:hAnsi="宋体" w:cs="宋体" w:eastAsia="宋体" w:hint="default"/>
                <w:spacing w:val="-92"/>
                <w:sz w:val="18"/>
                <w:szCs w:val="18"/>
              </w:rPr>
              <w:t>）</w:t>
            </w:r>
            <w:r>
              <w:rPr>
                <w:rFonts w:ascii="宋体" w:hAnsi="宋体" w:cs="宋体" w:eastAsia="宋体" w:hint="default"/>
                <w:spacing w:val="-65"/>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316" w:lineRule="auto" w:before="76"/>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5" w:hRule="exact"/>
        </w:trPr>
        <w:tc>
          <w:tcPr>
            <w:tcW w:w="1306" w:type="dxa"/>
            <w:tcBorders>
              <w:top w:val="nil" w:sz="6" w:space="0" w:color="auto"/>
              <w:left w:val="single" w:sz="4" w:space="0" w:color="000000"/>
              <w:bottom w:val="nil" w:sz="6" w:space="0" w:color="auto"/>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5952" w:type="dxa"/>
            <w:tcBorders>
              <w:top w:val="nil" w:sz="6" w:space="0" w:color="auto"/>
              <w:left w:val="single" w:sz="4" w:space="0" w:color="000000"/>
              <w:bottom w:val="single" w:sz="4" w:space="0" w:color="000000"/>
              <w:right w:val="single" w:sz="4" w:space="0" w:color="000000"/>
            </w:tcBorders>
          </w:tcPr>
          <w:p>
            <w:pPr/>
          </w:p>
        </w:tc>
        <w:tc>
          <w:tcPr>
            <w:tcW w:w="1563" w:type="dxa"/>
            <w:tcBorders>
              <w:top w:val="nil" w:sz="6" w:space="0" w:color="auto"/>
              <w:left w:val="single" w:sz="4" w:space="0" w:color="000000"/>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3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1" w:right="-24"/>
              <w:jc w:val="left"/>
              <w:rPr>
                <w:rFonts w:ascii="宋体" w:hAnsi="宋体" w:cs="宋体" w:eastAsia="宋体" w:hint="default"/>
                <w:sz w:val="18"/>
                <w:szCs w:val="18"/>
              </w:rPr>
            </w:pPr>
            <w:r>
              <w:rPr>
                <w:rFonts w:ascii="宋体" w:hAnsi="宋体" w:cs="宋体" w:eastAsia="宋体" w:hint="default"/>
                <w:sz w:val="18"/>
                <w:szCs w:val="18"/>
              </w:rPr>
              <w:t>徐海啸；张晶； 沈晓超；陈丹</w:t>
            </w:r>
          </w:p>
        </w:tc>
        <w:tc>
          <w:tcPr>
            <w:tcW w:w="1419"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8"/>
              <w:ind w:left="21" w:right="22"/>
              <w:jc w:val="left"/>
              <w:rPr>
                <w:rFonts w:ascii="宋体" w:hAnsi="宋体" w:cs="宋体" w:eastAsia="宋体" w:hint="default"/>
                <w:sz w:val="18"/>
                <w:szCs w:val="18"/>
              </w:rPr>
            </w:pPr>
            <w:r>
              <w:rPr>
                <w:rFonts w:ascii="宋体" w:hAnsi="宋体" w:cs="宋体" w:eastAsia="宋体" w:hint="default"/>
                <w:sz w:val="18"/>
                <w:szCs w:val="18"/>
              </w:rPr>
              <w:t>自本人参加的上市公司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年限制性股票激励计划的第一个解锁期之限制 </w:t>
            </w:r>
            <w:r>
              <w:rPr>
                <w:rFonts w:ascii="宋体" w:hAnsi="宋体" w:cs="宋体" w:eastAsia="宋体" w:hint="default"/>
                <w:spacing w:val="-2"/>
                <w:sz w:val="18"/>
                <w:szCs w:val="18"/>
              </w:rPr>
              <w:t>性股票解锁上市流通日起六个月内，不减持本人持有的公司股份。如在上述</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日至</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16" w:lineRule="auto"/>
        <w:jc w:val="left"/>
        <w:rPr>
          <w:rFonts w:ascii="宋体" w:hAnsi="宋体" w:cs="宋体" w:eastAsia="宋体" w:hint="default"/>
          <w:sz w:val="18"/>
          <w:szCs w:val="18"/>
        </w:rPr>
        <w:sectPr>
          <w:pgSz w:w="16840" w:h="11910" w:orient="landscape"/>
          <w:pgMar w:header="867" w:footer="980" w:top="1060" w:bottom="124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306"/>
        <w:gridCol w:w="1274"/>
        <w:gridCol w:w="1419"/>
        <w:gridCol w:w="5952"/>
        <w:gridCol w:w="1563"/>
        <w:gridCol w:w="1699"/>
        <w:gridCol w:w="804"/>
      </w:tblGrid>
      <w:tr>
        <w:trPr>
          <w:trHeight w:val="377" w:hRule="exact"/>
        </w:trPr>
        <w:tc>
          <w:tcPr>
            <w:tcW w:w="1306" w:type="dxa"/>
            <w:vMerge w:val="restart"/>
            <w:tcBorders>
              <w:top w:val="single" w:sz="15" w:space="0" w:color="000000"/>
              <w:left w:val="single" w:sz="4" w:space="0" w:color="000000"/>
              <w:right w:val="single" w:sz="4" w:space="0" w:color="000000"/>
            </w:tcBorders>
            <w:shd w:val="clear" w:color="auto" w:fill="D2D2D2"/>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59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期间违反承诺，则减持股份所得的全部收益归公司所有。</w:t>
            </w:r>
          </w:p>
        </w:tc>
        <w:tc>
          <w:tcPr>
            <w:tcW w:w="1563" w:type="dxa"/>
            <w:tcBorders>
              <w:top w:val="single" w:sz="15" w:space="0" w:color="000000"/>
              <w:left w:val="single" w:sz="4" w:space="0" w:color="000000"/>
              <w:bottom w:val="single" w:sz="4" w:space="0" w:color="000000"/>
              <w:right w:val="single" w:sz="4" w:space="0" w:color="000000"/>
            </w:tcBorders>
          </w:tcPr>
          <w:p>
            <w:pPr/>
          </w:p>
        </w:tc>
        <w:tc>
          <w:tcPr>
            <w:tcW w:w="1699" w:type="dxa"/>
            <w:tcBorders>
              <w:top w:val="single" w:sz="15" w:space="0" w:color="000000"/>
              <w:left w:val="single" w:sz="4" w:space="0" w:color="000000"/>
              <w:bottom w:val="single" w:sz="4" w:space="0" w:color="000000"/>
              <w:right w:val="single" w:sz="4" w:space="0" w:color="000000"/>
            </w:tcBorders>
          </w:tcPr>
          <w:p>
            <w:pPr/>
          </w:p>
        </w:tc>
        <w:tc>
          <w:tcPr>
            <w:tcW w:w="804" w:type="dxa"/>
            <w:tcBorders>
              <w:top w:val="single" w:sz="15" w:space="0" w:color="000000"/>
              <w:left w:val="single" w:sz="4" w:space="0" w:color="000000"/>
              <w:bottom w:val="single" w:sz="4" w:space="0" w:color="000000"/>
              <w:right w:val="single" w:sz="4" w:space="0" w:color="000000"/>
            </w:tcBorders>
          </w:tcPr>
          <w:p>
            <w:pPr/>
          </w:p>
        </w:tc>
      </w:tr>
      <w:tr>
        <w:trPr>
          <w:trHeight w:val="1339" w:hRule="exact"/>
        </w:trPr>
        <w:tc>
          <w:tcPr>
            <w:tcW w:w="1306"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pacing w:val="-8"/>
                <w:sz w:val="18"/>
              </w:rPr>
              <w:t>WAN</w:t>
            </w:r>
            <w:r>
              <w:rPr>
                <w:rFonts w:ascii="Times New Roman"/>
                <w:sz w:val="18"/>
              </w:rPr>
              <w:t> XIAO</w:t>
            </w:r>
          </w:p>
          <w:p>
            <w:pPr>
              <w:pStyle w:val="TableParagraph"/>
              <w:spacing w:line="300" w:lineRule="auto" w:before="63"/>
              <w:ind w:left="21" w:right="16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YANG</w:t>
            </w:r>
            <w:r>
              <w:rPr>
                <w:rFonts w:ascii="宋体" w:hAnsi="宋体" w:cs="宋体" w:eastAsia="宋体" w:hint="default"/>
                <w:spacing w:val="-4"/>
                <w:sz w:val="18"/>
                <w:szCs w:val="18"/>
              </w:rPr>
              <w:t>（中文</w:t>
            </w:r>
            <w:r>
              <w:rPr>
                <w:rFonts w:ascii="宋体" w:hAnsi="宋体" w:cs="宋体" w:eastAsia="宋体" w:hint="default"/>
                <w:spacing w:val="-88"/>
                <w:sz w:val="18"/>
                <w:szCs w:val="18"/>
              </w:rPr>
              <w:t> </w:t>
            </w:r>
            <w:r>
              <w:rPr>
                <w:rFonts w:ascii="宋体" w:hAnsi="宋体" w:cs="宋体" w:eastAsia="宋体" w:hint="default"/>
                <w:sz w:val="18"/>
                <w:szCs w:val="18"/>
              </w:rPr>
              <w:t>名：万晓阳）</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both"/>
              <w:rPr>
                <w:rFonts w:ascii="宋体" w:hAnsi="宋体" w:cs="宋体" w:eastAsia="宋体" w:hint="default"/>
                <w:sz w:val="18"/>
                <w:szCs w:val="18"/>
              </w:rPr>
            </w:pPr>
            <w:r>
              <w:rPr>
                <w:rFonts w:ascii="宋体" w:hAnsi="宋体" w:cs="宋体" w:eastAsia="宋体" w:hint="default"/>
                <w:sz w:val="18"/>
                <w:szCs w:val="18"/>
              </w:rPr>
              <w:t>自本人参加的上市公司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年第二期限制性股票与股票期权激励计划预留</w:t>
            </w:r>
          </w:p>
          <w:p>
            <w:pPr>
              <w:pStyle w:val="TableParagraph"/>
              <w:spacing w:line="309" w:lineRule="auto" w:before="63"/>
              <w:ind w:left="21" w:right="22"/>
              <w:jc w:val="both"/>
              <w:rPr>
                <w:rFonts w:ascii="宋体" w:hAnsi="宋体" w:cs="宋体" w:eastAsia="宋体" w:hint="default"/>
                <w:sz w:val="18"/>
                <w:szCs w:val="18"/>
              </w:rPr>
            </w:pPr>
            <w:r>
              <w:rPr>
                <w:rFonts w:ascii="宋体" w:hAnsi="宋体" w:cs="宋体" w:eastAsia="宋体" w:hint="default"/>
                <w:sz w:val="18"/>
                <w:szCs w:val="18"/>
              </w:rPr>
              <w:t>授予部分第一个解锁期以及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年限制性股票激励计划的第一个解锁期之 </w:t>
            </w:r>
            <w:r>
              <w:rPr>
                <w:rFonts w:ascii="宋体" w:hAnsi="宋体" w:cs="宋体" w:eastAsia="宋体" w:hint="default"/>
                <w:spacing w:val="-2"/>
                <w:sz w:val="18"/>
                <w:szCs w:val="18"/>
              </w:rPr>
              <w:t>限制性股票解锁上市流通日起六个月内，不减持本人持有的公司股份。如在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上述期间违反承诺，则减持股份所得的全部收益归公司所有。</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日至</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48"/>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337" w:hRule="exact"/>
        </w:trPr>
        <w:tc>
          <w:tcPr>
            <w:tcW w:w="1306"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1" w:right="22"/>
              <w:jc w:val="both"/>
              <w:rPr>
                <w:rFonts w:ascii="宋体" w:hAnsi="宋体" w:cs="宋体" w:eastAsia="宋体" w:hint="default"/>
                <w:sz w:val="18"/>
                <w:szCs w:val="18"/>
              </w:rPr>
            </w:pPr>
            <w:r>
              <w:rPr>
                <w:rFonts w:ascii="宋体" w:hAnsi="宋体" w:cs="宋体" w:eastAsia="宋体" w:hint="default"/>
                <w:sz w:val="18"/>
                <w:szCs w:val="18"/>
              </w:rPr>
              <w:t>自本人参加的上市公司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年两期限制性股票与股票期权激励计划首次授 </w:t>
            </w:r>
            <w:r>
              <w:rPr>
                <w:rFonts w:ascii="宋体" w:hAnsi="宋体" w:cs="宋体" w:eastAsia="宋体" w:hint="default"/>
                <w:spacing w:val="-2"/>
                <w:sz w:val="18"/>
                <w:szCs w:val="18"/>
              </w:rPr>
              <w:t>予部分第二个解锁期之限制性股票解锁上市流通日起六个月内，不减持本人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持有的公司股份。如在上述期间违反承诺，则减持股份所得的全部收益归公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司所有。</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日至</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48"/>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339" w:hRule="exact"/>
        </w:trPr>
        <w:tc>
          <w:tcPr>
            <w:tcW w:w="1306"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迟永军</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1" w:right="22"/>
              <w:jc w:val="both"/>
              <w:rPr>
                <w:rFonts w:ascii="宋体" w:hAnsi="宋体" w:cs="宋体" w:eastAsia="宋体" w:hint="default"/>
                <w:sz w:val="18"/>
                <w:szCs w:val="18"/>
              </w:rPr>
            </w:pPr>
            <w:r>
              <w:rPr>
                <w:rFonts w:ascii="宋体" w:hAnsi="宋体" w:cs="宋体" w:eastAsia="宋体" w:hint="default"/>
                <w:sz w:val="18"/>
                <w:szCs w:val="18"/>
              </w:rPr>
              <w:t>自本人参加的上市公司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年第二期限制性股票与股票期权激励计划首次 </w:t>
            </w:r>
            <w:r>
              <w:rPr>
                <w:rFonts w:ascii="宋体" w:hAnsi="宋体" w:cs="宋体" w:eastAsia="宋体" w:hint="default"/>
                <w:spacing w:val="-2"/>
                <w:sz w:val="18"/>
                <w:szCs w:val="18"/>
              </w:rPr>
              <w:t>授予部分第二个解锁期之限制性股票解锁上市流通日起六个月内，不减持本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人持有的公司股份。如在上述期间违反承诺，则减持股份所得的全部收益归</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公司所有。</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日至</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48"/>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649" w:hRule="exact"/>
        </w:trPr>
        <w:tc>
          <w:tcPr>
            <w:tcW w:w="1306"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1" w:right="22"/>
              <w:jc w:val="left"/>
              <w:rPr>
                <w:rFonts w:ascii="宋体" w:hAnsi="宋体" w:cs="宋体" w:eastAsia="宋体" w:hint="default"/>
                <w:sz w:val="18"/>
                <w:szCs w:val="18"/>
              </w:rPr>
            </w:pPr>
            <w:r>
              <w:rPr>
                <w:rFonts w:ascii="宋体" w:hAnsi="宋体" w:cs="宋体" w:eastAsia="宋体" w:hint="default"/>
                <w:spacing w:val="-6"/>
                <w:sz w:val="18"/>
                <w:szCs w:val="18"/>
              </w:rPr>
              <w:t>中驰惠程；信中</w:t>
            </w:r>
            <w:r>
              <w:rPr>
                <w:rFonts w:ascii="宋体" w:hAnsi="宋体" w:cs="宋体" w:eastAsia="宋体" w:hint="default"/>
                <w:sz w:val="18"/>
                <w:szCs w:val="18"/>
              </w:rPr>
              <w:t> 利宝信；汪超 涌；李亦非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股份增持承诺</w:t>
            </w:r>
          </w:p>
        </w:tc>
        <w:tc>
          <w:tcPr>
            <w:tcW w:w="5952" w:type="dxa"/>
            <w:tcBorders>
              <w:top w:val="single" w:sz="4" w:space="0" w:color="000000"/>
              <w:left w:val="single" w:sz="4" w:space="0" w:color="000000"/>
              <w:bottom w:val="single" w:sz="4" w:space="0" w:color="000000"/>
              <w:right w:val="single" w:sz="10" w:space="0" w:color="FFFFFF"/>
            </w:tcBorders>
          </w:tcPr>
          <w:p>
            <w:pPr>
              <w:pStyle w:val="TableParagraph"/>
              <w:spacing w:line="309" w:lineRule="auto" w:before="49"/>
              <w:ind w:left="21" w:right="-29"/>
              <w:jc w:val="both"/>
              <w:rPr>
                <w:rFonts w:ascii="宋体" w:hAnsi="宋体" w:cs="宋体" w:eastAsia="宋体" w:hint="default"/>
                <w:sz w:val="18"/>
                <w:szCs w:val="18"/>
              </w:rPr>
            </w:pPr>
            <w:r>
              <w:rPr>
                <w:rFonts w:ascii="宋体" w:hAnsi="宋体" w:cs="宋体" w:eastAsia="宋体" w:hint="default"/>
                <w:sz w:val="18"/>
                <w:szCs w:val="18"/>
              </w:rPr>
              <w:t>基于对公司未来发展的信心，自公告日起未来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个月内中驰惠程及其一致 </w:t>
            </w:r>
            <w:r>
              <w:rPr>
                <w:rFonts w:ascii="宋体" w:hAnsi="宋体" w:cs="宋体" w:eastAsia="宋体" w:hint="default"/>
                <w:spacing w:val="-2"/>
                <w:sz w:val="18"/>
                <w:szCs w:val="18"/>
              </w:rPr>
              <w:t>行动人计划继续通过深圳证券交易所股票交易系统允许的方式（包括但不限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于集中竞价和大宗交易）增持公司股份，拟增持金额原则上不少于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p>
            <w:pPr>
              <w:pStyle w:val="TableParagraph"/>
              <w:spacing w:line="240" w:lineRule="auto" w:before="5"/>
              <w:ind w:left="21" w:right="0"/>
              <w:jc w:val="both"/>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亿元；若增持计划实施期间，公司股票如因筹划重大事项等情形</w:t>
            </w:r>
          </w:p>
          <w:p>
            <w:pPr>
              <w:pStyle w:val="TableParagraph"/>
              <w:spacing w:line="240" w:lineRule="auto" w:before="63"/>
              <w:ind w:left="21" w:right="0"/>
              <w:jc w:val="both"/>
              <w:rPr>
                <w:rFonts w:ascii="宋体" w:hAnsi="宋体" w:cs="宋体" w:eastAsia="宋体" w:hint="default"/>
                <w:sz w:val="18"/>
                <w:szCs w:val="18"/>
              </w:rPr>
            </w:pPr>
            <w:r>
              <w:rPr>
                <w:rFonts w:ascii="宋体" w:hAnsi="宋体" w:cs="宋体" w:eastAsia="宋体" w:hint="default"/>
                <w:sz w:val="18"/>
                <w:szCs w:val="18"/>
              </w:rPr>
              <w:t>出现连续停牌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个交易日以上的，增持期限将相应往后顺延。</w:t>
            </w:r>
          </w:p>
        </w:tc>
        <w:tc>
          <w:tcPr>
            <w:tcW w:w="156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日至</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48"/>
              <w:jc w:val="left"/>
              <w:rPr>
                <w:rFonts w:ascii="宋体" w:hAnsi="宋体" w:cs="宋体" w:eastAsia="宋体" w:hint="default"/>
                <w:sz w:val="18"/>
                <w:szCs w:val="18"/>
              </w:rPr>
            </w:pPr>
            <w:r>
              <w:rPr>
                <w:rFonts w:ascii="宋体" w:hAnsi="宋体" w:cs="宋体" w:eastAsia="宋体" w:hint="default"/>
                <w:sz w:val="18"/>
                <w:szCs w:val="18"/>
              </w:rPr>
              <w:t>截止本报 告披露 日，已履 行完毕</w:t>
            </w:r>
          </w:p>
        </w:tc>
      </w:tr>
      <w:tr>
        <w:trPr>
          <w:trHeight w:val="1651" w:hRule="exact"/>
        </w:trPr>
        <w:tc>
          <w:tcPr>
            <w:tcW w:w="1306"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3"/>
              <w:jc w:val="left"/>
              <w:rPr>
                <w:rFonts w:ascii="宋体" w:hAnsi="宋体" w:cs="宋体" w:eastAsia="宋体" w:hint="default"/>
                <w:sz w:val="18"/>
                <w:szCs w:val="18"/>
              </w:rPr>
            </w:pPr>
            <w:r>
              <w:rPr>
                <w:rFonts w:ascii="宋体" w:hAnsi="宋体" w:cs="宋体" w:eastAsia="宋体" w:hint="default"/>
                <w:sz w:val="18"/>
                <w:szCs w:val="18"/>
              </w:rPr>
              <w:t>募集资金使用承 诺</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22"/>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日发布《关于子公司喀什中汇联银创业投资有限公 </w:t>
            </w:r>
            <w:r>
              <w:rPr>
                <w:rFonts w:ascii="宋体" w:hAnsi="宋体" w:cs="宋体" w:eastAsia="宋体" w:hint="default"/>
                <w:spacing w:val="-3"/>
                <w:sz w:val="18"/>
                <w:szCs w:val="18"/>
              </w:rPr>
              <w:t>司与专业投资机构合作投资的进展公告》，公司承诺在本次追加投资事项后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的十二个月内，不使用闲置募集资金暂时补充流动资金、将募集资金投向变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更为永久性补充流动资金（不含节余募集资金）、将超募资金永久性用于补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充流动资金或者归还银行贷款。</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1025"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23"/>
              <w:jc w:val="left"/>
              <w:rPr>
                <w:rFonts w:ascii="宋体" w:hAnsi="宋体" w:cs="宋体" w:eastAsia="宋体" w:hint="default"/>
                <w:sz w:val="18"/>
                <w:szCs w:val="18"/>
              </w:rPr>
            </w:pPr>
            <w:r>
              <w:rPr>
                <w:rFonts w:ascii="宋体" w:hAnsi="宋体" w:cs="宋体" w:eastAsia="宋体" w:hint="default"/>
                <w:sz w:val="18"/>
                <w:szCs w:val="18"/>
              </w:rPr>
              <w:t>募集资金使用承 诺</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67"/>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日发布《关于公司继续利用自有资金进行证券投资 </w:t>
            </w:r>
            <w:r>
              <w:rPr>
                <w:rFonts w:ascii="宋体" w:hAnsi="宋体" w:cs="宋体" w:eastAsia="宋体" w:hint="default"/>
                <w:spacing w:val="-3"/>
                <w:sz w:val="18"/>
                <w:szCs w:val="18"/>
              </w:rPr>
              <w:t>事项的公告》，公司承诺自进行证券投资后的十二个月内，不使用闲置募集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资金暂时补充流动资金，不将募集资金投向变更为永久性补充流动资金。</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日至</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1271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9"/>
        <w:rPr>
          <w:rFonts w:ascii="Times New Roman" w:hAnsi="Times New Roman" w:cs="Times New Roman" w:eastAsia="Times New Roman" w:hint="default"/>
          <w:sz w:val="23"/>
          <w:szCs w:val="23"/>
        </w:rPr>
      </w:pPr>
    </w:p>
    <w:p>
      <w:pPr>
        <w:pStyle w:val="Heading3"/>
        <w:spacing w:line="259"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0" w:right="1042"/>
        <w:jc w:val="right"/>
      </w:pPr>
      <w:r>
        <w:rPr/>
        <w:pict>
          <v:shape style="position:absolute;margin-left:54.959999pt;margin-top:-69.768311pt;width:485.65pt;height:134.3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39"/>
                    <w:gridCol w:w="1111"/>
                    <w:gridCol w:w="1112"/>
                    <w:gridCol w:w="1114"/>
                    <w:gridCol w:w="1114"/>
                    <w:gridCol w:w="1114"/>
                    <w:gridCol w:w="1114"/>
                    <w:gridCol w:w="1781"/>
                  </w:tblGrid>
                  <w:tr>
                    <w:trPr>
                      <w:trHeight w:val="1025"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6" w:right="72" w:hanging="92"/>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60" w:right="98"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61" w:right="99" w:hanging="361"/>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98"/>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0" w:right="101"/>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101"/>
                          <w:jc w:val="center"/>
                          <w:rPr>
                            <w:rFonts w:ascii="宋体" w:hAnsi="宋体" w:cs="宋体" w:eastAsia="宋体" w:hint="default"/>
                            <w:sz w:val="18"/>
                            <w:szCs w:val="18"/>
                          </w:rPr>
                        </w:pPr>
                        <w:r>
                          <w:rPr>
                            <w:rFonts w:ascii="宋体" w:hAnsi="宋体" w:cs="宋体" w:eastAsia="宋体" w:hint="default"/>
                            <w:sz w:val="18"/>
                            <w:szCs w:val="18"/>
                          </w:rPr>
                          <w:t>未达预测的 原因（如适 用）</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71" w:right="99" w:hanging="269"/>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4"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355" w:hRule="exact"/>
                    </w:trPr>
                    <w:tc>
                      <w:tcPr>
                        <w:tcW w:w="1239" w:type="dxa"/>
                        <w:tcBorders>
                          <w:top w:val="single" w:sz="4" w:space="0" w:color="000000"/>
                          <w:left w:val="single" w:sz="4" w:space="0" w:color="000000"/>
                          <w:bottom w:val="nil" w:sz="6" w:space="0" w:color="auto"/>
                          <w:right w:val="single" w:sz="4" w:space="0" w:color="000000"/>
                        </w:tcBorders>
                      </w:tcPr>
                      <w:p>
                        <w:pPr/>
                      </w:p>
                    </w:tc>
                    <w:tc>
                      <w:tcPr>
                        <w:tcW w:w="1111" w:type="dxa"/>
                        <w:tcBorders>
                          <w:top w:val="single" w:sz="4" w:space="0" w:color="000000"/>
                          <w:left w:val="single" w:sz="4" w:space="0" w:color="000000"/>
                          <w:bottom w:val="nil" w:sz="6" w:space="0" w:color="auto"/>
                          <w:right w:val="single" w:sz="4" w:space="0" w:color="000000"/>
                        </w:tcBorders>
                      </w:tcPr>
                      <w:p>
                        <w:pPr/>
                      </w:p>
                    </w:tc>
                    <w:tc>
                      <w:tcPr>
                        <w:tcW w:w="1112" w:type="dxa"/>
                        <w:tcBorders>
                          <w:top w:val="single" w:sz="4" w:space="0" w:color="000000"/>
                          <w:left w:val="single" w:sz="4" w:space="0" w:color="000000"/>
                          <w:bottom w:val="nil" w:sz="6" w:space="0" w:color="auto"/>
                          <w:right w:val="single" w:sz="4" w:space="0" w:color="000000"/>
                        </w:tcBorders>
                      </w:tcPr>
                      <w:p>
                        <w:pPr/>
                      </w:p>
                    </w:tc>
                    <w:tc>
                      <w:tcPr>
                        <w:tcW w:w="1114" w:type="dxa"/>
                        <w:tcBorders>
                          <w:top w:val="single" w:sz="4" w:space="0" w:color="000000"/>
                          <w:left w:val="single" w:sz="4" w:space="0" w:color="000000"/>
                          <w:bottom w:val="nil" w:sz="6" w:space="0" w:color="auto"/>
                          <w:right w:val="single" w:sz="4" w:space="0" w:color="000000"/>
                        </w:tcBorders>
                      </w:tcPr>
                      <w:p>
                        <w:pPr/>
                      </w:p>
                    </w:tc>
                    <w:tc>
                      <w:tcPr>
                        <w:tcW w:w="1114" w:type="dxa"/>
                        <w:tcBorders>
                          <w:top w:val="single" w:sz="4" w:space="0" w:color="000000"/>
                          <w:left w:val="single" w:sz="4" w:space="0" w:color="000000"/>
                          <w:bottom w:val="nil" w:sz="6" w:space="0" w:color="auto"/>
                          <w:right w:val="single" w:sz="4" w:space="0" w:color="000000"/>
                        </w:tcBorders>
                      </w:tcPr>
                      <w:p>
                        <w:pPr/>
                      </w:p>
                    </w:tc>
                    <w:tc>
                      <w:tcPr>
                        <w:tcW w:w="1114" w:type="dxa"/>
                        <w:tcBorders>
                          <w:top w:val="single" w:sz="4" w:space="0" w:color="000000"/>
                          <w:left w:val="single" w:sz="4" w:space="0" w:color="000000"/>
                          <w:bottom w:val="nil" w:sz="6" w:space="0" w:color="auto"/>
                          <w:right w:val="single" w:sz="4" w:space="0" w:color="000000"/>
                        </w:tcBorders>
                      </w:tcPr>
                      <w:p>
                        <w:pPr/>
                      </w:p>
                    </w:tc>
                    <w:tc>
                      <w:tcPr>
                        <w:tcW w:w="1114" w:type="dxa"/>
                        <w:tcBorders>
                          <w:top w:val="single" w:sz="4" w:space="0" w:color="000000"/>
                          <w:left w:val="single" w:sz="4" w:space="0" w:color="000000"/>
                          <w:bottom w:val="nil" w:sz="6" w:space="0" w:color="auto"/>
                          <w:right w:val="single" w:sz="4" w:space="0" w:color="000000"/>
                        </w:tcBorders>
                      </w:tcPr>
                      <w:p>
                        <w:pPr/>
                      </w:p>
                    </w:tc>
                    <w:tc>
                      <w:tcPr>
                        <w:tcW w:w="17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937" w:hRule="exact"/>
                    </w:trPr>
                    <w:tc>
                      <w:tcPr>
                        <w:tcW w:w="123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111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87" w:right="0"/>
                          <w:jc w:val="left"/>
                          <w:rPr>
                            <w:rFonts w:ascii="Times New Roman" w:hAnsi="Times New Roman" w:cs="Times New Roman" w:eastAsia="Times New Roman" w:hint="default"/>
                            <w:sz w:val="18"/>
                            <w:szCs w:val="18"/>
                          </w:rPr>
                        </w:pPr>
                        <w:r>
                          <w:rPr>
                            <w:rFonts w:ascii="Times New Roman"/>
                            <w:sz w:val="18"/>
                          </w:rPr>
                          <w:t>18,800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59" w:right="0"/>
                          <w:jc w:val="left"/>
                          <w:rPr>
                            <w:rFonts w:ascii="Times New Roman" w:hAnsi="Times New Roman" w:cs="Times New Roman" w:eastAsia="Times New Roman" w:hint="default"/>
                            <w:sz w:val="18"/>
                            <w:szCs w:val="18"/>
                          </w:rPr>
                        </w:pPr>
                        <w:r>
                          <w:rPr>
                            <w:rFonts w:ascii="Times New Roman"/>
                            <w:sz w:val="18"/>
                          </w:rPr>
                          <w:t>32,279.43</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p>
                      <w:p>
                        <w:pPr>
                          <w:pStyle w:val="TableParagraph"/>
                          <w:spacing w:line="319" w:lineRule="auto" w:before="63"/>
                          <w:ind w:left="24" w:right="125"/>
                          <w:jc w:val="left"/>
                          <w:rPr>
                            <w:rFonts w:ascii="宋体" w:hAnsi="宋体" w:cs="宋体" w:eastAsia="宋体" w:hint="default"/>
                            <w:sz w:val="18"/>
                            <w:szCs w:val="18"/>
                          </w:rPr>
                        </w:pPr>
                        <w:r>
                          <w:rPr>
                            <w:rFonts w:ascii="宋体" w:hAnsi="宋体" w:cs="宋体" w:eastAsia="宋体" w:hint="default"/>
                            <w:sz w:val="18"/>
                            <w:szCs w:val="18"/>
                          </w:rPr>
                          <w:t>《重大资产购买暨关 联交易报告书（草案</w:t>
                        </w:r>
                      </w:p>
                    </w:tc>
                  </w:tr>
                  <w:tr>
                    <w:trPr>
                      <w:trHeight w:val="360" w:hRule="exact"/>
                    </w:trPr>
                    <w:tc>
                      <w:tcPr>
                        <w:tcW w:w="1239" w:type="dxa"/>
                        <w:tcBorders>
                          <w:top w:val="nil" w:sz="6" w:space="0" w:color="auto"/>
                          <w:left w:val="single" w:sz="4" w:space="0" w:color="000000"/>
                          <w:bottom w:val="single" w:sz="4" w:space="0" w:color="000000"/>
                          <w:right w:val="single" w:sz="4" w:space="0" w:color="000000"/>
                        </w:tcBorders>
                      </w:tcPr>
                      <w:p>
                        <w:pPr/>
                      </w:p>
                    </w:tc>
                    <w:tc>
                      <w:tcPr>
                        <w:tcW w:w="1111" w:type="dxa"/>
                        <w:tcBorders>
                          <w:top w:val="nil" w:sz="6" w:space="0" w:color="auto"/>
                          <w:left w:val="single" w:sz="4" w:space="0" w:color="000000"/>
                          <w:bottom w:val="single" w:sz="4" w:space="0" w:color="000000"/>
                          <w:right w:val="single" w:sz="4" w:space="0" w:color="000000"/>
                        </w:tcBorders>
                      </w:tcPr>
                      <w:p>
                        <w:pPr/>
                      </w:p>
                    </w:tc>
                    <w:tc>
                      <w:tcPr>
                        <w:tcW w:w="1112" w:type="dxa"/>
                        <w:tcBorders>
                          <w:top w:val="nil" w:sz="6" w:space="0" w:color="auto"/>
                          <w:left w:val="single" w:sz="4" w:space="0" w:color="000000"/>
                          <w:bottom w:val="single" w:sz="4" w:space="0" w:color="000000"/>
                          <w:right w:val="single" w:sz="4" w:space="0" w:color="000000"/>
                        </w:tcBorders>
                      </w:tcPr>
                      <w:p>
                        <w:pPr/>
                      </w:p>
                    </w:tc>
                    <w:tc>
                      <w:tcPr>
                        <w:tcW w:w="1114" w:type="dxa"/>
                        <w:tcBorders>
                          <w:top w:val="nil" w:sz="6" w:space="0" w:color="auto"/>
                          <w:left w:val="single" w:sz="4" w:space="0" w:color="000000"/>
                          <w:bottom w:val="single" w:sz="4" w:space="0" w:color="000000"/>
                          <w:right w:val="single" w:sz="4" w:space="0" w:color="000000"/>
                        </w:tcBorders>
                      </w:tcPr>
                      <w:p>
                        <w:pPr/>
                      </w:p>
                    </w:tc>
                    <w:tc>
                      <w:tcPr>
                        <w:tcW w:w="1114" w:type="dxa"/>
                        <w:tcBorders>
                          <w:top w:val="nil" w:sz="6" w:space="0" w:color="auto"/>
                          <w:left w:val="single" w:sz="4" w:space="0" w:color="000000"/>
                          <w:bottom w:val="single" w:sz="4" w:space="0" w:color="000000"/>
                          <w:right w:val="single" w:sz="4" w:space="0" w:color="000000"/>
                        </w:tcBorders>
                      </w:tcPr>
                      <w:p>
                        <w:pPr/>
                      </w:p>
                    </w:tc>
                    <w:tc>
                      <w:tcPr>
                        <w:tcW w:w="1114" w:type="dxa"/>
                        <w:tcBorders>
                          <w:top w:val="nil" w:sz="6" w:space="0" w:color="auto"/>
                          <w:left w:val="single" w:sz="4" w:space="0" w:color="000000"/>
                          <w:bottom w:val="single" w:sz="4" w:space="0" w:color="000000"/>
                          <w:right w:val="single" w:sz="4" w:space="0" w:color="000000"/>
                        </w:tcBorders>
                      </w:tcPr>
                      <w:p>
                        <w:pPr/>
                      </w:p>
                    </w:tc>
                    <w:tc>
                      <w:tcPr>
                        <w:tcW w:w="1114" w:type="dxa"/>
                        <w:tcBorders>
                          <w:top w:val="nil" w:sz="6" w:space="0" w:color="auto"/>
                          <w:left w:val="single" w:sz="4" w:space="0" w:color="000000"/>
                          <w:bottom w:val="single" w:sz="4" w:space="0" w:color="000000"/>
                          <w:right w:val="single" w:sz="4" w:space="0" w:color="000000"/>
                        </w:tcBorders>
                      </w:tcPr>
                      <w:p>
                        <w:pPr/>
                      </w:p>
                    </w:tc>
                    <w:tc>
                      <w:tcPr>
                        <w:tcW w:w="17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（二次修订稿</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before="44"/>
        <w:ind w:left="0" w:right="1054"/>
        <w:jc w:val="right"/>
      </w:pP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right="1133"/>
        <w:jc w:val="left"/>
      </w:pPr>
      <w:r>
        <w:rPr/>
        <w:t>公司股东、交易对手方在报告年度经营业绩做出的承诺情况</w:t>
      </w:r>
    </w:p>
    <w:p>
      <w:pPr>
        <w:pStyle w:val="BodyText"/>
        <w:spacing w:line="340" w:lineRule="auto" w:before="115"/>
        <w:ind w:left="436" w:right="1110" w:hanging="2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交易对手方寇汉、林嘉喜作为业绩补偿义务人承诺哆可梦</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年各年度实现的净利润（以扣除非经常性损益前</w:t>
      </w:r>
    </w:p>
    <w:p>
      <w:pPr>
        <w:pStyle w:val="BodyText"/>
        <w:spacing w:line="228" w:lineRule="exact"/>
        <w:ind w:right="1133"/>
        <w:jc w:val="left"/>
      </w:pPr>
      <w:r>
        <w:rPr/>
        <w:t>后孰低者为计算依据）不少于</w:t>
      </w:r>
      <w:r>
        <w:rPr>
          <w:rFonts w:ascii="Times New Roman" w:hAnsi="Times New Roman" w:cs="Times New Roman" w:eastAsia="Times New Roman" w:hint="default"/>
        </w:rPr>
        <w:t>14,500</w:t>
      </w:r>
      <w:r>
        <w:rPr/>
        <w:t>万元、</w:t>
      </w:r>
      <w:r>
        <w:rPr>
          <w:rFonts w:ascii="Times New Roman" w:hAnsi="Times New Roman" w:cs="Times New Roman" w:eastAsia="Times New Roman" w:hint="default"/>
        </w:rPr>
        <w:t>18,800</w:t>
      </w:r>
      <w:r>
        <w:rPr/>
        <w:t>万元、</w:t>
      </w:r>
      <w:r>
        <w:rPr>
          <w:rFonts w:ascii="Times New Roman" w:hAnsi="Times New Roman" w:cs="Times New Roman" w:eastAsia="Times New Roman" w:hint="default"/>
        </w:rPr>
        <w:t>24,500</w:t>
      </w:r>
      <w:r>
        <w:rPr/>
        <w:t>万元，并承担相应的盈利补偿义务。</w:t>
      </w:r>
    </w:p>
    <w:p>
      <w:pPr>
        <w:pStyle w:val="BodyText"/>
        <w:spacing w:line="357" w:lineRule="auto" w:before="103"/>
        <w:ind w:left="436" w:right="0" w:hanging="284"/>
        <w:jc w:val="left"/>
      </w:pPr>
      <w:r>
        <w:rPr/>
        <w:t>业绩承诺的完成情况及其对商誉减值测试的影响 </w:t>
      </w:r>
      <w:r>
        <w:rPr>
          <w:spacing w:val="-1"/>
        </w:rPr>
        <w:t>公司</w:t>
      </w:r>
      <w:r>
        <w:rPr>
          <w:rFonts w:ascii="Times New Roman" w:hAnsi="Times New Roman" w:cs="Times New Roman" w:eastAsia="Times New Roman" w:hint="default"/>
          <w:spacing w:val="-1"/>
        </w:rPr>
        <w:t>2017</w:t>
      </w:r>
      <w:r>
        <w:rPr>
          <w:spacing w:val="-1"/>
        </w:rPr>
        <w:t>年度收购哆可梦</w:t>
      </w:r>
      <w:r>
        <w:rPr>
          <w:rFonts w:ascii="Times New Roman" w:hAnsi="Times New Roman" w:cs="Times New Roman" w:eastAsia="Times New Roman" w:hint="default"/>
          <w:spacing w:val="-1"/>
        </w:rPr>
        <w:t>77.57%</w:t>
      </w:r>
      <w:r>
        <w:rPr>
          <w:spacing w:val="-1"/>
        </w:rPr>
        <w:t>股权时并购重组相关方承诺哆可梦实现净利润（以扣除非经常性损益前后孰低者为计算</w:t>
      </w:r>
    </w:p>
    <w:p>
      <w:pPr>
        <w:pStyle w:val="BodyText"/>
        <w:spacing w:line="214" w:lineRule="exact"/>
        <w:ind w:right="1133"/>
        <w:jc w:val="left"/>
      </w:pPr>
      <w:r>
        <w:rPr/>
        <w:t>依据）不少于</w:t>
      </w:r>
      <w:r>
        <w:rPr>
          <w:rFonts w:ascii="Times New Roman" w:hAnsi="Times New Roman" w:cs="Times New Roman" w:eastAsia="Times New Roman" w:hint="default"/>
        </w:rPr>
        <w:t>18,800</w:t>
      </w:r>
      <w:r>
        <w:rPr/>
        <w:t>万元，哆可梦</w:t>
      </w:r>
      <w:r>
        <w:rPr>
          <w:rFonts w:ascii="Times New Roman" w:hAnsi="Times New Roman" w:cs="Times New Roman" w:eastAsia="Times New Roman" w:hint="default"/>
        </w:rPr>
        <w:t>2018</w:t>
      </w:r>
      <w:r>
        <w:rPr/>
        <w:t>年度实现净利润</w:t>
      </w:r>
      <w:r>
        <w:rPr>
          <w:rFonts w:ascii="宋体" w:hAnsi="宋体" w:cs="宋体" w:eastAsia="宋体" w:hint="default"/>
        </w:rPr>
        <w:t>32,279.43</w:t>
      </w:r>
      <w:r>
        <w:rPr/>
        <w:t>万元，业绩承诺完成度达到</w:t>
      </w:r>
      <w:r>
        <w:rPr>
          <w:rFonts w:ascii="宋体" w:hAnsi="宋体" w:cs="宋体" w:eastAsia="宋体" w:hint="default"/>
        </w:rPr>
        <w:t>171.70</w:t>
      </w:r>
      <w:r>
        <w:rPr>
          <w:rFonts w:ascii="Times New Roman" w:hAnsi="Times New Roman" w:cs="Times New Roman" w:eastAsia="Times New Roman" w:hint="default"/>
        </w:rPr>
        <w:t>%</w:t>
      </w:r>
      <w:r>
        <w:rPr/>
        <w:t>，经减值测试，收购</w:t>
      </w:r>
    </w:p>
    <w:p>
      <w:pPr>
        <w:pStyle w:val="BodyText"/>
        <w:spacing w:line="240" w:lineRule="auto" w:before="63"/>
        <w:ind w:right="1133"/>
        <w:jc w:val="left"/>
      </w:pPr>
      <w:r>
        <w:rPr/>
        <w:t>哆可梦形成的商誉在</w:t>
      </w:r>
      <w:r>
        <w:rPr>
          <w:rFonts w:ascii="宋体" w:hAnsi="宋体" w:cs="宋体" w:eastAsia="宋体" w:hint="default"/>
        </w:rPr>
        <w:t>2018</w:t>
      </w:r>
      <w:r>
        <w:rPr/>
        <w:t>年底未发生减值，不存在计提商誉减值准备的情形。</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300" w:lineRule="auto"/>
        <w:ind w:right="0" w:firstLine="28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日公司第六届董事会第二十七次会议审议通过《关于公司会计政策变更的议案》，根据财政部《关于 </w:t>
      </w:r>
      <w:r>
        <w:rPr>
          <w:spacing w:val="-2"/>
        </w:rPr>
        <w:t>修订印发</w:t>
      </w:r>
      <w:r>
        <w:rPr>
          <w:rFonts w:ascii="Times New Roman" w:hAnsi="Times New Roman" w:cs="Times New Roman" w:eastAsia="Times New Roman" w:hint="default"/>
          <w:spacing w:val="-2"/>
        </w:rPr>
        <w:t>2018</w:t>
      </w:r>
      <w:r>
        <w:rPr>
          <w:spacing w:val="-2"/>
        </w:rPr>
        <w:t>年度一般企业财务报表格式的通知》（财会〔</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15</w:t>
      </w:r>
      <w:r>
        <w:rPr>
          <w:spacing w:val="-2"/>
        </w:rPr>
        <w:t>号），调整以下财务报表科目的列报，并相应调整可比</w:t>
      </w:r>
      <w:r>
        <w:rPr>
          <w:spacing w:val="-62"/>
        </w:rPr>
        <w:t> </w:t>
      </w:r>
      <w:r>
        <w:rPr>
          <w:spacing w:val="-62"/>
        </w:rPr>
      </w:r>
      <w:r>
        <w:rPr/>
        <w:t>会计期间的数据：</w:t>
      </w:r>
    </w:p>
    <w:p>
      <w:pPr>
        <w:pStyle w:val="BodyText"/>
        <w:spacing w:line="240" w:lineRule="auto" w:before="31"/>
        <w:ind w:left="436" w:right="1133"/>
        <w:jc w:val="left"/>
      </w:pPr>
      <w:r>
        <w:rPr/>
        <w:t>（</w:t>
      </w:r>
      <w:r>
        <w:rPr>
          <w:rFonts w:ascii="Times New Roman" w:hAnsi="Times New Roman" w:cs="Times New Roman" w:eastAsia="Times New Roman" w:hint="default"/>
        </w:rPr>
        <w:t>1</w:t>
      </w:r>
      <w:r>
        <w:rPr/>
        <w:t>）原</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项目合并计入新增的</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项目；</w:t>
      </w:r>
    </w:p>
    <w:p>
      <w:pPr>
        <w:pStyle w:val="BodyText"/>
        <w:spacing w:line="240" w:lineRule="auto" w:before="63"/>
        <w:ind w:left="436" w:right="1133"/>
        <w:jc w:val="left"/>
      </w:pPr>
      <w:r>
        <w:rPr/>
        <w:t>（</w:t>
      </w:r>
      <w:r>
        <w:rPr>
          <w:rFonts w:ascii="Times New Roman" w:hAnsi="Times New Roman" w:cs="Times New Roman" w:eastAsia="Times New Roman" w:hint="default"/>
        </w:rPr>
        <w:t>2</w:t>
      </w:r>
      <w:r>
        <w:rPr/>
        <w:t>）原</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项目；</w:t>
      </w:r>
    </w:p>
    <w:p>
      <w:pPr>
        <w:pStyle w:val="BodyText"/>
        <w:spacing w:line="240" w:lineRule="auto" w:before="63"/>
        <w:ind w:left="436" w:right="1133"/>
        <w:jc w:val="left"/>
      </w:pPr>
      <w:r>
        <w:rPr/>
        <w:t>（</w:t>
      </w:r>
      <w:r>
        <w:rPr>
          <w:rFonts w:ascii="Times New Roman" w:hAnsi="Times New Roman" w:cs="Times New Roman" w:eastAsia="Times New Roman" w:hint="default"/>
        </w:rPr>
        <w:t>3</w:t>
      </w:r>
      <w:r>
        <w:rPr/>
        <w:t>）原</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项目；</w:t>
      </w:r>
    </w:p>
    <w:p>
      <w:pPr>
        <w:pStyle w:val="BodyText"/>
        <w:spacing w:line="240" w:lineRule="auto" w:before="63"/>
        <w:ind w:left="436" w:right="1133"/>
        <w:jc w:val="left"/>
      </w:pPr>
      <w:r>
        <w:rPr/>
        <w:t>（</w:t>
      </w:r>
      <w:r>
        <w:rPr>
          <w:rFonts w:ascii="Times New Roman" w:hAnsi="Times New Roman" w:cs="Times New Roman" w:eastAsia="Times New Roman" w:hint="default"/>
        </w:rPr>
        <w:t>4</w:t>
      </w:r>
      <w:r>
        <w:rPr/>
        <w:t>）原</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项目；</w:t>
      </w:r>
    </w:p>
    <w:p>
      <w:pPr>
        <w:pStyle w:val="BodyText"/>
        <w:spacing w:line="240" w:lineRule="auto" w:before="63"/>
        <w:ind w:left="436" w:right="1133"/>
        <w:jc w:val="left"/>
      </w:pPr>
      <w:r>
        <w:rPr/>
        <w:t>（</w:t>
      </w:r>
      <w:r>
        <w:rPr>
          <w:rFonts w:ascii="Times New Roman" w:hAnsi="Times New Roman" w:cs="Times New Roman" w:eastAsia="Times New Roman" w:hint="default"/>
        </w:rPr>
        <w:t>5</w:t>
      </w:r>
      <w:r>
        <w:rPr/>
        <w:t>）原</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项目合并计入新增的</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w:t>
      </w:r>
    </w:p>
    <w:p>
      <w:pPr>
        <w:pStyle w:val="BodyText"/>
        <w:spacing w:line="240" w:lineRule="auto" w:before="63"/>
        <w:ind w:left="436" w:right="1133"/>
        <w:jc w:val="left"/>
      </w:pPr>
      <w:r>
        <w:rPr/>
        <w:t>（</w:t>
      </w:r>
      <w:r>
        <w:rPr>
          <w:rFonts w:ascii="Times New Roman" w:hAnsi="Times New Roman" w:cs="Times New Roman" w:eastAsia="Times New Roman" w:hint="default"/>
        </w:rPr>
        <w:t>6</w:t>
      </w:r>
      <w:r>
        <w:rPr/>
        <w:t>）原</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项目；</w:t>
      </w:r>
    </w:p>
    <w:p>
      <w:pPr>
        <w:spacing w:after="0" w:line="240" w:lineRule="auto"/>
        <w:jc w:val="left"/>
        <w:sectPr>
          <w:headerReference w:type="default" r:id="rId20"/>
          <w:footerReference w:type="default" r:id="rId21"/>
          <w:pgSz w:w="11910" w:h="16840"/>
          <w:pgMar w:header="877" w:footer="979" w:top="1100" w:bottom="1160" w:left="980" w:right="0"/>
          <w:pgNumType w:start="42"/>
        </w:sectPr>
      </w:pPr>
    </w:p>
    <w:p>
      <w:pPr>
        <w:spacing w:line="240" w:lineRule="auto" w:before="11"/>
        <w:rPr>
          <w:rFonts w:ascii="宋体" w:hAnsi="宋体" w:cs="宋体" w:eastAsia="宋体" w:hint="default"/>
          <w:sz w:val="21"/>
          <w:szCs w:val="21"/>
        </w:rPr>
      </w:pPr>
    </w:p>
    <w:p>
      <w:pPr>
        <w:pStyle w:val="BodyText"/>
        <w:spacing w:line="240" w:lineRule="auto" w:before="44"/>
        <w:ind w:left="436" w:right="1133"/>
        <w:jc w:val="left"/>
      </w:pPr>
      <w:r>
        <w:rPr/>
        <w:t>（</w:t>
      </w:r>
      <w:r>
        <w:rPr>
          <w:rFonts w:ascii="Times New Roman" w:hAnsi="Times New Roman" w:cs="Times New Roman" w:eastAsia="Times New Roman" w:hint="default"/>
        </w:rPr>
        <w:t>7</w:t>
      </w:r>
      <w:r>
        <w:rPr/>
        <w:t>）原</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项目；</w:t>
      </w:r>
    </w:p>
    <w:p>
      <w:pPr>
        <w:pStyle w:val="BodyText"/>
        <w:spacing w:line="240" w:lineRule="auto" w:before="63"/>
        <w:ind w:left="436" w:right="1133"/>
        <w:jc w:val="left"/>
      </w:pPr>
      <w:r>
        <w:rPr/>
        <w:t>（</w:t>
      </w:r>
      <w:r>
        <w:rPr>
          <w:rFonts w:ascii="Times New Roman" w:hAnsi="Times New Roman" w:cs="Times New Roman" w:eastAsia="Times New Roman" w:hint="default"/>
        </w:rPr>
        <w:t>8</w:t>
      </w:r>
      <w:r>
        <w:rPr/>
        <w:t>）新增</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项目，原计入</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项目的研发费用单独列示为</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w:t>
      </w:r>
    </w:p>
    <w:p>
      <w:pPr>
        <w:pStyle w:val="BodyText"/>
        <w:spacing w:line="240" w:lineRule="auto" w:before="63"/>
        <w:ind w:left="436" w:right="1133"/>
        <w:jc w:val="left"/>
      </w:pPr>
      <w:r>
        <w:rPr/>
        <w:t>（</w:t>
      </w:r>
      <w:r>
        <w:rPr>
          <w:rFonts w:ascii="Times New Roman" w:hAnsi="Times New Roman" w:cs="Times New Roman" w:eastAsia="Times New Roman" w:hint="default"/>
        </w:rPr>
        <w:t>9</w:t>
      </w:r>
      <w:r>
        <w:rPr/>
        <w:t>）在</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项目下列示</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436" w:right="1110" w:hanging="2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本公司合并财务报表范围包括本公司及喀什中汇联银、惠程智能、香港惠程、北京中汇联银、中行置盛、中融建银、中</w:t>
      </w:r>
    </w:p>
    <w:p>
      <w:pPr>
        <w:pStyle w:val="BodyText"/>
        <w:spacing w:line="316" w:lineRule="auto" w:before="2"/>
        <w:ind w:right="0"/>
        <w:jc w:val="left"/>
      </w:pPr>
      <w:r>
        <w:rPr>
          <w:spacing w:val="-2"/>
        </w:rPr>
        <w:t>汇联鑫、豪琛投资、鹏胤投资、中汇同盈、哆可梦、吉乾科技、旭梅网络、华向文化、游湛网络、乐珩网络、璿游网络、上</w:t>
      </w:r>
      <w:r>
        <w:rPr>
          <w:spacing w:val="-70"/>
        </w:rPr>
        <w:t> </w:t>
      </w:r>
      <w:r>
        <w:rPr>
          <w:spacing w:val="-70"/>
        </w:rPr>
      </w:r>
      <w:r>
        <w:rPr/>
        <w:t>海季娱、共创网络、翔瑞科技、珂星网络。</w:t>
      </w:r>
    </w:p>
    <w:p>
      <w:pPr>
        <w:pStyle w:val="BodyText"/>
        <w:spacing w:line="300" w:lineRule="auto" w:before="59"/>
        <w:ind w:right="1133" w:firstLine="283"/>
        <w:jc w:val="left"/>
      </w:pPr>
      <w:r>
        <w:rPr>
          <w:rFonts w:ascii="Times New Roman" w:hAnsi="Times New Roman" w:cs="Times New Roman" w:eastAsia="Times New Roman" w:hint="default"/>
        </w:rPr>
        <w:t>2018</w:t>
      </w:r>
      <w:r>
        <w:rPr/>
        <w:t>年合并范围相比上年，增加</w:t>
      </w:r>
      <w:r>
        <w:rPr>
          <w:rFonts w:ascii="Times New Roman" w:hAnsi="Times New Roman" w:cs="Times New Roman" w:eastAsia="Times New Roman" w:hint="default"/>
        </w:rPr>
        <w:t>1</w:t>
      </w:r>
      <w:r>
        <w:rPr/>
        <w:t>家控股子公司上海季娱及其下属</w:t>
      </w:r>
      <w:r>
        <w:rPr>
          <w:rFonts w:ascii="Times New Roman" w:hAnsi="Times New Roman" w:cs="Times New Roman" w:eastAsia="Times New Roman" w:hint="default"/>
        </w:rPr>
        <w:t>1</w:t>
      </w:r>
      <w:r>
        <w:rPr/>
        <w:t>家子公司珂星网络，以及哆可梦下属</w:t>
      </w:r>
      <w:r>
        <w:rPr>
          <w:rFonts w:ascii="Times New Roman" w:hAnsi="Times New Roman" w:cs="Times New Roman" w:eastAsia="Times New Roman" w:hint="default"/>
        </w:rPr>
        <w:t>2</w:t>
      </w:r>
      <w:r>
        <w:rPr/>
        <w:t>家子公司共创 网络、翔瑞科技。</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上会会计师事务所（特殊普通合伙）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张晓荣、唐慧珏</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133"/>
        <w:jc w:val="left"/>
      </w:pPr>
      <w:r>
        <w:rPr/>
        <w:t>当期是否改聘会计师事务所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338" w:lineRule="auto" w:before="41"/>
        <w:ind w:left="436" w:right="1133" w:hanging="2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本年度，公司因年度财务审计事项和内部控制审计事项，聘请上会会计师事务所（特殊普通合伙）为年度财务审计和内</w:t>
      </w:r>
    </w:p>
    <w:p>
      <w:pPr>
        <w:pStyle w:val="BodyText"/>
        <w:spacing w:line="300" w:lineRule="auto" w:before="2"/>
        <w:ind w:right="1133"/>
        <w:jc w:val="left"/>
      </w:pPr>
      <w:r>
        <w:rPr/>
        <w:t>部控制审计会计师事务所，期间共支付审计费</w:t>
      </w:r>
      <w:r>
        <w:rPr>
          <w:rFonts w:ascii="Times New Roman" w:hAnsi="Times New Roman" w:cs="Times New Roman" w:eastAsia="Times New Roman" w:hint="default"/>
        </w:rPr>
        <w:t>80</w:t>
      </w:r>
      <w:r>
        <w:rPr/>
        <w:t>万元，其中年度财务审计费用</w:t>
      </w:r>
      <w:r>
        <w:rPr>
          <w:rFonts w:ascii="Times New Roman" w:hAnsi="Times New Roman" w:cs="Times New Roman" w:eastAsia="Times New Roman" w:hint="default"/>
        </w:rPr>
        <w:t>68</w:t>
      </w:r>
      <w:r>
        <w:rPr/>
        <w:t>万元，内部控制审计费用</w:t>
      </w:r>
      <w:r>
        <w:rPr>
          <w:rFonts w:ascii="Times New Roman" w:hAnsi="Times New Roman" w:cs="Times New Roman" w:eastAsia="Times New Roman" w:hint="default"/>
        </w:rPr>
        <w:t>12</w:t>
      </w:r>
      <w:r>
        <w:rPr/>
        <w:t>万元；因</w:t>
      </w:r>
      <w:r>
        <w:rPr>
          <w:rFonts w:ascii="Times New Roman" w:hAnsi="Times New Roman" w:cs="Times New Roman" w:eastAsia="Times New Roman" w:hint="default"/>
        </w:rPr>
        <w:t>2017 </w:t>
      </w:r>
      <w:r>
        <w:rPr>
          <w:spacing w:val="-1"/>
        </w:rPr>
        <w:t>年度收购哆可梦</w:t>
      </w:r>
      <w:r>
        <w:rPr>
          <w:rFonts w:ascii="Times New Roman" w:hAnsi="Times New Roman" w:cs="Times New Roman" w:eastAsia="Times New Roman" w:hint="default"/>
          <w:spacing w:val="-1"/>
        </w:rPr>
        <w:t>77.57%</w:t>
      </w:r>
      <w:r>
        <w:rPr>
          <w:spacing w:val="-1"/>
        </w:rPr>
        <w:t>股权事项，聘请海通证券股份有限公司为持续督导期间的独立财务顾问，期间共支付财务顾问费</w:t>
      </w:r>
      <w:r>
        <w:rPr>
          <w:rFonts w:ascii="Times New Roman" w:hAnsi="Times New Roman" w:cs="Times New Roman" w:eastAsia="Times New Roman" w:hint="default"/>
          <w:spacing w:val="-1"/>
        </w:rPr>
        <w:t>212</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万元；因拟收购爱酷游</w:t>
      </w:r>
      <w:r>
        <w:rPr>
          <w:rFonts w:ascii="Times New Roman" w:hAnsi="Times New Roman" w:cs="Times New Roman" w:eastAsia="Times New Roman" w:hint="default"/>
        </w:rPr>
        <w:t>64.96%</w:t>
      </w:r>
      <w:r>
        <w:rPr/>
        <w:t>股权的重大资产重组事项，聘请海通证券股份有限公司为独立财务顾问，期间共支付财务顾 问费</w:t>
      </w:r>
      <w:r>
        <w:rPr>
          <w:rFonts w:ascii="Times New Roman" w:hAnsi="Times New Roman" w:cs="Times New Roman" w:eastAsia="Times New Roman" w:hint="default"/>
        </w:rPr>
        <w:t>200</w:t>
      </w:r>
      <w:r>
        <w:rPr/>
        <w:t>万元。</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19"/>
          <w:szCs w:val="19"/>
        </w:rPr>
      </w:pPr>
      <w:r>
        <w:rPr/>
        <w:pict>
          <v:group style="position:absolute;margin-left:127.82pt;margin-top:332.925995pt;width:42pt;height:78.05pt;mso-position-horizontal-relative:page;mso-position-vertical-relative:page;z-index:-1196992" coordorigin="2556,6659" coordsize="840,1561">
            <v:shape style="position:absolute;left:2556;top:6659;width:840;height:1561" coordorigin="2556,6659" coordsize="840,1561" path="m2556,8219l3396,8219,3396,6659,2556,6659,2556,8219xe" filled="true" fillcolor="#ffffff" stroked="false">
              <v:path arrowok="t"/>
              <v:fill type="solid"/>
            </v:shape>
            <w10:wrap type="none"/>
          </v:group>
        </w:pict>
      </w:r>
    </w:p>
    <w:p>
      <w:pPr>
        <w:pStyle w:val="Heading2"/>
        <w:spacing w:line="240" w:lineRule="auto" w:before="26"/>
        <w:ind w:right="1133"/>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9"/>
        <w:gridCol w:w="301"/>
        <w:gridCol w:w="549"/>
        <w:gridCol w:w="853"/>
        <w:gridCol w:w="850"/>
        <w:gridCol w:w="2223"/>
        <w:gridCol w:w="1248"/>
        <w:gridCol w:w="783"/>
        <w:gridCol w:w="1346"/>
      </w:tblGrid>
      <w:tr>
        <w:trPr>
          <w:trHeight w:val="71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26" w:right="101" w:hanging="42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 情况</w:t>
            </w: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4"/>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0" w:right="62"/>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19" w:right="119"/>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2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70" w:right="107"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6" w:hRule="exact"/>
        </w:trPr>
        <w:tc>
          <w:tcPr>
            <w:tcW w:w="1419" w:type="dxa"/>
            <w:tcBorders>
              <w:top w:val="single" w:sz="4" w:space="0" w:color="000000"/>
              <w:left w:val="single" w:sz="4" w:space="0" w:color="000000"/>
              <w:bottom w:val="nil" w:sz="6" w:space="0" w:color="auto"/>
              <w:right w:val="single" w:sz="4" w:space="0" w:color="000000"/>
            </w:tcBorders>
          </w:tcPr>
          <w:p>
            <w:pPr/>
          </w:p>
        </w:tc>
        <w:tc>
          <w:tcPr>
            <w:tcW w:w="301" w:type="dxa"/>
            <w:tcBorders>
              <w:top w:val="single" w:sz="4" w:space="0" w:color="000000"/>
              <w:left w:val="single" w:sz="4" w:space="0" w:color="000000"/>
              <w:bottom w:val="nil" w:sz="6" w:space="0" w:color="auto"/>
              <w:right w:val="nil" w:sz="6" w:space="0" w:color="auto"/>
            </w:tcBorders>
          </w:tcPr>
          <w:p>
            <w:pPr/>
          </w:p>
        </w:tc>
        <w:tc>
          <w:tcPr>
            <w:tcW w:w="549" w:type="dxa"/>
            <w:tcBorders>
              <w:top w:val="single" w:sz="4" w:space="0" w:color="000000"/>
              <w:left w:val="nil" w:sz="6" w:space="0" w:color="auto"/>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2223"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783" w:type="dxa"/>
            <w:tcBorders>
              <w:top w:val="single" w:sz="4" w:space="0" w:color="000000"/>
              <w:left w:val="single" w:sz="4" w:space="0" w:color="000000"/>
              <w:bottom w:val="nil" w:sz="6" w:space="0" w:color="auto"/>
              <w:right w:val="single" w:sz="4" w:space="0" w:color="000000"/>
            </w:tcBorders>
          </w:tcPr>
          <w:p>
            <w:pPr/>
          </w:p>
        </w:tc>
        <w:tc>
          <w:tcPr>
            <w:tcW w:w="13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2808" w:hRule="exact"/>
        </w:trPr>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上海玄霆娱乐信 息科技有限公司</w:t>
            </w:r>
          </w:p>
          <w:p>
            <w:pPr>
              <w:pStyle w:val="TableParagraph"/>
              <w:spacing w:line="309" w:lineRule="auto" w:before="19"/>
              <w:ind w:left="24" w:right="5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上海玄霆 </w:t>
            </w:r>
            <w:r>
              <w:rPr>
                <w:rFonts w:ascii="Times New Roman" w:hAnsi="Times New Roman" w:cs="Times New Roman" w:eastAsia="Times New Roman" w:hint="default"/>
                <w:sz w:val="18"/>
                <w:szCs w:val="18"/>
              </w:rPr>
              <w:t>"</w:t>
            </w:r>
            <w:r>
              <w:rPr>
                <w:rFonts w:ascii="宋体" w:hAnsi="宋体" w:cs="宋体" w:eastAsia="宋体" w:hint="default"/>
                <w:sz w:val="18"/>
                <w:szCs w:val="18"/>
              </w:rPr>
              <w:t>）诉四三九九网 络股份有限公司 吉乾科技著作权 纠纷</w:t>
            </w:r>
          </w:p>
        </w:tc>
        <w:tc>
          <w:tcPr>
            <w:tcW w:w="301"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549"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50" w:right="0"/>
              <w:jc w:val="left"/>
              <w:rPr>
                <w:rFonts w:ascii="Times New Roman" w:hAnsi="Times New Roman" w:cs="Times New Roman" w:eastAsia="Times New Roman" w:hint="default"/>
                <w:sz w:val="18"/>
                <w:szCs w:val="18"/>
              </w:rPr>
            </w:pPr>
            <w:r>
              <w:rPr>
                <w:rFonts w:ascii="Times New Roman"/>
                <w:sz w:val="18"/>
              </w:rPr>
              <w:t>509</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一审判 决；吉乾 科技已上 诉并收到 受理通知 书</w:t>
            </w:r>
          </w:p>
        </w:tc>
        <w:tc>
          <w:tcPr>
            <w:tcW w:w="222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4" w:lineRule="auto"/>
              <w:ind w:left="23" w:right="17"/>
              <w:jc w:val="both"/>
              <w:rPr>
                <w:rFonts w:ascii="宋体" w:hAnsi="宋体" w:cs="宋体" w:eastAsia="宋体" w:hint="default"/>
                <w:sz w:val="18"/>
                <w:szCs w:val="18"/>
              </w:rPr>
            </w:pPr>
            <w:r>
              <w:rPr>
                <w:rFonts w:ascii="宋体" w:hAnsi="宋体" w:cs="宋体" w:eastAsia="宋体" w:hint="default"/>
                <w:sz w:val="18"/>
                <w:szCs w:val="18"/>
              </w:rPr>
              <w:t>一审判决吉乾科技于判决生 效之日起二十日内赔偿上海 玄霆经济损失及合理开支共 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万元，驳回上海玄霆 其他诉讼请求；案件受理费 </w:t>
            </w:r>
            <w:r>
              <w:rPr>
                <w:rFonts w:ascii="Times New Roman" w:hAnsi="Times New Roman" w:cs="Times New Roman" w:eastAsia="Times New Roman" w:hint="default"/>
                <w:spacing w:val="-1"/>
                <w:sz w:val="18"/>
                <w:szCs w:val="18"/>
              </w:rPr>
              <w:t>142,063</w:t>
            </w:r>
            <w:r>
              <w:rPr>
                <w:rFonts w:ascii="Times New Roman" w:hAnsi="Times New Roman" w:cs="Times New Roman" w:eastAsia="Times New Roman" w:hint="default"/>
                <w:spacing w:val="13"/>
                <w:sz w:val="18"/>
                <w:szCs w:val="18"/>
              </w:rPr>
              <w:t> </w:t>
            </w:r>
            <w:r>
              <w:rPr>
                <w:rFonts w:ascii="宋体" w:hAnsi="宋体" w:cs="宋体" w:eastAsia="宋体" w:hint="default"/>
                <w:spacing w:val="-10"/>
                <w:sz w:val="18"/>
                <w:szCs w:val="18"/>
              </w:rPr>
              <w:t>元，由上海玄霆负担</w:t>
            </w:r>
          </w:p>
          <w:p>
            <w:pPr>
              <w:pStyle w:val="TableParagraph"/>
              <w:spacing w:line="240" w:lineRule="auto" w:before="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52,063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元，吉乾科技负担</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吉乾科技已向 法院提起上诉 并已收到受理 通知书</w:t>
            </w:r>
          </w:p>
        </w:tc>
        <w:tc>
          <w:tcPr>
            <w:tcW w:w="7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300" w:lineRule="auto" w:before="63"/>
              <w:ind w:left="24" w:right="25"/>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23"/>
              <w:jc w:val="both"/>
              <w:rPr>
                <w:rFonts w:ascii="宋体" w:hAnsi="宋体" w:cs="宋体" w:eastAsia="宋体" w:hint="default"/>
                <w:sz w:val="18"/>
                <w:szCs w:val="18"/>
              </w:rPr>
            </w:pPr>
            <w:r>
              <w:rPr>
                <w:rFonts w:ascii="宋体" w:hAnsi="宋体" w:cs="宋体" w:eastAsia="宋体" w:hint="default"/>
                <w:sz w:val="18"/>
                <w:szCs w:val="18"/>
              </w:rPr>
              <w:t>（</w:t>
            </w:r>
            <w:hyperlink r:id="rId22">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5"/>
                <w:sz w:val="18"/>
                <w:szCs w:val="18"/>
              </w:rPr>
              <w:t>m.cn</w:t>
            </w:r>
            <w:r>
              <w:rPr>
                <w:rFonts w:ascii="宋体" w:hAnsi="宋体" w:cs="宋体" w:eastAsia="宋体" w:hint="default"/>
                <w:spacing w:val="-15"/>
                <w:sz w:val="18"/>
                <w:szCs w:val="18"/>
              </w:rPr>
              <w:t>）《关于控股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孙公司诉讼事项 </w:t>
            </w:r>
            <w:r>
              <w:rPr>
                <w:rFonts w:ascii="宋体" w:hAnsi="宋体" w:cs="宋体" w:eastAsia="宋体" w:hint="default"/>
                <w:spacing w:val="-19"/>
                <w:sz w:val="18"/>
                <w:szCs w:val="18"/>
              </w:rPr>
              <w:t>的进展公告》（公</w:t>
            </w:r>
            <w:r>
              <w:rPr>
                <w:rFonts w:ascii="宋体" w:hAnsi="宋体" w:cs="宋体" w:eastAsia="宋体" w:hint="default"/>
                <w:sz w:val="18"/>
                <w:szCs w:val="18"/>
              </w:rPr>
              <w:t> 告编号：</w:t>
            </w:r>
          </w:p>
          <w:p>
            <w:pPr>
              <w:pStyle w:val="TableParagraph"/>
              <w:spacing w:line="312" w:lineRule="auto" w:before="24"/>
              <w:ind w:left="23" w:right="-36"/>
              <w:jc w:val="both"/>
              <w:rPr>
                <w:rFonts w:ascii="宋体" w:hAnsi="宋体" w:cs="宋体" w:eastAsia="宋体" w:hint="default"/>
                <w:sz w:val="18"/>
                <w:szCs w:val="18"/>
              </w:rPr>
            </w:pPr>
            <w:r>
              <w:rPr>
                <w:rFonts w:ascii="Times New Roman" w:hAnsi="Times New Roman" w:cs="Times New Roman" w:eastAsia="Times New Roman" w:hint="default"/>
                <w:spacing w:val="-16"/>
                <w:sz w:val="18"/>
                <w:szCs w:val="18"/>
              </w:rPr>
              <w:t>2018-006</w:t>
            </w:r>
            <w:r>
              <w:rPr>
                <w:rFonts w:ascii="宋体" w:hAnsi="宋体" w:cs="宋体" w:eastAsia="宋体" w:hint="default"/>
                <w:spacing w:val="-16"/>
                <w:sz w:val="18"/>
                <w:szCs w:val="18"/>
              </w:rPr>
              <w:t>）、《关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于控股子公司诉 讼事项的进展公 </w:t>
            </w:r>
            <w:r>
              <w:rPr>
                <w:rFonts w:ascii="宋体" w:hAnsi="宋体" w:cs="宋体" w:eastAsia="宋体" w:hint="default"/>
                <w:spacing w:val="-12"/>
                <w:sz w:val="18"/>
                <w:szCs w:val="18"/>
              </w:rPr>
              <w:t>告》（公告编号：</w:t>
            </w:r>
          </w:p>
        </w:tc>
      </w:tr>
      <w:tr>
        <w:trPr>
          <w:trHeight w:val="358" w:hRule="exact"/>
        </w:trPr>
        <w:tc>
          <w:tcPr>
            <w:tcW w:w="1419" w:type="dxa"/>
            <w:tcBorders>
              <w:top w:val="nil" w:sz="6" w:space="0" w:color="auto"/>
              <w:left w:val="single" w:sz="4" w:space="0" w:color="000000"/>
              <w:bottom w:val="single" w:sz="4" w:space="0" w:color="000000"/>
              <w:right w:val="single" w:sz="4" w:space="0" w:color="000000"/>
            </w:tcBorders>
          </w:tcPr>
          <w:p>
            <w:pPr/>
          </w:p>
        </w:tc>
        <w:tc>
          <w:tcPr>
            <w:tcW w:w="301" w:type="dxa"/>
            <w:tcBorders>
              <w:top w:val="nil" w:sz="6" w:space="0" w:color="auto"/>
              <w:left w:val="single" w:sz="4" w:space="0" w:color="000000"/>
              <w:bottom w:val="single" w:sz="4" w:space="0" w:color="000000"/>
              <w:right w:val="nil" w:sz="6" w:space="0" w:color="auto"/>
            </w:tcBorders>
          </w:tcPr>
          <w:p>
            <w:pPr/>
          </w:p>
        </w:tc>
        <w:tc>
          <w:tcPr>
            <w:tcW w:w="549" w:type="dxa"/>
            <w:tcBorders>
              <w:top w:val="nil" w:sz="6" w:space="0" w:color="auto"/>
              <w:left w:val="nil" w:sz="6" w:space="0" w:color="auto"/>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2223"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783" w:type="dxa"/>
            <w:tcBorders>
              <w:top w:val="nil" w:sz="6" w:space="0" w:color="auto"/>
              <w:left w:val="single" w:sz="4" w:space="0" w:color="000000"/>
              <w:bottom w:val="single" w:sz="4" w:space="0" w:color="000000"/>
              <w:right w:val="single" w:sz="4" w:space="0" w:color="000000"/>
            </w:tcBorders>
          </w:tcPr>
          <w:p>
            <w:pPr/>
          </w:p>
        </w:tc>
        <w:tc>
          <w:tcPr>
            <w:tcW w:w="13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2018-120</w:t>
            </w:r>
            <w:r>
              <w:rPr>
                <w:rFonts w:ascii="宋体" w:hAnsi="宋体" w:cs="宋体" w:eastAsia="宋体" w:hint="default"/>
                <w:sz w:val="18"/>
                <w:szCs w:val="18"/>
              </w:rPr>
              <w:t>）</w:t>
            </w:r>
          </w:p>
        </w:tc>
      </w:tr>
      <w:tr>
        <w:trPr>
          <w:trHeight w:val="357" w:hRule="exact"/>
        </w:trPr>
        <w:tc>
          <w:tcPr>
            <w:tcW w:w="1419" w:type="dxa"/>
            <w:tcBorders>
              <w:top w:val="single" w:sz="4" w:space="0" w:color="000000"/>
              <w:left w:val="single" w:sz="4" w:space="0" w:color="000000"/>
              <w:bottom w:val="nil" w:sz="6" w:space="0" w:color="auto"/>
              <w:right w:val="single" w:sz="4" w:space="0" w:color="000000"/>
            </w:tcBorders>
          </w:tcPr>
          <w:p>
            <w:pPr/>
          </w:p>
        </w:tc>
        <w:tc>
          <w:tcPr>
            <w:tcW w:w="850" w:type="dxa"/>
            <w:gridSpan w:val="2"/>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22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哆可梦于判决生效之日起立</w:t>
            </w:r>
          </w:p>
        </w:tc>
        <w:tc>
          <w:tcPr>
            <w:tcW w:w="1248" w:type="dxa"/>
            <w:tcBorders>
              <w:top w:val="single" w:sz="4" w:space="0" w:color="000000"/>
              <w:left w:val="single" w:sz="4" w:space="0" w:color="000000"/>
              <w:bottom w:val="nil" w:sz="6" w:space="0" w:color="auto"/>
              <w:right w:val="single" w:sz="4" w:space="0" w:color="000000"/>
            </w:tcBorders>
          </w:tcPr>
          <w:p>
            <w:pPr/>
          </w:p>
        </w:tc>
        <w:tc>
          <w:tcPr>
            <w:tcW w:w="783" w:type="dxa"/>
            <w:tcBorders>
              <w:top w:val="single" w:sz="4" w:space="0" w:color="000000"/>
              <w:left w:val="single" w:sz="4" w:space="0" w:color="000000"/>
              <w:bottom w:val="nil" w:sz="6" w:space="0" w:color="auto"/>
              <w:right w:val="single" w:sz="4" w:space="0" w:color="000000"/>
            </w:tcBorders>
          </w:tcPr>
          <w:p>
            <w:pPr/>
          </w:p>
        </w:tc>
        <w:tc>
          <w:tcPr>
            <w:tcW w:w="1346" w:type="dxa"/>
            <w:tcBorders>
              <w:top w:val="single" w:sz="4" w:space="0" w:color="000000"/>
              <w:left w:val="single" w:sz="4" w:space="0" w:color="000000"/>
              <w:bottom w:val="nil" w:sz="6" w:space="0" w:color="auto"/>
              <w:right w:val="single" w:sz="4" w:space="0" w:color="000000"/>
            </w:tcBorders>
          </w:tcPr>
          <w:p>
            <w:pPr/>
          </w:p>
        </w:tc>
      </w:tr>
      <w:tr>
        <w:trPr>
          <w:trHeight w:val="2812" w:hRule="exact"/>
        </w:trPr>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4" w:right="123"/>
              <w:jc w:val="left"/>
              <w:rPr>
                <w:rFonts w:ascii="宋体" w:hAnsi="宋体" w:cs="宋体" w:eastAsia="宋体" w:hint="default"/>
                <w:sz w:val="18"/>
                <w:szCs w:val="18"/>
              </w:rPr>
            </w:pPr>
            <w:r>
              <w:rPr>
                <w:rFonts w:ascii="宋体" w:hAnsi="宋体" w:cs="宋体" w:eastAsia="宋体" w:hint="default"/>
                <w:sz w:val="18"/>
                <w:szCs w:val="18"/>
              </w:rPr>
              <w:t>上海玄霆诉四三 九九、完美世界</w:t>
            </w:r>
          </w:p>
          <w:p>
            <w:pPr>
              <w:pStyle w:val="TableParagraph"/>
              <w:spacing w:line="316" w:lineRule="auto" w:before="20"/>
              <w:ind w:left="24" w:right="19"/>
              <w:jc w:val="both"/>
              <w:rPr>
                <w:rFonts w:ascii="宋体" w:hAnsi="宋体" w:cs="宋体" w:eastAsia="宋体" w:hint="default"/>
                <w:sz w:val="18"/>
                <w:szCs w:val="18"/>
              </w:rPr>
            </w:pPr>
            <w:r>
              <w:rPr>
                <w:rFonts w:ascii="宋体" w:hAnsi="宋体" w:cs="宋体" w:eastAsia="宋体" w:hint="default"/>
                <w:spacing w:val="-10"/>
                <w:sz w:val="18"/>
                <w:szCs w:val="18"/>
              </w:rPr>
              <w:t>（北京）数字科技</w:t>
            </w:r>
            <w:r>
              <w:rPr>
                <w:rFonts w:ascii="宋体" w:hAnsi="宋体" w:cs="宋体" w:eastAsia="宋体" w:hint="default"/>
                <w:sz w:val="18"/>
                <w:szCs w:val="18"/>
              </w:rPr>
              <w:t> </w:t>
            </w:r>
            <w:r>
              <w:rPr>
                <w:rFonts w:ascii="宋体" w:hAnsi="宋体" w:cs="宋体" w:eastAsia="宋体" w:hint="default"/>
                <w:spacing w:val="-10"/>
                <w:sz w:val="18"/>
                <w:szCs w:val="18"/>
              </w:rPr>
              <w:t>有限公司、完美世</w:t>
            </w:r>
            <w:r>
              <w:rPr>
                <w:rFonts w:ascii="宋体" w:hAnsi="宋体" w:cs="宋体" w:eastAsia="宋体" w:hint="default"/>
                <w:sz w:val="18"/>
                <w:szCs w:val="18"/>
              </w:rPr>
              <w:t> </w:t>
            </w:r>
            <w:r>
              <w:rPr>
                <w:rFonts w:ascii="宋体" w:hAnsi="宋体" w:cs="宋体" w:eastAsia="宋体" w:hint="default"/>
                <w:spacing w:val="-10"/>
                <w:sz w:val="18"/>
                <w:szCs w:val="18"/>
              </w:rPr>
              <w:t>界（重庆）互动科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技有限公司、哆可</w:t>
            </w:r>
            <w:r>
              <w:rPr>
                <w:rFonts w:ascii="宋体" w:hAnsi="宋体" w:cs="宋体" w:eastAsia="宋体" w:hint="default"/>
                <w:sz w:val="18"/>
                <w:szCs w:val="18"/>
              </w:rPr>
              <w:t> 梦著作权纠纷案</w:t>
            </w:r>
          </w:p>
        </w:tc>
        <w:tc>
          <w:tcPr>
            <w:tcW w:w="85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547" w:right="0"/>
              <w:jc w:val="left"/>
              <w:rPr>
                <w:rFonts w:ascii="Times New Roman" w:hAnsi="Times New Roman" w:cs="Times New Roman" w:eastAsia="Times New Roman" w:hint="default"/>
                <w:sz w:val="18"/>
                <w:szCs w:val="18"/>
              </w:rPr>
            </w:pPr>
            <w:r>
              <w:rPr>
                <w:rFonts w:ascii="Times New Roman"/>
                <w:sz w:val="18"/>
              </w:rPr>
              <w:t>108</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一审判 决；哆可 梦已上诉 并收到受 理通知书</w:t>
            </w:r>
          </w:p>
        </w:tc>
        <w:tc>
          <w:tcPr>
            <w:tcW w:w="2223" w:type="dxa"/>
            <w:tcBorders>
              <w:top w:val="nil" w:sz="6" w:space="0" w:color="auto"/>
              <w:left w:val="single" w:sz="4" w:space="0" w:color="000000"/>
              <w:bottom w:val="nil" w:sz="6" w:space="0" w:color="auto"/>
              <w:right w:val="single" w:sz="4" w:space="0" w:color="000000"/>
            </w:tcBorders>
          </w:tcPr>
          <w:p>
            <w:pPr>
              <w:pStyle w:val="TableParagraph"/>
              <w:spacing w:line="314" w:lineRule="auto" w:before="9"/>
              <w:ind w:left="23" w:right="17"/>
              <w:jc w:val="left"/>
              <w:rPr>
                <w:rFonts w:ascii="宋体" w:hAnsi="宋体" w:cs="宋体" w:eastAsia="宋体" w:hint="default"/>
                <w:sz w:val="18"/>
                <w:szCs w:val="18"/>
              </w:rPr>
            </w:pPr>
            <w:r>
              <w:rPr>
                <w:rFonts w:ascii="宋体" w:hAnsi="宋体" w:cs="宋体" w:eastAsia="宋体" w:hint="default"/>
                <w:sz w:val="18"/>
                <w:szCs w:val="18"/>
              </w:rPr>
              <w:t>即停止自行或授权他人运 营、宣传推广《斗罗大陆神 界传说》游戏，于判决生效 之日起二十日内赔偿上海玄 霆经济损失及合理开支共计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万元，驳回上海玄霆其 他诉讼请求；案件受理费 </w:t>
            </w:r>
            <w:r>
              <w:rPr>
                <w:rFonts w:ascii="Times New Roman" w:hAnsi="Times New Roman" w:cs="Times New Roman" w:eastAsia="Times New Roman" w:hint="default"/>
                <w:spacing w:val="-1"/>
                <w:sz w:val="18"/>
                <w:szCs w:val="18"/>
              </w:rPr>
              <w:t>142,070</w:t>
            </w:r>
            <w:r>
              <w:rPr>
                <w:rFonts w:ascii="Times New Roman" w:hAnsi="Times New Roman" w:cs="Times New Roman" w:eastAsia="Times New Roman" w:hint="default"/>
                <w:spacing w:val="13"/>
                <w:sz w:val="18"/>
                <w:szCs w:val="18"/>
              </w:rPr>
              <w:t> </w:t>
            </w:r>
            <w:r>
              <w:rPr>
                <w:rFonts w:ascii="宋体" w:hAnsi="宋体" w:cs="宋体" w:eastAsia="宋体" w:hint="default"/>
                <w:spacing w:val="-10"/>
                <w:sz w:val="18"/>
                <w:szCs w:val="18"/>
              </w:rPr>
              <w:t>元，由上海玄霆负担</w:t>
            </w:r>
          </w:p>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62,070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元，哆可梦负担</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哆可梦已向法 院提起上诉并 已收到受理通 知书</w:t>
            </w:r>
          </w:p>
        </w:tc>
        <w:tc>
          <w:tcPr>
            <w:tcW w:w="7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300" w:lineRule="auto" w:before="63"/>
              <w:ind w:left="24" w:right="25"/>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4"/>
              <w:ind w:left="23" w:right="23"/>
              <w:jc w:val="both"/>
              <w:rPr>
                <w:rFonts w:ascii="宋体" w:hAnsi="宋体" w:cs="宋体" w:eastAsia="宋体" w:hint="default"/>
                <w:sz w:val="18"/>
                <w:szCs w:val="18"/>
              </w:rPr>
            </w:pPr>
            <w:r>
              <w:rPr>
                <w:rFonts w:ascii="宋体" w:hAnsi="宋体" w:cs="宋体" w:eastAsia="宋体" w:hint="default"/>
                <w:sz w:val="18"/>
                <w:szCs w:val="18"/>
              </w:rPr>
              <w:t>（</w:t>
            </w:r>
            <w:hyperlink r:id="rId22">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5"/>
                <w:sz w:val="18"/>
                <w:szCs w:val="18"/>
              </w:rPr>
              <w:t>m.cn</w:t>
            </w:r>
            <w:r>
              <w:rPr>
                <w:rFonts w:ascii="宋体" w:hAnsi="宋体" w:cs="宋体" w:eastAsia="宋体" w:hint="default"/>
                <w:spacing w:val="-15"/>
                <w:sz w:val="18"/>
                <w:szCs w:val="18"/>
              </w:rPr>
              <w:t>）《关于控股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子公司诉讼事项 </w:t>
            </w:r>
            <w:r>
              <w:rPr>
                <w:rFonts w:ascii="宋体" w:hAnsi="宋体" w:cs="宋体" w:eastAsia="宋体" w:hint="default"/>
                <w:spacing w:val="-19"/>
                <w:sz w:val="18"/>
                <w:szCs w:val="18"/>
              </w:rPr>
              <w:t>的进展公告》（公</w:t>
            </w:r>
            <w:r>
              <w:rPr>
                <w:rFonts w:ascii="宋体" w:hAnsi="宋体" w:cs="宋体" w:eastAsia="宋体" w:hint="default"/>
                <w:sz w:val="18"/>
                <w:szCs w:val="18"/>
              </w:rPr>
              <w:t> 告编号：</w:t>
            </w:r>
          </w:p>
          <w:p>
            <w:pPr>
              <w:pStyle w:val="TableParagraph"/>
              <w:spacing w:line="240" w:lineRule="auto" w:before="24"/>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2018-102</w:t>
            </w:r>
            <w:r>
              <w:rPr>
                <w:rFonts w:ascii="宋体" w:hAnsi="宋体" w:cs="宋体" w:eastAsia="宋体" w:hint="default"/>
                <w:sz w:val="18"/>
                <w:szCs w:val="18"/>
              </w:rPr>
              <w:t>、</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2018-120</w:t>
            </w:r>
            <w:r>
              <w:rPr>
                <w:rFonts w:ascii="宋体" w:hAnsi="宋体" w:cs="宋体" w:eastAsia="宋体" w:hint="default"/>
                <w:sz w:val="18"/>
                <w:szCs w:val="18"/>
              </w:rPr>
              <w:t>）</w:t>
            </w:r>
          </w:p>
        </w:tc>
      </w:tr>
      <w:tr>
        <w:trPr>
          <w:trHeight w:val="355" w:hRule="exact"/>
        </w:trPr>
        <w:tc>
          <w:tcPr>
            <w:tcW w:w="1419" w:type="dxa"/>
            <w:tcBorders>
              <w:top w:val="nil" w:sz="6" w:space="0" w:color="auto"/>
              <w:left w:val="single" w:sz="4" w:space="0" w:color="000000"/>
              <w:bottom w:val="single" w:sz="4" w:space="0" w:color="000000"/>
              <w:right w:val="single" w:sz="4" w:space="0" w:color="000000"/>
            </w:tcBorders>
          </w:tcPr>
          <w:p>
            <w:pPr/>
          </w:p>
        </w:tc>
        <w:tc>
          <w:tcPr>
            <w:tcW w:w="850" w:type="dxa"/>
            <w:gridSpan w:val="2"/>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22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248" w:type="dxa"/>
            <w:tcBorders>
              <w:top w:val="nil" w:sz="6" w:space="0" w:color="auto"/>
              <w:left w:val="single" w:sz="4" w:space="0" w:color="000000"/>
              <w:bottom w:val="single" w:sz="4" w:space="0" w:color="000000"/>
              <w:right w:val="single" w:sz="4" w:space="0" w:color="000000"/>
            </w:tcBorders>
          </w:tcPr>
          <w:p>
            <w:pPr/>
          </w:p>
        </w:tc>
        <w:tc>
          <w:tcPr>
            <w:tcW w:w="783" w:type="dxa"/>
            <w:tcBorders>
              <w:top w:val="nil" w:sz="6" w:space="0" w:color="auto"/>
              <w:left w:val="single" w:sz="4" w:space="0" w:color="000000"/>
              <w:bottom w:val="single" w:sz="4" w:space="0" w:color="000000"/>
              <w:right w:val="single" w:sz="4" w:space="0" w:color="000000"/>
            </w:tcBorders>
          </w:tcPr>
          <w:p>
            <w:pPr/>
          </w:p>
        </w:tc>
        <w:tc>
          <w:tcPr>
            <w:tcW w:w="134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说明：</w:t>
      </w:r>
    </w:p>
    <w:p>
      <w:pPr>
        <w:pStyle w:val="BodyText"/>
        <w:spacing w:line="240" w:lineRule="auto" w:before="115"/>
        <w:ind w:left="436" w:right="0"/>
        <w:jc w:val="left"/>
      </w:pPr>
      <w:r>
        <w:rPr>
          <w:rFonts w:ascii="Times New Roman" w:hAnsi="Times New Roman" w:cs="Times New Roman" w:eastAsia="Times New Roman" w:hint="default"/>
        </w:rPr>
        <w:t>1</w:t>
      </w:r>
      <w:r>
        <w:rPr/>
        <w:t>、吉乾科技诉上海旺御网络科技有限公司（以下简称</w:t>
      </w:r>
      <w:r>
        <w:rPr>
          <w:rFonts w:ascii="Times New Roman" w:hAnsi="Times New Roman" w:cs="Times New Roman" w:eastAsia="Times New Roman" w:hint="default"/>
        </w:rPr>
        <w:t>"</w:t>
      </w:r>
      <w:r>
        <w:rPr/>
        <w:t>上海旺御</w:t>
      </w:r>
      <w:r>
        <w:rPr>
          <w:rFonts w:ascii="Times New Roman" w:hAnsi="Times New Roman" w:cs="Times New Roman" w:eastAsia="Times New Roman" w:hint="default"/>
        </w:rPr>
        <w:t>"</w:t>
      </w:r>
      <w:r>
        <w:rPr/>
        <w:t>）联营合同纠纷案，涉诉金额</w:t>
      </w:r>
      <w:r>
        <w:rPr>
          <w:spacing w:val="-44"/>
        </w:rPr>
        <w:t> </w:t>
      </w:r>
      <w:r>
        <w:rPr>
          <w:rFonts w:ascii="Times New Roman" w:hAnsi="Times New Roman" w:cs="Times New Roman" w:eastAsia="Times New Roman" w:hint="default"/>
        </w:rPr>
        <w:t>39</w:t>
      </w:r>
      <w:r>
        <w:rPr>
          <w:rFonts w:ascii="Times New Roman" w:hAnsi="Times New Roman" w:cs="Times New Roman" w:eastAsia="Times New Roman" w:hint="default"/>
          <w:spacing w:val="1"/>
        </w:rPr>
        <w:t> </w:t>
      </w:r>
      <w:r>
        <w:rPr/>
        <w:t>万元，一审判决被告</w:t>
      </w:r>
    </w:p>
    <w:p>
      <w:pPr>
        <w:pStyle w:val="BodyText"/>
        <w:spacing w:line="240" w:lineRule="auto" w:before="63"/>
        <w:ind w:right="0"/>
        <w:jc w:val="left"/>
      </w:pPr>
      <w:r>
        <w:rPr/>
        <w:t>上海旺御于判决生效之日起</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日内支付原告吉乾科技联合运营收益分成款</w:t>
      </w:r>
      <w:r>
        <w:rPr>
          <w:spacing w:val="-46"/>
        </w:rPr>
        <w:t> </w:t>
      </w:r>
      <w:r>
        <w:rPr>
          <w:rFonts w:ascii="Times New Roman" w:hAnsi="Times New Roman" w:cs="Times New Roman" w:eastAsia="Times New Roman" w:hint="default"/>
        </w:rPr>
        <w:t>313,310.49 </w:t>
      </w:r>
      <w:r>
        <w:rPr/>
        <w:t>元、计算至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日止的迟</w:t>
      </w:r>
    </w:p>
    <w:p>
      <w:pPr>
        <w:pStyle w:val="BodyText"/>
        <w:spacing w:line="240" w:lineRule="auto" w:before="63"/>
        <w:ind w:right="0"/>
        <w:jc w:val="left"/>
      </w:pPr>
      <w:r>
        <w:rPr/>
        <w:t>延给付利息</w:t>
      </w:r>
      <w:r>
        <w:rPr>
          <w:spacing w:val="-48"/>
        </w:rPr>
        <w:t> </w:t>
      </w:r>
      <w:r>
        <w:rPr>
          <w:rFonts w:ascii="Times New Roman" w:hAnsi="Times New Roman" w:cs="Times New Roman" w:eastAsia="Times New Roman" w:hint="default"/>
        </w:rPr>
        <w:t>69,998.62</w:t>
      </w:r>
      <w:r>
        <w:rPr>
          <w:rFonts w:ascii="Times New Roman" w:hAnsi="Times New Roman" w:cs="Times New Roman" w:eastAsia="Times New Roman" w:hint="default"/>
          <w:spacing w:val="-2"/>
        </w:rPr>
        <w:t> </w:t>
      </w:r>
      <w:r>
        <w:rPr/>
        <w:t>元以及以</w:t>
      </w:r>
      <w:r>
        <w:rPr>
          <w:spacing w:val="-49"/>
        </w:rPr>
        <w:t> </w:t>
      </w:r>
      <w:r>
        <w:rPr>
          <w:rFonts w:ascii="Times New Roman" w:hAnsi="Times New Roman" w:cs="Times New Roman" w:eastAsia="Times New Roman" w:hint="default"/>
        </w:rPr>
        <w:t>313,310.49</w:t>
      </w:r>
      <w:r>
        <w:rPr>
          <w:rFonts w:ascii="Times New Roman" w:hAnsi="Times New Roman" w:cs="Times New Roman" w:eastAsia="Times New Roman" w:hint="default"/>
          <w:spacing w:val="-1"/>
        </w:rPr>
        <w:t> </w:t>
      </w:r>
      <w:r>
        <w:rPr/>
        <w:t>元为基数，按照年利率</w:t>
      </w:r>
      <w:r>
        <w:rPr>
          <w:spacing w:val="-49"/>
        </w:rPr>
        <w:t> </w:t>
      </w:r>
      <w:r>
        <w:rPr>
          <w:rFonts w:ascii="Times New Roman" w:hAnsi="Times New Roman" w:cs="Times New Roman" w:eastAsia="Times New Roman" w:hint="default"/>
        </w:rPr>
        <w:t>24%</w:t>
      </w:r>
      <w:r>
        <w:rPr/>
        <w:t>（月利率</w:t>
      </w:r>
      <w:r>
        <w:rPr>
          <w:spacing w:val="-50"/>
        </w:rPr>
        <w:t> </w:t>
      </w:r>
      <w:r>
        <w:rPr>
          <w:rFonts w:ascii="Times New Roman" w:hAnsi="Times New Roman" w:cs="Times New Roman" w:eastAsia="Times New Roman" w:hint="default"/>
        </w:rPr>
        <w:t>2%</w:t>
      </w:r>
      <w:r>
        <w:rPr/>
        <w:t>）计算自</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日起至判决生效</w:t>
      </w:r>
    </w:p>
    <w:p>
      <w:pPr>
        <w:pStyle w:val="BodyText"/>
        <w:spacing w:line="240" w:lineRule="auto" w:before="63"/>
        <w:ind w:right="0"/>
        <w:jc w:val="left"/>
      </w:pPr>
      <w:r>
        <w:rPr/>
        <w:t>日止的延迟给付利息。案件受理费用</w:t>
      </w:r>
      <w:r>
        <w:rPr>
          <w:spacing w:val="-44"/>
        </w:rPr>
        <w:t> </w:t>
      </w:r>
      <w:r>
        <w:rPr>
          <w:rFonts w:ascii="Times New Roman" w:hAnsi="Times New Roman" w:cs="Times New Roman" w:eastAsia="Times New Roman" w:hint="default"/>
          <w:spacing w:val="1"/>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元，减半收取</w:t>
      </w:r>
      <w:r>
        <w:rPr>
          <w:spacing w:val="-47"/>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24</w:t>
      </w:r>
      <w:r>
        <w:rPr>
          <w:rFonts w:ascii="Times New Roman" w:hAnsi="Times New Roman" w:cs="Times New Roman" w:eastAsia="Times New Roman" w:hint="default"/>
          <w:spacing w:val="-2"/>
        </w:rPr>
        <w:t>.8</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元，由被告上海旺</w:t>
      </w:r>
      <w:r>
        <w:rPr>
          <w:spacing w:val="-3"/>
        </w:rPr>
        <w:t>御</w:t>
      </w:r>
      <w:r>
        <w:rPr/>
        <w:t>负担（原告已预缴</w:t>
      </w:r>
      <w:r>
        <w:rPr>
          <w:spacing w:val="-91"/>
        </w:rPr>
        <w:t>）</w:t>
      </w:r>
      <w:r>
        <w:rPr/>
        <w:t>；一审判</w:t>
      </w:r>
      <w:r>
        <w:rPr>
          <w:spacing w:val="2"/>
        </w:rPr>
        <w:t>决</w:t>
      </w:r>
      <w:r>
        <w:rPr/>
        <w:t>书</w:t>
      </w:r>
    </w:p>
    <w:p>
      <w:pPr>
        <w:pStyle w:val="BodyText"/>
        <w:spacing w:line="240" w:lineRule="auto" w:before="63"/>
        <w:ind w:right="0"/>
        <w:jc w:val="left"/>
      </w:pPr>
      <w:r>
        <w:rPr/>
        <w:t>已于</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日生效</w:t>
      </w:r>
      <w:r>
        <w:rPr>
          <w:spacing w:val="-10"/>
        </w:rPr>
        <w:t>，</w:t>
      </w:r>
      <w:r>
        <w:rPr/>
        <w:t>已进入强制执行程</w:t>
      </w:r>
      <w:r>
        <w:rPr>
          <w:spacing w:val="-8"/>
        </w:rPr>
        <w:t>序</w:t>
      </w:r>
      <w:r>
        <w:rPr/>
        <w:t>（案号为</w:t>
      </w:r>
      <w:r>
        <w:rPr>
          <w:spacing w:val="1"/>
        </w:rPr>
        <w:t> </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18</w:t>
      </w:r>
      <w:r>
        <w:rPr>
          <w:rFonts w:ascii="Times New Roman" w:hAnsi="Times New Roman" w:cs="Times New Roman" w:eastAsia="Times New Roman" w:hint="default"/>
        </w:rPr>
        <w:t>)</w:t>
      </w:r>
      <w:r>
        <w:rPr/>
        <w:t>沪</w:t>
      </w:r>
      <w:r>
        <w:rPr>
          <w:spacing w:val="-47"/>
        </w:rPr>
        <w:t> </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10</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执</w:t>
      </w:r>
      <w:r>
        <w:rPr>
          <w:spacing w:val="-45"/>
        </w:rPr>
        <w:t> </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5</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号</w:t>
      </w:r>
      <w:r>
        <w:rPr>
          <w:spacing w:val="-92"/>
        </w:rPr>
        <w:t>）</w:t>
      </w:r>
      <w:r>
        <w:rPr>
          <w:spacing w:val="-8"/>
        </w:rPr>
        <w:t>，</w:t>
      </w:r>
      <w:r>
        <w:rPr>
          <w:spacing w:val="-3"/>
        </w:rPr>
        <w:t>上</w:t>
      </w:r>
      <w:r>
        <w:rPr/>
        <w:t>海旺御法定代表人徐冰已被上海</w:t>
      </w:r>
    </w:p>
    <w:p>
      <w:pPr>
        <w:pStyle w:val="BodyText"/>
        <w:spacing w:line="240" w:lineRule="auto" w:before="63"/>
        <w:ind w:right="1133"/>
        <w:jc w:val="left"/>
      </w:pPr>
      <w:r>
        <w:rPr/>
        <w:t>市虹口区人民法院于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45"/>
        </w:rPr>
        <w:t> </w:t>
      </w:r>
      <w:r>
        <w:rPr>
          <w:rFonts w:ascii="Times New Roman" w:hAnsi="Times New Roman" w:cs="Times New Roman" w:eastAsia="Times New Roman" w:hint="default"/>
        </w:rPr>
        <w:t>19 </w:t>
      </w:r>
      <w:r>
        <w:rPr/>
        <w:t>日列入全国失信被执行人名单，吉乾科技计划向法院申请上海旺御公司破产。</w:t>
      </w:r>
    </w:p>
    <w:p>
      <w:pPr>
        <w:pStyle w:val="BodyText"/>
        <w:spacing w:line="300" w:lineRule="auto" w:before="103"/>
        <w:ind w:right="1127" w:firstLine="28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WU YI</w:t>
      </w:r>
      <w:r>
        <w:rPr>
          <w:rFonts w:ascii="Times New Roman" w:hAnsi="Times New Roman" w:cs="Times New Roman" w:eastAsia="Times New Roman" w:hint="default"/>
          <w:spacing w:val="-15"/>
        </w:rPr>
        <w:t> </w:t>
      </w:r>
      <w:r>
        <w:rPr>
          <w:rFonts w:ascii="Times New Roman" w:hAnsi="Times New Roman" w:cs="Times New Roman" w:eastAsia="Times New Roman" w:hint="default"/>
        </w:rPr>
        <w:t>FAN</w:t>
      </w:r>
      <w:r>
        <w:rPr/>
        <w:t>（中文名：吴亦凡）诉北京紫霞互娱科技有限公司、霍尔果斯炫动网络科技有限公司（以下简称“炫动 </w:t>
      </w:r>
      <w:r>
        <w:rPr>
          <w:spacing w:val="-11"/>
        </w:rPr>
        <w:t>网络”）、哆可梦肖像权纠纷案，涉诉金额</w:t>
      </w:r>
      <w:r>
        <w:rPr>
          <w:spacing w:val="-36"/>
        </w:rPr>
        <w:t> </w:t>
      </w:r>
      <w:r>
        <w:rPr>
          <w:rFonts w:ascii="Times New Roman" w:hAnsi="Times New Roman" w:cs="Times New Roman" w:eastAsia="Times New Roman" w:hint="default"/>
          <w:spacing w:val="-1"/>
        </w:rPr>
        <w:t>200.3</w:t>
      </w:r>
      <w:r>
        <w:rPr>
          <w:rFonts w:ascii="Times New Roman" w:hAnsi="Times New Roman" w:cs="Times New Roman" w:eastAsia="Times New Roman" w:hint="default"/>
          <w:spacing w:val="10"/>
        </w:rPr>
        <w:t> </w:t>
      </w:r>
      <w:r>
        <w:rPr>
          <w:spacing w:val="-1"/>
        </w:rPr>
        <w:t>万元，一审尚未判决，炫动网络向哆可梦出具承诺函，承诺本诉讼事项的所</w:t>
      </w:r>
      <w:r>
        <w:rPr>
          <w:spacing w:val="-88"/>
        </w:rPr>
        <w:t> </w:t>
      </w:r>
      <w:r>
        <w:rPr>
          <w:spacing w:val="-88"/>
        </w:rPr>
      </w:r>
      <w:r>
        <w:rPr/>
        <w:t>有不利后果均由炫动网络承担，预计本诉讼事项不会对哆可梦经营情况造成不利影响。</w:t>
      </w:r>
    </w:p>
    <w:p>
      <w:pPr>
        <w:spacing w:after="0" w:line="300" w:lineRule="auto"/>
        <w:jc w:val="left"/>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2"/>
        <w:spacing w:line="240" w:lineRule="auto" w:before="26"/>
        <w:ind w:right="1133"/>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4"/>
        <w:spacing w:line="240" w:lineRule="auto" w:before="103"/>
        <w:ind w:right="1133"/>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年第一期股权激励计划实施情况</w:t>
      </w:r>
      <w:r>
        <w:rPr>
          <w:b w:val="0"/>
          <w:bCs w:val="0"/>
        </w:rPr>
      </w:r>
    </w:p>
    <w:p>
      <w:pPr>
        <w:pStyle w:val="BodyText"/>
        <w:spacing w:line="300" w:lineRule="auto" w:before="63"/>
        <w:ind w:right="1136"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日公司第五届董事会第十七次会议和第五届监事会第七次会议、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日公司</w:t>
      </w:r>
      <w:r>
        <w:rPr>
          <w:rFonts w:ascii="Times New Roman" w:hAnsi="Times New Roman" w:cs="Times New Roman" w:eastAsia="Times New Roman" w:hint="default"/>
        </w:rPr>
        <w:t>2015</w:t>
      </w:r>
      <w:r>
        <w:rPr/>
        <w:t>年第五次临时股东 大会审议通过了</w:t>
      </w:r>
      <w:r>
        <w:rPr>
          <w:rFonts w:ascii="Times New Roman" w:hAnsi="Times New Roman" w:cs="Times New Roman" w:eastAsia="Times New Roman" w:hint="default"/>
        </w:rPr>
        <w:t>2015</w:t>
      </w:r>
      <w:r>
        <w:rPr/>
        <w:t>年第一期股权激励计划。</w:t>
      </w:r>
    </w:p>
    <w:p>
      <w:pPr>
        <w:pStyle w:val="BodyText"/>
        <w:spacing w:line="300" w:lineRule="auto" w:before="13"/>
        <w:ind w:right="1126"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日公司第五届董事会第二十二次会议、第五届监事会第十一次会议审议通过了关于调整</w:t>
      </w:r>
      <w:r>
        <w:rPr>
          <w:rFonts w:ascii="Times New Roman" w:hAnsi="Times New Roman" w:cs="Times New Roman" w:eastAsia="Times New Roman" w:hint="default"/>
          <w:spacing w:val="-2"/>
        </w:rPr>
        <w:t>2015</w:t>
      </w:r>
      <w:r>
        <w:rPr>
          <w:spacing w:val="-2"/>
        </w:rPr>
        <w:t>年第一期股权</w:t>
      </w:r>
      <w:r>
        <w:rPr/>
        <w:t> </w:t>
      </w:r>
      <w:r>
        <w:rPr>
          <w:spacing w:val="-2"/>
        </w:rPr>
        <w:t>激励计划首次授予激励对象名单及授予数量的议案、关于向</w:t>
      </w:r>
      <w:r>
        <w:rPr>
          <w:rFonts w:ascii="Times New Roman" w:hAnsi="Times New Roman" w:cs="Times New Roman" w:eastAsia="Times New Roman" w:hint="default"/>
          <w:spacing w:val="-2"/>
        </w:rPr>
        <w:t>2015</w:t>
      </w:r>
      <w:r>
        <w:rPr>
          <w:spacing w:val="-2"/>
        </w:rPr>
        <w:t>年第一期股权激励计划激励对象首次授予限制性股票与股票</w:t>
      </w:r>
      <w:r>
        <w:rPr>
          <w:spacing w:val="-62"/>
        </w:rPr>
        <w:t> </w:t>
      </w:r>
      <w:r>
        <w:rPr>
          <w:spacing w:val="-62"/>
        </w:rPr>
      </w:r>
      <w:r>
        <w:rPr>
          <w:spacing w:val="-2"/>
        </w:rPr>
        <w:t>期权的议案，因激励对象资金及个人原因，公司对首次授予激励对象、授予数量进行了调整，并确定授予日为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rFonts w:ascii="Times New Roman" w:hAnsi="Times New Roman" w:cs="Times New Roman" w:eastAsia="Times New Roman" w:hint="default"/>
          <w:spacing w:val="-13"/>
        </w:rPr>
        <w:t> </w:t>
      </w:r>
      <w:r>
        <w:rPr>
          <w:spacing w:val="-3"/>
        </w:rPr>
        <w:t>日，独立董事就相关事项发表了同意的独立意见，相应的授予登记工作已于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13</w:t>
      </w:r>
      <w:r>
        <w:rPr>
          <w:spacing w:val="-3"/>
        </w:rPr>
        <w:t>日完成，授予的限制性股票已于</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36"/>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日上市。</w:t>
      </w:r>
    </w:p>
    <w:p>
      <w:pPr>
        <w:pStyle w:val="BodyText"/>
        <w:spacing w:line="300" w:lineRule="auto" w:before="13"/>
        <w:ind w:right="1128"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日公司第五届董事会第二十九次会议、第五届监事会第十七次会议审议通过了关于向激励对象授予</w:t>
      </w:r>
      <w:r>
        <w:rPr>
          <w:rFonts w:ascii="Times New Roman" w:hAnsi="Times New Roman" w:cs="Times New Roman" w:eastAsia="Times New Roman" w:hint="default"/>
        </w:rPr>
        <w:t>2015</w:t>
      </w:r>
      <w:r>
        <w:rPr/>
        <w:t>年 </w:t>
      </w:r>
      <w:r>
        <w:rPr>
          <w:spacing w:val="-2"/>
        </w:rPr>
        <w:t>第一期股权激励计划预留股份的议案，公司独立董事对相关事项发表了同意的独立意见，相应的授予登记工作已于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10"/>
        </w:rPr>
        <w:t> </w:t>
      </w:r>
      <w:r>
        <w:rPr/>
        <w:t>月</w:t>
      </w:r>
      <w:r>
        <w:rPr>
          <w:rFonts w:ascii="Times New Roman" w:hAnsi="Times New Roman" w:cs="Times New Roman" w:eastAsia="Times New Roman" w:hint="default"/>
        </w:rPr>
        <w:t>26</w:t>
      </w:r>
      <w:r>
        <w:rPr/>
        <w:t>日完成，授予的限制性股票已于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日上市。</w:t>
      </w:r>
    </w:p>
    <w:p>
      <w:pPr>
        <w:pStyle w:val="BodyText"/>
        <w:spacing w:line="309" w:lineRule="auto" w:before="13"/>
        <w:ind w:right="1128"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日公司第五届董事会第四十次会议、第五届监事会第二十二次会议审议通过了关于</w:t>
      </w:r>
      <w:r>
        <w:rPr>
          <w:rFonts w:ascii="Times New Roman" w:hAnsi="Times New Roman" w:cs="Times New Roman" w:eastAsia="Times New Roman" w:hint="default"/>
          <w:spacing w:val="-2"/>
        </w:rPr>
        <w:t>2015</w:t>
      </w:r>
      <w:r>
        <w:rPr>
          <w:spacing w:val="-2"/>
        </w:rPr>
        <w:t>年第一期股权激励</w:t>
      </w:r>
      <w:r>
        <w:rPr/>
        <w:t> </w:t>
      </w:r>
      <w:r>
        <w:rPr>
          <w:spacing w:val="-2"/>
        </w:rPr>
        <w:t>计划首次授予的限制性股票第一个解锁期符合解锁条件的议案，独立董事对相关事项发表了同意的独立意见，符合解锁条件</w:t>
      </w:r>
      <w:r>
        <w:rPr>
          <w:spacing w:val="-64"/>
        </w:rPr>
        <w:t> </w:t>
      </w:r>
      <w:r>
        <w:rPr>
          <w:spacing w:val="-64"/>
        </w:rPr>
      </w:r>
      <w:r>
        <w:rPr/>
        <w:t>的限制性股票已于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日解锁上市流通。</w:t>
      </w:r>
    </w:p>
    <w:p>
      <w:pPr>
        <w:pStyle w:val="BodyText"/>
        <w:spacing w:line="307" w:lineRule="auto" w:before="5"/>
        <w:ind w:right="113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日公司第五届董事会第四十一次会议、第五届监事会第二十三次会议审议通过了关于回购注销</w:t>
      </w:r>
      <w:r>
        <w:rPr>
          <w:rFonts w:ascii="Times New Roman" w:hAnsi="Times New Roman" w:cs="Times New Roman" w:eastAsia="Times New Roman" w:hint="default"/>
        </w:rPr>
        <w:t>2015</w:t>
      </w:r>
      <w:r>
        <w:rPr/>
        <w:t>年两期 </w:t>
      </w:r>
      <w:r>
        <w:rPr>
          <w:spacing w:val="-2"/>
        </w:rPr>
        <w:t>股权激励计划部分限制性股票和股票期权的议案，董事会同意根据</w:t>
      </w:r>
      <w:r>
        <w:rPr>
          <w:rFonts w:ascii="Times New Roman" w:hAnsi="Times New Roman" w:cs="Times New Roman" w:eastAsia="Times New Roman" w:hint="default"/>
          <w:spacing w:val="-2"/>
        </w:rPr>
        <w:t>2015</w:t>
      </w:r>
      <w:r>
        <w:rPr>
          <w:spacing w:val="-2"/>
        </w:rPr>
        <w:t>年第一期股权激励计划的相关规定，对已离职激励对</w:t>
      </w:r>
      <w:r>
        <w:rPr>
          <w:spacing w:val="-61"/>
        </w:rPr>
        <w:t> </w:t>
      </w:r>
      <w:r>
        <w:rPr>
          <w:spacing w:val="-61"/>
        </w:rPr>
      </w:r>
      <w:r>
        <w:rPr>
          <w:spacing w:val="-2"/>
        </w:rPr>
        <w:t>象纪晓文先生已获授未解锁的限制性股票进行回购注销处理，公司独立董事对此发表了同意的独立意见。本次回购注销事项</w:t>
      </w:r>
      <w:r>
        <w:rPr>
          <w:spacing w:val="-64"/>
        </w:rPr>
        <w:t> </w:t>
      </w:r>
      <w:r>
        <w:rPr>
          <w:spacing w:val="-64"/>
        </w:rPr>
      </w:r>
      <w:r>
        <w:rPr/>
        <w:t>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日完成。</w:t>
      </w:r>
    </w:p>
    <w:p>
      <w:pPr>
        <w:pStyle w:val="BodyText"/>
        <w:spacing w:line="300" w:lineRule="auto" w:before="7"/>
        <w:ind w:right="113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日公司第五届董事会第五十一次会议、第五届监事会第二十九次会议审议通过了关于</w:t>
      </w:r>
      <w:r>
        <w:rPr>
          <w:rFonts w:ascii="Times New Roman" w:hAnsi="Times New Roman" w:cs="Times New Roman" w:eastAsia="Times New Roman" w:hint="default"/>
        </w:rPr>
        <w:t>2015</w:t>
      </w:r>
      <w:r>
        <w:rPr/>
        <w:t>年第一期股权激 励计划授予的预留限制性股票与股票期权第一个解锁</w:t>
      </w:r>
      <w:r>
        <w:rPr>
          <w:rFonts w:ascii="Times New Roman" w:hAnsi="Times New Roman" w:cs="Times New Roman" w:eastAsia="Times New Roman" w:hint="default"/>
        </w:rPr>
        <w:t>/</w:t>
      </w:r>
      <w:r>
        <w:rPr/>
        <w:t>行权期符合解锁</w:t>
      </w:r>
      <w:r>
        <w:rPr>
          <w:rFonts w:ascii="Times New Roman" w:hAnsi="Times New Roman" w:cs="Times New Roman" w:eastAsia="Times New Roman" w:hint="default"/>
        </w:rPr>
        <w:t>/</w:t>
      </w:r>
      <w:r>
        <w:rPr/>
        <w:t>行权条件的议案，独立董事对相关事项发表了同意的 独立意见，符合解锁条件的限制性股票已于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日解锁上市流通。</w:t>
      </w:r>
    </w:p>
    <w:p>
      <w:pPr>
        <w:pStyle w:val="BodyText"/>
        <w:spacing w:line="300" w:lineRule="auto" w:before="13"/>
        <w:ind w:right="112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日公司第六届董事会第十一次会议、第六届监事会第五次会议审议通过了关于回购注销</w:t>
      </w:r>
      <w:r>
        <w:rPr>
          <w:rFonts w:ascii="Times New Roman" w:hAnsi="Times New Roman" w:cs="Times New Roman" w:eastAsia="Times New Roman" w:hint="default"/>
        </w:rPr>
        <w:t>2015</w:t>
      </w:r>
      <w:r>
        <w:rPr/>
        <w:t>年两期股权激 </w:t>
      </w:r>
      <w:r>
        <w:rPr>
          <w:spacing w:val="-2"/>
        </w:rPr>
        <w:t>励计划部分限制性股票和股票期权的议案，董事会同意根据</w:t>
      </w:r>
      <w:r>
        <w:rPr>
          <w:rFonts w:ascii="Times New Roman" w:hAnsi="Times New Roman" w:cs="Times New Roman" w:eastAsia="Times New Roman" w:hint="default"/>
          <w:spacing w:val="-2"/>
        </w:rPr>
        <w:t>2015</w:t>
      </w:r>
      <w:r>
        <w:rPr>
          <w:spacing w:val="-2"/>
        </w:rPr>
        <w:t>年第一期股权激励计划的相关规定，对</w:t>
      </w:r>
      <w:r>
        <w:rPr>
          <w:rFonts w:ascii="Times New Roman" w:hAnsi="Times New Roman" w:cs="Times New Roman" w:eastAsia="Times New Roman" w:hint="default"/>
          <w:spacing w:val="-2"/>
        </w:rPr>
        <w:t>2015</w:t>
      </w:r>
      <w:r>
        <w:rPr>
          <w:spacing w:val="-2"/>
        </w:rPr>
        <w:t>年第一期股权激</w:t>
      </w:r>
      <w:r>
        <w:rPr>
          <w:spacing w:val="-58"/>
        </w:rPr>
        <w:t> </w:t>
      </w:r>
      <w:r>
        <w:rPr>
          <w:spacing w:val="-58"/>
        </w:rPr>
      </w:r>
      <w:r>
        <w:rPr/>
        <w:t>励计划首次授予部分第三个解锁期和预留部分第二个解锁</w:t>
      </w:r>
      <w:r>
        <w:rPr>
          <w:rFonts w:ascii="Times New Roman" w:hAnsi="Times New Roman" w:cs="Times New Roman" w:eastAsia="Times New Roman" w:hint="default"/>
        </w:rPr>
        <w:t>/</w:t>
      </w:r>
      <w:r>
        <w:rPr/>
        <w:t>行权期由于业绩考核不达标导致不能解锁</w:t>
      </w:r>
      <w:r>
        <w:rPr>
          <w:rFonts w:ascii="Times New Roman" w:hAnsi="Times New Roman" w:cs="Times New Roman" w:eastAsia="Times New Roman" w:hint="default"/>
        </w:rPr>
        <w:t>/</w:t>
      </w:r>
      <w:r>
        <w:rPr/>
        <w:t>行权的</w:t>
      </w:r>
      <w:r>
        <w:rPr>
          <w:rFonts w:ascii="Times New Roman" w:hAnsi="Times New Roman" w:cs="Times New Roman" w:eastAsia="Times New Roman" w:hint="default"/>
        </w:rPr>
        <w:t>278</w:t>
      </w:r>
      <w:r>
        <w:rPr/>
        <w:t>万股限制性 </w:t>
      </w:r>
      <w:r>
        <w:rPr>
          <w:spacing w:val="-2"/>
        </w:rPr>
        <w:t>股票和</w:t>
      </w:r>
      <w:r>
        <w:rPr>
          <w:rFonts w:ascii="Times New Roman" w:hAnsi="Times New Roman" w:cs="Times New Roman" w:eastAsia="Times New Roman" w:hint="default"/>
          <w:spacing w:val="-2"/>
        </w:rPr>
        <w:t>30</w:t>
      </w:r>
      <w:r>
        <w:rPr>
          <w:spacing w:val="-2"/>
        </w:rPr>
        <w:t>万份股票期权进行回购注销处理，公司独立董事对此发表了同意的独立意见。截至本报告披露日，公司已向相关人</w:t>
      </w:r>
      <w:r>
        <w:rPr>
          <w:spacing w:val="-62"/>
        </w:rPr>
        <w:t> </w:t>
      </w:r>
      <w:r>
        <w:rPr>
          <w:spacing w:val="-62"/>
        </w:rPr>
      </w:r>
      <w:r>
        <w:rPr>
          <w:spacing w:val="-2"/>
        </w:rPr>
        <w:t>员支付了回购注销价款，会计师出具了上会师报字（</w:t>
      </w:r>
      <w:r>
        <w:rPr>
          <w:rFonts w:ascii="Times New Roman" w:hAnsi="Times New Roman" w:cs="Times New Roman" w:eastAsia="Times New Roman" w:hint="default"/>
          <w:spacing w:val="-2"/>
        </w:rPr>
        <w:t>2018</w:t>
      </w:r>
      <w:r>
        <w:rPr>
          <w:spacing w:val="-2"/>
        </w:rPr>
        <w:t>）第</w:t>
      </w:r>
      <w:r>
        <w:rPr>
          <w:rFonts w:ascii="Times New Roman" w:hAnsi="Times New Roman" w:cs="Times New Roman" w:eastAsia="Times New Roman" w:hint="default"/>
          <w:spacing w:val="-2"/>
        </w:rPr>
        <w:t>4844</w:t>
      </w:r>
      <w:r>
        <w:rPr>
          <w:spacing w:val="-2"/>
        </w:rPr>
        <w:t>号《验资报告》，公司已完成上述限制性股票和股票期权</w:t>
      </w:r>
      <w:r>
        <w:rPr>
          <w:spacing w:val="-61"/>
        </w:rPr>
        <w:t> </w:t>
      </w:r>
      <w:r>
        <w:rPr>
          <w:spacing w:val="-61"/>
        </w:rPr>
      </w:r>
      <w:r>
        <w:rPr/>
        <w:t>的注销登记工作和相关工商变更登记工作。</w:t>
      </w:r>
    </w:p>
    <w:p>
      <w:pPr>
        <w:pStyle w:val="BodyText"/>
        <w:spacing w:line="309" w:lineRule="auto" w:before="31"/>
        <w:ind w:right="1133"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日公司第六届董事会第十四次会议、第六届监事会第七次会议审议通过了关于</w:t>
      </w:r>
      <w:r>
        <w:rPr>
          <w:rFonts w:ascii="Times New Roman" w:hAnsi="Times New Roman" w:cs="Times New Roman" w:eastAsia="Times New Roman" w:hint="default"/>
        </w:rPr>
        <w:t>2015</w:t>
      </w:r>
      <w:r>
        <w:rPr/>
        <w:t>年第一期股权激励计划 </w:t>
      </w:r>
      <w:r>
        <w:rPr>
          <w:spacing w:val="-2"/>
        </w:rPr>
        <w:t>首次授予的限制性股票第二个解锁期符合解锁条件的议案，独立董事对相关事项发表了同意的独立意见，符合解锁条件的限</w:t>
      </w:r>
      <w:r>
        <w:rPr>
          <w:spacing w:val="-64"/>
        </w:rPr>
        <w:t> </w:t>
      </w:r>
      <w:r>
        <w:rPr>
          <w:spacing w:val="-64"/>
        </w:rPr>
      </w:r>
      <w:r>
        <w:rPr/>
        <w:t>制性股票已于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日解锁上市流通。</w:t>
      </w:r>
    </w:p>
    <w:p>
      <w:pPr>
        <w:pStyle w:val="BodyText"/>
        <w:spacing w:line="300" w:lineRule="auto" w:before="5"/>
        <w:ind w:right="1136" w:firstLine="360"/>
        <w:jc w:val="both"/>
        <w:rPr>
          <w:rFonts w:ascii="Times New Roman" w:hAnsi="Times New Roman" w:cs="Times New Roman" w:eastAsia="Times New Roman" w:hint="default"/>
        </w:rP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日公司第六届董事会第二十次会议、第六届监事会第八次会议审议通过了关于注销</w:t>
      </w:r>
      <w:r>
        <w:rPr>
          <w:rFonts w:ascii="Times New Roman" w:hAnsi="Times New Roman" w:cs="Times New Roman" w:eastAsia="Times New Roman" w:hint="default"/>
        </w:rPr>
        <w:t>2015</w:t>
      </w:r>
      <w:r>
        <w:rPr/>
        <w:t>年两期股权激励计 划预留部分第一个行权期已到期未行权股票期权的议案，董事会同意根据</w:t>
      </w:r>
      <w:r>
        <w:rPr>
          <w:rFonts w:ascii="Times New Roman" w:hAnsi="Times New Roman" w:cs="Times New Roman" w:eastAsia="Times New Roman" w:hint="default"/>
        </w:rPr>
        <w:t>2015</w:t>
      </w:r>
      <w:r>
        <w:rPr/>
        <w:t>年第一期股权激励计划的相关规定，对</w:t>
      </w:r>
      <w:r>
        <w:rPr>
          <w:rFonts w:ascii="Times New Roman" w:hAnsi="Times New Roman" w:cs="Times New Roman" w:eastAsia="Times New Roman" w:hint="default"/>
        </w:rPr>
        <w:t>2015</w:t>
      </w:r>
    </w:p>
    <w:p>
      <w:pPr>
        <w:spacing w:after="0" w:line="300" w:lineRule="auto"/>
        <w:jc w:val="both"/>
        <w:rPr>
          <w:rFonts w:ascii="Times New Roman" w:hAnsi="Times New Roman" w:cs="Times New Roman" w:eastAsia="Times New Roman" w:hint="default"/>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4"/>
          <w:szCs w:val="24"/>
        </w:rPr>
      </w:pPr>
    </w:p>
    <w:p>
      <w:pPr>
        <w:pStyle w:val="BodyText"/>
        <w:spacing w:line="300" w:lineRule="auto" w:before="44"/>
        <w:ind w:right="0"/>
        <w:jc w:val="left"/>
      </w:pPr>
      <w:r>
        <w:rPr>
          <w:spacing w:val="-2"/>
        </w:rPr>
        <w:t>年第一期股权激励计划预留部分第一个行权期已到期未行权股票期权</w:t>
      </w:r>
      <w:r>
        <w:rPr>
          <w:rFonts w:ascii="Times New Roman" w:hAnsi="Times New Roman" w:cs="Times New Roman" w:eastAsia="Times New Roman" w:hint="default"/>
          <w:spacing w:val="-2"/>
        </w:rPr>
        <w:t>30</w:t>
      </w:r>
      <w:r>
        <w:rPr>
          <w:spacing w:val="-2"/>
        </w:rPr>
        <w:t>万份进行注销处理，独立董事对相关事项发表了同意</w:t>
      </w:r>
      <w:r>
        <w:rPr>
          <w:spacing w:val="-62"/>
        </w:rPr>
        <w:t> </w:t>
      </w:r>
      <w:r>
        <w:rPr>
          <w:spacing w:val="-62"/>
        </w:rPr>
      </w:r>
      <w:r>
        <w:rPr/>
        <w:t>的独立意见。本次注销事项已于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日完成。</w:t>
      </w:r>
    </w:p>
    <w:p>
      <w:pPr>
        <w:pStyle w:val="Heading4"/>
        <w:spacing w:line="240" w:lineRule="auto" w:before="13"/>
        <w:ind w:right="1133"/>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年第二期股权激励计划实施情况</w:t>
      </w:r>
      <w:r>
        <w:rPr>
          <w:b w:val="0"/>
          <w:bCs w:val="0"/>
        </w:rPr>
      </w:r>
    </w:p>
    <w:p>
      <w:pPr>
        <w:pStyle w:val="BodyText"/>
        <w:spacing w:line="300" w:lineRule="auto" w:before="63"/>
        <w:ind w:right="1128"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12</w:t>
      </w:r>
      <w:r>
        <w:rPr>
          <w:spacing w:val="-2"/>
        </w:rPr>
        <w:t>日公司第五届董事会第十八次会议和第五届监事会第八次会议、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日公司</w:t>
      </w:r>
      <w:r>
        <w:rPr>
          <w:rFonts w:ascii="Times New Roman" w:hAnsi="Times New Roman" w:cs="Times New Roman" w:eastAsia="Times New Roman" w:hint="default"/>
          <w:spacing w:val="-2"/>
        </w:rPr>
        <w:t>2015</w:t>
      </w:r>
      <w:r>
        <w:rPr>
          <w:spacing w:val="-2"/>
        </w:rPr>
        <w:t>年第六次临时股</w:t>
      </w:r>
      <w:r>
        <w:rPr/>
        <w:t> 东大会审议通过了</w:t>
      </w:r>
      <w:r>
        <w:rPr>
          <w:rFonts w:ascii="Times New Roman" w:hAnsi="Times New Roman" w:cs="Times New Roman" w:eastAsia="Times New Roman" w:hint="default"/>
        </w:rPr>
        <w:t>2015</w:t>
      </w:r>
      <w:r>
        <w:rPr/>
        <w:t>年第二期股权激励计划。</w:t>
      </w:r>
    </w:p>
    <w:p>
      <w:pPr>
        <w:pStyle w:val="BodyText"/>
        <w:spacing w:line="300" w:lineRule="auto" w:before="13"/>
        <w:ind w:right="1136"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日公司第五届董事会第二十次会议、第五届监事会第十次会议审议通过了关于向</w:t>
      </w:r>
      <w:r>
        <w:rPr>
          <w:rFonts w:ascii="Times New Roman" w:hAnsi="Times New Roman" w:cs="Times New Roman" w:eastAsia="Times New Roman" w:hint="default"/>
        </w:rPr>
        <w:t>2015</w:t>
      </w:r>
      <w:r>
        <w:rPr/>
        <w:t>年第二期股权激励计 划激励对象首次授予限制性股票与股票期权的议案，确定授予日为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日，独立董事就此发表了同意的独立意见， 相应的授予登记工作已于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日完成，授予的限制性股票已于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日上市。</w:t>
      </w:r>
    </w:p>
    <w:p>
      <w:pPr>
        <w:pStyle w:val="BodyText"/>
        <w:spacing w:line="300" w:lineRule="auto" w:before="13"/>
        <w:ind w:right="1136"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日公司第五届董事会第二十九次会议、第五届监事会第十七次会议审议通过了关于向激励对象授予</w:t>
      </w:r>
      <w:r>
        <w:rPr>
          <w:rFonts w:ascii="Times New Roman" w:hAnsi="Times New Roman" w:cs="Times New Roman" w:eastAsia="Times New Roman" w:hint="default"/>
        </w:rPr>
        <w:t>2015</w:t>
      </w:r>
      <w:r>
        <w:rPr/>
        <w:t>年 第二期股权激励计划预留股份的议案，独立董事对相关事项发表了同意的独立意见，相应的授予登记工作已于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 </w:t>
      </w:r>
      <w:r>
        <w:rPr/>
        <w:t>日完成，授予的限制性股票已于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日上市。</w:t>
      </w:r>
    </w:p>
    <w:p>
      <w:pPr>
        <w:pStyle w:val="BodyText"/>
        <w:spacing w:line="304" w:lineRule="auto" w:before="13"/>
        <w:ind w:right="1124"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日公司第五届董事会第三十六次会议、第五届监事会第二十一次会议审议通过了关于</w:t>
      </w:r>
      <w:r>
        <w:rPr>
          <w:rFonts w:ascii="Times New Roman" w:hAnsi="Times New Roman" w:cs="Times New Roman" w:eastAsia="Times New Roman" w:hint="default"/>
        </w:rPr>
        <w:t>2015</w:t>
      </w:r>
      <w:r>
        <w:rPr/>
        <w:t>年第二期股权激 励计划首次授予的限制性股票与股票期权第一个解锁</w:t>
      </w:r>
      <w:r>
        <w:rPr>
          <w:rFonts w:ascii="Times New Roman" w:hAnsi="Times New Roman" w:cs="Times New Roman" w:eastAsia="Times New Roman" w:hint="default"/>
        </w:rPr>
        <w:t>/</w:t>
      </w:r>
      <w:r>
        <w:rPr/>
        <w:t>行权期符合解锁</w:t>
      </w:r>
      <w:r>
        <w:rPr>
          <w:rFonts w:ascii="Times New Roman" w:hAnsi="Times New Roman" w:cs="Times New Roman" w:eastAsia="Times New Roman" w:hint="default"/>
        </w:rPr>
        <w:t>/</w:t>
      </w:r>
      <w:r>
        <w:rPr/>
        <w:t>行权条件的议案和关于</w:t>
      </w:r>
      <w:r>
        <w:rPr>
          <w:rFonts w:ascii="Times New Roman" w:hAnsi="Times New Roman" w:cs="Times New Roman" w:eastAsia="Times New Roman" w:hint="default"/>
        </w:rPr>
        <w:t>2015</w:t>
      </w:r>
      <w:r>
        <w:rPr/>
        <w:t>年第二期股权激励计划 </w:t>
      </w:r>
      <w:r>
        <w:rPr>
          <w:spacing w:val="-2"/>
        </w:rPr>
        <w:t>首次授予的股票期权第一个行权期采用自主行权模式的议案，独立董事对相关事项发表了同意的独立意见，符合解锁条件的</w:t>
      </w:r>
      <w:r>
        <w:rPr>
          <w:spacing w:val="-64"/>
        </w:rPr>
        <w:t> </w:t>
      </w:r>
      <w:r>
        <w:rPr>
          <w:spacing w:val="-64"/>
        </w:rPr>
      </w:r>
      <w:r>
        <w:rPr/>
        <w:t>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日解锁上市流通，符合行权条件的股票期权已于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日全部行权完毕，会计师出具了 上会师报字（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0522</w:t>
      </w:r>
      <w:r>
        <w:rPr/>
        <w:t>号《验资报告》，公司已完成上述股票期权行权相关工商变更登记工作。</w:t>
      </w:r>
    </w:p>
    <w:p>
      <w:pPr>
        <w:pStyle w:val="BodyText"/>
        <w:spacing w:line="307" w:lineRule="auto" w:before="9"/>
        <w:ind w:right="113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日公司第五届董事会第四十一次会议、第五届监事会第二十三次会议审议通过了关于回购注销</w:t>
      </w:r>
      <w:r>
        <w:rPr>
          <w:rFonts w:ascii="Times New Roman" w:hAnsi="Times New Roman" w:cs="Times New Roman" w:eastAsia="Times New Roman" w:hint="default"/>
        </w:rPr>
        <w:t>2015</w:t>
      </w:r>
      <w:r>
        <w:rPr/>
        <w:t>年两期 </w:t>
      </w:r>
      <w:r>
        <w:rPr>
          <w:spacing w:val="-2"/>
        </w:rPr>
        <w:t>股权激励计划部分限制性股票和股票期权的议案，董事会同意根据</w:t>
      </w:r>
      <w:r>
        <w:rPr>
          <w:rFonts w:ascii="Times New Roman" w:hAnsi="Times New Roman" w:cs="Times New Roman" w:eastAsia="Times New Roman" w:hint="default"/>
          <w:spacing w:val="-2"/>
        </w:rPr>
        <w:t>2015</w:t>
      </w:r>
      <w:r>
        <w:rPr>
          <w:spacing w:val="-2"/>
        </w:rPr>
        <w:t>年第二期股权激励计划的相关规定，对已离职激励对</w:t>
      </w:r>
      <w:r>
        <w:rPr>
          <w:spacing w:val="-61"/>
        </w:rPr>
        <w:t> </w:t>
      </w:r>
      <w:r>
        <w:rPr>
          <w:spacing w:val="-61"/>
        </w:rPr>
      </w:r>
      <w:r>
        <w:rPr>
          <w:spacing w:val="-2"/>
        </w:rPr>
        <w:t>象纪晓文先生已获授未解锁的限制性股票及已获授未行权的股票期权进行回购注销处理，公司独立董事对此发表了同意的独</w:t>
      </w:r>
      <w:r>
        <w:rPr>
          <w:spacing w:val="-64"/>
        </w:rPr>
        <w:t> </w:t>
      </w:r>
      <w:r>
        <w:rPr>
          <w:spacing w:val="-64"/>
        </w:rPr>
      </w:r>
      <w:r>
        <w:rPr/>
        <w:t>立意见。本次回购注销事项已于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日完成。</w:t>
      </w:r>
    </w:p>
    <w:p>
      <w:pPr>
        <w:pStyle w:val="BodyText"/>
        <w:spacing w:line="300" w:lineRule="auto" w:before="7"/>
        <w:ind w:right="113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日公司第五届董事会第五十一次会议、第五届监事会第二十九次会议审议通过了关于</w:t>
      </w:r>
      <w:r>
        <w:rPr>
          <w:rFonts w:ascii="Times New Roman" w:hAnsi="Times New Roman" w:cs="Times New Roman" w:eastAsia="Times New Roman" w:hint="default"/>
        </w:rPr>
        <w:t>2015</w:t>
      </w:r>
      <w:r>
        <w:rPr/>
        <w:t>年第二期股权激 励计划授予的预留限制性股票与股票期权第一个解锁</w:t>
      </w:r>
      <w:r>
        <w:rPr>
          <w:rFonts w:ascii="Times New Roman" w:hAnsi="Times New Roman" w:cs="Times New Roman" w:eastAsia="Times New Roman" w:hint="default"/>
        </w:rPr>
        <w:t>/</w:t>
      </w:r>
      <w:r>
        <w:rPr/>
        <w:t>行权期符合解锁</w:t>
      </w:r>
      <w:r>
        <w:rPr>
          <w:rFonts w:ascii="Times New Roman" w:hAnsi="Times New Roman" w:cs="Times New Roman" w:eastAsia="Times New Roman" w:hint="default"/>
        </w:rPr>
        <w:t>/</w:t>
      </w:r>
      <w:r>
        <w:rPr/>
        <w:t>行权条件的议案，独立董事对相关事项发表了同意的 独立意见，符合解锁条件的限制性股票已于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日解锁上市流通。</w:t>
      </w:r>
    </w:p>
    <w:p>
      <w:pPr>
        <w:pStyle w:val="BodyText"/>
        <w:spacing w:line="300" w:lineRule="auto" w:before="53"/>
        <w:ind w:right="1128"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日公司第六届董事会第十一次会议、第六届监事会第五次会议审议通过了关于回购注销</w:t>
      </w:r>
      <w:r>
        <w:rPr>
          <w:rFonts w:ascii="Times New Roman" w:hAnsi="Times New Roman" w:cs="Times New Roman" w:eastAsia="Times New Roman" w:hint="default"/>
        </w:rPr>
        <w:t>2015</w:t>
      </w:r>
      <w:r>
        <w:rPr/>
        <w:t>年两期股权激 </w:t>
      </w:r>
      <w:r>
        <w:rPr>
          <w:spacing w:val="-2"/>
        </w:rPr>
        <w:t>励计划部分限制性股票和股票期权的议案，董事会同意根据</w:t>
      </w:r>
      <w:r>
        <w:rPr>
          <w:rFonts w:ascii="Times New Roman" w:hAnsi="Times New Roman" w:cs="Times New Roman" w:eastAsia="Times New Roman" w:hint="default"/>
          <w:spacing w:val="-2"/>
        </w:rPr>
        <w:t>2015</w:t>
      </w:r>
      <w:r>
        <w:rPr>
          <w:spacing w:val="-2"/>
        </w:rPr>
        <w:t>年第二期股权激励计划的相关规定，对</w:t>
      </w:r>
      <w:r>
        <w:rPr>
          <w:rFonts w:ascii="Times New Roman" w:hAnsi="Times New Roman" w:cs="Times New Roman" w:eastAsia="Times New Roman" w:hint="default"/>
          <w:spacing w:val="-2"/>
        </w:rPr>
        <w:t>2015</w:t>
      </w:r>
      <w:r>
        <w:rPr>
          <w:spacing w:val="-2"/>
        </w:rPr>
        <w:t>年第二期股权激</w:t>
      </w:r>
      <w:r>
        <w:rPr>
          <w:spacing w:val="-58"/>
        </w:rPr>
        <w:t> </w:t>
      </w:r>
      <w:r>
        <w:rPr>
          <w:spacing w:val="-58"/>
        </w:rPr>
      </w:r>
      <w:r>
        <w:rPr/>
        <w:t>励计划首次授予部分第三个解锁</w:t>
      </w:r>
      <w:r>
        <w:rPr>
          <w:rFonts w:ascii="Times New Roman" w:hAnsi="Times New Roman" w:cs="Times New Roman" w:eastAsia="Times New Roman" w:hint="default"/>
        </w:rPr>
        <w:t>/</w:t>
      </w:r>
      <w:r>
        <w:rPr/>
        <w:t>行权期和预留部分第二个解锁</w:t>
      </w:r>
      <w:r>
        <w:rPr>
          <w:rFonts w:ascii="Times New Roman" w:hAnsi="Times New Roman" w:cs="Times New Roman" w:eastAsia="Times New Roman" w:hint="default"/>
        </w:rPr>
        <w:t>/</w:t>
      </w:r>
      <w:r>
        <w:rPr/>
        <w:t>行权期由于业绩考核不达标导致不能解锁</w:t>
      </w:r>
      <w:r>
        <w:rPr>
          <w:rFonts w:ascii="Times New Roman" w:hAnsi="Times New Roman" w:cs="Times New Roman" w:eastAsia="Times New Roman" w:hint="default"/>
        </w:rPr>
        <w:t>/</w:t>
      </w:r>
      <w:r>
        <w:rPr/>
        <w:t>行权的</w:t>
      </w:r>
      <w:r>
        <w:rPr>
          <w:rFonts w:ascii="Times New Roman" w:hAnsi="Times New Roman" w:cs="Times New Roman" w:eastAsia="Times New Roman" w:hint="default"/>
        </w:rPr>
        <w:t>480</w:t>
      </w:r>
      <w:r>
        <w:rPr/>
        <w:t>万股限</w:t>
      </w:r>
      <w:r>
        <w:rPr>
          <w:spacing w:val="-56"/>
        </w:rPr>
        <w:t> </w:t>
      </w:r>
      <w:r>
        <w:rPr/>
        <w:t>制性股票和</w:t>
      </w:r>
      <w:r>
        <w:rPr>
          <w:rFonts w:ascii="Times New Roman" w:hAnsi="Times New Roman" w:cs="Times New Roman" w:eastAsia="Times New Roman" w:hint="default"/>
        </w:rPr>
        <w:t>216</w:t>
      </w:r>
      <w:r>
        <w:rPr/>
        <w:t>万份股票期权进行回购注销处理，公司独立董事对此发表了同意的独立意见。截至本报告披露日，公司已向</w:t>
      </w:r>
      <w:r>
        <w:rPr>
          <w:spacing w:val="-85"/>
        </w:rPr>
        <w:t> </w:t>
      </w:r>
      <w:r>
        <w:rPr>
          <w:spacing w:val="-85"/>
        </w:rPr>
      </w:r>
      <w:r>
        <w:rPr>
          <w:spacing w:val="-2"/>
        </w:rPr>
        <w:t>相关人员支付了回购注销价款，会计师出具了上会师报字（</w:t>
      </w:r>
      <w:r>
        <w:rPr>
          <w:rFonts w:ascii="Times New Roman" w:hAnsi="Times New Roman" w:cs="Times New Roman" w:eastAsia="Times New Roman" w:hint="default"/>
          <w:spacing w:val="-2"/>
        </w:rPr>
        <w:t>2018</w:t>
      </w:r>
      <w:r>
        <w:rPr>
          <w:spacing w:val="-2"/>
        </w:rPr>
        <w:t>）第</w:t>
      </w:r>
      <w:r>
        <w:rPr>
          <w:rFonts w:ascii="Times New Roman" w:hAnsi="Times New Roman" w:cs="Times New Roman" w:eastAsia="Times New Roman" w:hint="default"/>
          <w:spacing w:val="-2"/>
        </w:rPr>
        <w:t>4844</w:t>
      </w:r>
      <w:r>
        <w:rPr>
          <w:spacing w:val="-2"/>
        </w:rPr>
        <w:t>号《验资报告》，公司已完成上述限制性股票和股</w:t>
      </w:r>
      <w:r>
        <w:rPr>
          <w:spacing w:val="-60"/>
        </w:rPr>
        <w:t> </w:t>
      </w:r>
      <w:r>
        <w:rPr>
          <w:spacing w:val="-60"/>
        </w:rPr>
      </w:r>
      <w:r>
        <w:rPr/>
        <w:t>票期权的注销登记工作和相关工商变更登记工作。</w:t>
      </w:r>
    </w:p>
    <w:p>
      <w:pPr>
        <w:pStyle w:val="BodyText"/>
        <w:spacing w:line="300" w:lineRule="auto" w:before="70"/>
        <w:ind w:right="1131" w:firstLine="379"/>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27</w:t>
      </w:r>
      <w:r>
        <w:rPr>
          <w:spacing w:val="-1"/>
        </w:rPr>
        <w:t>日公司第六届董事会第十四次会议、第六届监事会第七次会议审议通过了关于</w:t>
      </w:r>
      <w:r>
        <w:rPr>
          <w:rFonts w:ascii="Times New Roman" w:hAnsi="Times New Roman" w:cs="Times New Roman" w:eastAsia="Times New Roman" w:hint="default"/>
          <w:spacing w:val="-1"/>
        </w:rPr>
        <w:t>2015</w:t>
      </w:r>
      <w:r>
        <w:rPr>
          <w:spacing w:val="-1"/>
        </w:rPr>
        <w:t>年第二期股权激励计划</w:t>
      </w:r>
      <w:r>
        <w:rPr/>
        <w:t> 首次授予的限制性股票与股票期权第二个解锁</w:t>
      </w:r>
      <w:r>
        <w:rPr>
          <w:rFonts w:ascii="Times New Roman" w:hAnsi="Times New Roman" w:cs="Times New Roman" w:eastAsia="Times New Roman" w:hint="default"/>
        </w:rPr>
        <w:t>/</w:t>
      </w:r>
      <w:r>
        <w:rPr/>
        <w:t>行权期符合解锁</w:t>
      </w:r>
      <w:r>
        <w:rPr>
          <w:rFonts w:ascii="Times New Roman" w:hAnsi="Times New Roman" w:cs="Times New Roman" w:eastAsia="Times New Roman" w:hint="default"/>
        </w:rPr>
        <w:t>/</w:t>
      </w:r>
      <w:r>
        <w:rPr/>
        <w:t>行权条件的议案，独立董事对相关事项发表了同意的独立意 </w:t>
      </w:r>
      <w:r>
        <w:rPr>
          <w:spacing w:val="2"/>
        </w:rPr>
        <w:t>见，符合解锁条件的限制性股票已于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日解锁上市流通，符合行权条件的股票期权截至行权期限届满共计行权</w:t>
      </w:r>
      <w:r>
        <w:rPr>
          <w:spacing w:val="-45"/>
        </w:rPr>
        <w:t> </w:t>
      </w:r>
      <w:r>
        <w:rPr>
          <w:spacing w:val="-45"/>
        </w:rPr>
      </w:r>
      <w:r>
        <w:rPr>
          <w:rFonts w:ascii="Times New Roman" w:hAnsi="Times New Roman" w:cs="Times New Roman" w:eastAsia="Times New Roman" w:hint="default"/>
          <w:spacing w:val="-1"/>
        </w:rPr>
        <w:t>112.98</w:t>
      </w:r>
      <w:r>
        <w:rPr>
          <w:spacing w:val="-1"/>
        </w:rPr>
        <w:t>万份，会计师出具了上会师报字（</w:t>
      </w:r>
      <w:r>
        <w:rPr>
          <w:rFonts w:ascii="Times New Roman" w:hAnsi="Times New Roman" w:cs="Times New Roman" w:eastAsia="Times New Roman" w:hint="default"/>
          <w:spacing w:val="-1"/>
        </w:rPr>
        <w:t>2018</w:t>
      </w:r>
      <w:r>
        <w:rPr>
          <w:spacing w:val="-1"/>
        </w:rPr>
        <w:t>）第</w:t>
      </w:r>
      <w:r>
        <w:rPr>
          <w:rFonts w:ascii="Times New Roman" w:hAnsi="Times New Roman" w:cs="Times New Roman" w:eastAsia="Times New Roman" w:hint="default"/>
          <w:spacing w:val="-1"/>
        </w:rPr>
        <w:t>6568</w:t>
      </w:r>
      <w:r>
        <w:rPr>
          <w:spacing w:val="-1"/>
        </w:rPr>
        <w:t>号《验资报告》，截至本报告披露日公司已完成上述股票期权行权相</w:t>
      </w:r>
      <w:r>
        <w:rPr>
          <w:spacing w:val="-76"/>
        </w:rPr>
        <w:t> </w:t>
      </w:r>
      <w:r>
        <w:rPr>
          <w:spacing w:val="-76"/>
        </w:rPr>
      </w:r>
      <w:r>
        <w:rPr/>
        <w:t>关工商变更登记工作。</w:t>
      </w:r>
    </w:p>
    <w:p>
      <w:pPr>
        <w:pStyle w:val="BodyText"/>
        <w:spacing w:line="300" w:lineRule="auto" w:before="72"/>
        <w:ind w:right="1130" w:firstLine="288"/>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日公司第六届董事会第二十次会议、第六届监事会第八次会议审议通过了关于注销</w:t>
      </w:r>
      <w:r>
        <w:rPr>
          <w:rFonts w:ascii="Times New Roman" w:hAnsi="Times New Roman" w:cs="Times New Roman" w:eastAsia="Times New Roman" w:hint="default"/>
        </w:rPr>
        <w:t>2015</w:t>
      </w:r>
      <w:r>
        <w:rPr/>
        <w:t>年两期股权激励计 划预留部分第一个行权期已到期未行权股票期权的议案，董事会同意根据</w:t>
      </w:r>
      <w:r>
        <w:rPr>
          <w:rFonts w:ascii="Times New Roman" w:hAnsi="Times New Roman" w:cs="Times New Roman" w:eastAsia="Times New Roman" w:hint="default"/>
        </w:rPr>
        <w:t>2015</w:t>
      </w:r>
      <w:r>
        <w:rPr/>
        <w:t>年第二期股权激励计划的相关规定，对</w:t>
      </w:r>
      <w:r>
        <w:rPr>
          <w:rFonts w:ascii="Times New Roman" w:hAnsi="Times New Roman" w:cs="Times New Roman" w:eastAsia="Times New Roman" w:hint="default"/>
        </w:rPr>
        <w:t>2015</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spacing w:val="-2"/>
        </w:rPr>
        <w:t>年第二期股权激励计划预留部分第一个行权期已到期未行权股票期权</w:t>
      </w:r>
      <w:r>
        <w:rPr>
          <w:rFonts w:ascii="Times New Roman" w:hAnsi="Times New Roman" w:cs="Times New Roman" w:eastAsia="Times New Roman" w:hint="default"/>
          <w:spacing w:val="-2"/>
        </w:rPr>
        <w:t>30</w:t>
      </w:r>
      <w:r>
        <w:rPr>
          <w:spacing w:val="-2"/>
        </w:rPr>
        <w:t>万份进行注销处理，独立董事对相关事项发表了同意</w:t>
      </w:r>
      <w:r>
        <w:rPr>
          <w:spacing w:val="-62"/>
        </w:rPr>
        <w:t> </w:t>
      </w:r>
      <w:r>
        <w:rPr>
          <w:spacing w:val="-62"/>
        </w:rPr>
      </w:r>
      <w:r>
        <w:rPr/>
        <w:t>的独立意见。本次注销事项已于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日完成。</w:t>
      </w:r>
    </w:p>
    <w:p>
      <w:pPr>
        <w:pStyle w:val="BodyText"/>
        <w:spacing w:line="300" w:lineRule="auto" w:before="53"/>
        <w:ind w:right="1034" w:firstLine="288"/>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日公司第六届董事会第二十八次会议、第六届监事会第十二次会议审议通过了关于注销</w:t>
      </w:r>
      <w:r>
        <w:rPr>
          <w:rFonts w:ascii="Times New Roman" w:hAnsi="Times New Roman" w:cs="Times New Roman" w:eastAsia="Times New Roman" w:hint="default"/>
        </w:rPr>
        <w:t>2015</w:t>
      </w:r>
      <w:r>
        <w:rPr/>
        <w:t>年第二期股权激 励计划首次授予部分第二个行权期已到期未行权股票期权的议案，董事会同意根据</w:t>
      </w:r>
      <w:r>
        <w:rPr>
          <w:rFonts w:ascii="Times New Roman" w:hAnsi="Times New Roman" w:cs="Times New Roman" w:eastAsia="Times New Roman" w:hint="default"/>
        </w:rPr>
        <w:t>2015</w:t>
      </w:r>
      <w:r>
        <w:rPr/>
        <w:t>年第二期股权激励计划的相关规定，</w:t>
      </w:r>
      <w:r>
        <w:rPr>
          <w:spacing w:val="-83"/>
        </w:rPr>
        <w:t> </w:t>
      </w:r>
      <w:r>
        <w:rPr>
          <w:spacing w:val="-83"/>
        </w:rPr>
      </w:r>
      <w:r>
        <w:rPr/>
        <w:t>对</w:t>
      </w:r>
      <w:r>
        <w:rPr>
          <w:rFonts w:ascii="Times New Roman" w:hAnsi="Times New Roman" w:cs="Times New Roman" w:eastAsia="Times New Roman" w:hint="default"/>
        </w:rPr>
        <w:t>2015</w:t>
      </w:r>
      <w:r>
        <w:rPr/>
        <w:t>年第二期股权激励计划首次授予部分第二个行权期已到期未行权股票期权</w:t>
      </w:r>
      <w:r>
        <w:rPr>
          <w:rFonts w:ascii="Times New Roman" w:hAnsi="Times New Roman" w:cs="Times New Roman" w:eastAsia="Times New Roman" w:hint="default"/>
        </w:rPr>
        <w:t>26.52</w:t>
      </w:r>
      <w:r>
        <w:rPr/>
        <w:t>万份进行注销处理，独立董事对相关</w:t>
      </w:r>
      <w:r>
        <w:rPr>
          <w:spacing w:val="-44"/>
        </w:rPr>
        <w:t> </w:t>
      </w:r>
      <w:r>
        <w:rPr>
          <w:spacing w:val="-44"/>
        </w:rPr>
      </w:r>
      <w:r>
        <w:rPr/>
        <w:t>事项发布了同意的独立意见。本次注销事项已于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日完成。</w:t>
      </w:r>
    </w:p>
    <w:p>
      <w:pPr>
        <w:pStyle w:val="Heading4"/>
        <w:spacing w:line="240" w:lineRule="auto" w:before="51"/>
        <w:ind w:right="1133"/>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年限制性股票激励计划实施情况</w:t>
      </w:r>
      <w:r>
        <w:rPr>
          <w:b w:val="0"/>
          <w:bCs w:val="0"/>
        </w:rPr>
      </w:r>
    </w:p>
    <w:p>
      <w:pPr>
        <w:pStyle w:val="BodyText"/>
        <w:spacing w:line="240" w:lineRule="auto" w:before="63"/>
        <w:ind w:left="513" w:right="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日公司第五届董事会第二十九次会议和第五届监事会第十七次会议、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日公司</w:t>
      </w:r>
      <w:r>
        <w:rPr>
          <w:rFonts w:ascii="Times New Roman" w:hAnsi="Times New Roman" w:cs="Times New Roman" w:eastAsia="Times New Roman" w:hint="default"/>
        </w:rPr>
        <w:t>2016</w:t>
      </w:r>
      <w:r>
        <w:rPr/>
        <w:t>年第三次临时</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股东大会审议通过了</w:t>
      </w:r>
      <w:r>
        <w:rPr>
          <w:rFonts w:ascii="Times New Roman" w:hAnsi="Times New Roman" w:cs="Times New Roman" w:eastAsia="Times New Roman" w:hint="default"/>
        </w:rPr>
        <w:t>2016</w:t>
      </w:r>
      <w:r>
        <w:rPr/>
        <w:t>年限制性股票激励计划。</w:t>
      </w:r>
    </w:p>
    <w:p>
      <w:pPr>
        <w:pStyle w:val="BodyText"/>
        <w:spacing w:line="300" w:lineRule="auto" w:before="63"/>
        <w:ind w:right="1136"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日公司第五届董事会第三十次会议、第五届监事会第十九次会议审议通过了关于向公司</w:t>
      </w:r>
      <w:r>
        <w:rPr>
          <w:rFonts w:ascii="Times New Roman" w:hAnsi="Times New Roman" w:cs="Times New Roman" w:eastAsia="Times New Roman" w:hint="default"/>
        </w:rPr>
        <w:t>2016</w:t>
      </w:r>
      <w:r>
        <w:rPr/>
        <w:t>年限制性股票 激励计划激励对象授予限制性股票的议案，确定授予日为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日，独立董事就此发表了同意的独立意见，相应的授 予登记工作已于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日完成，授予的限制性股票已于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日上市。</w:t>
      </w:r>
    </w:p>
    <w:p>
      <w:pPr>
        <w:pStyle w:val="BodyText"/>
        <w:spacing w:line="309" w:lineRule="auto" w:before="13"/>
        <w:ind w:right="1133"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日公司第六届董事会第十四次会议、第六届监事会第七次会议审议通过了关于</w:t>
      </w:r>
      <w:r>
        <w:rPr>
          <w:rFonts w:ascii="Times New Roman" w:hAnsi="Times New Roman" w:cs="Times New Roman" w:eastAsia="Times New Roman" w:hint="default"/>
        </w:rPr>
        <w:t>2016</w:t>
      </w:r>
      <w:r>
        <w:rPr/>
        <w:t>年限制性股票激励计划 </w:t>
      </w:r>
      <w:r>
        <w:rPr>
          <w:spacing w:val="-2"/>
        </w:rPr>
        <w:t>授予的限制性股票第一个解锁期符合解锁条件的议案，独立董事对相关事项发表了同意的独立意见，符合解锁条件的限制性</w:t>
      </w:r>
      <w:r>
        <w:rPr>
          <w:spacing w:val="-64"/>
        </w:rPr>
        <w:t> </w:t>
      </w:r>
      <w:r>
        <w:rPr>
          <w:spacing w:val="-64"/>
        </w:rPr>
      </w:r>
      <w:r>
        <w:rPr/>
        <w:t>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日解锁上市流通。</w:t>
      </w:r>
    </w:p>
    <w:p>
      <w:pPr>
        <w:pStyle w:val="BodyText"/>
        <w:spacing w:line="309" w:lineRule="auto" w:before="5"/>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日公司第六届董事会第二十六次会议、第六届监事会第十次会议审议通过了关于</w:t>
      </w:r>
      <w:r>
        <w:rPr>
          <w:rFonts w:ascii="Times New Roman" w:hAnsi="Times New Roman" w:cs="Times New Roman" w:eastAsia="Times New Roman" w:hint="default"/>
        </w:rPr>
        <w:t>2016</w:t>
      </w:r>
      <w:r>
        <w:rPr/>
        <w:t>年限制性股票激励计 </w:t>
      </w:r>
      <w:r>
        <w:rPr>
          <w:spacing w:val="-2"/>
        </w:rPr>
        <w:t>划授予的限制性股票第二个解锁期符合解锁条件的议案，独立董事对相关事项发布了同意的独立意见，符合解锁条件的限制</w:t>
      </w:r>
      <w:r>
        <w:rPr>
          <w:spacing w:val="-63"/>
        </w:rPr>
        <w:t> </w:t>
      </w:r>
      <w:r>
        <w:rPr>
          <w:spacing w:val="-63"/>
        </w:rPr>
      </w:r>
      <w:r>
        <w:rPr/>
        <w:t>性股票已于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日解锁上市流通。</w:t>
      </w:r>
    </w:p>
    <w:p>
      <w:pPr>
        <w:pStyle w:val="BodyText"/>
        <w:spacing w:line="300" w:lineRule="auto" w:before="5"/>
        <w:ind w:right="1131"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日公司第六届董事会第二十九次会议、第六届监事会第十三次会议和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日公司</w:t>
      </w:r>
      <w:r>
        <w:rPr>
          <w:rFonts w:ascii="Times New Roman" w:hAnsi="Times New Roman" w:cs="Times New Roman" w:eastAsia="Times New Roman" w:hint="default"/>
        </w:rPr>
        <w:t>2019</w:t>
      </w:r>
      <w:r>
        <w:rPr/>
        <w:t>年第二次临时 </w:t>
      </w:r>
      <w:r>
        <w:rPr>
          <w:spacing w:val="-2"/>
        </w:rPr>
        <w:t>股东大会审议通过了关于回购注销</w:t>
      </w:r>
      <w:r>
        <w:rPr>
          <w:rFonts w:ascii="Times New Roman" w:hAnsi="Times New Roman" w:cs="Times New Roman" w:eastAsia="Times New Roman" w:hint="default"/>
          <w:spacing w:val="-2"/>
        </w:rPr>
        <w:t>2016</w:t>
      </w:r>
      <w:r>
        <w:rPr>
          <w:spacing w:val="-2"/>
        </w:rPr>
        <w:t>年限制性股票激励计划部分限制性股票的议案，鉴于根据公司绩效考核管理相关制度</w:t>
      </w:r>
      <w:r>
        <w:rPr>
          <w:spacing w:val="-61"/>
        </w:rPr>
        <w:t> </w:t>
      </w:r>
      <w:r>
        <w:rPr>
          <w:spacing w:val="-61"/>
        </w:rPr>
      </w:r>
      <w:r>
        <w:rPr>
          <w:spacing w:val="-2"/>
        </w:rPr>
        <w:t>和</w:t>
      </w:r>
      <w:r>
        <w:rPr>
          <w:rFonts w:ascii="Times New Roman" w:hAnsi="Times New Roman" w:cs="Times New Roman" w:eastAsia="Times New Roman" w:hint="default"/>
          <w:spacing w:val="-2"/>
        </w:rPr>
        <w:t>2016</w:t>
      </w:r>
      <w:r>
        <w:rPr>
          <w:spacing w:val="-2"/>
        </w:rPr>
        <w:t>年限制性股票激励计划的相关规定，激励对象</w:t>
      </w:r>
      <w:r>
        <w:rPr>
          <w:rFonts w:ascii="Times New Roman" w:hAnsi="Times New Roman" w:cs="Times New Roman" w:eastAsia="Times New Roman" w:hint="default"/>
          <w:spacing w:val="-2"/>
        </w:rPr>
        <w:t>2018</w:t>
      </w:r>
      <w:r>
        <w:rPr>
          <w:spacing w:val="-2"/>
        </w:rPr>
        <w:t>年度绩效考核考评结果均为不合格，公司决定对</w:t>
      </w:r>
      <w:r>
        <w:rPr>
          <w:rFonts w:ascii="Times New Roman" w:hAnsi="Times New Roman" w:cs="Times New Roman" w:eastAsia="Times New Roman" w:hint="default"/>
          <w:spacing w:val="-2"/>
        </w:rPr>
        <w:t>2016</w:t>
      </w:r>
      <w:r>
        <w:rPr>
          <w:spacing w:val="-2"/>
        </w:rPr>
        <w:t>年限制性股票</w:t>
      </w:r>
      <w:r>
        <w:rPr>
          <w:spacing w:val="-58"/>
        </w:rPr>
        <w:t> </w:t>
      </w:r>
      <w:r>
        <w:rPr>
          <w:spacing w:val="-58"/>
        </w:rPr>
      </w:r>
      <w:r>
        <w:rPr/>
        <w:t>激励计划第三个解锁期因激励对象个人绩效考核结果不达标导致不能解锁的</w:t>
      </w:r>
      <w:r>
        <w:rPr>
          <w:rFonts w:ascii="Times New Roman" w:hAnsi="Times New Roman" w:cs="Times New Roman" w:eastAsia="Times New Roman" w:hint="default"/>
        </w:rPr>
        <w:t>1,221</w:t>
      </w:r>
      <w:r>
        <w:rPr/>
        <w:t>万股限制性股票进行回购注销，独立董事 对此发表了同意的独立意见。截止本报告披露日，本次回购注销尚未完成。</w:t>
      </w:r>
    </w:p>
    <w:p>
      <w:pPr>
        <w:pStyle w:val="BodyText"/>
        <w:spacing w:line="340" w:lineRule="auto" w:before="31"/>
        <w:ind w:right="1844" w:firstLine="288"/>
        <w:jc w:val="left"/>
      </w:pPr>
      <w:r>
        <w:rPr/>
        <w:t>以上内容详情请参见公司刊登于巨潮资讯网（</w:t>
      </w:r>
      <w:hyperlink r:id="rId13">
        <w:r>
          <w:rPr>
            <w:rFonts w:ascii="Times New Roman" w:hAnsi="Times New Roman" w:cs="Times New Roman" w:eastAsia="Times New Roman" w:hint="default"/>
          </w:rPr>
          <w:t>www.cninfo.com.cn</w:t>
        </w:r>
      </w:hyperlink>
      <w:r>
        <w:rPr/>
        <w:t>）上的相关公告。 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00" w:lineRule="auto" w:before="17"/>
        <w:ind w:right="1133" w:firstLine="283"/>
        <w:jc w:val="both"/>
      </w:pPr>
      <w:r>
        <w:rPr/>
        <w:t>报告期内公司实施股权激励计提的费用共计</w:t>
      </w:r>
      <w:r>
        <w:rPr>
          <w:rFonts w:ascii="Times New Roman" w:hAnsi="Times New Roman" w:cs="Times New Roman" w:eastAsia="Times New Roman" w:hint="default"/>
        </w:rPr>
        <w:t>1,899,716.21</w:t>
      </w:r>
      <w:r>
        <w:rPr/>
        <w:t>元，占公司</w:t>
      </w:r>
      <w:r>
        <w:rPr>
          <w:rFonts w:ascii="Times New Roman" w:hAnsi="Times New Roman" w:cs="Times New Roman" w:eastAsia="Times New Roman" w:hint="default"/>
        </w:rPr>
        <w:t>2018</w:t>
      </w:r>
      <w:r>
        <w:rPr/>
        <w:t>年度经审计净利润的</w:t>
      </w:r>
      <w:r>
        <w:rPr>
          <w:rFonts w:ascii="Times New Roman" w:hAnsi="Times New Roman" w:cs="Times New Roman" w:eastAsia="Times New Roman" w:hint="default"/>
        </w:rPr>
        <w:t>0.56%</w:t>
      </w:r>
      <w:r>
        <w:rPr/>
        <w:t>，其中核心技术人员 的股权激励费用为</w:t>
      </w:r>
      <w:r>
        <w:rPr>
          <w:rFonts w:ascii="Times New Roman" w:hAnsi="Times New Roman" w:cs="Times New Roman" w:eastAsia="Times New Roman" w:hint="default"/>
        </w:rPr>
        <w:t>200,159.79</w:t>
      </w:r>
      <w:r>
        <w:rPr/>
        <w:t>元，占公司当期股权激励费用的</w:t>
      </w:r>
      <w:r>
        <w:rPr>
          <w:rFonts w:ascii="Times New Roman" w:hAnsi="Times New Roman" w:cs="Times New Roman" w:eastAsia="Times New Roman" w:hint="default"/>
        </w:rPr>
        <w:t>10.54%</w:t>
      </w:r>
      <w:r>
        <w:rPr/>
        <w:t>。</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r>
        <w:rPr/>
        <w:t>十六、重大关联交易</w:t>
      </w:r>
      <w:r>
        <w:rPr>
          <w:b w:val="0"/>
          <w:bCs w:val="0"/>
        </w:rPr>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b/>
          <w:bCs/>
          <w:sz w:val="24"/>
          <w:szCs w:val="24"/>
        </w:rPr>
      </w:pPr>
    </w:p>
    <w:p>
      <w:pPr>
        <w:pStyle w:val="Heading3"/>
        <w:spacing w:line="240" w:lineRule="auto"/>
        <w:ind w:left="140" w:right="-6"/>
        <w:jc w:val="left"/>
        <w:rPr>
          <w:b w:val="0"/>
          <w:bCs w:val="0"/>
        </w:rPr>
      </w:pPr>
      <w:r>
        <w:rPr/>
        <w:pict>
          <v:group style="position:absolute;margin-left:70.559998pt;margin-top:-.476309pt;width:700.95pt;height:.1pt;mso-position-horizontal-relative:page;mso-position-vertical-relative:paragraph;z-index:1624" coordorigin="1411,-10" coordsize="14019,2">
            <v:shape style="position:absolute;left:1411;top:-10;width:14019;height:2" coordorigin="1411,-10" coordsize="14019,0" path="m1411,-10l15430,-10e" filled="false" stroked="true" strokeweight=".72pt" strokecolor="#000000">
              <v:path arrowok="t"/>
            </v:shape>
            <w10:wrap type="none"/>
          </v:group>
        </w:pict>
      </w:r>
      <w:r>
        <w:rPr>
          <w:rFonts w:ascii="Times New Roman" w:hAnsi="Times New Roman" w:cs="Times New Roman" w:eastAsia="Times New Roman" w:hint="default"/>
          <w:spacing w:val="-1"/>
        </w:rPr>
        <w:t>1</w:t>
      </w:r>
      <w:r>
        <w:rPr>
          <w:spacing w:val="-1"/>
        </w:rPr>
        <w:t>、与日常经营相关的关联交易</w:t>
      </w:r>
      <w:r>
        <w:rPr>
          <w:b w:val="0"/>
          <w:bCs w:val="0"/>
          <w:spacing w:val="-1"/>
        </w:rPr>
      </w:r>
    </w:p>
    <w:p>
      <w:pPr>
        <w:spacing w:line="240" w:lineRule="auto" w:before="4"/>
        <w:rPr>
          <w:rFonts w:ascii="宋体" w:hAnsi="宋体" w:cs="宋体" w:eastAsia="宋体" w:hint="default"/>
          <w:b/>
          <w:bCs/>
          <w:sz w:val="26"/>
          <w:szCs w:val="26"/>
        </w:rPr>
      </w:pPr>
    </w:p>
    <w:p>
      <w:pPr>
        <w:pStyle w:val="BodyText"/>
        <w:spacing w:line="240" w:lineRule="auto"/>
        <w:ind w:left="140" w:right="-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5"/>
        <w:ind w:left="140" w:right="0"/>
        <w:jc w:val="left"/>
      </w:pPr>
      <w:r>
        <w:rPr/>
        <w:br w:type="column"/>
      </w:r>
      <w:r>
        <w:rPr/>
        <w:t>深圳市惠程信息科技股份有限公司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p>
      <w:pPr>
        <w:spacing w:after="0" w:line="240" w:lineRule="auto"/>
        <w:jc w:val="left"/>
        <w:sectPr>
          <w:headerReference w:type="default" r:id="rId23"/>
          <w:footerReference w:type="default" r:id="rId24"/>
          <w:pgSz w:w="16840" w:h="11910" w:orient="landscape"/>
          <w:pgMar w:header="0" w:footer="0" w:top="800" w:bottom="0" w:left="1300" w:right="1280"/>
          <w:cols w:num="2" w:equalWidth="0">
            <w:col w:w="2987" w:space="6562"/>
            <w:col w:w="4711"/>
          </w:cols>
        </w:sectPr>
      </w:pPr>
    </w:p>
    <w:p>
      <w:pPr>
        <w:spacing w:line="240" w:lineRule="auto" w:before="4"/>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592"/>
        <w:gridCol w:w="708"/>
        <w:gridCol w:w="566"/>
        <w:gridCol w:w="853"/>
        <w:gridCol w:w="713"/>
        <w:gridCol w:w="1846"/>
        <w:gridCol w:w="711"/>
        <w:gridCol w:w="852"/>
        <w:gridCol w:w="850"/>
        <w:gridCol w:w="708"/>
        <w:gridCol w:w="709"/>
        <w:gridCol w:w="852"/>
        <w:gridCol w:w="850"/>
        <w:gridCol w:w="2211"/>
      </w:tblGrid>
      <w:tr>
        <w:trPr>
          <w:trHeight w:val="1020"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1"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2" w:right="58"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 w:right="7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76" w:right="0"/>
              <w:jc w:val="left"/>
              <w:rPr>
                <w:rFonts w:ascii="宋体" w:hAnsi="宋体" w:cs="宋体" w:eastAsia="宋体" w:hint="default"/>
                <w:sz w:val="18"/>
                <w:szCs w:val="18"/>
              </w:rPr>
            </w:pPr>
            <w:r>
              <w:rPr>
                <w:rFonts w:ascii="宋体" w:hAnsi="宋体" w:cs="宋体" w:eastAsia="宋体" w:hint="default"/>
                <w:sz w:val="18"/>
                <w:szCs w:val="18"/>
              </w:rPr>
              <w:t>关联交易价格</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8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60"/>
              <w:jc w:val="left"/>
              <w:rPr>
                <w:rFonts w:ascii="宋体" w:hAnsi="宋体" w:cs="宋体" w:eastAsia="宋体" w:hint="default"/>
                <w:sz w:val="18"/>
                <w:szCs w:val="18"/>
              </w:rPr>
            </w:pPr>
            <w:r>
              <w:rPr>
                <w:rFonts w:ascii="宋体" w:hAnsi="宋体" w:cs="宋体" w:eastAsia="宋体" w:hint="default"/>
                <w:sz w:val="18"/>
                <w:szCs w:val="18"/>
              </w:rPr>
              <w:t>占同类交 易金额的</w:t>
            </w:r>
          </w:p>
          <w:p>
            <w:pPr>
              <w:pStyle w:val="TableParagraph"/>
              <w:tabs>
                <w:tab w:pos="239" w:val="left" w:leader="none"/>
              </w:tabs>
              <w:spacing w:line="240" w:lineRule="auto" w:before="19"/>
              <w:ind w:left="-147" w:right="0"/>
              <w:jc w:val="left"/>
              <w:rPr>
                <w:rFonts w:ascii="宋体" w:hAnsi="宋体" w:cs="宋体" w:eastAsia="宋体" w:hint="default"/>
                <w:sz w:val="18"/>
                <w:szCs w:val="18"/>
              </w:rPr>
            </w:pPr>
            <w:r>
              <w:rPr>
                <w:rFonts w:ascii="宋体" w:hAnsi="宋体" w:cs="宋体" w:eastAsia="宋体" w:hint="default"/>
                <w:sz w:val="18"/>
                <w:szCs w:val="18"/>
              </w:rPr>
              <w:t>）</w:t>
              <w:tab/>
              <w:t>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6" w:right="60" w:hanging="89"/>
              <w:jc w:val="left"/>
              <w:rPr>
                <w:rFonts w:ascii="宋体" w:hAnsi="宋体" w:cs="宋体" w:eastAsia="宋体" w:hint="default"/>
                <w:sz w:val="18"/>
                <w:szCs w:val="18"/>
              </w:rPr>
            </w:pPr>
            <w:r>
              <w:rPr>
                <w:rFonts w:ascii="宋体" w:hAnsi="宋体" w:cs="宋体" w:eastAsia="宋体" w:hint="default"/>
                <w:sz w:val="18"/>
                <w:szCs w:val="18"/>
              </w:rPr>
              <w:t>获批的交 易额度</w:t>
            </w:r>
          </w:p>
          <w:p>
            <w:pPr>
              <w:pStyle w:val="TableParagraph"/>
              <w:spacing w:line="240" w:lineRule="auto" w:before="19"/>
              <w:ind w:left="5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9"/>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9"/>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9"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信中利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316" w:lineRule="auto"/>
              <w:ind w:left="24" w:right="132"/>
              <w:jc w:val="both"/>
              <w:rPr>
                <w:rFonts w:ascii="宋体" w:hAnsi="宋体" w:cs="宋体" w:eastAsia="宋体" w:hint="default"/>
                <w:sz w:val="18"/>
                <w:szCs w:val="18"/>
              </w:rPr>
            </w:pPr>
            <w:r>
              <w:rPr>
                <w:rFonts w:ascii="宋体" w:hAnsi="宋体" w:cs="宋体" w:eastAsia="宋体" w:hint="default"/>
                <w:sz w:val="18"/>
                <w:szCs w:val="18"/>
              </w:rPr>
              <w:t>同一控 制下关 联企业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子公司北 京中汇联 银向信中 利租赁办 公场所</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37"/>
              <w:jc w:val="left"/>
              <w:rPr>
                <w:rFonts w:ascii="宋体" w:hAnsi="宋体" w:cs="宋体" w:eastAsia="宋体" w:hint="default"/>
                <w:sz w:val="18"/>
                <w:szCs w:val="18"/>
              </w:rPr>
            </w:pPr>
            <w:r>
              <w:rPr>
                <w:rFonts w:ascii="宋体" w:hAnsi="宋体" w:cs="宋体" w:eastAsia="宋体" w:hint="default"/>
                <w:sz w:val="18"/>
                <w:szCs w:val="18"/>
              </w:rPr>
              <w:t>市场公 允价</w:t>
            </w:r>
          </w:p>
        </w:tc>
        <w:tc>
          <w:tcPr>
            <w:tcW w:w="184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房屋租金为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（天</w:t>
            </w:r>
          </w:p>
          <w:p>
            <w:pPr>
              <w:pStyle w:val="TableParagraph"/>
              <w:spacing w:line="319" w:lineRule="auto" w:before="63"/>
              <w:ind w:left="21" w:right="-44"/>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z w:val="18"/>
                <w:szCs w:val="18"/>
              </w:rPr>
              <w:t>平方米</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物业管理费</w:t>
            </w:r>
            <w:r>
              <w:rPr>
                <w:rFonts w:ascii="宋体" w:hAnsi="宋体" w:cs="宋体" w:eastAsia="宋体" w:hint="default"/>
                <w:sz w:val="18"/>
                <w:szCs w:val="18"/>
              </w:rPr>
              <w:t> 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pacing w:val="-3"/>
                <w:sz w:val="18"/>
                <w:szCs w:val="18"/>
              </w:rPr>
              <w:t>天</w:t>
            </w:r>
            <w:r>
              <w:rPr>
                <w:rFonts w:ascii="宋体" w:hAnsi="宋体" w:cs="宋体" w:eastAsia="宋体" w:hint="default"/>
                <w:spacing w:val="1"/>
                <w:sz w:val="18"/>
                <w:szCs w:val="18"/>
              </w:rPr>
              <w:t>•</w:t>
            </w:r>
            <w:r>
              <w:rPr>
                <w:rFonts w:ascii="宋体" w:hAnsi="宋体" w:cs="宋体" w:eastAsia="宋体" w:hint="default"/>
                <w:sz w:val="18"/>
                <w:szCs w:val="18"/>
              </w:rPr>
              <w:t>平方米</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0" w:lineRule="auto"/>
              <w:ind w:left="21" w:right="48"/>
              <w:jc w:val="left"/>
              <w:rPr>
                <w:rFonts w:ascii="宋体" w:hAnsi="宋体" w:cs="宋体" w:eastAsia="宋体" w:hint="default"/>
                <w:sz w:val="18"/>
                <w:szCs w:val="18"/>
              </w:rPr>
            </w:pPr>
            <w:r>
              <w:rPr>
                <w:rFonts w:ascii="宋体" w:hAnsi="宋体" w:cs="宋体" w:eastAsia="宋体" w:hint="default"/>
                <w:sz w:val="18"/>
                <w:szCs w:val="18"/>
              </w:rPr>
              <w:t>建筑面积共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647.06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 方米，</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年房屋租金共 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594 </w:t>
            </w:r>
            <w:r>
              <w:rPr>
                <w:rFonts w:ascii="宋体" w:hAnsi="宋体" w:cs="宋体" w:eastAsia="宋体" w:hint="default"/>
                <w:sz w:val="18"/>
                <w:szCs w:val="18"/>
              </w:rPr>
              <w:t>万元。</w:t>
            </w:r>
          </w:p>
        </w:tc>
        <w:tc>
          <w:tcPr>
            <w:tcW w:w="711" w:type="dxa"/>
            <w:tcBorders>
              <w:top w:val="single" w:sz="4" w:space="0" w:color="000000"/>
              <w:left w:val="single" w:sz="10" w:space="0" w:color="FFFFFF"/>
              <w:bottom w:val="single" w:sz="4" w:space="0" w:color="000000"/>
              <w:right w:val="single" w:sz="4" w:space="0" w:color="000000"/>
            </w:tcBorders>
          </w:tcPr>
          <w:p>
            <w:pPr>
              <w:pStyle w:val="TableParagraph"/>
              <w:spacing w:line="780" w:lineRule="exact"/>
              <w:ind w:left="-8" w:right="-51"/>
              <w:jc w:val="left"/>
              <w:rPr>
                <w:rFonts w:ascii="宋体" w:hAnsi="宋体" w:cs="宋体" w:eastAsia="宋体" w:hint="default"/>
                <w:sz w:val="20"/>
                <w:szCs w:val="20"/>
              </w:rPr>
            </w:pPr>
            <w:r>
              <w:rPr>
                <w:rFonts w:ascii="宋体" w:hAnsi="宋体" w:cs="宋体" w:eastAsia="宋体" w:hint="default"/>
                <w:position w:val="-15"/>
                <w:sz w:val="20"/>
                <w:szCs w:val="20"/>
              </w:rPr>
              <w:pict>
                <v:group style="width:35.1pt;height:39.050pt;mso-position-horizontal-relative:char;mso-position-vertical-relative:line" coordorigin="0,0" coordsize="702,781">
                  <v:group style="position:absolute;left:0;top:0;width:702;height:781" coordorigin="0,0" coordsize="702,781">
                    <v:shape style="position:absolute;left:0;top:0;width:702;height:781" coordorigin="0,0" coordsize="702,781" path="m0,780l701,780,701,0,0,0,0,780xe" filled="true" fillcolor="#ffffff" stroked="false">
                      <v:path arrowok="t"/>
                      <v:fill type="solid"/>
                    </v:shape>
                  </v:group>
                </v:group>
              </w:pict>
            </w:r>
            <w:r>
              <w:rPr>
                <w:rFonts w:ascii="宋体" w:hAnsi="宋体" w:cs="宋体" w:eastAsia="宋体" w:hint="default"/>
                <w:position w:val="-15"/>
                <w:sz w:val="20"/>
                <w:szCs w:val="20"/>
              </w:rPr>
            </w:r>
          </w:p>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198.00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34"/>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198.00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3" w:right="0"/>
              <w:jc w:val="left"/>
              <w:rPr>
                <w:rFonts w:ascii="宋体" w:hAnsi="宋体" w:cs="宋体" w:eastAsia="宋体" w:hint="default"/>
                <w:sz w:val="16"/>
                <w:szCs w:val="16"/>
              </w:rPr>
            </w:pPr>
            <w:r>
              <w:rPr>
                <w:rFonts w:ascii="宋体" w:hAnsi="宋体" w:cs="宋体" w:eastAsia="宋体" w:hint="default"/>
                <w:sz w:val="16"/>
                <w:szCs w:val="16"/>
              </w:rPr>
              <w:t>巨潮资讯网</w:t>
            </w:r>
          </w:p>
          <w:p>
            <w:pPr>
              <w:pStyle w:val="TableParagraph"/>
              <w:spacing w:line="338" w:lineRule="auto" w:before="102"/>
              <w:ind w:left="23" w:right="19"/>
              <w:jc w:val="left"/>
              <w:rPr>
                <w:rFonts w:ascii="宋体" w:hAnsi="宋体" w:cs="宋体" w:eastAsia="宋体" w:hint="default"/>
                <w:sz w:val="16"/>
                <w:szCs w:val="16"/>
              </w:rPr>
            </w:pPr>
            <w:r>
              <w:rPr>
                <w:rFonts w:ascii="宋体" w:hAnsi="宋体" w:cs="宋体" w:eastAsia="宋体" w:hint="default"/>
                <w:spacing w:val="-6"/>
                <w:sz w:val="16"/>
                <w:szCs w:val="16"/>
              </w:rPr>
              <w:t>（</w:t>
            </w:r>
            <w:hyperlink r:id="rId13">
              <w:r>
                <w:rPr>
                  <w:rFonts w:ascii="Times New Roman" w:hAnsi="Times New Roman" w:cs="Times New Roman" w:eastAsia="Times New Roman" w:hint="default"/>
                  <w:spacing w:val="-6"/>
                  <w:sz w:val="16"/>
                  <w:szCs w:val="16"/>
                </w:rPr>
                <w:t>www.cninfo.com.cn</w:t>
              </w:r>
            </w:hyperlink>
            <w:r>
              <w:rPr>
                <w:rFonts w:ascii="宋体" w:hAnsi="宋体" w:cs="宋体" w:eastAsia="宋体" w:hint="default"/>
                <w:spacing w:val="-6"/>
                <w:sz w:val="16"/>
                <w:szCs w:val="16"/>
              </w:rPr>
              <w:t>）上的《关</w:t>
            </w:r>
            <w:r>
              <w:rPr>
                <w:rFonts w:ascii="宋体" w:hAnsi="宋体" w:cs="宋体" w:eastAsia="宋体" w:hint="default"/>
                <w:spacing w:val="-59"/>
                <w:sz w:val="16"/>
                <w:szCs w:val="16"/>
              </w:rPr>
              <w:t> </w:t>
            </w:r>
            <w:r>
              <w:rPr>
                <w:rFonts w:ascii="宋体" w:hAnsi="宋体" w:cs="宋体" w:eastAsia="宋体" w:hint="default"/>
                <w:spacing w:val="-59"/>
                <w:sz w:val="16"/>
                <w:szCs w:val="16"/>
              </w:rPr>
            </w:r>
            <w:r>
              <w:rPr>
                <w:rFonts w:ascii="宋体" w:hAnsi="宋体" w:cs="宋体" w:eastAsia="宋体" w:hint="default"/>
                <w:sz w:val="16"/>
                <w:szCs w:val="16"/>
              </w:rPr>
              <w:t>于子公司中汇联银投资管理</w:t>
            </w:r>
          </w:p>
          <w:p>
            <w:pPr>
              <w:pStyle w:val="TableParagraph"/>
              <w:spacing w:line="357" w:lineRule="auto" w:before="37"/>
              <w:ind w:left="23" w:right="92"/>
              <w:jc w:val="left"/>
              <w:rPr>
                <w:rFonts w:ascii="宋体" w:hAnsi="宋体" w:cs="宋体" w:eastAsia="宋体" w:hint="default"/>
                <w:sz w:val="16"/>
                <w:szCs w:val="16"/>
              </w:rPr>
            </w:pPr>
            <w:r>
              <w:rPr>
                <w:rFonts w:ascii="宋体" w:hAnsi="宋体" w:cs="宋体" w:eastAsia="宋体" w:hint="default"/>
                <w:sz w:val="16"/>
                <w:szCs w:val="16"/>
              </w:rPr>
              <w:t>（北京）有限公司向关联方租</w:t>
            </w:r>
            <w:r>
              <w:rPr>
                <w:rFonts w:ascii="宋体" w:hAnsi="宋体" w:cs="宋体" w:eastAsia="宋体" w:hint="default"/>
                <w:w w:val="100"/>
                <w:sz w:val="16"/>
                <w:szCs w:val="16"/>
              </w:rPr>
              <w:t> </w:t>
            </w:r>
            <w:r>
              <w:rPr>
                <w:rFonts w:ascii="宋体" w:hAnsi="宋体" w:cs="宋体" w:eastAsia="宋体" w:hint="default"/>
                <w:spacing w:val="-7"/>
                <w:w w:val="100"/>
                <w:sz w:val="16"/>
                <w:szCs w:val="16"/>
              </w:rPr>
              <w:t>赁办公场所的公告》（公告编</w:t>
            </w:r>
            <w:r>
              <w:rPr>
                <w:rFonts w:ascii="宋体" w:hAnsi="宋体" w:cs="宋体" w:eastAsia="宋体" w:hint="default"/>
                <w:w w:val="100"/>
                <w:sz w:val="16"/>
                <w:szCs w:val="16"/>
              </w:rPr>
              <w:t> </w:t>
            </w:r>
            <w:r>
              <w:rPr>
                <w:rFonts w:ascii="宋体" w:hAnsi="宋体" w:cs="宋体" w:eastAsia="宋体" w:hint="default"/>
                <w:sz w:val="16"/>
                <w:szCs w:val="16"/>
              </w:rPr>
              <w:t>号：</w:t>
            </w:r>
            <w:r>
              <w:rPr>
                <w:rFonts w:ascii="Times New Roman" w:hAnsi="Times New Roman" w:cs="Times New Roman" w:eastAsia="Times New Roman" w:hint="default"/>
                <w:sz w:val="16"/>
                <w:szCs w:val="16"/>
              </w:rPr>
              <w:t>2016-080</w:t>
            </w:r>
            <w:r>
              <w:rPr>
                <w:rFonts w:ascii="宋体" w:hAnsi="宋体" w:cs="宋体" w:eastAsia="宋体" w:hint="default"/>
                <w:sz w:val="16"/>
                <w:szCs w:val="16"/>
              </w:rPr>
              <w:t>）</w:t>
            </w:r>
          </w:p>
        </w:tc>
      </w:tr>
      <w:tr>
        <w:trPr>
          <w:trHeight w:val="196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九立方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132"/>
              <w:jc w:val="both"/>
              <w:rPr>
                <w:rFonts w:ascii="宋体" w:hAnsi="宋体" w:cs="宋体" w:eastAsia="宋体" w:hint="default"/>
                <w:sz w:val="18"/>
                <w:szCs w:val="18"/>
              </w:rPr>
            </w:pPr>
            <w:r>
              <w:rPr>
                <w:rFonts w:ascii="宋体" w:hAnsi="宋体" w:cs="宋体" w:eastAsia="宋体" w:hint="default"/>
                <w:sz w:val="18"/>
                <w:szCs w:val="18"/>
              </w:rPr>
              <w:t>控股股 东关联 方</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孙公司中 行置盛向 九立方租 赁办公场 所</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37"/>
              <w:jc w:val="left"/>
              <w:rPr>
                <w:rFonts w:ascii="宋体" w:hAnsi="宋体" w:cs="宋体" w:eastAsia="宋体" w:hint="default"/>
                <w:sz w:val="18"/>
                <w:szCs w:val="18"/>
              </w:rPr>
            </w:pPr>
            <w:r>
              <w:rPr>
                <w:rFonts w:ascii="宋体" w:hAnsi="宋体" w:cs="宋体" w:eastAsia="宋体" w:hint="default"/>
                <w:sz w:val="18"/>
                <w:szCs w:val="18"/>
              </w:rPr>
              <w:t>市场公 允价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both"/>
              <w:rPr>
                <w:rFonts w:ascii="宋体" w:hAnsi="宋体" w:cs="宋体" w:eastAsia="宋体" w:hint="default"/>
                <w:sz w:val="18"/>
                <w:szCs w:val="18"/>
              </w:rPr>
            </w:pPr>
            <w:r>
              <w:rPr>
                <w:rFonts w:ascii="宋体" w:hAnsi="宋体" w:cs="宋体" w:eastAsia="宋体" w:hint="default"/>
                <w:sz w:val="18"/>
                <w:szCs w:val="18"/>
              </w:rPr>
              <w:t>房屋租金为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（天</w:t>
            </w:r>
          </w:p>
          <w:p>
            <w:pPr>
              <w:pStyle w:val="TableParagraph"/>
              <w:spacing w:line="319" w:lineRule="auto" w:before="63"/>
              <w:ind w:left="21" w:right="21"/>
              <w:jc w:val="both"/>
              <w:rPr>
                <w:rFonts w:ascii="宋体" w:hAnsi="宋体" w:cs="宋体" w:eastAsia="宋体" w:hint="default"/>
                <w:sz w:val="18"/>
                <w:szCs w:val="18"/>
              </w:rPr>
            </w:pPr>
            <w:r>
              <w:rPr>
                <w:rFonts w:ascii="宋体" w:hAnsi="宋体" w:cs="宋体" w:eastAsia="宋体" w:hint="default"/>
                <w:spacing w:val="-10"/>
                <w:sz w:val="18"/>
                <w:szCs w:val="18"/>
              </w:rPr>
              <w:t>•平方米），一年房屋租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金（剔除两个月免租的</w:t>
            </w:r>
            <w:r>
              <w:rPr>
                <w:rFonts w:ascii="宋体" w:hAnsi="宋体" w:cs="宋体" w:eastAsia="宋体" w:hint="default"/>
                <w:sz w:val="18"/>
                <w:szCs w:val="18"/>
              </w:rPr>
              <w:t> 装修改造期）共计</w:t>
            </w:r>
          </w:p>
          <w:p>
            <w:pPr>
              <w:pStyle w:val="TableParagraph"/>
              <w:spacing w:line="240" w:lineRule="auto" w:before="17"/>
              <w:ind w:left="2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237.12 </w:t>
            </w:r>
            <w:r>
              <w:rPr>
                <w:rFonts w:ascii="宋体" w:hAnsi="宋体" w:cs="宋体" w:eastAsia="宋体" w:hint="default"/>
                <w:sz w:val="18"/>
                <w:szCs w:val="18"/>
              </w:rPr>
              <w:t>万元</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237.12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34"/>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巨潮资讯网</w:t>
            </w:r>
          </w:p>
          <w:p>
            <w:pPr>
              <w:pStyle w:val="TableParagraph"/>
              <w:spacing w:line="345" w:lineRule="auto" w:before="102"/>
              <w:ind w:left="23" w:right="19"/>
              <w:jc w:val="left"/>
              <w:rPr>
                <w:rFonts w:ascii="宋体" w:hAnsi="宋体" w:cs="宋体" w:eastAsia="宋体" w:hint="default"/>
                <w:sz w:val="16"/>
                <w:szCs w:val="16"/>
              </w:rPr>
            </w:pPr>
            <w:r>
              <w:rPr>
                <w:rFonts w:ascii="宋体" w:hAnsi="宋体" w:cs="宋体" w:eastAsia="宋体" w:hint="default"/>
                <w:spacing w:val="-6"/>
                <w:sz w:val="16"/>
                <w:szCs w:val="16"/>
              </w:rPr>
              <w:t>（</w:t>
            </w:r>
            <w:hyperlink r:id="rId13">
              <w:r>
                <w:rPr>
                  <w:rFonts w:ascii="Times New Roman" w:hAnsi="Times New Roman" w:cs="Times New Roman" w:eastAsia="Times New Roman" w:hint="default"/>
                  <w:spacing w:val="-6"/>
                  <w:sz w:val="16"/>
                  <w:szCs w:val="16"/>
                </w:rPr>
                <w:t>www.cninfo.com.cn</w:t>
              </w:r>
            </w:hyperlink>
            <w:r>
              <w:rPr>
                <w:rFonts w:ascii="宋体" w:hAnsi="宋体" w:cs="宋体" w:eastAsia="宋体" w:hint="default"/>
                <w:spacing w:val="-6"/>
                <w:sz w:val="16"/>
                <w:szCs w:val="16"/>
              </w:rPr>
              <w:t>）上的《关</w:t>
            </w:r>
            <w:r>
              <w:rPr>
                <w:rFonts w:ascii="宋体" w:hAnsi="宋体" w:cs="宋体" w:eastAsia="宋体" w:hint="default"/>
                <w:spacing w:val="-59"/>
                <w:sz w:val="16"/>
                <w:szCs w:val="16"/>
              </w:rPr>
              <w:t> </w:t>
            </w:r>
            <w:r>
              <w:rPr>
                <w:rFonts w:ascii="宋体" w:hAnsi="宋体" w:cs="宋体" w:eastAsia="宋体" w:hint="default"/>
                <w:spacing w:val="-59"/>
                <w:sz w:val="16"/>
                <w:szCs w:val="16"/>
              </w:rPr>
            </w:r>
            <w:r>
              <w:rPr>
                <w:rFonts w:ascii="宋体" w:hAnsi="宋体" w:cs="宋体" w:eastAsia="宋体" w:hint="default"/>
                <w:sz w:val="16"/>
                <w:szCs w:val="16"/>
              </w:rPr>
              <w:t>于孙公司中行置盛投资</w:t>
            </w:r>
            <w:r>
              <w:rPr>
                <w:rFonts w:ascii="Times New Roman" w:hAnsi="Times New Roman" w:cs="Times New Roman" w:eastAsia="Times New Roman" w:hint="default"/>
                <w:sz w:val="16"/>
                <w:szCs w:val="16"/>
              </w:rPr>
              <w:t>(</w:t>
            </w:r>
            <w:r>
              <w:rPr>
                <w:rFonts w:ascii="宋体" w:hAnsi="宋体" w:cs="宋体" w:eastAsia="宋体" w:hint="default"/>
                <w:sz w:val="16"/>
                <w:szCs w:val="16"/>
              </w:rPr>
              <w:t>北京</w:t>
            </w:r>
            <w:r>
              <w:rPr>
                <w:rFonts w:ascii="Times New Roman" w:hAnsi="Times New Roman" w:cs="Times New Roman" w:eastAsia="Times New Roman" w:hint="default"/>
                <w:sz w:val="16"/>
                <w:szCs w:val="16"/>
              </w:rPr>
              <w:t>)</w:t>
            </w:r>
            <w:r>
              <w:rPr>
                <w:rFonts w:ascii="Times New Roman" w:hAnsi="Times New Roman" w:cs="Times New Roman" w:eastAsia="Times New Roman" w:hint="default"/>
                <w:w w:val="100"/>
                <w:sz w:val="16"/>
                <w:szCs w:val="16"/>
              </w:rPr>
              <w:t> </w:t>
            </w:r>
            <w:r>
              <w:rPr>
                <w:rFonts w:ascii="宋体" w:hAnsi="宋体" w:cs="宋体" w:eastAsia="宋体" w:hint="default"/>
                <w:sz w:val="16"/>
                <w:szCs w:val="16"/>
              </w:rPr>
              <w:t>有限公司向关联方租赁办公场</w:t>
            </w:r>
            <w:r>
              <w:rPr>
                <w:rFonts w:ascii="宋体" w:hAnsi="宋体" w:cs="宋体" w:eastAsia="宋体" w:hint="default"/>
                <w:w w:val="100"/>
                <w:sz w:val="16"/>
                <w:szCs w:val="16"/>
              </w:rPr>
              <w:t> </w:t>
            </w:r>
            <w:r>
              <w:rPr>
                <w:rFonts w:ascii="宋体" w:hAnsi="宋体" w:cs="宋体" w:eastAsia="宋体" w:hint="default"/>
                <w:spacing w:val="-9"/>
                <w:w w:val="100"/>
                <w:sz w:val="16"/>
                <w:szCs w:val="16"/>
              </w:rPr>
              <w:t>所的公告》（公告编号：</w:t>
            </w:r>
          </w:p>
          <w:p>
            <w:pPr>
              <w:pStyle w:val="TableParagraph"/>
              <w:spacing w:line="240" w:lineRule="auto" w:before="32"/>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2017-036</w:t>
            </w:r>
            <w:r>
              <w:rPr>
                <w:rFonts w:ascii="宋体" w:hAnsi="宋体" w:cs="宋体" w:eastAsia="宋体" w:hint="default"/>
                <w:sz w:val="16"/>
                <w:szCs w:val="16"/>
              </w:rPr>
              <w:t>）</w:t>
            </w:r>
          </w:p>
        </w:tc>
      </w:tr>
      <w:tr>
        <w:trPr>
          <w:trHeight w:val="357" w:hRule="exact"/>
        </w:trPr>
        <w:tc>
          <w:tcPr>
            <w:tcW w:w="1592"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713" w:type="dxa"/>
            <w:tcBorders>
              <w:top w:val="single" w:sz="4" w:space="0" w:color="000000"/>
              <w:left w:val="single" w:sz="4" w:space="0" w:color="000000"/>
              <w:bottom w:val="nil" w:sz="6" w:space="0" w:color="auto"/>
              <w:right w:val="single" w:sz="4" w:space="0" w:color="000000"/>
            </w:tcBorders>
          </w:tcPr>
          <w:p>
            <w:pPr/>
          </w:p>
        </w:tc>
        <w:tc>
          <w:tcPr>
            <w:tcW w:w="1846" w:type="dxa"/>
            <w:tcBorders>
              <w:top w:val="single" w:sz="4" w:space="0" w:color="000000"/>
              <w:left w:val="single" w:sz="4" w:space="0" w:color="000000"/>
              <w:bottom w:val="nil" w:sz="6" w:space="0" w:color="auto"/>
              <w:right w:val="single" w:sz="4" w:space="0" w:color="000000"/>
            </w:tcBorders>
          </w:tcPr>
          <w:p>
            <w:pPr/>
          </w:p>
        </w:tc>
        <w:tc>
          <w:tcPr>
            <w:tcW w:w="711"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22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巨潮资讯网</w:t>
            </w:r>
          </w:p>
        </w:tc>
      </w:tr>
      <w:tr>
        <w:trPr>
          <w:trHeight w:val="311" w:hRule="exact"/>
        </w:trPr>
        <w:tc>
          <w:tcPr>
            <w:tcW w:w="159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713"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211"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23" w:right="0"/>
              <w:jc w:val="left"/>
              <w:rPr>
                <w:rFonts w:ascii="宋体" w:hAnsi="宋体" w:cs="宋体" w:eastAsia="宋体" w:hint="default"/>
                <w:sz w:val="16"/>
                <w:szCs w:val="16"/>
              </w:rPr>
            </w:pPr>
            <w:r>
              <w:rPr>
                <w:rFonts w:ascii="宋体" w:hAnsi="宋体" w:cs="宋体" w:eastAsia="宋体" w:hint="default"/>
                <w:spacing w:val="-6"/>
                <w:sz w:val="16"/>
                <w:szCs w:val="16"/>
              </w:rPr>
              <w:t>（</w:t>
            </w:r>
            <w:hyperlink r:id="rId13">
              <w:r>
                <w:rPr>
                  <w:rFonts w:ascii="Times New Roman" w:hAnsi="Times New Roman" w:cs="Times New Roman" w:eastAsia="Times New Roman" w:hint="default"/>
                  <w:spacing w:val="-6"/>
                  <w:sz w:val="16"/>
                  <w:szCs w:val="16"/>
                </w:rPr>
                <w:t>www.cninfo.com.cn</w:t>
              </w:r>
            </w:hyperlink>
            <w:r>
              <w:rPr>
                <w:rFonts w:ascii="宋体" w:hAnsi="宋体" w:cs="宋体" w:eastAsia="宋体" w:hint="default"/>
                <w:spacing w:val="-6"/>
                <w:sz w:val="16"/>
                <w:szCs w:val="16"/>
              </w:rPr>
              <w:t>）上的《关</w:t>
            </w:r>
          </w:p>
        </w:tc>
      </w:tr>
      <w:tr>
        <w:trPr>
          <w:trHeight w:val="316" w:hRule="exact"/>
        </w:trPr>
        <w:tc>
          <w:tcPr>
            <w:tcW w:w="159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孙公司中</w:t>
            </w:r>
          </w:p>
        </w:tc>
        <w:tc>
          <w:tcPr>
            <w:tcW w:w="713"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房屋租金为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（天</w:t>
            </w:r>
          </w:p>
        </w:tc>
        <w:tc>
          <w:tcPr>
            <w:tcW w:w="711"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p>
        </w:tc>
        <w:tc>
          <w:tcPr>
            <w:tcW w:w="2211"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于孙公司中行置盛投资</w:t>
            </w:r>
            <w:r>
              <w:rPr>
                <w:rFonts w:ascii="Times New Roman" w:hAnsi="Times New Roman" w:cs="Times New Roman" w:eastAsia="Times New Roman" w:hint="default"/>
                <w:sz w:val="16"/>
                <w:szCs w:val="16"/>
              </w:rPr>
              <w:t>(</w:t>
            </w:r>
            <w:r>
              <w:rPr>
                <w:rFonts w:ascii="宋体" w:hAnsi="宋体" w:cs="宋体" w:eastAsia="宋体" w:hint="default"/>
                <w:sz w:val="16"/>
                <w:szCs w:val="16"/>
              </w:rPr>
              <w:t>北京</w:t>
            </w:r>
            <w:r>
              <w:rPr>
                <w:rFonts w:ascii="Times New Roman" w:hAnsi="Times New Roman" w:cs="Times New Roman" w:eastAsia="Times New Roman" w:hint="default"/>
                <w:sz w:val="16"/>
                <w:szCs w:val="16"/>
              </w:rPr>
              <w:t>)</w:t>
            </w:r>
          </w:p>
        </w:tc>
      </w:tr>
      <w:tr>
        <w:trPr>
          <w:trHeight w:val="1249" w:hRule="exact"/>
        </w:trPr>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九立方、京城九方</w:t>
            </w:r>
          </w:p>
          <w:p>
            <w:pPr>
              <w:pStyle w:val="TableParagraph"/>
              <w:spacing w:line="309" w:lineRule="auto" w:before="76"/>
              <w:ind w:left="23" w:right="19"/>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月起 出租方由九立方变 更为京城九方）</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319" w:lineRule="auto" w:before="161"/>
              <w:ind w:left="24" w:right="132"/>
              <w:jc w:val="both"/>
              <w:rPr>
                <w:rFonts w:ascii="宋体" w:hAnsi="宋体" w:cs="宋体" w:eastAsia="宋体" w:hint="default"/>
                <w:sz w:val="18"/>
                <w:szCs w:val="18"/>
              </w:rPr>
            </w:pPr>
            <w:r>
              <w:rPr>
                <w:rFonts w:ascii="宋体" w:hAnsi="宋体" w:cs="宋体" w:eastAsia="宋体" w:hint="default"/>
                <w:sz w:val="18"/>
                <w:szCs w:val="18"/>
              </w:rPr>
              <w:t>控股股 东关联 方</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3" w:right="46"/>
              <w:jc w:val="both"/>
              <w:rPr>
                <w:rFonts w:ascii="宋体" w:hAnsi="宋体" w:cs="宋体" w:eastAsia="宋体" w:hint="default"/>
                <w:sz w:val="18"/>
                <w:szCs w:val="18"/>
              </w:rPr>
            </w:pPr>
            <w:r>
              <w:rPr>
                <w:rFonts w:ascii="宋体" w:hAnsi="宋体" w:cs="宋体" w:eastAsia="宋体" w:hint="default"/>
                <w:sz w:val="18"/>
                <w:szCs w:val="18"/>
              </w:rPr>
              <w:t>行置盛向 九立方</w:t>
            </w:r>
            <w:r>
              <w:rPr>
                <w:rFonts w:ascii="Times New Roman" w:hAnsi="Times New Roman" w:cs="Times New Roman" w:eastAsia="Times New Roman" w:hint="default"/>
                <w:sz w:val="18"/>
                <w:szCs w:val="18"/>
              </w:rPr>
              <w:t>/</w:t>
            </w:r>
            <w:r>
              <w:rPr>
                <w:rFonts w:ascii="宋体" w:hAnsi="宋体" w:cs="宋体" w:eastAsia="宋体" w:hint="default"/>
                <w:sz w:val="18"/>
                <w:szCs w:val="18"/>
              </w:rPr>
              <w:t>京 城九方租 赁办公场</w:t>
            </w:r>
          </w:p>
        </w:tc>
        <w:tc>
          <w:tcPr>
            <w:tcW w:w="71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319" w:lineRule="auto"/>
              <w:ind w:left="24" w:right="137"/>
              <w:jc w:val="left"/>
              <w:rPr>
                <w:rFonts w:ascii="宋体" w:hAnsi="宋体" w:cs="宋体" w:eastAsia="宋体" w:hint="default"/>
                <w:sz w:val="18"/>
                <w:szCs w:val="18"/>
              </w:rPr>
            </w:pPr>
            <w:r>
              <w:rPr>
                <w:rFonts w:ascii="宋体" w:hAnsi="宋体" w:cs="宋体" w:eastAsia="宋体" w:hint="default"/>
                <w:sz w:val="18"/>
                <w:szCs w:val="18"/>
              </w:rPr>
              <w:t>市场公 允价</w:t>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z w:val="18"/>
                <w:szCs w:val="18"/>
              </w:rPr>
              <w:t>平方米</w:t>
            </w:r>
            <w:r>
              <w:rPr>
                <w:rFonts w:ascii="宋体" w:hAnsi="宋体" w:cs="宋体" w:eastAsia="宋体" w:hint="default"/>
                <w:spacing w:val="-92"/>
                <w:sz w:val="18"/>
                <w:szCs w:val="18"/>
              </w:rPr>
              <w:t>）</w:t>
            </w: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日租赁面积由</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平方米调整为</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 </w:t>
            </w:r>
            <w:r>
              <w:rPr>
                <w:rFonts w:ascii="宋体" w:hAnsi="宋体" w:cs="宋体" w:eastAsia="宋体" w:hint="default"/>
                <w:sz w:val="18"/>
                <w:szCs w:val="18"/>
              </w:rPr>
              <w:t>平方米，</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年房屋</w:t>
            </w: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178.62</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39.98%</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498.42</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319" w:lineRule="auto"/>
              <w:ind w:left="24" w:right="134"/>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178.62</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tc>
        <w:tc>
          <w:tcPr>
            <w:tcW w:w="2211" w:type="dxa"/>
            <w:tcBorders>
              <w:top w:val="nil" w:sz="6" w:space="0" w:color="auto"/>
              <w:left w:val="single" w:sz="4" w:space="0" w:color="000000"/>
              <w:bottom w:val="nil" w:sz="6" w:space="0" w:color="auto"/>
              <w:right w:val="single" w:sz="4" w:space="0" w:color="000000"/>
            </w:tcBorders>
          </w:tcPr>
          <w:p>
            <w:pPr>
              <w:pStyle w:val="TableParagraph"/>
              <w:spacing w:line="357" w:lineRule="auto" w:before="24"/>
              <w:ind w:left="23" w:right="92"/>
              <w:jc w:val="left"/>
              <w:rPr>
                <w:rFonts w:ascii="宋体" w:hAnsi="宋体" w:cs="宋体" w:eastAsia="宋体" w:hint="default"/>
                <w:sz w:val="16"/>
                <w:szCs w:val="16"/>
              </w:rPr>
            </w:pPr>
            <w:r>
              <w:rPr>
                <w:rFonts w:ascii="宋体" w:hAnsi="宋体" w:cs="宋体" w:eastAsia="宋体" w:hint="default"/>
                <w:sz w:val="16"/>
                <w:szCs w:val="16"/>
              </w:rPr>
              <w:t>有限公司向关联方续租办公场</w:t>
            </w:r>
            <w:r>
              <w:rPr>
                <w:rFonts w:ascii="宋体" w:hAnsi="宋体" w:cs="宋体" w:eastAsia="宋体" w:hint="default"/>
                <w:w w:val="100"/>
                <w:sz w:val="16"/>
                <w:szCs w:val="16"/>
              </w:rPr>
              <w:t> </w:t>
            </w:r>
            <w:r>
              <w:rPr>
                <w:rFonts w:ascii="宋体" w:hAnsi="宋体" w:cs="宋体" w:eastAsia="宋体" w:hint="default"/>
                <w:spacing w:val="-9"/>
                <w:w w:val="100"/>
                <w:sz w:val="16"/>
                <w:szCs w:val="16"/>
              </w:rPr>
              <w:t>所的公告》（公告编号：</w:t>
            </w:r>
          </w:p>
          <w:p>
            <w:pPr>
              <w:pStyle w:val="TableParagraph"/>
              <w:spacing w:line="338" w:lineRule="auto" w:before="24"/>
              <w:ind w:left="23" w:right="20"/>
              <w:jc w:val="left"/>
              <w:rPr>
                <w:rFonts w:ascii="宋体" w:hAnsi="宋体" w:cs="宋体" w:eastAsia="宋体" w:hint="default"/>
                <w:sz w:val="16"/>
                <w:szCs w:val="16"/>
              </w:rPr>
            </w:pPr>
            <w:r>
              <w:rPr>
                <w:rFonts w:ascii="Times New Roman" w:hAnsi="Times New Roman" w:cs="Times New Roman" w:eastAsia="Times New Roman" w:hint="default"/>
                <w:spacing w:val="-13"/>
                <w:w w:val="100"/>
                <w:sz w:val="16"/>
                <w:szCs w:val="16"/>
              </w:rPr>
              <w:t>2018-097</w:t>
            </w:r>
            <w:r>
              <w:rPr>
                <w:rFonts w:ascii="宋体" w:hAnsi="宋体" w:cs="宋体" w:eastAsia="宋体" w:hint="default"/>
                <w:spacing w:val="-13"/>
                <w:w w:val="100"/>
                <w:sz w:val="16"/>
                <w:szCs w:val="16"/>
              </w:rPr>
              <w:t>）、《关于孙公司中行置</w:t>
            </w:r>
            <w:r>
              <w:rPr>
                <w:rFonts w:ascii="宋体" w:hAnsi="宋体" w:cs="宋体" w:eastAsia="宋体" w:hint="default"/>
                <w:spacing w:val="-73"/>
                <w:w w:val="100"/>
                <w:sz w:val="16"/>
                <w:szCs w:val="16"/>
              </w:rPr>
              <w:t> </w:t>
            </w:r>
            <w:r>
              <w:rPr>
                <w:rFonts w:ascii="宋体" w:hAnsi="宋体" w:cs="宋体" w:eastAsia="宋体" w:hint="default"/>
                <w:spacing w:val="-73"/>
                <w:w w:val="100"/>
                <w:sz w:val="16"/>
                <w:szCs w:val="16"/>
              </w:rPr>
            </w:r>
            <w:r>
              <w:rPr>
                <w:rFonts w:ascii="宋体" w:hAnsi="宋体" w:cs="宋体" w:eastAsia="宋体" w:hint="default"/>
                <w:sz w:val="16"/>
                <w:szCs w:val="16"/>
              </w:rPr>
              <w:t>盛投资（北京）有限公司向关</w:t>
            </w:r>
          </w:p>
        </w:tc>
      </w:tr>
      <w:tr>
        <w:trPr>
          <w:trHeight w:val="318" w:hRule="exact"/>
        </w:trPr>
        <w:tc>
          <w:tcPr>
            <w:tcW w:w="159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所</w:t>
            </w:r>
          </w:p>
        </w:tc>
        <w:tc>
          <w:tcPr>
            <w:tcW w:w="713"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租金共计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498.42 </w:t>
            </w:r>
            <w:r>
              <w:rPr>
                <w:rFonts w:ascii="宋体" w:hAnsi="宋体" w:cs="宋体" w:eastAsia="宋体" w:hint="default"/>
                <w:sz w:val="18"/>
                <w:szCs w:val="18"/>
              </w:rPr>
              <w:t>万元</w:t>
            </w:r>
          </w:p>
        </w:tc>
        <w:tc>
          <w:tcPr>
            <w:tcW w:w="711"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11"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宋体" w:hAnsi="宋体" w:cs="宋体" w:eastAsia="宋体" w:hint="default"/>
                <w:sz w:val="16"/>
                <w:szCs w:val="16"/>
              </w:rPr>
            </w:pPr>
            <w:r>
              <w:rPr>
                <w:rFonts w:ascii="宋体" w:hAnsi="宋体" w:cs="宋体" w:eastAsia="宋体" w:hint="default"/>
                <w:sz w:val="16"/>
                <w:szCs w:val="16"/>
              </w:rPr>
              <w:t>联方续租办公场所的进展公</w:t>
            </w:r>
          </w:p>
        </w:tc>
      </w:tr>
      <w:tr>
        <w:trPr>
          <w:trHeight w:val="308" w:hRule="exact"/>
        </w:trPr>
        <w:tc>
          <w:tcPr>
            <w:tcW w:w="159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713"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211"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left="23" w:right="0"/>
              <w:jc w:val="left"/>
              <w:rPr>
                <w:rFonts w:ascii="宋体" w:hAnsi="宋体" w:cs="宋体" w:eastAsia="宋体" w:hint="default"/>
                <w:sz w:val="16"/>
                <w:szCs w:val="16"/>
              </w:rPr>
            </w:pPr>
            <w:r>
              <w:rPr>
                <w:rFonts w:ascii="宋体" w:hAnsi="宋体" w:cs="宋体" w:eastAsia="宋体" w:hint="default"/>
                <w:w w:val="100"/>
                <w:sz w:val="16"/>
                <w:szCs w:val="16"/>
              </w:rPr>
              <w:t>告</w:t>
            </w:r>
            <w:r>
              <w:rPr>
                <w:rFonts w:ascii="宋体" w:hAnsi="宋体" w:cs="宋体" w:eastAsia="宋体" w:hint="default"/>
                <w:spacing w:val="-80"/>
                <w:w w:val="100"/>
                <w:sz w:val="16"/>
                <w:szCs w:val="16"/>
              </w:rPr>
              <w:t>》</w:t>
            </w:r>
            <w:r>
              <w:rPr>
                <w:rFonts w:ascii="宋体" w:hAnsi="宋体" w:cs="宋体" w:eastAsia="宋体" w:hint="default"/>
                <w:spacing w:val="-3"/>
                <w:w w:val="100"/>
                <w:sz w:val="16"/>
                <w:szCs w:val="16"/>
              </w:rPr>
              <w:t>（</w:t>
            </w:r>
            <w:r>
              <w:rPr>
                <w:rFonts w:ascii="宋体" w:hAnsi="宋体" w:cs="宋体" w:eastAsia="宋体" w:hint="default"/>
                <w:w w:val="100"/>
                <w:sz w:val="16"/>
                <w:szCs w:val="16"/>
              </w:rPr>
              <w:t>公告</w:t>
            </w:r>
            <w:r>
              <w:rPr>
                <w:rFonts w:ascii="宋体" w:hAnsi="宋体" w:cs="宋体" w:eastAsia="宋体" w:hint="default"/>
                <w:spacing w:val="-3"/>
                <w:w w:val="100"/>
                <w:sz w:val="16"/>
                <w:szCs w:val="16"/>
              </w:rPr>
              <w:t>编</w:t>
            </w:r>
            <w:r>
              <w:rPr>
                <w:rFonts w:ascii="宋体" w:hAnsi="宋体" w:cs="宋体" w:eastAsia="宋体" w:hint="default"/>
                <w:w w:val="100"/>
                <w:sz w:val="16"/>
                <w:szCs w:val="16"/>
              </w:rPr>
              <w:t>号</w:t>
            </w:r>
            <w:r>
              <w:rPr>
                <w:rFonts w:ascii="宋体" w:hAnsi="宋体" w:cs="宋体" w:eastAsia="宋体" w:hint="default"/>
                <w:spacing w:val="-3"/>
                <w:w w:val="100"/>
                <w:sz w:val="16"/>
                <w:szCs w:val="16"/>
              </w:rPr>
              <w:t>：</w:t>
            </w:r>
            <w:r>
              <w:rPr>
                <w:rFonts w:ascii="Times New Roman" w:hAnsi="Times New Roman" w:cs="Times New Roman" w:eastAsia="Times New Roman" w:hint="default"/>
                <w:w w:val="100"/>
                <w:sz w:val="16"/>
                <w:szCs w:val="16"/>
              </w:rPr>
              <w:t>2</w:t>
            </w:r>
            <w:r>
              <w:rPr>
                <w:rFonts w:ascii="Times New Roman" w:hAnsi="Times New Roman" w:cs="Times New Roman" w:eastAsia="Times New Roman" w:hint="default"/>
                <w:spacing w:val="-2"/>
                <w:w w:val="100"/>
                <w:sz w:val="16"/>
                <w:szCs w:val="16"/>
              </w:rPr>
              <w:t>01</w:t>
            </w:r>
            <w:r>
              <w:rPr>
                <w:rFonts w:ascii="Times New Roman" w:hAnsi="Times New Roman" w:cs="Times New Roman" w:eastAsia="Times New Roman" w:hint="default"/>
                <w:spacing w:val="1"/>
                <w:w w:val="100"/>
                <w:sz w:val="16"/>
                <w:szCs w:val="16"/>
              </w:rPr>
              <w:t>8</w:t>
            </w:r>
            <w:r>
              <w:rPr>
                <w:rFonts w:ascii="Times New Roman" w:hAnsi="Times New Roman" w:cs="Times New Roman" w:eastAsia="Times New Roman" w:hint="default"/>
                <w:spacing w:val="-1"/>
                <w:w w:val="100"/>
                <w:sz w:val="16"/>
                <w:szCs w:val="16"/>
              </w:rPr>
              <w:t>-</w:t>
            </w:r>
            <w:r>
              <w:rPr>
                <w:rFonts w:ascii="Times New Roman" w:hAnsi="Times New Roman" w:cs="Times New Roman" w:eastAsia="Times New Roman" w:hint="default"/>
                <w:spacing w:val="-2"/>
                <w:w w:val="100"/>
                <w:sz w:val="16"/>
                <w:szCs w:val="16"/>
              </w:rPr>
              <w:t>1</w:t>
            </w:r>
            <w:r>
              <w:rPr>
                <w:rFonts w:ascii="Times New Roman" w:hAnsi="Times New Roman" w:cs="Times New Roman" w:eastAsia="Times New Roman" w:hint="default"/>
                <w:w w:val="100"/>
                <w:sz w:val="16"/>
                <w:szCs w:val="16"/>
              </w:rPr>
              <w:t>3</w:t>
            </w:r>
            <w:r>
              <w:rPr>
                <w:rFonts w:ascii="Times New Roman" w:hAnsi="Times New Roman" w:cs="Times New Roman" w:eastAsia="Times New Roman" w:hint="default"/>
                <w:spacing w:val="-2"/>
                <w:w w:val="100"/>
                <w:sz w:val="16"/>
                <w:szCs w:val="16"/>
              </w:rPr>
              <w:t>7</w:t>
            </w:r>
            <w:r>
              <w:rPr>
                <w:rFonts w:ascii="宋体" w:hAnsi="宋体" w:cs="宋体" w:eastAsia="宋体" w:hint="default"/>
                <w:w w:val="100"/>
                <w:sz w:val="16"/>
                <w:szCs w:val="16"/>
              </w:rPr>
              <w:t>、</w:t>
            </w:r>
          </w:p>
        </w:tc>
      </w:tr>
      <w:tr>
        <w:trPr>
          <w:trHeight w:val="353" w:hRule="exact"/>
        </w:trPr>
        <w:tc>
          <w:tcPr>
            <w:tcW w:w="1592"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713" w:type="dxa"/>
            <w:tcBorders>
              <w:top w:val="nil" w:sz="6" w:space="0" w:color="auto"/>
              <w:left w:val="single" w:sz="4" w:space="0" w:color="000000"/>
              <w:bottom w:val="single" w:sz="4" w:space="0" w:color="000000"/>
              <w:right w:val="single" w:sz="4" w:space="0" w:color="000000"/>
            </w:tcBorders>
          </w:tcPr>
          <w:p>
            <w:pPr/>
          </w:p>
        </w:tc>
        <w:tc>
          <w:tcPr>
            <w:tcW w:w="1846" w:type="dxa"/>
            <w:tcBorders>
              <w:top w:val="nil" w:sz="6" w:space="0" w:color="auto"/>
              <w:left w:val="single" w:sz="4" w:space="0" w:color="000000"/>
              <w:bottom w:val="single" w:sz="4" w:space="0" w:color="000000"/>
              <w:right w:val="single" w:sz="4" w:space="0" w:color="000000"/>
            </w:tcBorders>
          </w:tcPr>
          <w:p>
            <w:pPr/>
          </w:p>
        </w:tc>
        <w:tc>
          <w:tcPr>
            <w:tcW w:w="711"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22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2018-167</w:t>
            </w:r>
            <w:r>
              <w:rPr>
                <w:rFonts w:ascii="宋体" w:hAnsi="宋体" w:cs="宋体" w:eastAsia="宋体" w:hint="default"/>
                <w:sz w:val="16"/>
                <w:szCs w:val="16"/>
              </w:rPr>
              <w:t>）</w:t>
            </w:r>
          </w:p>
        </w:tc>
      </w:tr>
      <w:tr>
        <w:trPr>
          <w:trHeight w:val="401" w:hRule="exact"/>
        </w:trPr>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446.82</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1,329.54</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31"/>
        <w:ind w:left="6966" w:right="6981"/>
        <w:jc w:val="center"/>
        <w:rPr>
          <w:rFonts w:ascii="Times New Roman" w:hAnsi="Times New Roman" w:cs="Times New Roman" w:eastAsia="Times New Roman" w:hint="default"/>
        </w:rPr>
      </w:pPr>
      <w:r>
        <w:rPr>
          <w:rFonts w:ascii="Times New Roman"/>
        </w:rPr>
        <w:t>48</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2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280"/>
        </w:sectPr>
      </w:pPr>
    </w:p>
    <w:p>
      <w:pPr>
        <w:spacing w:line="240" w:lineRule="auto" w:before="9"/>
        <w:rPr>
          <w:rFonts w:ascii="Times New Roman" w:hAnsi="Times New Roman" w:cs="Times New Roman" w:eastAsia="Times New Roman" w:hint="default"/>
          <w:sz w:val="23"/>
          <w:szCs w:val="23"/>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pStyle w:val="BodyText"/>
        <w:spacing w:line="340" w:lineRule="auto" w:before="39"/>
        <w:ind w:right="9494"/>
        <w:jc w:val="left"/>
      </w:pPr>
      <w:r>
        <w:rPr/>
        <w:pict>
          <v:group style="position:absolute;margin-left:219.649994pt;margin-top:124.321732pt;width:52.45pt;height:70.2pt;mso-position-horizontal-relative:page;mso-position-vertical-relative:paragraph;z-index:-1196920" coordorigin="4393,2486" coordsize="1049,1404">
            <v:shape style="position:absolute;left:4393;top:2486;width:1049;height:1404" coordorigin="4393,2486" coordsize="1049,1404" path="m4393,3890l5442,3890,5442,2486,4393,2486,4393,3890xe" filled="true" fillcolor="#ffffff" stroked="false">
              <v:path arrowok="t"/>
              <v:fill type="solid"/>
            </v:shape>
            <w10:wrap type="none"/>
          </v:group>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应付关联方债务</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172"/>
        <w:gridCol w:w="1051"/>
        <w:gridCol w:w="1059"/>
        <w:gridCol w:w="1058"/>
        <w:gridCol w:w="1061"/>
        <w:gridCol w:w="1058"/>
        <w:gridCol w:w="1058"/>
        <w:gridCol w:w="1059"/>
        <w:gridCol w:w="1121"/>
      </w:tblGrid>
      <w:tr>
        <w:trPr>
          <w:trHeight w:val="713"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5" w:right="19" w:hanging="322"/>
              <w:jc w:val="left"/>
              <w:rPr>
                <w:rFonts w:ascii="宋体" w:hAnsi="宋体" w:cs="宋体" w:eastAsia="宋体" w:hint="default"/>
                <w:sz w:val="18"/>
                <w:szCs w:val="18"/>
              </w:rPr>
            </w:pPr>
            <w:r>
              <w:rPr>
                <w:rFonts w:ascii="宋体" w:hAnsi="宋体" w:cs="宋体" w:eastAsia="宋体" w:hint="default"/>
                <w:spacing w:val="-13"/>
                <w:sz w:val="18"/>
                <w:szCs w:val="18"/>
              </w:rPr>
              <w:t>期初余额（万</w:t>
            </w:r>
            <w:r>
              <w:rPr>
                <w:rFonts w:ascii="宋体" w:hAnsi="宋体" w:cs="宋体" w:eastAsia="宋体" w:hint="default"/>
                <w:sz w:val="18"/>
                <w:szCs w:val="18"/>
              </w:rPr>
              <w:t> 元）</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4" w:right="75"/>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4" w:right="72"/>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6" w:right="20" w:hanging="323"/>
              <w:jc w:val="left"/>
              <w:rPr>
                <w:rFonts w:ascii="宋体" w:hAnsi="宋体" w:cs="宋体" w:eastAsia="宋体" w:hint="default"/>
                <w:sz w:val="18"/>
                <w:szCs w:val="18"/>
              </w:rPr>
            </w:pPr>
            <w:r>
              <w:rPr>
                <w:rFonts w:ascii="宋体" w:hAnsi="宋体" w:cs="宋体" w:eastAsia="宋体" w:hint="default"/>
                <w:spacing w:val="-13"/>
                <w:sz w:val="18"/>
                <w:szCs w:val="18"/>
              </w:rPr>
              <w:t>本期利息（万</w:t>
            </w:r>
            <w:r>
              <w:rPr>
                <w:rFonts w:ascii="宋体" w:hAnsi="宋体" w:cs="宋体" w:eastAsia="宋体" w:hint="default"/>
                <w:sz w:val="18"/>
                <w:szCs w:val="18"/>
              </w:rPr>
              <w:t> 元）</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74" w:right="21" w:hanging="351"/>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r>
        <w:trPr>
          <w:trHeight w:val="1028"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5"/>
              <w:jc w:val="left"/>
              <w:rPr>
                <w:rFonts w:ascii="宋体" w:hAnsi="宋体" w:cs="宋体" w:eastAsia="宋体" w:hint="default"/>
                <w:sz w:val="18"/>
                <w:szCs w:val="18"/>
              </w:rPr>
            </w:pPr>
            <w:r>
              <w:rPr>
                <w:rFonts w:ascii="宋体" w:hAnsi="宋体" w:cs="宋体" w:eastAsia="宋体" w:hint="default"/>
                <w:sz w:val="18"/>
                <w:szCs w:val="18"/>
              </w:rPr>
              <w:t>上市公司副 总裁</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以前年度寇 汉代垫哆可 梦广告费用</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258.16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258.16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1172" w:type="dxa"/>
            <w:tcBorders>
              <w:top w:val="single" w:sz="4" w:space="0" w:color="000000"/>
              <w:left w:val="single" w:sz="4" w:space="0" w:color="000000"/>
              <w:bottom w:val="nil" w:sz="6" w:space="0" w:color="auto"/>
              <w:right w:val="single" w:sz="4" w:space="0" w:color="000000"/>
            </w:tcBorders>
          </w:tcPr>
          <w:p>
            <w:pPr/>
          </w:p>
        </w:tc>
        <w:tc>
          <w:tcPr>
            <w:tcW w:w="1051" w:type="dxa"/>
            <w:tcBorders>
              <w:top w:val="single" w:sz="4" w:space="0" w:color="000000"/>
              <w:left w:val="single" w:sz="4" w:space="0" w:color="000000"/>
              <w:bottom w:val="nil" w:sz="6" w:space="0" w:color="auto"/>
              <w:right w:val="single" w:sz="4" w:space="0" w:color="000000"/>
            </w:tcBorders>
          </w:tcPr>
          <w:p>
            <w:pPr/>
          </w:p>
        </w:tc>
        <w:tc>
          <w:tcPr>
            <w:tcW w:w="10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根据哆可梦</w:t>
            </w:r>
          </w:p>
        </w:tc>
        <w:tc>
          <w:tcPr>
            <w:tcW w:w="10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nil" w:sz="6" w:space="0" w:color="auto"/>
              <w:right w:val="single" w:sz="4" w:space="0" w:color="000000"/>
            </w:tcBorders>
          </w:tcPr>
          <w:p>
            <w:pPr/>
          </w:p>
        </w:tc>
        <w:tc>
          <w:tcPr>
            <w:tcW w:w="1058" w:type="dxa"/>
            <w:tcBorders>
              <w:top w:val="single" w:sz="4" w:space="0" w:color="000000"/>
              <w:left w:val="single" w:sz="4" w:space="0" w:color="000000"/>
              <w:bottom w:val="nil" w:sz="6" w:space="0" w:color="auto"/>
              <w:right w:val="single" w:sz="4" w:space="0" w:color="000000"/>
            </w:tcBorders>
          </w:tcPr>
          <w:p>
            <w:pPr/>
          </w:p>
        </w:tc>
        <w:tc>
          <w:tcPr>
            <w:tcW w:w="1058" w:type="dxa"/>
            <w:tcBorders>
              <w:top w:val="single" w:sz="4" w:space="0" w:color="000000"/>
              <w:left w:val="single" w:sz="4" w:space="0" w:color="000000"/>
              <w:bottom w:val="nil" w:sz="6" w:space="0" w:color="auto"/>
              <w:right w:val="single" w:sz="4" w:space="0" w:color="000000"/>
            </w:tcBorders>
          </w:tcPr>
          <w:p>
            <w:pPr/>
          </w:p>
        </w:tc>
        <w:tc>
          <w:tcPr>
            <w:tcW w:w="1059"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172" w:type="dxa"/>
            <w:tcBorders>
              <w:top w:val="nil" w:sz="6" w:space="0" w:color="auto"/>
              <w:left w:val="single" w:sz="4" w:space="0" w:color="000000"/>
              <w:bottom w:val="nil" w:sz="6" w:space="0" w:color="auto"/>
              <w:right w:val="single" w:sz="4" w:space="0" w:color="000000"/>
            </w:tcBorders>
          </w:tcPr>
          <w:p>
            <w:pPr/>
          </w:p>
        </w:tc>
        <w:tc>
          <w:tcPr>
            <w:tcW w:w="1051" w:type="dxa"/>
            <w:tcBorders>
              <w:top w:val="nil" w:sz="6" w:space="0" w:color="auto"/>
              <w:left w:val="single" w:sz="4" w:space="0" w:color="000000"/>
              <w:bottom w:val="nil" w:sz="6" w:space="0" w:color="auto"/>
              <w:right w:val="single" w:sz="4" w:space="0" w:color="000000"/>
            </w:tcBorders>
          </w:tcPr>
          <w:p>
            <w:pPr/>
          </w:p>
        </w:tc>
        <w:tc>
          <w:tcPr>
            <w:tcW w:w="10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前控股股东</w:t>
            </w:r>
          </w:p>
        </w:tc>
        <w:tc>
          <w:tcPr>
            <w:tcW w:w="1058"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58" w:type="dxa"/>
            <w:tcBorders>
              <w:top w:val="nil" w:sz="6" w:space="0" w:color="auto"/>
              <w:left w:val="single" w:sz="4" w:space="0" w:color="000000"/>
              <w:bottom w:val="nil" w:sz="6" w:space="0" w:color="auto"/>
              <w:right w:val="single" w:sz="4" w:space="0" w:color="000000"/>
            </w:tcBorders>
          </w:tcPr>
          <w:p>
            <w:pPr/>
          </w:p>
        </w:tc>
        <w:tc>
          <w:tcPr>
            <w:tcW w:w="1058" w:type="dxa"/>
            <w:tcBorders>
              <w:top w:val="nil" w:sz="6" w:space="0" w:color="auto"/>
              <w:left w:val="single" w:sz="4" w:space="0" w:color="000000"/>
              <w:bottom w:val="nil" w:sz="6" w:space="0" w:color="auto"/>
              <w:right w:val="single" w:sz="4" w:space="0" w:color="000000"/>
            </w:tcBorders>
          </w:tcPr>
          <w:p>
            <w:pPr/>
          </w:p>
        </w:tc>
        <w:tc>
          <w:tcPr>
            <w:tcW w:w="1059"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72" w:type="dxa"/>
            <w:tcBorders>
              <w:top w:val="nil" w:sz="6" w:space="0" w:color="auto"/>
              <w:left w:val="single" w:sz="4" w:space="0" w:color="000000"/>
              <w:bottom w:val="nil" w:sz="6" w:space="0" w:color="auto"/>
              <w:right w:val="single" w:sz="4" w:space="0" w:color="000000"/>
            </w:tcBorders>
          </w:tcPr>
          <w:p>
            <w:pPr/>
          </w:p>
        </w:tc>
        <w:tc>
          <w:tcPr>
            <w:tcW w:w="1051" w:type="dxa"/>
            <w:tcBorders>
              <w:top w:val="nil" w:sz="6" w:space="0" w:color="auto"/>
              <w:left w:val="single" w:sz="4" w:space="0" w:color="000000"/>
              <w:bottom w:val="nil" w:sz="6" w:space="0" w:color="auto"/>
              <w:right w:val="single" w:sz="4" w:space="0" w:color="000000"/>
            </w:tcBorders>
          </w:tcPr>
          <w:p>
            <w:pPr/>
          </w:p>
        </w:tc>
        <w:tc>
          <w:tcPr>
            <w:tcW w:w="10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058"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58" w:type="dxa"/>
            <w:tcBorders>
              <w:top w:val="nil" w:sz="6" w:space="0" w:color="auto"/>
              <w:left w:val="single" w:sz="4" w:space="0" w:color="000000"/>
              <w:bottom w:val="nil" w:sz="6" w:space="0" w:color="auto"/>
              <w:right w:val="single" w:sz="4" w:space="0" w:color="000000"/>
            </w:tcBorders>
          </w:tcPr>
          <w:p>
            <w:pPr/>
          </w:p>
        </w:tc>
        <w:tc>
          <w:tcPr>
            <w:tcW w:w="1058" w:type="dxa"/>
            <w:tcBorders>
              <w:top w:val="nil" w:sz="6" w:space="0" w:color="auto"/>
              <w:left w:val="single" w:sz="4" w:space="0" w:color="000000"/>
              <w:bottom w:val="nil" w:sz="6" w:space="0" w:color="auto"/>
              <w:right w:val="single" w:sz="4" w:space="0" w:color="000000"/>
            </w:tcBorders>
          </w:tcPr>
          <w:p>
            <w:pPr/>
          </w:p>
        </w:tc>
        <w:tc>
          <w:tcPr>
            <w:tcW w:w="1059"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72" w:type="dxa"/>
            <w:tcBorders>
              <w:top w:val="nil" w:sz="6" w:space="0" w:color="auto"/>
              <w:left w:val="single" w:sz="4" w:space="0" w:color="000000"/>
              <w:bottom w:val="nil" w:sz="6" w:space="0" w:color="auto"/>
              <w:right w:val="single" w:sz="4" w:space="0" w:color="000000"/>
            </w:tcBorders>
          </w:tcPr>
          <w:p>
            <w:pPr/>
          </w:p>
        </w:tc>
        <w:tc>
          <w:tcPr>
            <w:tcW w:w="1051" w:type="dxa"/>
            <w:tcBorders>
              <w:top w:val="nil" w:sz="6" w:space="0" w:color="auto"/>
              <w:left w:val="single" w:sz="4" w:space="0" w:color="000000"/>
              <w:bottom w:val="nil" w:sz="6" w:space="0" w:color="auto"/>
              <w:right w:val="single" w:sz="4" w:space="0" w:color="000000"/>
            </w:tcBorders>
          </w:tcPr>
          <w:p>
            <w:pPr/>
          </w:p>
        </w:tc>
        <w:tc>
          <w:tcPr>
            <w:tcW w:w="10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寇汉在公司</w:t>
            </w:r>
          </w:p>
        </w:tc>
        <w:tc>
          <w:tcPr>
            <w:tcW w:w="1058"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58" w:type="dxa"/>
            <w:tcBorders>
              <w:top w:val="nil" w:sz="6" w:space="0" w:color="auto"/>
              <w:left w:val="single" w:sz="4" w:space="0" w:color="000000"/>
              <w:bottom w:val="nil" w:sz="6" w:space="0" w:color="auto"/>
              <w:right w:val="single" w:sz="4" w:space="0" w:color="000000"/>
            </w:tcBorders>
          </w:tcPr>
          <w:p>
            <w:pPr/>
          </w:p>
        </w:tc>
        <w:tc>
          <w:tcPr>
            <w:tcW w:w="1058" w:type="dxa"/>
            <w:tcBorders>
              <w:top w:val="nil" w:sz="6" w:space="0" w:color="auto"/>
              <w:left w:val="single" w:sz="4" w:space="0" w:color="000000"/>
              <w:bottom w:val="nil" w:sz="6" w:space="0" w:color="auto"/>
              <w:right w:val="single" w:sz="4" w:space="0" w:color="000000"/>
            </w:tcBorders>
          </w:tcPr>
          <w:p>
            <w:pPr/>
          </w:p>
        </w:tc>
        <w:tc>
          <w:tcPr>
            <w:tcW w:w="1059"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1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1051" w:type="dxa"/>
            <w:tcBorders>
              <w:top w:val="nil" w:sz="6" w:space="0" w:color="auto"/>
              <w:left w:val="single" w:sz="4" w:space="0" w:color="000000"/>
              <w:bottom w:val="nil" w:sz="6" w:space="0" w:color="auto"/>
              <w:right w:val="single" w:sz="4" w:space="0" w:color="000000"/>
            </w:tcBorders>
          </w:tcPr>
          <w:p>
            <w:pPr>
              <w:pStyle w:val="TableParagraph"/>
              <w:spacing w:line="314" w:lineRule="auto" w:before="13"/>
              <w:ind w:left="23" w:right="115"/>
              <w:jc w:val="left"/>
              <w:rPr>
                <w:rFonts w:ascii="宋体" w:hAnsi="宋体" w:cs="宋体" w:eastAsia="宋体" w:hint="default"/>
                <w:sz w:val="18"/>
                <w:szCs w:val="18"/>
              </w:rPr>
            </w:pPr>
            <w:r>
              <w:rPr>
                <w:rFonts w:ascii="宋体" w:hAnsi="宋体" w:cs="宋体" w:eastAsia="宋体" w:hint="default"/>
                <w:sz w:val="18"/>
                <w:szCs w:val="18"/>
              </w:rPr>
              <w:t>上市公司副 总裁</w:t>
            </w:r>
          </w:p>
        </w:tc>
        <w:tc>
          <w:tcPr>
            <w:tcW w:w="1059"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年重大 资产重组时</w:t>
            </w:r>
          </w:p>
        </w:tc>
        <w:tc>
          <w:tcPr>
            <w:tcW w:w="1058"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w:t>
            </w:r>
          </w:p>
        </w:tc>
        <w:tc>
          <w:tcPr>
            <w:tcW w:w="105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5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545</w:t>
            </w:r>
          </w:p>
        </w:tc>
      </w:tr>
      <w:tr>
        <w:trPr>
          <w:trHeight w:val="312" w:hRule="exact"/>
        </w:trPr>
        <w:tc>
          <w:tcPr>
            <w:tcW w:w="1172" w:type="dxa"/>
            <w:tcBorders>
              <w:top w:val="nil" w:sz="6" w:space="0" w:color="auto"/>
              <w:left w:val="single" w:sz="4" w:space="0" w:color="000000"/>
              <w:bottom w:val="nil" w:sz="6" w:space="0" w:color="auto"/>
              <w:right w:val="single" w:sz="4" w:space="0" w:color="000000"/>
            </w:tcBorders>
          </w:tcPr>
          <w:p>
            <w:pPr/>
          </w:p>
        </w:tc>
        <w:tc>
          <w:tcPr>
            <w:tcW w:w="1051" w:type="dxa"/>
            <w:tcBorders>
              <w:top w:val="nil" w:sz="6" w:space="0" w:color="auto"/>
              <w:left w:val="single" w:sz="4" w:space="0" w:color="000000"/>
              <w:bottom w:val="nil" w:sz="6" w:space="0" w:color="auto"/>
              <w:right w:val="single" w:sz="4" w:space="0" w:color="000000"/>
            </w:tcBorders>
          </w:tcPr>
          <w:p>
            <w:pPr/>
          </w:p>
        </w:tc>
        <w:tc>
          <w:tcPr>
            <w:tcW w:w="10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出具承诺</w:t>
            </w:r>
            <w:r>
              <w:rPr>
                <w:rFonts w:ascii="宋体" w:hAnsi="宋体" w:cs="宋体" w:eastAsia="宋体" w:hint="default"/>
                <w:spacing w:val="-80"/>
                <w:sz w:val="18"/>
                <w:szCs w:val="18"/>
              </w:rPr>
              <w:t>，</w:t>
            </w:r>
            <w:r>
              <w:rPr>
                <w:rFonts w:ascii="宋体" w:hAnsi="宋体" w:cs="宋体" w:eastAsia="宋体" w:hint="default"/>
                <w:sz w:val="18"/>
                <w:szCs w:val="18"/>
              </w:rPr>
              <w:t>公</w:t>
            </w:r>
          </w:p>
        </w:tc>
        <w:tc>
          <w:tcPr>
            <w:tcW w:w="1058"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58" w:type="dxa"/>
            <w:tcBorders>
              <w:top w:val="nil" w:sz="6" w:space="0" w:color="auto"/>
              <w:left w:val="single" w:sz="4" w:space="0" w:color="000000"/>
              <w:bottom w:val="nil" w:sz="6" w:space="0" w:color="auto"/>
              <w:right w:val="single" w:sz="4" w:space="0" w:color="000000"/>
            </w:tcBorders>
          </w:tcPr>
          <w:p>
            <w:pPr/>
          </w:p>
        </w:tc>
        <w:tc>
          <w:tcPr>
            <w:tcW w:w="1058" w:type="dxa"/>
            <w:tcBorders>
              <w:top w:val="nil" w:sz="6" w:space="0" w:color="auto"/>
              <w:left w:val="single" w:sz="4" w:space="0" w:color="000000"/>
              <w:bottom w:val="nil" w:sz="6" w:space="0" w:color="auto"/>
              <w:right w:val="single" w:sz="4" w:space="0" w:color="000000"/>
            </w:tcBorders>
          </w:tcPr>
          <w:p>
            <w:pPr/>
          </w:p>
        </w:tc>
        <w:tc>
          <w:tcPr>
            <w:tcW w:w="1059"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72" w:type="dxa"/>
            <w:tcBorders>
              <w:top w:val="nil" w:sz="6" w:space="0" w:color="auto"/>
              <w:left w:val="single" w:sz="4" w:space="0" w:color="000000"/>
              <w:bottom w:val="nil" w:sz="6" w:space="0" w:color="auto"/>
              <w:right w:val="single" w:sz="4" w:space="0" w:color="000000"/>
            </w:tcBorders>
          </w:tcPr>
          <w:p>
            <w:pPr/>
          </w:p>
        </w:tc>
        <w:tc>
          <w:tcPr>
            <w:tcW w:w="1051" w:type="dxa"/>
            <w:tcBorders>
              <w:top w:val="nil" w:sz="6" w:space="0" w:color="auto"/>
              <w:left w:val="single" w:sz="4" w:space="0" w:color="000000"/>
              <w:bottom w:val="nil" w:sz="6" w:space="0" w:color="auto"/>
              <w:right w:val="single" w:sz="4" w:space="0" w:color="000000"/>
            </w:tcBorders>
          </w:tcPr>
          <w:p>
            <w:pPr/>
          </w:p>
        </w:tc>
        <w:tc>
          <w:tcPr>
            <w:tcW w:w="10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司向寇汉预</w:t>
            </w:r>
          </w:p>
        </w:tc>
        <w:tc>
          <w:tcPr>
            <w:tcW w:w="1058"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58" w:type="dxa"/>
            <w:tcBorders>
              <w:top w:val="nil" w:sz="6" w:space="0" w:color="auto"/>
              <w:left w:val="single" w:sz="4" w:space="0" w:color="000000"/>
              <w:bottom w:val="nil" w:sz="6" w:space="0" w:color="auto"/>
              <w:right w:val="single" w:sz="4" w:space="0" w:color="000000"/>
            </w:tcBorders>
          </w:tcPr>
          <w:p>
            <w:pPr/>
          </w:p>
        </w:tc>
        <w:tc>
          <w:tcPr>
            <w:tcW w:w="1058" w:type="dxa"/>
            <w:tcBorders>
              <w:top w:val="nil" w:sz="6" w:space="0" w:color="auto"/>
              <w:left w:val="single" w:sz="4" w:space="0" w:color="000000"/>
              <w:bottom w:val="nil" w:sz="6" w:space="0" w:color="auto"/>
              <w:right w:val="single" w:sz="4" w:space="0" w:color="000000"/>
            </w:tcBorders>
          </w:tcPr>
          <w:p>
            <w:pPr/>
          </w:p>
        </w:tc>
        <w:tc>
          <w:tcPr>
            <w:tcW w:w="1059"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72" w:type="dxa"/>
            <w:tcBorders>
              <w:top w:val="nil" w:sz="6" w:space="0" w:color="auto"/>
              <w:left w:val="single" w:sz="4" w:space="0" w:color="000000"/>
              <w:bottom w:val="nil" w:sz="6" w:space="0" w:color="auto"/>
              <w:right w:val="single" w:sz="4" w:space="0" w:color="000000"/>
            </w:tcBorders>
          </w:tcPr>
          <w:p>
            <w:pPr/>
          </w:p>
        </w:tc>
        <w:tc>
          <w:tcPr>
            <w:tcW w:w="1051" w:type="dxa"/>
            <w:tcBorders>
              <w:top w:val="nil" w:sz="6" w:space="0" w:color="auto"/>
              <w:left w:val="single" w:sz="4" w:space="0" w:color="000000"/>
              <w:bottom w:val="nil" w:sz="6" w:space="0" w:color="auto"/>
              <w:right w:val="single" w:sz="4" w:space="0" w:color="000000"/>
            </w:tcBorders>
          </w:tcPr>
          <w:p>
            <w:pPr/>
          </w:p>
        </w:tc>
        <w:tc>
          <w:tcPr>
            <w:tcW w:w="10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收的诉讼赔</w:t>
            </w:r>
          </w:p>
        </w:tc>
        <w:tc>
          <w:tcPr>
            <w:tcW w:w="1058"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58" w:type="dxa"/>
            <w:tcBorders>
              <w:top w:val="nil" w:sz="6" w:space="0" w:color="auto"/>
              <w:left w:val="single" w:sz="4" w:space="0" w:color="000000"/>
              <w:bottom w:val="nil" w:sz="6" w:space="0" w:color="auto"/>
              <w:right w:val="single" w:sz="4" w:space="0" w:color="000000"/>
            </w:tcBorders>
          </w:tcPr>
          <w:p>
            <w:pPr/>
          </w:p>
        </w:tc>
        <w:tc>
          <w:tcPr>
            <w:tcW w:w="1058" w:type="dxa"/>
            <w:tcBorders>
              <w:top w:val="nil" w:sz="6" w:space="0" w:color="auto"/>
              <w:left w:val="single" w:sz="4" w:space="0" w:color="000000"/>
              <w:bottom w:val="nil" w:sz="6" w:space="0" w:color="auto"/>
              <w:right w:val="single" w:sz="4" w:space="0" w:color="000000"/>
            </w:tcBorders>
          </w:tcPr>
          <w:p>
            <w:pPr/>
          </w:p>
        </w:tc>
        <w:tc>
          <w:tcPr>
            <w:tcW w:w="1059"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172" w:type="dxa"/>
            <w:tcBorders>
              <w:top w:val="nil" w:sz="6" w:space="0" w:color="auto"/>
              <w:left w:val="single" w:sz="4" w:space="0" w:color="000000"/>
              <w:bottom w:val="single" w:sz="4" w:space="0" w:color="000000"/>
              <w:right w:val="single" w:sz="4" w:space="0" w:color="000000"/>
            </w:tcBorders>
          </w:tcPr>
          <w:p>
            <w:pPr/>
          </w:p>
        </w:tc>
        <w:tc>
          <w:tcPr>
            <w:tcW w:w="1051" w:type="dxa"/>
            <w:tcBorders>
              <w:top w:val="nil" w:sz="6" w:space="0" w:color="auto"/>
              <w:left w:val="single" w:sz="4" w:space="0" w:color="000000"/>
              <w:bottom w:val="single" w:sz="4" w:space="0" w:color="000000"/>
              <w:right w:val="single" w:sz="4" w:space="0" w:color="000000"/>
            </w:tcBorders>
          </w:tcPr>
          <w:p>
            <w:pPr/>
          </w:p>
        </w:tc>
        <w:tc>
          <w:tcPr>
            <w:tcW w:w="10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偿保证金</w:t>
            </w:r>
          </w:p>
        </w:tc>
        <w:tc>
          <w:tcPr>
            <w:tcW w:w="1058"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58" w:type="dxa"/>
            <w:tcBorders>
              <w:top w:val="nil" w:sz="6" w:space="0" w:color="auto"/>
              <w:left w:val="single" w:sz="4" w:space="0" w:color="000000"/>
              <w:bottom w:val="single" w:sz="4" w:space="0" w:color="000000"/>
              <w:right w:val="single" w:sz="4" w:space="0" w:color="000000"/>
            </w:tcBorders>
          </w:tcPr>
          <w:p>
            <w:pPr/>
          </w:p>
        </w:tc>
        <w:tc>
          <w:tcPr>
            <w:tcW w:w="1058" w:type="dxa"/>
            <w:tcBorders>
              <w:top w:val="nil" w:sz="6" w:space="0" w:color="auto"/>
              <w:left w:val="single" w:sz="4" w:space="0" w:color="000000"/>
              <w:bottom w:val="single" w:sz="4" w:space="0" w:color="000000"/>
              <w:right w:val="single" w:sz="4" w:space="0" w:color="000000"/>
            </w:tcBorders>
          </w:tcPr>
          <w:p>
            <w:pPr/>
          </w:p>
        </w:tc>
        <w:tc>
          <w:tcPr>
            <w:tcW w:w="1059"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5"/>
              <w:jc w:val="left"/>
              <w:rPr>
                <w:rFonts w:ascii="宋体" w:hAnsi="宋体" w:cs="宋体" w:eastAsia="宋体" w:hint="default"/>
                <w:sz w:val="18"/>
                <w:szCs w:val="18"/>
              </w:rPr>
            </w:pPr>
            <w:r>
              <w:rPr>
                <w:rFonts w:ascii="宋体" w:hAnsi="宋体" w:cs="宋体" w:eastAsia="宋体" w:hint="default"/>
                <w:sz w:val="18"/>
                <w:szCs w:val="18"/>
              </w:rPr>
              <w:t>上市公司副 总裁</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尚未到期的 哆可梦股权 受让款</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76,317.48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28,946.31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47,371.17</w:t>
            </w:r>
          </w:p>
        </w:tc>
      </w:tr>
      <w:tr>
        <w:trPr>
          <w:trHeight w:val="1025"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15"/>
              <w:jc w:val="left"/>
              <w:rPr>
                <w:rFonts w:ascii="宋体" w:hAnsi="宋体" w:cs="宋体" w:eastAsia="宋体" w:hint="default"/>
                <w:sz w:val="18"/>
                <w:szCs w:val="18"/>
              </w:rPr>
            </w:pPr>
            <w:r>
              <w:rPr>
                <w:rFonts w:ascii="宋体" w:hAnsi="宋体" w:cs="宋体" w:eastAsia="宋体" w:hint="default"/>
                <w:sz w:val="18"/>
                <w:szCs w:val="18"/>
              </w:rPr>
              <w:t>上市公司副 总裁</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代收成都市 人才奖励计 划奖金</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w:t>
            </w:r>
          </w:p>
        </w:tc>
      </w:tr>
      <w:tr>
        <w:trPr>
          <w:trHeight w:val="715" w:hRule="exact"/>
        </w:trPr>
        <w:tc>
          <w:tcPr>
            <w:tcW w:w="22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关联债务对公司经营成果及 财务状况的影响</w:t>
            </w:r>
          </w:p>
        </w:tc>
        <w:tc>
          <w:tcPr>
            <w:tcW w:w="7475"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footerReference w:type="default" r:id="rId26"/>
          <w:pgSz w:w="11910" w:h="16840"/>
          <w:pgMar w:footer="979" w:header="0" w:top="1100" w:bottom="1160" w:left="980" w:right="0"/>
          <w:pgNumType w:start="49"/>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436" w:right="0"/>
        <w:jc w:val="left"/>
      </w:pPr>
      <w:r>
        <w:rPr/>
        <w:t>经</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日公司第五届董事会第二十九次会议、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日公司</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年第三次临时股东大会审议批准，公司出</w:t>
      </w:r>
    </w:p>
    <w:p>
      <w:pPr>
        <w:pStyle w:val="BodyText"/>
        <w:spacing w:line="300" w:lineRule="auto" w:before="63"/>
        <w:ind w:right="1122"/>
        <w:jc w:val="left"/>
      </w:pPr>
      <w:r>
        <w:rPr/>
        <w:t>资</w:t>
      </w:r>
      <w:r>
        <w:rPr>
          <w:spacing w:val="-32"/>
        </w:rPr>
        <w:t> </w:t>
      </w:r>
      <w:r>
        <w:rPr>
          <w:rFonts w:ascii="Times New Roman" w:hAnsi="Times New Roman" w:cs="Times New Roman" w:eastAsia="Times New Roman" w:hint="default"/>
        </w:rPr>
        <w:t>5.8</w:t>
      </w:r>
      <w:r>
        <w:rPr>
          <w:rFonts w:ascii="Times New Roman" w:hAnsi="Times New Roman" w:cs="Times New Roman" w:eastAsia="Times New Roman" w:hint="default"/>
          <w:spacing w:val="13"/>
        </w:rPr>
        <w:t> </w:t>
      </w:r>
      <w:r>
        <w:rPr/>
        <w:t>亿元、信中利控股子公司北京信中利股权投资管理有限公司（以下简称</w:t>
      </w:r>
      <w:r>
        <w:rPr>
          <w:rFonts w:ascii="Times New Roman" w:hAnsi="Times New Roman" w:cs="Times New Roman" w:eastAsia="Times New Roman" w:hint="default"/>
        </w:rPr>
        <w:t>“</w:t>
      </w:r>
      <w:r>
        <w:rPr/>
        <w:t>信中利股权管理公司</w:t>
      </w:r>
      <w:r>
        <w:rPr>
          <w:rFonts w:ascii="Times New Roman" w:hAnsi="Times New Roman" w:cs="Times New Roman" w:eastAsia="Times New Roman" w:hint="default"/>
        </w:rPr>
        <w:t>”</w:t>
      </w:r>
      <w:r>
        <w:rPr/>
        <w:t>）出资</w:t>
      </w:r>
      <w:r>
        <w:rPr>
          <w:spacing w:val="-32"/>
        </w:rPr>
        <w:t> </w:t>
      </w:r>
      <w:r>
        <w:rPr>
          <w:rFonts w:ascii="Times New Roman" w:hAnsi="Times New Roman" w:cs="Times New Roman" w:eastAsia="Times New Roman" w:hint="default"/>
        </w:rPr>
        <w:t>0.2</w:t>
      </w:r>
      <w:r>
        <w:rPr>
          <w:rFonts w:ascii="Times New Roman" w:hAnsi="Times New Roman" w:cs="Times New Roman" w:eastAsia="Times New Roman" w:hint="default"/>
          <w:spacing w:val="13"/>
        </w:rPr>
        <w:t> </w:t>
      </w:r>
      <w:r>
        <w:rPr>
          <w:spacing w:val="-6"/>
        </w:rPr>
        <w:t>亿元、中航</w:t>
      </w:r>
      <w:r>
        <w:rPr/>
        <w:t> 信托出资</w:t>
      </w:r>
      <w:r>
        <w:rPr>
          <w:rFonts w:ascii="Times New Roman" w:hAnsi="Times New Roman" w:cs="Times New Roman" w:eastAsia="Times New Roman" w:hint="default"/>
        </w:rPr>
        <w:t>12</w:t>
      </w:r>
      <w:r>
        <w:rPr/>
        <w:t>亿元，三方合作发起设立产业并购基金。</w:t>
      </w:r>
    </w:p>
    <w:p>
      <w:pPr>
        <w:pStyle w:val="BodyText"/>
        <w:spacing w:line="300" w:lineRule="auto" w:before="13"/>
        <w:ind w:right="1182" w:firstLine="283"/>
        <w:jc w:val="both"/>
      </w:pPr>
      <w:r>
        <w:rPr/>
        <w:t>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日公司第六届董事会第九次会议、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日公司</w:t>
      </w:r>
      <w:r>
        <w:rPr>
          <w:rFonts w:ascii="Times New Roman" w:hAnsi="Times New Roman" w:cs="Times New Roman" w:eastAsia="Times New Roman" w:hint="default"/>
        </w:rPr>
        <w:t>2018</w:t>
      </w:r>
      <w:r>
        <w:rPr/>
        <w:t>年第三次临时股东大会审议批准，产业并购基 金出资总额由</w:t>
      </w:r>
      <w:r>
        <w:rPr>
          <w:rFonts w:ascii="Times New Roman" w:hAnsi="Times New Roman" w:cs="Times New Roman" w:eastAsia="Times New Roman" w:hint="default"/>
        </w:rPr>
        <w:t>18</w:t>
      </w:r>
      <w:r>
        <w:rPr/>
        <w:t>亿元调整至</w:t>
      </w:r>
      <w:r>
        <w:rPr>
          <w:rFonts w:ascii="Times New Roman" w:hAnsi="Times New Roman" w:cs="Times New Roman" w:eastAsia="Times New Roman" w:hint="default"/>
        </w:rPr>
        <w:t>13.55</w:t>
      </w:r>
      <w:r>
        <w:rPr/>
        <w:t>亿元，其中公司对产业并购基金出资额由</w:t>
      </w:r>
      <w:r>
        <w:rPr>
          <w:rFonts w:ascii="Times New Roman" w:hAnsi="Times New Roman" w:cs="Times New Roman" w:eastAsia="Times New Roman" w:hint="default"/>
        </w:rPr>
        <w:t>5.8</w:t>
      </w:r>
      <w:r>
        <w:rPr/>
        <w:t>亿元调整至</w:t>
      </w:r>
      <w:r>
        <w:rPr>
          <w:rFonts w:ascii="Times New Roman" w:hAnsi="Times New Roman" w:cs="Times New Roman" w:eastAsia="Times New Roman" w:hint="default"/>
        </w:rPr>
        <w:t>4.35</w:t>
      </w:r>
      <w:r>
        <w:rPr/>
        <w:t>亿元，中航信托对产业并购基 金出资额由</w:t>
      </w:r>
      <w:r>
        <w:rPr>
          <w:rFonts w:ascii="Times New Roman" w:hAnsi="Times New Roman" w:cs="Times New Roman" w:eastAsia="Times New Roman" w:hint="default"/>
        </w:rPr>
        <w:t>12</w:t>
      </w:r>
      <w:r>
        <w:rPr/>
        <w:t>亿元调整至</w:t>
      </w:r>
      <w:r>
        <w:rPr>
          <w:rFonts w:ascii="Times New Roman" w:hAnsi="Times New Roman" w:cs="Times New Roman" w:eastAsia="Times New Roman" w:hint="default"/>
        </w:rPr>
        <w:t>9</w:t>
      </w:r>
      <w:r>
        <w:rPr/>
        <w:t>亿元。</w:t>
      </w:r>
    </w:p>
    <w:p>
      <w:pPr>
        <w:pStyle w:val="BodyText"/>
        <w:spacing w:line="300" w:lineRule="auto" w:before="13"/>
        <w:ind w:right="1124" w:firstLine="283"/>
        <w:jc w:val="left"/>
      </w:pPr>
      <w:r>
        <w:rPr/>
        <w:t>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日公司第六届董事会第十三次会议、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日公司</w:t>
      </w:r>
      <w:r>
        <w:rPr>
          <w:rFonts w:ascii="Times New Roman" w:hAnsi="Times New Roman" w:cs="Times New Roman" w:eastAsia="Times New Roman" w:hint="default"/>
        </w:rPr>
        <w:t>2017</w:t>
      </w:r>
      <w:r>
        <w:rPr/>
        <w:t>年年度股东大会审议批准，产业并购基金出 资总额由</w:t>
      </w:r>
      <w:r>
        <w:rPr>
          <w:rFonts w:ascii="Times New Roman" w:hAnsi="Times New Roman" w:cs="Times New Roman" w:eastAsia="Times New Roman" w:hint="default"/>
        </w:rPr>
        <w:t>13.55</w:t>
      </w:r>
      <w:r>
        <w:rPr/>
        <w:t>亿元调整至</w:t>
      </w:r>
      <w:r>
        <w:rPr>
          <w:rFonts w:ascii="Times New Roman" w:hAnsi="Times New Roman" w:cs="Times New Roman" w:eastAsia="Times New Roman" w:hint="default"/>
        </w:rPr>
        <w:t>9.1</w:t>
      </w:r>
      <w:r>
        <w:rPr/>
        <w:t>亿元，其中公司对产业并购基金出资额由</w:t>
      </w:r>
      <w:r>
        <w:rPr>
          <w:rFonts w:ascii="Times New Roman" w:hAnsi="Times New Roman" w:cs="Times New Roman" w:eastAsia="Times New Roman" w:hint="default"/>
        </w:rPr>
        <w:t>4.35</w:t>
      </w:r>
      <w:r>
        <w:rPr/>
        <w:t>亿元调整至</w:t>
      </w:r>
      <w:r>
        <w:rPr>
          <w:rFonts w:ascii="Times New Roman" w:hAnsi="Times New Roman" w:cs="Times New Roman" w:eastAsia="Times New Roman" w:hint="default"/>
        </w:rPr>
        <w:t>2.9</w:t>
      </w:r>
      <w:r>
        <w:rPr/>
        <w:t>亿元，中航信托对产业并购基金出 资额由</w:t>
      </w:r>
      <w:r>
        <w:rPr>
          <w:rFonts w:ascii="Times New Roman" w:hAnsi="Times New Roman" w:cs="Times New Roman" w:eastAsia="Times New Roman" w:hint="default"/>
        </w:rPr>
        <w:t>9</w:t>
      </w:r>
      <w:r>
        <w:rPr/>
        <w:t>亿元调整至</w:t>
      </w:r>
      <w:r>
        <w:rPr>
          <w:rFonts w:ascii="Times New Roman" w:hAnsi="Times New Roman" w:cs="Times New Roman" w:eastAsia="Times New Roman" w:hint="default"/>
        </w:rPr>
        <w:t>6</w:t>
      </w:r>
      <w:r>
        <w:rPr/>
        <w:t>亿元。</w:t>
      </w:r>
    </w:p>
    <w:p>
      <w:pPr>
        <w:pStyle w:val="BodyText"/>
        <w:spacing w:line="300" w:lineRule="auto" w:before="13"/>
        <w:ind w:right="1201" w:firstLine="283"/>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日，产业并购基金两次调整产业并购基金出资额的事项已办理完成相关工商变更登记手续，公司已收 到上述两次调整出资额的相关款项。</w:t>
      </w:r>
    </w:p>
    <w:p>
      <w:pPr>
        <w:pStyle w:val="BodyText"/>
        <w:spacing w:line="316" w:lineRule="auto" w:before="72"/>
        <w:ind w:right="1133" w:firstLine="283"/>
        <w:jc w:val="left"/>
      </w:pPr>
      <w:r>
        <w:rPr/>
        <w:t>信中利为公司控股股东中驰惠程的母公司，信中利股权管理公司为信中利的控股子公司，上述两次调整产业并购基金出 资额事项构成关联交易。</w:t>
      </w:r>
    </w:p>
    <w:p>
      <w:pPr>
        <w:pStyle w:val="BodyText"/>
        <w:spacing w:line="240" w:lineRule="auto" w:before="59"/>
        <w:ind w:right="1133"/>
        <w:jc w:val="left"/>
      </w:pPr>
      <w:r>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820"/>
        <w:gridCol w:w="1844"/>
        <w:gridCol w:w="2907"/>
      </w:tblGrid>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关于调整产业并购基金出资额暨关联交易的公告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关于再次调整产业并购基金出资额暨关联交易的公告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关于两次调整产业并购基金出资额暨公司对外转让产业并购 基金全部出资份额的进展公告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240" w:lineRule="auto" w:before="42"/>
        <w:ind w:left="436" w:right="0"/>
        <w:jc w:val="left"/>
        <w:rPr>
          <w:rFonts w:ascii="Times New Roman" w:hAnsi="Times New Roman" w:cs="Times New Roman" w:eastAsia="Times New Roman" w:hint="default"/>
        </w:rPr>
      </w:pPr>
      <w:r>
        <w:rPr>
          <w:rFonts w:ascii="Times New Roman" w:hAnsi="Times New Roman" w:cs="Times New Roman" w:eastAsia="Times New Roman" w:hint="default"/>
          <w:spacing w:val="1"/>
        </w:rPr>
        <w:t>1</w:t>
      </w:r>
      <w:r>
        <w:rPr>
          <w:spacing w:val="-84"/>
        </w:rPr>
        <w:t>、</w:t>
      </w:r>
      <w:r>
        <w:rPr/>
        <w:t>惠程科</w:t>
      </w:r>
      <w:r>
        <w:rPr>
          <w:spacing w:val="-1"/>
        </w:rPr>
        <w:t>技</w:t>
      </w:r>
      <w:r>
        <w:rPr/>
        <w:t>租赁办公楼</w:t>
      </w:r>
      <w:r>
        <w:rPr>
          <w:spacing w:val="-84"/>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17</w:t>
      </w:r>
      <w:r>
        <w:rPr>
          <w:spacing w:val="-2"/>
        </w:rPr>
        <w:t>年</w:t>
      </w:r>
      <w:r>
        <w:rPr>
          <w:rFonts w:ascii="Times New Roman" w:hAnsi="Times New Roman" w:cs="Times New Roman" w:eastAsia="Times New Roman" w:hint="default"/>
          <w:spacing w:val="1"/>
        </w:rPr>
        <w:t>10</w:t>
      </w:r>
      <w:r>
        <w:rPr/>
        <w:t>月</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8</w:t>
      </w:r>
      <w:r>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月</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1</w:t>
      </w:r>
      <w:r>
        <w:rPr/>
        <w:t>日期</w:t>
      </w:r>
      <w:r>
        <w:rPr>
          <w:spacing w:val="-3"/>
        </w:rPr>
        <w:t>间</w:t>
      </w:r>
      <w:r>
        <w:rPr>
          <w:spacing w:val="-85"/>
        </w:rPr>
        <w:t>，</w:t>
      </w:r>
      <w:r>
        <w:rPr/>
        <w:t>第一年月租金为</w:t>
      </w:r>
      <w:r>
        <w:rPr>
          <w:rFonts w:ascii="Times New Roman" w:hAnsi="Times New Roman" w:cs="Times New Roman" w:eastAsia="Times New Roman" w:hint="default"/>
          <w:spacing w:val="1"/>
        </w:rPr>
        <w:t>19</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t>元</w:t>
      </w:r>
      <w:r>
        <w:rPr>
          <w:spacing w:val="-87"/>
        </w:rPr>
        <w:t>，</w:t>
      </w:r>
      <w:r>
        <w:rPr/>
        <w:t>第二年月租金为</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09</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spacing w:after="0" w:line="240" w:lineRule="auto"/>
        <w:jc w:val="left"/>
        <w:rPr>
          <w:rFonts w:ascii="Times New Roman" w:hAnsi="Times New Roman" w:cs="Times New Roman" w:eastAsia="Times New Roman" w:hint="default"/>
        </w:rPr>
        <w:sectPr>
          <w:pgSz w:w="11910" w:h="16840"/>
          <w:pgMar w:header="0" w:footer="979" w:top="1100" w:bottom="1160" w:left="980" w:right="0"/>
        </w:sectPr>
      </w:pPr>
    </w:p>
    <w:p>
      <w:pPr>
        <w:spacing w:line="240" w:lineRule="auto" w:before="10"/>
        <w:rPr>
          <w:rFonts w:ascii="Times New Roman" w:hAnsi="Times New Roman" w:cs="Times New Roman" w:eastAsia="Times New Roman" w:hint="default"/>
          <w:sz w:val="24"/>
          <w:szCs w:val="24"/>
        </w:rPr>
      </w:pPr>
    </w:p>
    <w:p>
      <w:pPr>
        <w:pStyle w:val="BodyText"/>
        <w:spacing w:line="300" w:lineRule="auto" w:before="44"/>
        <w:ind w:right="0"/>
        <w:jc w:val="left"/>
      </w:pPr>
      <w:r>
        <w:rPr>
          <w:spacing w:val="-1"/>
        </w:rPr>
        <w:t>元。自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日起更换办公场地，租期为</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w:t>
      </w:r>
      <w:r>
        <w:rPr>
          <w:rFonts w:ascii="Times New Roman" w:hAnsi="Times New Roman" w:cs="Times New Roman" w:eastAsia="Times New Roman" w:hint="default"/>
          <w:spacing w:val="-1"/>
        </w:rPr>
        <w:t>-2021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日，第一年月租金为</w:t>
      </w:r>
      <w:r>
        <w:rPr>
          <w:rFonts w:ascii="Times New Roman" w:hAnsi="Times New Roman" w:cs="Times New Roman" w:eastAsia="Times New Roman" w:hint="default"/>
          <w:spacing w:val="-1"/>
        </w:rPr>
        <w:t>153,989.76</w:t>
      </w:r>
      <w:r>
        <w:rPr>
          <w:spacing w:val="-1"/>
        </w:rPr>
        <w:t>元，第二年月租金</w:t>
      </w:r>
      <w:r>
        <w:rPr>
          <w:spacing w:val="-87"/>
        </w:rPr>
        <w:t> </w:t>
      </w:r>
      <w:r>
        <w:rPr>
          <w:spacing w:val="-87"/>
        </w:rPr>
      </w:r>
      <w:r>
        <w:rPr/>
        <w:t>为</w:t>
      </w:r>
      <w:r>
        <w:rPr>
          <w:rFonts w:ascii="Times New Roman" w:hAnsi="Times New Roman" w:cs="Times New Roman" w:eastAsia="Times New Roman" w:hint="default"/>
        </w:rPr>
        <w:t>161,689.25</w:t>
      </w:r>
      <w:r>
        <w:rPr/>
        <w:t>元，第三年月租金为</w:t>
      </w:r>
      <w:r>
        <w:rPr>
          <w:rFonts w:ascii="Times New Roman" w:hAnsi="Times New Roman" w:cs="Times New Roman" w:eastAsia="Times New Roman" w:hint="default"/>
        </w:rPr>
        <w:t>169,773.71</w:t>
      </w:r>
      <w:r>
        <w:rPr/>
        <w:t>元。（金额均含税）</w:t>
      </w:r>
    </w:p>
    <w:p>
      <w:pPr>
        <w:pStyle w:val="BodyText"/>
        <w:spacing w:line="240" w:lineRule="auto" w:before="13"/>
        <w:ind w:left="436" w:right="1133"/>
        <w:jc w:val="left"/>
      </w:pPr>
      <w:r>
        <w:rPr>
          <w:rFonts w:ascii="Times New Roman" w:hAnsi="Times New Roman" w:cs="Times New Roman" w:eastAsia="Times New Roman" w:hint="default"/>
        </w:rPr>
        <w:t>2</w:t>
      </w:r>
      <w:r>
        <w:rPr/>
        <w:t>、惠程科技租赁厂房：</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日，租金每年</w:t>
      </w:r>
      <w:r>
        <w:rPr>
          <w:rFonts w:ascii="Times New Roman" w:hAnsi="Times New Roman" w:cs="Times New Roman" w:eastAsia="Times New Roman" w:hint="default"/>
        </w:rPr>
        <w:t>477,116.8</w:t>
      </w:r>
      <w:r>
        <w:rPr/>
        <w:t>元（含税）。</w:t>
      </w:r>
    </w:p>
    <w:p>
      <w:pPr>
        <w:pStyle w:val="BodyText"/>
        <w:spacing w:line="240" w:lineRule="auto" w:before="63"/>
        <w:ind w:left="436" w:right="1133"/>
        <w:jc w:val="left"/>
      </w:pPr>
      <w:r>
        <w:rPr>
          <w:rFonts w:ascii="Times New Roman" w:hAnsi="Times New Roman" w:cs="Times New Roman" w:eastAsia="Times New Roman" w:hint="default"/>
        </w:rPr>
        <w:t>3</w:t>
      </w:r>
      <w:r>
        <w:rPr/>
        <w:t>、子公司北京中汇联银租赁办公楼，</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7</w:t>
      </w:r>
      <w:r>
        <w:rPr/>
        <w:t>日租赁北京市朝阳区幸福二村</w:t>
      </w:r>
      <w:r>
        <w:rPr>
          <w:rFonts w:ascii="Times New Roman" w:hAnsi="Times New Roman" w:cs="Times New Roman" w:eastAsia="Times New Roman" w:hint="default"/>
        </w:rPr>
        <w:t>40</w:t>
      </w:r>
      <w:r>
        <w:rPr/>
        <w:t>号二层，月租金</w:t>
      </w:r>
    </w:p>
    <w:p>
      <w:pPr>
        <w:pStyle w:val="BodyText"/>
        <w:spacing w:line="240" w:lineRule="auto" w:before="63"/>
        <w:ind w:right="1133"/>
        <w:jc w:val="left"/>
      </w:pPr>
      <w:r>
        <w:rPr>
          <w:rFonts w:ascii="Times New Roman" w:hAnsi="Times New Roman" w:cs="Times New Roman" w:eastAsia="Times New Roman" w:hint="default"/>
        </w:rPr>
        <w:t>165,000.00</w:t>
      </w:r>
      <w:r>
        <w:rPr/>
        <w:t>元（含税）。</w:t>
      </w:r>
    </w:p>
    <w:p>
      <w:pPr>
        <w:pStyle w:val="BodyText"/>
        <w:spacing w:line="240" w:lineRule="auto" w:before="63"/>
        <w:ind w:left="436" w:right="1133"/>
        <w:jc w:val="left"/>
      </w:pPr>
      <w:r>
        <w:rPr>
          <w:rFonts w:ascii="Times New Roman" w:hAnsi="Times New Roman" w:cs="Times New Roman" w:eastAsia="Times New Roman" w:hint="default"/>
        </w:rPr>
        <w:t>4</w:t>
      </w:r>
      <w:r>
        <w:rPr/>
        <w:t>、子公司喀什中汇联银租赁办公楼，</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日租金合计</w:t>
      </w:r>
      <w:r>
        <w:rPr>
          <w:rFonts w:ascii="Times New Roman" w:hAnsi="Times New Roman" w:cs="Times New Roman" w:eastAsia="Times New Roman" w:hint="default"/>
        </w:rPr>
        <w:t>2,000</w:t>
      </w:r>
      <w:r>
        <w:rPr/>
        <w:t>元（含税）。</w:t>
      </w:r>
    </w:p>
    <w:p>
      <w:pPr>
        <w:pStyle w:val="BodyText"/>
        <w:spacing w:line="300" w:lineRule="auto" w:before="63"/>
        <w:ind w:right="0" w:firstLine="283"/>
        <w:jc w:val="left"/>
      </w:pPr>
      <w:r>
        <w:rPr>
          <w:rFonts w:ascii="Times New Roman" w:hAnsi="Times New Roman" w:cs="Times New Roman" w:eastAsia="Times New Roman" w:hint="default"/>
        </w:rPr>
        <w:t>5</w:t>
      </w:r>
      <w:r>
        <w:rPr/>
        <w:t>、孙公司中行置盛租赁办公楼，租期为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日，其中</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日为装修改 造期，在装修改造期内中行置盛无需承担租金，租赁面积为</w:t>
      </w:r>
      <w:r>
        <w:rPr>
          <w:rFonts w:ascii="Times New Roman" w:hAnsi="Times New Roman" w:cs="Times New Roman" w:eastAsia="Times New Roman" w:hint="default"/>
        </w:rPr>
        <w:t>1,200</w:t>
      </w:r>
      <w:r>
        <w:rPr/>
        <w:t>平方米，一年房屋租金（剔除两个月免租的装修改造期） </w:t>
      </w:r>
      <w:r>
        <w:rPr>
          <w:spacing w:val="-3"/>
        </w:rPr>
        <w:t>共计</w:t>
      </w:r>
      <w:r>
        <w:rPr>
          <w:rFonts w:ascii="Times New Roman" w:hAnsi="Times New Roman" w:cs="Times New Roman" w:eastAsia="Times New Roman" w:hint="default"/>
          <w:spacing w:val="-3"/>
        </w:rPr>
        <w:t>2,371,200.00</w:t>
      </w:r>
      <w:r>
        <w:rPr>
          <w:spacing w:val="-3"/>
        </w:rPr>
        <w:t>元。续租期自</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2021</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31</w:t>
      </w:r>
      <w:r>
        <w:rPr>
          <w:spacing w:val="-3"/>
        </w:rPr>
        <w:t>日，租赁面积自</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w:t>
      </w:r>
      <w:r>
        <w:rPr>
          <w:spacing w:val="-3"/>
        </w:rPr>
        <w:t>日起由</w:t>
      </w:r>
      <w:r>
        <w:rPr>
          <w:rFonts w:ascii="Times New Roman" w:hAnsi="Times New Roman" w:cs="Times New Roman" w:eastAsia="Times New Roman" w:hint="default"/>
          <w:spacing w:val="-3"/>
        </w:rPr>
        <w:t>1,200</w:t>
      </w:r>
      <w:r>
        <w:rPr>
          <w:spacing w:val="-3"/>
        </w:rPr>
        <w:t>平方米调整为</w:t>
      </w:r>
      <w:r>
        <w:rPr>
          <w:rFonts w:ascii="Times New Roman" w:hAnsi="Times New Roman" w:cs="Times New Roman" w:eastAsia="Times New Roman" w:hint="default"/>
          <w:spacing w:val="-3"/>
        </w:rPr>
        <w:t>600</w:t>
      </w:r>
      <w:r>
        <w:rPr>
          <w:spacing w:val="-3"/>
        </w:rPr>
        <w:t>平方米，</w:t>
      </w:r>
      <w:r>
        <w:rPr>
          <w:spacing w:val="-48"/>
        </w:rPr>
        <w:t> </w:t>
      </w:r>
      <w:r>
        <w:rPr>
          <w:rFonts w:ascii="Times New Roman" w:hAnsi="Times New Roman" w:cs="Times New Roman" w:eastAsia="Times New Roman" w:hint="default"/>
        </w:rPr>
        <w:t>3</w:t>
      </w:r>
      <w:r>
        <w:rPr/>
        <w:t>年房屋租金共计</w:t>
      </w:r>
      <w:r>
        <w:rPr>
          <w:rFonts w:ascii="Times New Roman" w:hAnsi="Times New Roman" w:cs="Times New Roman" w:eastAsia="Times New Roman" w:hint="default"/>
        </w:rPr>
        <w:t>4,984,200.00</w:t>
      </w:r>
      <w:r>
        <w:rPr/>
        <w:t>元。（金额均含税）</w:t>
      </w:r>
    </w:p>
    <w:p>
      <w:pPr>
        <w:pStyle w:val="BodyText"/>
        <w:spacing w:line="300" w:lineRule="auto" w:before="53"/>
        <w:ind w:right="0" w:firstLine="283"/>
        <w:jc w:val="left"/>
      </w:pPr>
      <w:r>
        <w:rPr>
          <w:rFonts w:ascii="Times New Roman" w:hAnsi="Times New Roman" w:cs="Times New Roman" w:eastAsia="Times New Roman" w:hint="default"/>
        </w:rPr>
        <w:t>6</w:t>
      </w:r>
      <w:r>
        <w:rPr/>
        <w:t>、哆可梦租赁广州办公楼，</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日期间，第一年月租金为</w:t>
      </w:r>
      <w:r>
        <w:rPr>
          <w:rFonts w:ascii="Times New Roman" w:hAnsi="Times New Roman" w:cs="Times New Roman" w:eastAsia="Times New Roman" w:hint="default"/>
        </w:rPr>
        <w:t>157,017</w:t>
      </w:r>
      <w:r>
        <w:rPr/>
        <w:t>元，第二年月租金为</w:t>
      </w:r>
      <w:r>
        <w:rPr>
          <w:rFonts w:ascii="Times New Roman" w:hAnsi="Times New Roman" w:cs="Times New Roman" w:eastAsia="Times New Roman" w:hint="default"/>
        </w:rPr>
        <w:t>164,868</w:t>
      </w:r>
      <w:r>
        <w:rPr/>
        <w:t>元，</w:t>
      </w:r>
      <w:r>
        <w:rPr>
          <w:spacing w:val="2"/>
        </w:rPr>
        <w:t> </w:t>
      </w:r>
      <w:r>
        <w:rPr/>
        <w:t>第三年月租金为</w:t>
      </w:r>
      <w:r>
        <w:rPr>
          <w:rFonts w:ascii="Times New Roman" w:hAnsi="Times New Roman" w:cs="Times New Roman" w:eastAsia="Times New Roman" w:hint="default"/>
        </w:rPr>
        <w:t>173,111</w:t>
      </w:r>
      <w:r>
        <w:rPr/>
        <w:t>元。（金额均含税）</w:t>
      </w:r>
    </w:p>
    <w:p>
      <w:pPr>
        <w:pStyle w:val="BodyText"/>
        <w:spacing w:line="240" w:lineRule="auto" w:before="51"/>
        <w:ind w:left="436" w:right="1133"/>
        <w:jc w:val="left"/>
      </w:pPr>
      <w:r>
        <w:rPr>
          <w:rFonts w:ascii="Times New Roman" w:hAnsi="Times New Roman" w:cs="Times New Roman" w:eastAsia="Times New Roman" w:hint="default"/>
        </w:rPr>
        <w:t>7</w:t>
      </w:r>
      <w:r>
        <w:rPr/>
        <w:t>、哆可梦租赁成都办公楼，</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日，月租金</w:t>
      </w:r>
      <w:r>
        <w:rPr>
          <w:rFonts w:ascii="Times New Roman" w:hAnsi="Times New Roman" w:cs="Times New Roman" w:eastAsia="Times New Roman" w:hint="default"/>
        </w:rPr>
        <w:t>51,114.40</w:t>
      </w:r>
      <w:r>
        <w:rPr/>
        <w:t>元（含税）。</w:t>
      </w:r>
    </w:p>
    <w:p>
      <w:pPr>
        <w:pStyle w:val="BodyText"/>
        <w:spacing w:line="240" w:lineRule="auto" w:before="103"/>
        <w:ind w:left="436" w:right="1133"/>
        <w:jc w:val="left"/>
      </w:pPr>
      <w:r>
        <w:rPr>
          <w:rFonts w:ascii="Times New Roman" w:hAnsi="Times New Roman" w:cs="Times New Roman" w:eastAsia="Times New Roman" w:hint="default"/>
        </w:rPr>
        <w:t>8</w:t>
      </w:r>
      <w:r>
        <w:rPr/>
        <w:t>、哆可梦租赁成都办公楼，</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日，月租金</w:t>
      </w:r>
      <w:r>
        <w:rPr>
          <w:rFonts w:ascii="Times New Roman" w:hAnsi="Times New Roman" w:cs="Times New Roman" w:eastAsia="Times New Roman" w:hint="default"/>
        </w:rPr>
        <w:t>11,986</w:t>
      </w:r>
      <w:r>
        <w:rPr/>
        <w:t>元（含税）。</w:t>
      </w:r>
    </w:p>
    <w:p>
      <w:pPr>
        <w:pStyle w:val="BodyText"/>
        <w:spacing w:line="338" w:lineRule="auto" w:before="103"/>
        <w:ind w:right="4576" w:firstLine="283"/>
        <w:jc w:val="left"/>
      </w:pPr>
      <w:r>
        <w:rPr>
          <w:rFonts w:ascii="Times New Roman" w:hAnsi="Times New Roman" w:cs="Times New Roman" w:eastAsia="Times New Roman" w:hint="default"/>
        </w:rPr>
        <w:t>9</w:t>
      </w:r>
      <w:r>
        <w:rPr/>
        <w:t>、报告期内公司及子公司对外出租房产收入共</w:t>
      </w:r>
      <w:r>
        <w:rPr>
          <w:rFonts w:ascii="Times New Roman" w:hAnsi="Times New Roman" w:cs="Times New Roman" w:eastAsia="Times New Roman" w:hint="default"/>
        </w:rPr>
        <w:t>1,736,333.42</w:t>
      </w:r>
      <w:r>
        <w:rPr/>
        <w:t>元（不含税）。 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2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33"/>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0" w:footer="979" w:top="110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47,095.05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4,150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信托理财产品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52,895.05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9,950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74"/>
        <w:ind w:left="140" w:right="-20"/>
        <w:jc w:val="left"/>
      </w:pPr>
      <w:r>
        <w:rPr/>
        <w:pict>
          <v:group style="position:absolute;margin-left:70.559998pt;margin-top:2.191709pt;width:700.95pt;height:.1pt;mso-position-horizontal-relative:page;mso-position-vertical-relative:paragraph;z-index:1672" coordorigin="1411,44" coordsize="14019,2">
            <v:shape style="position:absolute;left:1411;top:44;width:14019;height:2" coordorigin="1411,44" coordsize="14019,0" path="m1411,44l15430,44e" filled="false" stroked="true" strokeweight=".72pt" strokecolor="#000000">
              <v:path arrowok="t"/>
            </v:shape>
            <w10:wrap type="none"/>
          </v:group>
        </w:pict>
      </w:r>
      <w:r>
        <w:rPr/>
        <w:t>单项金额重大或安全性较低、流动性较差、不保本的高风险委托理财具体情况</w:t>
      </w:r>
    </w:p>
    <w:p>
      <w:pPr>
        <w:pStyle w:val="BodyText"/>
        <w:spacing w:line="240" w:lineRule="auto" w:before="117"/>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BodyText"/>
        <w:spacing w:line="240" w:lineRule="auto"/>
        <w:ind w:left="140" w:right="0"/>
        <w:jc w:val="left"/>
      </w:pPr>
      <w:r>
        <w:rPr/>
        <w:t>单位：万元</w:t>
      </w:r>
    </w:p>
    <w:p>
      <w:pPr>
        <w:spacing w:after="0" w:line="240" w:lineRule="auto"/>
        <w:jc w:val="left"/>
        <w:sectPr>
          <w:headerReference w:type="default" r:id="rId27"/>
          <w:footerReference w:type="default" r:id="rId28"/>
          <w:pgSz w:w="16840" w:h="11910" w:orient="landscape"/>
          <w:pgMar w:header="867" w:footer="980" w:top="1060" w:bottom="1160" w:left="1300" w:right="1280"/>
          <w:pgNumType w:start="52"/>
          <w:cols w:num="2" w:equalWidth="0">
            <w:col w:w="6261" w:space="6800"/>
            <w:col w:w="1199"/>
          </w:cols>
        </w:sectPr>
      </w:pP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833"/>
        <w:gridCol w:w="862"/>
        <w:gridCol w:w="890"/>
        <w:gridCol w:w="864"/>
        <w:gridCol w:w="821"/>
        <w:gridCol w:w="818"/>
        <w:gridCol w:w="818"/>
        <w:gridCol w:w="818"/>
        <w:gridCol w:w="821"/>
        <w:gridCol w:w="821"/>
        <w:gridCol w:w="818"/>
        <w:gridCol w:w="821"/>
        <w:gridCol w:w="821"/>
        <w:gridCol w:w="802"/>
        <w:gridCol w:w="802"/>
        <w:gridCol w:w="802"/>
        <w:gridCol w:w="785"/>
      </w:tblGrid>
      <w:tr>
        <w:trPr>
          <w:trHeight w:val="1338" w:hRule="exact"/>
        </w:trPr>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2" w:right="48"/>
              <w:jc w:val="center"/>
              <w:rPr>
                <w:rFonts w:ascii="宋体" w:hAnsi="宋体" w:cs="宋体" w:eastAsia="宋体" w:hint="default"/>
                <w:sz w:val="18"/>
                <w:szCs w:val="18"/>
              </w:rPr>
            </w:pPr>
            <w:r>
              <w:rPr>
                <w:rFonts w:ascii="宋体" w:hAnsi="宋体" w:cs="宋体" w:eastAsia="宋体" w:hint="default"/>
                <w:sz w:val="18"/>
                <w:szCs w:val="18"/>
              </w:rPr>
              <w:t>受托机构 名称（或 受托人姓 名）</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受托机构</w:t>
            </w:r>
          </w:p>
          <w:p>
            <w:pPr>
              <w:pStyle w:val="TableParagraph"/>
              <w:spacing w:line="316" w:lineRule="auto" w:before="74"/>
              <w:ind w:left="64" w:right="65"/>
              <w:jc w:val="left"/>
              <w:rPr>
                <w:rFonts w:ascii="宋体" w:hAnsi="宋体" w:cs="宋体" w:eastAsia="宋体" w:hint="default"/>
                <w:sz w:val="18"/>
                <w:szCs w:val="18"/>
              </w:rPr>
            </w:pPr>
            <w:r>
              <w:rPr>
                <w:rFonts w:ascii="宋体" w:hAnsi="宋体" w:cs="宋体" w:eastAsia="宋体" w:hint="default"/>
                <w:sz w:val="18"/>
                <w:szCs w:val="18"/>
              </w:rPr>
              <w:t>（或受托 人）类型</w:t>
            </w:r>
          </w:p>
        </w:tc>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资金投向</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25" w:right="43"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34" w:right="43" w:hanging="89"/>
              <w:jc w:val="left"/>
              <w:rPr>
                <w:rFonts w:ascii="宋体" w:hAnsi="宋体" w:cs="宋体" w:eastAsia="宋体" w:hint="default"/>
                <w:sz w:val="18"/>
                <w:szCs w:val="18"/>
              </w:rPr>
            </w:pPr>
            <w:r>
              <w:rPr>
                <w:rFonts w:ascii="宋体" w:hAnsi="宋体" w:cs="宋体" w:eastAsia="宋体" w:hint="default"/>
                <w:sz w:val="18"/>
                <w:szCs w:val="18"/>
              </w:rPr>
              <w:t>参考年化 收益率</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 w:right="0"/>
              <w:jc w:val="left"/>
              <w:rPr>
                <w:rFonts w:ascii="宋体" w:hAnsi="宋体" w:cs="宋体" w:eastAsia="宋体" w:hint="default"/>
                <w:sz w:val="18"/>
                <w:szCs w:val="18"/>
              </w:rPr>
            </w:pPr>
            <w:r>
              <w:rPr>
                <w:rFonts w:ascii="宋体" w:hAnsi="宋体" w:cs="宋体" w:eastAsia="宋体" w:hint="default"/>
                <w:sz w:val="18"/>
                <w:szCs w:val="18"/>
              </w:rPr>
              <w:t>预期收益</w:t>
            </w:r>
          </w:p>
          <w:p>
            <w:pPr>
              <w:pStyle w:val="TableParagraph"/>
              <w:spacing w:line="240" w:lineRule="auto" w:before="74"/>
              <w:ind w:left="131"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5" w:right="43"/>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6" w:right="43"/>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5" w:right="35"/>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6" w:right="35"/>
              <w:jc w:val="both"/>
              <w:rPr>
                <w:rFonts w:ascii="宋体" w:hAnsi="宋体" w:cs="宋体" w:eastAsia="宋体" w:hint="default"/>
                <w:sz w:val="18"/>
                <w:szCs w:val="18"/>
              </w:rPr>
            </w:pPr>
            <w:r>
              <w:rPr>
                <w:rFonts w:ascii="宋体" w:hAnsi="宋体" w:cs="宋体" w:eastAsia="宋体" w:hint="default"/>
                <w:sz w:val="18"/>
                <w:szCs w:val="18"/>
              </w:rPr>
              <w:t>未来是否 还有委托 理财计划</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7"/>
              <w:jc w:val="both"/>
              <w:rPr>
                <w:rFonts w:ascii="宋体" w:hAnsi="宋体" w:cs="宋体" w:eastAsia="宋体" w:hint="default"/>
                <w:sz w:val="18"/>
                <w:szCs w:val="18"/>
              </w:rPr>
            </w:pPr>
            <w:r>
              <w:rPr>
                <w:rFonts w:ascii="宋体" w:hAnsi="宋体" w:cs="宋体" w:eastAsia="宋体" w:hint="default"/>
                <w:sz w:val="18"/>
                <w:szCs w:val="18"/>
              </w:rPr>
              <w:t>事项概述 及相关查 询索引</w:t>
            </w:r>
          </w:p>
          <w:p>
            <w:pPr>
              <w:pStyle w:val="TableParagraph"/>
              <w:spacing w:line="240" w:lineRule="auto" w:before="19"/>
              <w:ind w:left="26" w:right="0"/>
              <w:jc w:val="both"/>
              <w:rPr>
                <w:rFonts w:ascii="宋体" w:hAnsi="宋体" w:cs="宋体" w:eastAsia="宋体" w:hint="default"/>
                <w:sz w:val="18"/>
                <w:szCs w:val="18"/>
              </w:rPr>
            </w:pPr>
            <w:r>
              <w:rPr>
                <w:rFonts w:ascii="宋体" w:hAnsi="宋体" w:cs="宋体" w:eastAsia="宋体" w:hint="default"/>
                <w:sz w:val="18"/>
                <w:szCs w:val="18"/>
              </w:rPr>
              <w:t>（如有）</w:t>
            </w:r>
          </w:p>
        </w:tc>
      </w:tr>
      <w:tr>
        <w:trPr>
          <w:trHeight w:val="102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0.93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39.5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265.06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265.06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64.98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64.98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1.76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19.64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7"/>
              <w:jc w:val="both"/>
              <w:rPr>
                <w:rFonts w:ascii="宋体" w:hAnsi="宋体" w:cs="宋体" w:eastAsia="宋体" w:hint="default"/>
                <w:sz w:val="18"/>
                <w:szCs w:val="18"/>
              </w:rPr>
            </w:pPr>
            <w:r>
              <w:rPr>
                <w:rFonts w:ascii="宋体" w:hAnsi="宋体" w:cs="宋体" w:eastAsia="宋体" w:hint="default"/>
                <w:sz w:val="18"/>
                <w:szCs w:val="18"/>
              </w:rPr>
              <w:t>招行丰台 科技园支 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 w:right="134"/>
              <w:jc w:val="left"/>
              <w:rPr>
                <w:rFonts w:ascii="宋体" w:hAnsi="宋体" w:cs="宋体" w:eastAsia="宋体" w:hint="default"/>
                <w:sz w:val="18"/>
                <w:szCs w:val="18"/>
              </w:rPr>
            </w:pPr>
            <w:r>
              <w:rPr>
                <w:rFonts w:ascii="宋体" w:hAnsi="宋体" w:cs="宋体" w:eastAsia="宋体" w:hint="default"/>
                <w:sz w:val="18"/>
                <w:szCs w:val="18"/>
              </w:rPr>
              <w:t>固定收益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295.05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2.43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0.67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0.67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0.67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833"/>
        <w:gridCol w:w="862"/>
        <w:gridCol w:w="890"/>
        <w:gridCol w:w="864"/>
        <w:gridCol w:w="821"/>
        <w:gridCol w:w="818"/>
        <w:gridCol w:w="818"/>
        <w:gridCol w:w="818"/>
        <w:gridCol w:w="821"/>
        <w:gridCol w:w="821"/>
        <w:gridCol w:w="818"/>
        <w:gridCol w:w="821"/>
        <w:gridCol w:w="821"/>
        <w:gridCol w:w="802"/>
        <w:gridCol w:w="802"/>
        <w:gridCol w:w="802"/>
        <w:gridCol w:w="785"/>
      </w:tblGrid>
      <w:tr>
        <w:trPr>
          <w:trHeight w:val="377" w:hRule="exact"/>
        </w:trPr>
        <w:tc>
          <w:tcPr>
            <w:tcW w:w="833" w:type="dxa"/>
            <w:tcBorders>
              <w:top w:val="single" w:sz="15" w:space="0" w:color="000000"/>
              <w:left w:val="single" w:sz="4" w:space="0" w:color="000000"/>
              <w:bottom w:val="single" w:sz="4" w:space="0" w:color="000000"/>
              <w:right w:val="single" w:sz="4" w:space="0" w:color="000000"/>
            </w:tcBorders>
          </w:tcPr>
          <w:p>
            <w:pPr/>
          </w:p>
        </w:tc>
        <w:tc>
          <w:tcPr>
            <w:tcW w:w="862" w:type="dxa"/>
            <w:tcBorders>
              <w:top w:val="single" w:sz="15" w:space="0" w:color="000000"/>
              <w:left w:val="single" w:sz="4" w:space="0" w:color="000000"/>
              <w:bottom w:val="single" w:sz="4" w:space="0" w:color="000000"/>
              <w:right w:val="single" w:sz="4" w:space="0" w:color="000000"/>
            </w:tcBorders>
          </w:tcPr>
          <w:p>
            <w:pPr/>
          </w:p>
        </w:tc>
        <w:tc>
          <w:tcPr>
            <w:tcW w:w="890" w:type="dxa"/>
            <w:tcBorders>
              <w:top w:val="single" w:sz="15" w:space="0" w:color="000000"/>
              <w:left w:val="single" w:sz="4" w:space="0" w:color="000000"/>
              <w:bottom w:val="single" w:sz="4" w:space="0" w:color="000000"/>
              <w:right w:val="single" w:sz="4" w:space="0" w:color="000000"/>
            </w:tcBorders>
          </w:tcPr>
          <w:p>
            <w:pPr/>
          </w:p>
        </w:tc>
        <w:tc>
          <w:tcPr>
            <w:tcW w:w="864"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18"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
        </w:tc>
        <w:tc>
          <w:tcPr>
            <w:tcW w:w="785" w:type="dxa"/>
            <w:tcBorders>
              <w:top w:val="single" w:sz="15" w:space="0" w:color="000000"/>
              <w:left w:val="single" w:sz="4" w:space="0" w:color="000000"/>
              <w:bottom w:val="single" w:sz="4" w:space="0" w:color="000000"/>
              <w:right w:val="single" w:sz="4" w:space="0" w:color="000000"/>
            </w:tcBorders>
          </w:tcPr>
          <w:p>
            <w:pPr/>
          </w:p>
        </w:tc>
      </w:tr>
      <w:tr>
        <w:trPr>
          <w:trHeight w:val="102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18.01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1.76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5"/>
                <w:sz w:val="18"/>
              </w:rPr>
              <w:t>2.11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5"/>
                <w:sz w:val="18"/>
              </w:rPr>
              <w:t>2.11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2.11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0.96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0.96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0.96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0.01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杭州银行 深圳湾支 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0.29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1,150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2.85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833"/>
        <w:gridCol w:w="862"/>
        <w:gridCol w:w="890"/>
        <w:gridCol w:w="864"/>
        <w:gridCol w:w="821"/>
        <w:gridCol w:w="818"/>
        <w:gridCol w:w="818"/>
        <w:gridCol w:w="818"/>
        <w:gridCol w:w="821"/>
        <w:gridCol w:w="821"/>
        <w:gridCol w:w="818"/>
        <w:gridCol w:w="821"/>
        <w:gridCol w:w="821"/>
        <w:gridCol w:w="802"/>
        <w:gridCol w:w="802"/>
        <w:gridCol w:w="802"/>
        <w:gridCol w:w="785"/>
      </w:tblGrid>
      <w:tr>
        <w:trPr>
          <w:trHeight w:val="377" w:hRule="exact"/>
        </w:trPr>
        <w:tc>
          <w:tcPr>
            <w:tcW w:w="833" w:type="dxa"/>
            <w:tcBorders>
              <w:top w:val="single" w:sz="15" w:space="0" w:color="000000"/>
              <w:left w:val="single" w:sz="4" w:space="0" w:color="000000"/>
              <w:bottom w:val="single" w:sz="4" w:space="0" w:color="000000"/>
              <w:right w:val="single" w:sz="4" w:space="0" w:color="000000"/>
            </w:tcBorders>
          </w:tcPr>
          <w:p>
            <w:pPr/>
          </w:p>
        </w:tc>
        <w:tc>
          <w:tcPr>
            <w:tcW w:w="862" w:type="dxa"/>
            <w:tcBorders>
              <w:top w:val="single" w:sz="15" w:space="0" w:color="000000"/>
              <w:left w:val="single" w:sz="4" w:space="0" w:color="000000"/>
              <w:bottom w:val="single" w:sz="4" w:space="0" w:color="000000"/>
              <w:right w:val="single" w:sz="4" w:space="0" w:color="000000"/>
            </w:tcBorders>
          </w:tcPr>
          <w:p>
            <w:pPr/>
          </w:p>
        </w:tc>
        <w:tc>
          <w:tcPr>
            <w:tcW w:w="890" w:type="dxa"/>
            <w:tcBorders>
              <w:top w:val="single" w:sz="15" w:space="0" w:color="000000"/>
              <w:left w:val="single" w:sz="4" w:space="0" w:color="000000"/>
              <w:bottom w:val="single" w:sz="4" w:space="0" w:color="000000"/>
              <w:right w:val="single" w:sz="4" w:space="0" w:color="000000"/>
            </w:tcBorders>
          </w:tcPr>
          <w:p>
            <w:pPr/>
          </w:p>
        </w:tc>
        <w:tc>
          <w:tcPr>
            <w:tcW w:w="864"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18"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
        </w:tc>
        <w:tc>
          <w:tcPr>
            <w:tcW w:w="785" w:type="dxa"/>
            <w:tcBorders>
              <w:top w:val="single" w:sz="15" w:space="0" w:color="000000"/>
              <w:left w:val="single" w:sz="4" w:space="0" w:color="000000"/>
              <w:bottom w:val="single" w:sz="4" w:space="0" w:color="000000"/>
              <w:right w:val="single" w:sz="4" w:space="0" w:color="000000"/>
            </w:tcBorders>
          </w:tcPr>
          <w:p>
            <w:pPr/>
          </w:p>
        </w:tc>
      </w:tr>
      <w:tr>
        <w:trPr>
          <w:trHeight w:val="102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4.05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杭州银行 深圳湾支 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8.35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0.42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1,150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2.51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4.37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杭州银行 深圳湾支 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6.44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杭州银行 深圳湾支 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8.06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1,150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2.49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4.33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833"/>
        <w:gridCol w:w="862"/>
        <w:gridCol w:w="890"/>
        <w:gridCol w:w="864"/>
        <w:gridCol w:w="821"/>
        <w:gridCol w:w="818"/>
        <w:gridCol w:w="818"/>
        <w:gridCol w:w="818"/>
        <w:gridCol w:w="821"/>
        <w:gridCol w:w="821"/>
        <w:gridCol w:w="818"/>
        <w:gridCol w:w="821"/>
        <w:gridCol w:w="821"/>
        <w:gridCol w:w="802"/>
        <w:gridCol w:w="802"/>
        <w:gridCol w:w="802"/>
        <w:gridCol w:w="785"/>
      </w:tblGrid>
      <w:tr>
        <w:trPr>
          <w:trHeight w:val="377" w:hRule="exact"/>
        </w:trPr>
        <w:tc>
          <w:tcPr>
            <w:tcW w:w="833" w:type="dxa"/>
            <w:tcBorders>
              <w:top w:val="single" w:sz="15" w:space="0" w:color="000000"/>
              <w:left w:val="single" w:sz="4" w:space="0" w:color="000000"/>
              <w:bottom w:val="single" w:sz="4" w:space="0" w:color="000000"/>
              <w:right w:val="single" w:sz="4" w:space="0" w:color="000000"/>
            </w:tcBorders>
          </w:tcPr>
          <w:p>
            <w:pPr/>
          </w:p>
        </w:tc>
        <w:tc>
          <w:tcPr>
            <w:tcW w:w="862" w:type="dxa"/>
            <w:tcBorders>
              <w:top w:val="single" w:sz="15" w:space="0" w:color="000000"/>
              <w:left w:val="single" w:sz="4" w:space="0" w:color="000000"/>
              <w:bottom w:val="single" w:sz="4" w:space="0" w:color="000000"/>
              <w:right w:val="single" w:sz="4" w:space="0" w:color="000000"/>
            </w:tcBorders>
          </w:tcPr>
          <w:p>
            <w:pPr/>
          </w:p>
        </w:tc>
        <w:tc>
          <w:tcPr>
            <w:tcW w:w="890" w:type="dxa"/>
            <w:tcBorders>
              <w:top w:val="single" w:sz="15" w:space="0" w:color="000000"/>
              <w:left w:val="single" w:sz="4" w:space="0" w:color="000000"/>
              <w:bottom w:val="single" w:sz="4" w:space="0" w:color="000000"/>
              <w:right w:val="single" w:sz="4" w:space="0" w:color="000000"/>
            </w:tcBorders>
          </w:tcPr>
          <w:p>
            <w:pPr/>
          </w:p>
        </w:tc>
        <w:tc>
          <w:tcPr>
            <w:tcW w:w="864"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18"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
        </w:tc>
        <w:tc>
          <w:tcPr>
            <w:tcW w:w="785" w:type="dxa"/>
            <w:tcBorders>
              <w:top w:val="single" w:sz="15" w:space="0" w:color="000000"/>
              <w:left w:val="single" w:sz="4" w:space="0" w:color="000000"/>
              <w:bottom w:val="single" w:sz="4" w:space="0" w:color="000000"/>
              <w:right w:val="single" w:sz="4" w:space="0" w:color="000000"/>
            </w:tcBorders>
          </w:tcPr>
          <w:p>
            <w:pPr/>
          </w:p>
        </w:tc>
      </w:tr>
      <w:tr>
        <w:trPr>
          <w:trHeight w:val="102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杭州银行 深圳湾支 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杭州银行 深圳湾支 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8.81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1,150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2.41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4.19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杭州银行 深圳湾支 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6.82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杭州银行 深圳湾支 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8.53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3.18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0.33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833"/>
        <w:gridCol w:w="862"/>
        <w:gridCol w:w="890"/>
        <w:gridCol w:w="864"/>
        <w:gridCol w:w="821"/>
        <w:gridCol w:w="818"/>
        <w:gridCol w:w="818"/>
        <w:gridCol w:w="818"/>
        <w:gridCol w:w="821"/>
        <w:gridCol w:w="821"/>
        <w:gridCol w:w="818"/>
        <w:gridCol w:w="821"/>
        <w:gridCol w:w="821"/>
        <w:gridCol w:w="802"/>
        <w:gridCol w:w="802"/>
        <w:gridCol w:w="802"/>
        <w:gridCol w:w="785"/>
      </w:tblGrid>
      <w:tr>
        <w:trPr>
          <w:trHeight w:val="377" w:hRule="exact"/>
        </w:trPr>
        <w:tc>
          <w:tcPr>
            <w:tcW w:w="833" w:type="dxa"/>
            <w:tcBorders>
              <w:top w:val="single" w:sz="15" w:space="0" w:color="000000"/>
              <w:left w:val="single" w:sz="4" w:space="0" w:color="000000"/>
              <w:bottom w:val="single" w:sz="4" w:space="0" w:color="000000"/>
              <w:right w:val="single" w:sz="4" w:space="0" w:color="000000"/>
            </w:tcBorders>
          </w:tcPr>
          <w:p>
            <w:pPr/>
          </w:p>
        </w:tc>
        <w:tc>
          <w:tcPr>
            <w:tcW w:w="862" w:type="dxa"/>
            <w:tcBorders>
              <w:top w:val="single" w:sz="15" w:space="0" w:color="000000"/>
              <w:left w:val="single" w:sz="4" w:space="0" w:color="000000"/>
              <w:bottom w:val="single" w:sz="4" w:space="0" w:color="000000"/>
              <w:right w:val="single" w:sz="4" w:space="0" w:color="000000"/>
            </w:tcBorders>
          </w:tcPr>
          <w:p>
            <w:pPr/>
          </w:p>
        </w:tc>
        <w:tc>
          <w:tcPr>
            <w:tcW w:w="890" w:type="dxa"/>
            <w:tcBorders>
              <w:top w:val="single" w:sz="15" w:space="0" w:color="000000"/>
              <w:left w:val="single" w:sz="4" w:space="0" w:color="000000"/>
              <w:bottom w:val="single" w:sz="4" w:space="0" w:color="000000"/>
              <w:right w:val="single" w:sz="4" w:space="0" w:color="000000"/>
            </w:tcBorders>
          </w:tcPr>
          <w:p>
            <w:pPr/>
          </w:p>
        </w:tc>
        <w:tc>
          <w:tcPr>
            <w:tcW w:w="864"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18"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
        </w:tc>
        <w:tc>
          <w:tcPr>
            <w:tcW w:w="785" w:type="dxa"/>
            <w:tcBorders>
              <w:top w:val="single" w:sz="15" w:space="0" w:color="000000"/>
              <w:left w:val="single" w:sz="4" w:space="0" w:color="000000"/>
              <w:bottom w:val="single" w:sz="4" w:space="0" w:color="000000"/>
              <w:right w:val="single" w:sz="4" w:space="0" w:color="000000"/>
            </w:tcBorders>
          </w:tcPr>
          <w:p>
            <w:pPr/>
          </w:p>
        </w:tc>
      </w:tr>
      <w:tr>
        <w:trPr>
          <w:trHeight w:val="102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分期付息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2.90%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中航信托</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信托公司</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4.19%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中航信托</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信托公司</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4.57%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平安银行 坪山新区 支行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固定收益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3.30%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5.97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平安银行 坪山新区 支行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到期还本 一次性付 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2.90%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平安银行 坪山新区 支行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浮动收益 理财产品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2.90%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62.62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62.62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132,045.05</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45" w:right="0"/>
              <w:jc w:val="left"/>
              <w:rPr>
                <w:rFonts w:ascii="Times New Roman" w:hAnsi="Times New Roman" w:cs="Times New Roman" w:eastAsia="Times New Roman" w:hint="default"/>
                <w:sz w:val="18"/>
                <w:szCs w:val="18"/>
              </w:rPr>
            </w:pPr>
            <w:r>
              <w:rPr>
                <w:rFonts w:ascii="Times New Roman"/>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647.15</w:t>
            </w:r>
          </w:p>
        </w:tc>
        <w:tc>
          <w:tcPr>
            <w:tcW w:w="821"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312</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140" w:right="152"/>
        <w:jc w:val="left"/>
      </w:pPr>
      <w:r>
        <w:rPr/>
        <w:t>委托理财出现预期无法收回本金或存在其他可能导致减值的情形</w:t>
      </w:r>
    </w:p>
    <w:p>
      <w:pPr>
        <w:pStyle w:val="BodyText"/>
        <w:spacing w:line="240" w:lineRule="auto" w:before="115"/>
        <w:ind w:left="140" w:right="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left="140" w:right="152"/>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140" w:right="117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after="0" w:line="340" w:lineRule="auto"/>
        <w:jc w:val="left"/>
        <w:sectPr>
          <w:pgSz w:w="16840" w:h="11910" w:orient="landscape"/>
          <w:pgMar w:header="867" w:footer="980" w:top="1060" w:bottom="1160" w:left="1300" w:right="12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152"/>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740"/>
        <w:gridCol w:w="850"/>
        <w:gridCol w:w="1138"/>
        <w:gridCol w:w="850"/>
        <w:gridCol w:w="1274"/>
        <w:gridCol w:w="1279"/>
        <w:gridCol w:w="706"/>
        <w:gridCol w:w="852"/>
        <w:gridCol w:w="708"/>
        <w:gridCol w:w="710"/>
        <w:gridCol w:w="566"/>
        <w:gridCol w:w="565"/>
        <w:gridCol w:w="1279"/>
        <w:gridCol w:w="991"/>
        <w:gridCol w:w="1510"/>
      </w:tblGrid>
      <w:tr>
        <w:trPr>
          <w:trHeight w:val="1025" w:hRule="exact"/>
        </w:trPr>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4"/>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7" w:right="60"/>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3" w:right="0"/>
              <w:jc w:val="left"/>
              <w:rPr>
                <w:rFonts w:ascii="宋体" w:hAnsi="宋体" w:cs="宋体" w:eastAsia="宋体" w:hint="default"/>
                <w:sz w:val="18"/>
                <w:szCs w:val="18"/>
              </w:rPr>
            </w:pPr>
            <w:r>
              <w:rPr>
                <w:rFonts w:ascii="宋体" w:hAnsi="宋体" w:cs="宋体" w:eastAsia="宋体" w:hint="default"/>
                <w:sz w:val="18"/>
                <w:szCs w:val="18"/>
              </w:rPr>
              <w:t>合同标的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0" w:right="58" w:hanging="180"/>
              <w:jc w:val="left"/>
              <w:rPr>
                <w:rFonts w:ascii="宋体" w:hAnsi="宋体" w:cs="宋体" w:eastAsia="宋体" w:hint="default"/>
                <w:sz w:val="18"/>
                <w:szCs w:val="18"/>
              </w:rPr>
            </w:pPr>
            <w:r>
              <w:rPr>
                <w:rFonts w:ascii="宋体" w:hAnsi="宋体" w:cs="宋体" w:eastAsia="宋体" w:hint="default"/>
                <w:sz w:val="18"/>
                <w:szCs w:val="18"/>
              </w:rPr>
              <w:t>合同签订 日期</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center"/>
              <w:rPr>
                <w:rFonts w:ascii="宋体" w:hAnsi="宋体" w:cs="宋体" w:eastAsia="宋体" w:hint="default"/>
                <w:sz w:val="18"/>
                <w:szCs w:val="18"/>
              </w:rPr>
            </w:pPr>
            <w:r>
              <w:rPr>
                <w:rFonts w:ascii="宋体" w:hAnsi="宋体" w:cs="宋体" w:eastAsia="宋体" w:hint="default"/>
                <w:sz w:val="18"/>
                <w:szCs w:val="18"/>
              </w:rPr>
              <w:t>合同涉及资产 </w:t>
            </w:r>
            <w:r>
              <w:rPr>
                <w:rFonts w:ascii="宋体" w:hAnsi="宋体" w:cs="宋体" w:eastAsia="宋体" w:hint="default"/>
                <w:spacing w:val="-6"/>
                <w:sz w:val="18"/>
                <w:szCs w:val="18"/>
              </w:rPr>
              <w:t>的账面价值（万</w:t>
            </w:r>
            <w:r>
              <w:rPr>
                <w:rFonts w:ascii="宋体" w:hAnsi="宋体" w:cs="宋体" w:eastAsia="宋体" w:hint="default"/>
                <w:sz w:val="18"/>
                <w:szCs w:val="18"/>
              </w:rPr>
              <w:t> </w:t>
            </w:r>
            <w:r>
              <w:rPr>
                <w:rFonts w:ascii="宋体" w:hAnsi="宋体" w:cs="宋体" w:eastAsia="宋体" w:hint="default"/>
                <w:spacing w:val="-16"/>
                <w:sz w:val="18"/>
                <w:szCs w:val="18"/>
              </w:rPr>
              <w:t>元）（如有）</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hanging="3"/>
              <w:jc w:val="center"/>
              <w:rPr>
                <w:rFonts w:ascii="宋体" w:hAnsi="宋体" w:cs="宋体" w:eastAsia="宋体" w:hint="default"/>
                <w:sz w:val="18"/>
                <w:szCs w:val="18"/>
              </w:rPr>
            </w:pPr>
            <w:r>
              <w:rPr>
                <w:rFonts w:ascii="宋体" w:hAnsi="宋体" w:cs="宋体" w:eastAsia="宋体" w:hint="default"/>
                <w:sz w:val="18"/>
                <w:szCs w:val="18"/>
              </w:rPr>
              <w:t>合同涉及资产 </w:t>
            </w:r>
            <w:r>
              <w:rPr>
                <w:rFonts w:ascii="宋体" w:hAnsi="宋体" w:cs="宋体" w:eastAsia="宋体" w:hint="default"/>
                <w:spacing w:val="-6"/>
                <w:sz w:val="18"/>
                <w:szCs w:val="18"/>
              </w:rPr>
              <w:t>的评估价值（万</w:t>
            </w:r>
            <w:r>
              <w:rPr>
                <w:rFonts w:ascii="宋体" w:hAnsi="宋体" w:cs="宋体" w:eastAsia="宋体" w:hint="default"/>
                <w:sz w:val="18"/>
                <w:szCs w:val="18"/>
              </w:rPr>
              <w:t> </w:t>
            </w:r>
            <w:r>
              <w:rPr>
                <w:rFonts w:ascii="宋体" w:hAnsi="宋体" w:cs="宋体" w:eastAsia="宋体" w:hint="default"/>
                <w:spacing w:val="-16"/>
                <w:sz w:val="18"/>
                <w:szCs w:val="18"/>
              </w:rPr>
              <w:t>元）（如有）</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240" w:lineRule="auto" w:before="19"/>
              <w:ind w:left="21"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atLeast" w:before="130"/>
              <w:ind w:left="21" w:right="60" w:firstLine="38"/>
              <w:jc w:val="left"/>
              <w:rPr>
                <w:rFonts w:ascii="宋体" w:hAnsi="宋体" w:cs="宋体" w:eastAsia="宋体" w:hint="default"/>
                <w:sz w:val="18"/>
                <w:szCs w:val="18"/>
              </w:rPr>
            </w:pPr>
            <w:r>
              <w:rPr>
                <w:rFonts w:ascii="宋体" w:hAnsi="宋体" w:cs="宋体" w:eastAsia="宋体" w:hint="default"/>
                <w:sz w:val="18"/>
                <w:szCs w:val="18"/>
              </w:rPr>
              <w:t>评估基准 </w:t>
            </w:r>
            <w:r>
              <w:rPr>
                <w:rFonts w:ascii="宋体" w:hAnsi="宋体" w:cs="宋体" w:eastAsia="宋体" w:hint="default"/>
                <w:spacing w:val="-4"/>
                <w:sz w:val="18"/>
                <w:szCs w:val="18"/>
              </w:rPr>
              <w:t>日（如有</w:t>
            </w:r>
          </w:p>
          <w:p>
            <w:pPr>
              <w:pStyle w:val="TableParagraph"/>
              <w:spacing w:line="156" w:lineRule="exact"/>
              <w:ind w:left="-145" w:right="0"/>
              <w:jc w:val="left"/>
              <w:rPr>
                <w:rFonts w:ascii="宋体" w:hAnsi="宋体" w:cs="宋体" w:eastAsia="宋体" w:hint="default"/>
                <w:sz w:val="18"/>
                <w:szCs w:val="18"/>
              </w:rPr>
            </w:pP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定价原</w:t>
            </w:r>
          </w:p>
          <w:p>
            <w:pPr>
              <w:pStyle w:val="TableParagraph"/>
              <w:tabs>
                <w:tab w:pos="256" w:val="left" w:leader="none"/>
              </w:tabs>
              <w:spacing w:line="240" w:lineRule="auto" w:before="76"/>
              <w:ind w:left="-125" w:right="0"/>
              <w:jc w:val="left"/>
              <w:rPr>
                <w:rFonts w:ascii="宋体" w:hAnsi="宋体" w:cs="宋体" w:eastAsia="宋体" w:hint="default"/>
                <w:sz w:val="18"/>
                <w:szCs w:val="18"/>
              </w:rPr>
            </w:pPr>
            <w:r>
              <w:rPr>
                <w:rFonts w:ascii="宋体" w:hAnsi="宋体" w:cs="宋体" w:eastAsia="宋体" w:hint="default"/>
                <w:sz w:val="18"/>
                <w:szCs w:val="18"/>
              </w:rPr>
              <w:t>）</w:t>
              <w:tab/>
              <w:t>则</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9"/>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6" w:right="98"/>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6" w:right="98"/>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4" w:right="95" w:hanging="92"/>
              <w:jc w:val="left"/>
              <w:rPr>
                <w:rFonts w:ascii="宋体" w:hAnsi="宋体" w:cs="宋体" w:eastAsia="宋体" w:hint="default"/>
                <w:sz w:val="18"/>
                <w:szCs w:val="18"/>
              </w:rPr>
            </w:pPr>
            <w:r>
              <w:rPr>
                <w:rFonts w:ascii="宋体" w:hAnsi="宋体" w:cs="宋体" w:eastAsia="宋体" w:hint="default"/>
                <w:sz w:val="18"/>
                <w:szCs w:val="18"/>
              </w:rPr>
              <w:t>截至报告期末 的执行情况</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8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5" w:hRule="exact"/>
        </w:trPr>
        <w:tc>
          <w:tcPr>
            <w:tcW w:w="74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公司以持有的</w:t>
            </w:r>
          </w:p>
        </w:tc>
        <w:tc>
          <w:tcPr>
            <w:tcW w:w="850"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9" w:type="dxa"/>
            <w:tcBorders>
              <w:top w:val="single" w:sz="4" w:space="0" w:color="000000"/>
              <w:left w:val="single" w:sz="4" w:space="0" w:color="000000"/>
              <w:bottom w:val="nil" w:sz="6" w:space="0" w:color="auto"/>
              <w:right w:val="single" w:sz="4" w:space="0" w:color="000000"/>
            </w:tcBorders>
          </w:tcPr>
          <w:p>
            <w:pPr/>
          </w:p>
        </w:tc>
        <w:tc>
          <w:tcPr>
            <w:tcW w:w="70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5" w:type="dxa"/>
            <w:tcBorders>
              <w:top w:val="single" w:sz="4" w:space="0" w:color="000000"/>
              <w:left w:val="single" w:sz="4" w:space="0" w:color="000000"/>
              <w:bottom w:val="nil" w:sz="6" w:space="0" w:color="auto"/>
              <w:right w:val="single" w:sz="4" w:space="0" w:color="000000"/>
            </w:tcBorders>
          </w:tcPr>
          <w:p>
            <w:pPr/>
          </w:p>
        </w:tc>
        <w:tc>
          <w:tcPr>
            <w:tcW w:w="1279"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51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4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电气事业部氦</w:t>
            </w:r>
          </w:p>
        </w:tc>
        <w:tc>
          <w:tcPr>
            <w:tcW w:w="850"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9"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127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r>
      <w:tr>
        <w:trPr>
          <w:trHeight w:val="881" w:hRule="exact"/>
        </w:trPr>
        <w:tc>
          <w:tcPr>
            <w:tcW w:w="7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3" w:right="165"/>
              <w:jc w:val="left"/>
              <w:rPr>
                <w:rFonts w:ascii="宋体" w:hAnsi="宋体" w:cs="宋体" w:eastAsia="宋体" w:hint="default"/>
                <w:sz w:val="18"/>
                <w:szCs w:val="18"/>
              </w:rPr>
            </w:pPr>
            <w:r>
              <w:rPr>
                <w:rFonts w:ascii="宋体" w:hAnsi="宋体" w:cs="宋体" w:eastAsia="宋体" w:hint="default"/>
                <w:sz w:val="18"/>
                <w:szCs w:val="18"/>
              </w:rPr>
              <w:t>惠程科 技</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96"/>
              <w:jc w:val="both"/>
              <w:rPr>
                <w:rFonts w:ascii="宋体" w:hAnsi="宋体" w:cs="宋体" w:eastAsia="宋体" w:hint="default"/>
                <w:sz w:val="18"/>
                <w:szCs w:val="18"/>
              </w:rPr>
            </w:pPr>
            <w:r>
              <w:rPr>
                <w:rFonts w:ascii="宋体" w:hAnsi="宋体" w:cs="宋体" w:eastAsia="宋体" w:hint="default"/>
                <w:sz w:val="18"/>
                <w:szCs w:val="18"/>
              </w:rPr>
              <w:t>远东国际 租赁有限 公司</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3"/>
              <w:jc w:val="both"/>
              <w:rPr>
                <w:rFonts w:ascii="宋体" w:hAnsi="宋体" w:cs="宋体" w:eastAsia="宋体" w:hint="default"/>
                <w:sz w:val="18"/>
                <w:szCs w:val="18"/>
              </w:rPr>
            </w:pPr>
            <w:r>
              <w:rPr>
                <w:rFonts w:ascii="宋体" w:hAnsi="宋体" w:cs="宋体" w:eastAsia="宋体" w:hint="default"/>
                <w:sz w:val="18"/>
                <w:szCs w:val="18"/>
              </w:rPr>
              <w:t>气气体检验设 备等与交易对 方通过售后回</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2,860</w:t>
            </w:r>
          </w:p>
        </w:tc>
        <w:tc>
          <w:tcPr>
            <w:tcW w:w="12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z w:val="18"/>
              </w:rPr>
              <w:t>/</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134"/>
              <w:jc w:val="both"/>
              <w:rPr>
                <w:rFonts w:ascii="宋体" w:hAnsi="宋体" w:cs="宋体" w:eastAsia="宋体" w:hint="default"/>
                <w:sz w:val="18"/>
                <w:szCs w:val="18"/>
              </w:rPr>
            </w:pPr>
            <w:r>
              <w:rPr>
                <w:rFonts w:ascii="宋体" w:hAnsi="宋体" w:cs="宋体" w:eastAsia="宋体" w:hint="default"/>
                <w:sz w:val="18"/>
                <w:szCs w:val="18"/>
              </w:rPr>
              <w:t>交易双 方协商 确定</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2,860</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目前双方根据</w:t>
            </w:r>
          </w:p>
        </w:tc>
        <w:tc>
          <w:tcPr>
            <w:tcW w:w="991"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4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租的方式进行</w:t>
            </w:r>
          </w:p>
        </w:tc>
        <w:tc>
          <w:tcPr>
            <w:tcW w:w="850"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9"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1279"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4" w:right="0"/>
              <w:jc w:val="left"/>
              <w:rPr>
                <w:rFonts w:ascii="宋体" w:hAnsi="宋体" w:cs="宋体" w:eastAsia="宋体" w:hint="default"/>
                <w:sz w:val="18"/>
                <w:szCs w:val="18"/>
              </w:rPr>
            </w:pPr>
            <w:r>
              <w:rPr>
                <w:rFonts w:ascii="宋体" w:hAnsi="宋体" w:cs="宋体" w:eastAsia="宋体" w:hint="default"/>
                <w:sz w:val="18"/>
                <w:szCs w:val="18"/>
              </w:rPr>
              <w:t>合同的约定正</w:t>
            </w:r>
          </w:p>
        </w:tc>
        <w:tc>
          <w:tcPr>
            <w:tcW w:w="991"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15" w:hRule="exact"/>
        </w:trPr>
        <w:tc>
          <w:tcPr>
            <w:tcW w:w="74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融资租赁交易</w:t>
            </w:r>
          </w:p>
        </w:tc>
        <w:tc>
          <w:tcPr>
            <w:tcW w:w="850"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9"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5" w:type="dxa"/>
            <w:tcBorders>
              <w:top w:val="nil" w:sz="6" w:space="0" w:color="auto"/>
              <w:left w:val="single" w:sz="4" w:space="0" w:color="000000"/>
              <w:bottom w:val="single" w:sz="4" w:space="0" w:color="000000"/>
              <w:right w:val="single" w:sz="4" w:space="0" w:color="000000"/>
            </w:tcBorders>
          </w:tcPr>
          <w:p>
            <w:pPr/>
          </w:p>
        </w:tc>
        <w:tc>
          <w:tcPr>
            <w:tcW w:w="1279" w:type="dxa"/>
            <w:vMerge w:val="restart"/>
            <w:tcBorders>
              <w:top w:val="nil" w:sz="6" w:space="0" w:color="auto"/>
              <w:left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常履约中</w:t>
            </w:r>
            <w:r>
              <w:rPr>
                <w:rFonts w:ascii="Times New Roman" w:hAnsi="Times New Roman" w:cs="Times New Roman" w:eastAsia="Times New Roman" w:hint="default"/>
                <w:sz w:val="18"/>
                <w:szCs w:val="18"/>
              </w:rPr>
              <w:t>,</w:t>
            </w:r>
            <w:r>
              <w:rPr>
                <w:rFonts w:ascii="宋体" w:hAnsi="宋体" w:cs="宋体" w:eastAsia="宋体" w:hint="default"/>
                <w:sz w:val="18"/>
                <w:szCs w:val="18"/>
              </w:rPr>
              <w:t>孙公</w:t>
            </w:r>
          </w:p>
          <w:p>
            <w:pPr>
              <w:pStyle w:val="TableParagraph"/>
              <w:spacing w:line="316" w:lineRule="auto" w:before="63"/>
              <w:ind w:left="24" w:right="21"/>
              <w:jc w:val="left"/>
              <w:rPr>
                <w:rFonts w:ascii="宋体" w:hAnsi="宋体" w:cs="宋体" w:eastAsia="宋体" w:hint="default"/>
                <w:sz w:val="18"/>
                <w:szCs w:val="18"/>
              </w:rPr>
            </w:pPr>
            <w:r>
              <w:rPr>
                <w:rFonts w:ascii="宋体" w:hAnsi="宋体" w:cs="宋体" w:eastAsia="宋体" w:hint="default"/>
                <w:spacing w:val="-6"/>
                <w:sz w:val="18"/>
                <w:szCs w:val="18"/>
              </w:rPr>
              <w:t>司豪琛投资、鹏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胤投资、中行置</w:t>
            </w:r>
          </w:p>
        </w:tc>
        <w:tc>
          <w:tcPr>
            <w:tcW w:w="991" w:type="dxa"/>
            <w:vMerge w:val="restart"/>
            <w:tcBorders>
              <w:top w:val="nil" w:sz="6" w:space="0" w:color="auto"/>
              <w:left w:val="single" w:sz="4" w:space="0" w:color="000000"/>
              <w:right w:val="single" w:sz="4" w:space="0" w:color="000000"/>
            </w:tcBorders>
          </w:tcPr>
          <w:p>
            <w:pPr>
              <w:pStyle w:val="TableParagraph"/>
              <w:spacing w:line="240" w:lineRule="auto" w:before="92"/>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0" w:type="dxa"/>
            <w:vMerge w:val="restart"/>
            <w:tcBorders>
              <w:top w:val="nil" w:sz="6" w:space="0" w:color="auto"/>
              <w:left w:val="single" w:sz="4" w:space="0" w:color="000000"/>
              <w:right w:val="single" w:sz="4" w:space="0" w:color="000000"/>
            </w:tcBorders>
          </w:tcPr>
          <w:p>
            <w:pPr>
              <w:pStyle w:val="TableParagraph"/>
              <w:spacing w:line="204"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29">
              <w:r>
                <w:rPr>
                  <w:rFonts w:ascii="Times New Roman" w:hAnsi="Times New Roman" w:cs="Times New Roman" w:eastAsia="Times New Roman" w:hint="default"/>
                  <w:sz w:val="18"/>
                  <w:szCs w:val="18"/>
                </w:rPr>
                <w:t>www.cninfo.com</w:t>
              </w:r>
            </w:hyperlink>
          </w:p>
          <w:p>
            <w:pPr>
              <w:pStyle w:val="TableParagraph"/>
              <w:spacing w:line="300" w:lineRule="auto" w:before="63"/>
              <w:ind w:left="24"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.cn</w:t>
            </w:r>
            <w:r>
              <w:rPr>
                <w:rFonts w:ascii="宋体" w:hAnsi="宋体" w:cs="宋体" w:eastAsia="宋体" w:hint="default"/>
                <w:spacing w:val="-3"/>
                <w:sz w:val="18"/>
                <w:szCs w:val="18"/>
              </w:rPr>
              <w:t>）上的《关于公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司开展融资租赁业</w:t>
            </w:r>
          </w:p>
        </w:tc>
      </w:tr>
      <w:tr>
        <w:trPr>
          <w:trHeight w:val="411" w:hRule="exact"/>
        </w:trPr>
        <w:tc>
          <w:tcPr>
            <w:tcW w:w="74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公司以持有的</w:t>
            </w:r>
          </w:p>
        </w:tc>
        <w:tc>
          <w:tcPr>
            <w:tcW w:w="850"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9" w:type="dxa"/>
            <w:tcBorders>
              <w:top w:val="single" w:sz="4" w:space="0" w:color="000000"/>
              <w:left w:val="single" w:sz="4" w:space="0" w:color="000000"/>
              <w:bottom w:val="nil" w:sz="6" w:space="0" w:color="auto"/>
              <w:right w:val="single" w:sz="4" w:space="0" w:color="000000"/>
            </w:tcBorders>
          </w:tcPr>
          <w:p>
            <w:pPr/>
          </w:p>
        </w:tc>
        <w:tc>
          <w:tcPr>
            <w:tcW w:w="70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5" w:type="dxa"/>
            <w:tcBorders>
              <w:top w:val="single" w:sz="4" w:space="0" w:color="000000"/>
              <w:left w:val="single" w:sz="4" w:space="0" w:color="000000"/>
              <w:bottom w:val="nil" w:sz="6" w:space="0" w:color="auto"/>
              <w:right w:val="single" w:sz="4" w:space="0" w:color="000000"/>
            </w:tcBorders>
          </w:tcPr>
          <w:p>
            <w:pPr/>
          </w:p>
        </w:tc>
        <w:tc>
          <w:tcPr>
            <w:tcW w:w="1279" w:type="dxa"/>
            <w:vMerge/>
            <w:tcBorders>
              <w:left w:val="single" w:sz="4" w:space="0" w:color="000000"/>
              <w:bottom w:val="nil" w:sz="6" w:space="0" w:color="auto"/>
              <w:right w:val="single" w:sz="4" w:space="0" w:color="000000"/>
            </w:tcBorders>
          </w:tcPr>
          <w:p>
            <w:pPr/>
          </w:p>
        </w:tc>
        <w:tc>
          <w:tcPr>
            <w:tcW w:w="991" w:type="dxa"/>
            <w:vMerge/>
            <w:tcBorders>
              <w:left w:val="single" w:sz="4" w:space="0" w:color="000000"/>
              <w:bottom w:val="nil" w:sz="6" w:space="0" w:color="auto"/>
              <w:right w:val="single" w:sz="4" w:space="0" w:color="000000"/>
            </w:tcBorders>
          </w:tcPr>
          <w:p>
            <w:pPr/>
          </w:p>
        </w:tc>
        <w:tc>
          <w:tcPr>
            <w:tcW w:w="1510" w:type="dxa"/>
            <w:vMerge/>
            <w:tcBorders>
              <w:left w:val="single" w:sz="4" w:space="0" w:color="000000"/>
              <w:bottom w:val="nil" w:sz="6" w:space="0" w:color="auto"/>
              <w:right w:val="single" w:sz="4" w:space="0" w:color="000000"/>
            </w:tcBorders>
          </w:tcPr>
          <w:p>
            <w:pPr/>
          </w:p>
        </w:tc>
      </w:tr>
      <w:tr>
        <w:trPr>
          <w:trHeight w:val="312" w:hRule="exact"/>
        </w:trPr>
        <w:tc>
          <w:tcPr>
            <w:tcW w:w="74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3" w:right="0"/>
              <w:jc w:val="left"/>
              <w:rPr>
                <w:rFonts w:ascii="宋体" w:hAnsi="宋体" w:cs="宋体" w:eastAsia="宋体" w:hint="default"/>
                <w:sz w:val="18"/>
                <w:szCs w:val="18"/>
              </w:rPr>
            </w:pPr>
            <w:r>
              <w:rPr>
                <w:rFonts w:ascii="宋体" w:hAnsi="宋体" w:cs="宋体" w:eastAsia="宋体" w:hint="default"/>
                <w:sz w:val="18"/>
                <w:szCs w:val="18"/>
              </w:rPr>
              <w:t>电气事业部橡</w:t>
            </w:r>
          </w:p>
        </w:tc>
        <w:tc>
          <w:tcPr>
            <w:tcW w:w="850"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9"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1279"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24" w:right="0"/>
              <w:jc w:val="left"/>
              <w:rPr>
                <w:rFonts w:ascii="宋体" w:hAnsi="宋体" w:cs="宋体" w:eastAsia="宋体" w:hint="default"/>
                <w:sz w:val="18"/>
                <w:szCs w:val="18"/>
              </w:rPr>
            </w:pPr>
            <w:r>
              <w:rPr>
                <w:rFonts w:ascii="宋体" w:hAnsi="宋体" w:cs="宋体" w:eastAsia="宋体" w:hint="default"/>
                <w:spacing w:val="-6"/>
                <w:sz w:val="18"/>
                <w:szCs w:val="18"/>
              </w:rPr>
              <w:t>盛、中融建银为</w:t>
            </w:r>
          </w:p>
        </w:tc>
        <w:tc>
          <w:tcPr>
            <w:tcW w:w="991"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24" w:right="0"/>
              <w:jc w:val="left"/>
              <w:rPr>
                <w:rFonts w:ascii="宋体" w:hAnsi="宋体" w:cs="宋体" w:eastAsia="宋体" w:hint="default"/>
                <w:sz w:val="18"/>
                <w:szCs w:val="18"/>
              </w:rPr>
            </w:pPr>
            <w:r>
              <w:rPr>
                <w:rFonts w:ascii="宋体" w:hAnsi="宋体" w:cs="宋体" w:eastAsia="宋体" w:hint="default"/>
                <w:sz w:val="18"/>
                <w:szCs w:val="18"/>
              </w:rPr>
              <w:t>务的公告</w:t>
            </w:r>
            <w:r>
              <w:rPr>
                <w:rFonts w:ascii="宋体" w:hAnsi="宋体" w:cs="宋体" w:eastAsia="宋体" w:hint="default"/>
                <w:spacing w:val="-171"/>
                <w:sz w:val="18"/>
                <w:szCs w:val="18"/>
              </w:rPr>
              <w:t>》</w:t>
            </w:r>
            <w:r>
              <w:rPr>
                <w:rFonts w:ascii="宋体" w:hAnsi="宋体" w:cs="宋体" w:eastAsia="宋体" w:hint="default"/>
                <w:sz w:val="18"/>
                <w:szCs w:val="18"/>
              </w:rPr>
              <w:t>（公告编</w:t>
            </w:r>
          </w:p>
        </w:tc>
      </w:tr>
      <w:tr>
        <w:trPr>
          <w:trHeight w:val="1193" w:hRule="exact"/>
        </w:trPr>
        <w:tc>
          <w:tcPr>
            <w:tcW w:w="7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316" w:lineRule="auto"/>
              <w:ind w:left="23" w:right="165"/>
              <w:jc w:val="left"/>
              <w:rPr>
                <w:rFonts w:ascii="宋体" w:hAnsi="宋体" w:cs="宋体" w:eastAsia="宋体" w:hint="default"/>
                <w:sz w:val="18"/>
                <w:szCs w:val="18"/>
              </w:rPr>
            </w:pPr>
            <w:r>
              <w:rPr>
                <w:rFonts w:ascii="宋体" w:hAnsi="宋体" w:cs="宋体" w:eastAsia="宋体" w:hint="default"/>
                <w:sz w:val="18"/>
                <w:szCs w:val="18"/>
              </w:rPr>
              <w:t>惠程科 技</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11"/>
              <w:ind w:left="21" w:right="96"/>
              <w:jc w:val="both"/>
              <w:rPr>
                <w:rFonts w:ascii="宋体" w:hAnsi="宋体" w:cs="宋体" w:eastAsia="宋体" w:hint="default"/>
                <w:sz w:val="18"/>
                <w:szCs w:val="18"/>
              </w:rPr>
            </w:pPr>
            <w:r>
              <w:rPr>
                <w:rFonts w:ascii="宋体" w:hAnsi="宋体" w:cs="宋体" w:eastAsia="宋体" w:hint="default"/>
                <w:sz w:val="18"/>
                <w:szCs w:val="18"/>
              </w:rPr>
              <w:t>远东国际 租赁有限 公司</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3" w:right="0"/>
              <w:jc w:val="both"/>
              <w:rPr>
                <w:rFonts w:ascii="宋体" w:hAnsi="宋体" w:cs="宋体" w:eastAsia="宋体" w:hint="default"/>
                <w:sz w:val="18"/>
                <w:szCs w:val="18"/>
              </w:rPr>
            </w:pPr>
            <w:r>
              <w:rPr>
                <w:rFonts w:ascii="宋体" w:hAnsi="宋体" w:cs="宋体" w:eastAsia="宋体" w:hint="default"/>
                <w:sz w:val="18"/>
                <w:szCs w:val="18"/>
              </w:rPr>
              <w:t>胶注射成型机</w:t>
            </w:r>
          </w:p>
          <w:p>
            <w:pPr>
              <w:pStyle w:val="TableParagraph"/>
              <w:spacing w:line="316" w:lineRule="auto" w:before="77"/>
              <w:ind w:left="23" w:right="23"/>
              <w:jc w:val="both"/>
              <w:rPr>
                <w:rFonts w:ascii="宋体" w:hAnsi="宋体" w:cs="宋体" w:eastAsia="宋体" w:hint="default"/>
                <w:sz w:val="18"/>
                <w:szCs w:val="18"/>
              </w:rPr>
            </w:pPr>
            <w:r>
              <w:rPr>
                <w:rFonts w:ascii="宋体" w:hAnsi="宋体" w:cs="宋体" w:eastAsia="宋体" w:hint="default"/>
                <w:sz w:val="18"/>
                <w:szCs w:val="18"/>
              </w:rPr>
              <w:t>等设备与交易 对方通过售后 回租的方式进</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2,640</w:t>
            </w:r>
          </w:p>
        </w:tc>
        <w:tc>
          <w:tcPr>
            <w:tcW w:w="12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316" w:lineRule="auto" w:before="111"/>
              <w:ind w:left="21" w:right="134"/>
              <w:jc w:val="both"/>
              <w:rPr>
                <w:rFonts w:ascii="宋体" w:hAnsi="宋体" w:cs="宋体" w:eastAsia="宋体" w:hint="default"/>
                <w:sz w:val="18"/>
                <w:szCs w:val="18"/>
              </w:rPr>
            </w:pPr>
            <w:r>
              <w:rPr>
                <w:rFonts w:ascii="宋体" w:hAnsi="宋体" w:cs="宋体" w:eastAsia="宋体" w:hint="default"/>
                <w:sz w:val="18"/>
                <w:szCs w:val="18"/>
              </w:rPr>
              <w:t>交易双 方协商 确定</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2,640</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9" w:type="dxa"/>
            <w:tcBorders>
              <w:top w:val="nil" w:sz="6" w:space="0" w:color="auto"/>
              <w:left w:val="single" w:sz="4" w:space="0" w:color="000000"/>
              <w:bottom w:val="nil" w:sz="6" w:space="0" w:color="auto"/>
              <w:right w:val="single" w:sz="4" w:space="0" w:color="000000"/>
            </w:tcBorders>
          </w:tcPr>
          <w:p>
            <w:pPr>
              <w:pStyle w:val="TableParagraph"/>
              <w:spacing w:line="316" w:lineRule="auto" w:before="66"/>
              <w:ind w:left="24" w:right="163"/>
              <w:jc w:val="left"/>
              <w:rPr>
                <w:rFonts w:ascii="宋体" w:hAnsi="宋体" w:cs="宋体" w:eastAsia="宋体" w:hint="default"/>
                <w:sz w:val="18"/>
                <w:szCs w:val="18"/>
              </w:rPr>
            </w:pPr>
            <w:r>
              <w:rPr>
                <w:rFonts w:ascii="宋体" w:hAnsi="宋体" w:cs="宋体" w:eastAsia="宋体" w:hint="default"/>
                <w:sz w:val="18"/>
                <w:szCs w:val="18"/>
              </w:rPr>
              <w:t>该交易提供连 带责任担保</w:t>
            </w:r>
          </w:p>
        </w:tc>
        <w:tc>
          <w:tcPr>
            <w:tcW w:w="991"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24"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2018-088</w:t>
            </w:r>
            <w:r>
              <w:rPr>
                <w:rFonts w:ascii="宋体" w:hAnsi="宋体" w:cs="宋体" w:eastAsia="宋体" w:hint="default"/>
                <w:sz w:val="18"/>
                <w:szCs w:val="18"/>
              </w:rPr>
              <w:t>）</w:t>
            </w:r>
          </w:p>
        </w:tc>
      </w:tr>
      <w:tr>
        <w:trPr>
          <w:trHeight w:val="312" w:hRule="exact"/>
        </w:trPr>
        <w:tc>
          <w:tcPr>
            <w:tcW w:w="74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行融资租赁交</w:t>
            </w:r>
          </w:p>
        </w:tc>
        <w:tc>
          <w:tcPr>
            <w:tcW w:w="850"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9"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127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4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w:t>
            </w:r>
          </w:p>
        </w:tc>
        <w:tc>
          <w:tcPr>
            <w:tcW w:w="850"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9"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5" w:type="dxa"/>
            <w:tcBorders>
              <w:top w:val="nil" w:sz="6" w:space="0" w:color="auto"/>
              <w:left w:val="single" w:sz="4" w:space="0" w:color="000000"/>
              <w:bottom w:val="single" w:sz="4" w:space="0" w:color="000000"/>
              <w:right w:val="single" w:sz="4" w:space="0" w:color="000000"/>
            </w:tcBorders>
          </w:tcPr>
          <w:p>
            <w:pPr/>
          </w:p>
        </w:tc>
        <w:tc>
          <w:tcPr>
            <w:tcW w:w="1279"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510"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10"/>
        <w:rPr>
          <w:rFonts w:ascii="宋体" w:hAnsi="宋体" w:cs="宋体" w:eastAsia="宋体" w:hint="default"/>
          <w:sz w:val="19"/>
          <w:szCs w:val="19"/>
        </w:rPr>
      </w:pPr>
    </w:p>
    <w:p>
      <w:pPr>
        <w:pStyle w:val="Heading2"/>
        <w:spacing w:line="240" w:lineRule="auto" w:before="26"/>
        <w:ind w:right="1133"/>
        <w:jc w:val="left"/>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firstLine="360"/>
        <w:jc w:val="both"/>
      </w:pPr>
      <w:r>
        <w:rPr>
          <w:spacing w:val="-2"/>
        </w:rPr>
        <w:t>公司自成立以来，一直积极履行自身社会责任，公司看重的不仅是经济利益，更重要的是企业和社会的可持续发展。在</w:t>
      </w:r>
      <w:r>
        <w:rPr/>
        <w:t> </w:t>
      </w:r>
      <w:r>
        <w:rPr>
          <w:spacing w:val="-2"/>
        </w:rPr>
        <w:t>生产经营和业务发展的过程中，在为股东创造价值的同时，努力做到经济效益与社会效益、短期利益与长期利益、自身发展</w:t>
      </w:r>
      <w:r>
        <w:rPr>
          <w:spacing w:val="-66"/>
        </w:rPr>
        <w:t> </w:t>
      </w:r>
      <w:r>
        <w:rPr>
          <w:spacing w:val="-66"/>
        </w:rPr>
      </w:r>
      <w:r>
        <w:rPr/>
        <w:t>与社会发展协调统一，实现公司与员工、公司与社会、公司与环境的健康和谐发展。</w:t>
      </w:r>
    </w:p>
    <w:p>
      <w:pPr>
        <w:pStyle w:val="BodyText"/>
        <w:spacing w:line="316" w:lineRule="auto" w:before="19"/>
        <w:ind w:right="1130" w:firstLine="360"/>
        <w:jc w:val="both"/>
      </w:pPr>
      <w:r>
        <w:rPr>
          <w:spacing w:val="-2"/>
        </w:rPr>
        <w:t>在股东和债权人权益保护方面，公司严格按照《公司法》、《证券法》、《公司章程》和其他有关法律法规的要求，结</w:t>
      </w:r>
      <w:r>
        <w:rPr/>
        <w:t> </w:t>
      </w:r>
      <w:r>
        <w:rPr>
          <w:spacing w:val="-2"/>
        </w:rPr>
        <w:t>合公司实际，建立了规范的法人治理结构，规范股东大会的召集、召开及表决程序，通过现场、网络等合法有效的方式，让</w:t>
      </w:r>
      <w:r>
        <w:rPr>
          <w:spacing w:val="-68"/>
        </w:rPr>
        <w:t> </w:t>
      </w:r>
      <w:r>
        <w:rPr>
          <w:spacing w:val="-68"/>
        </w:rPr>
      </w:r>
      <w:r>
        <w:rPr>
          <w:spacing w:val="-2"/>
        </w:rPr>
        <w:t>更多的股东特别是中小股东能够参加股东大会，确保股东对公司重大事项的知情权、参与权和表决权。公司认真履行信息披</w:t>
      </w:r>
      <w:r>
        <w:rPr>
          <w:spacing w:val="-63"/>
        </w:rPr>
        <w:t> </w:t>
      </w:r>
      <w:r>
        <w:rPr>
          <w:spacing w:val="-63"/>
        </w:rPr>
      </w:r>
      <w:r>
        <w:rPr/>
        <w:t>露义务，秉持公平、公正、公开的原则对待全体投资者和债权人，维护广大投资者和债权人的利益。</w:t>
      </w:r>
    </w:p>
    <w:p>
      <w:pPr>
        <w:pStyle w:val="BodyText"/>
        <w:spacing w:line="312" w:lineRule="auto" w:before="19"/>
        <w:ind w:right="1034" w:firstLine="360"/>
        <w:jc w:val="left"/>
      </w:pPr>
      <w:r>
        <w:rPr/>
        <w:t>在职工权益保护方面，公司不断完善劳动用工与福利保障的相关管理制度，尊重和维护员工的个人权益，对人员录用、 </w:t>
      </w:r>
      <w:r>
        <w:rPr>
          <w:spacing w:val="-2"/>
        </w:rPr>
        <w:t>员工培训、工资薪酬、福利保障等进行了详细规定，建立了较为完善的绩效考核体系。公司通过多种渠道和途径改善员工工</w:t>
      </w:r>
      <w:r>
        <w:rPr>
          <w:spacing w:val="-64"/>
        </w:rPr>
        <w:t> </w:t>
      </w:r>
      <w:r>
        <w:rPr>
          <w:spacing w:val="-64"/>
        </w:rPr>
      </w:r>
      <w:r>
        <w:rPr>
          <w:spacing w:val="-2"/>
        </w:rPr>
        <w:t>作环境和生活环境，重视人才培训和培养，实现员工与公司的共同成长，切实维护员工的合法权益。此外，为加强企业文化</w:t>
      </w:r>
      <w:r>
        <w:rPr>
          <w:spacing w:val="-66"/>
        </w:rPr>
        <w:t> </w:t>
      </w:r>
      <w:r>
        <w:rPr>
          <w:spacing w:val="-66"/>
        </w:rPr>
      </w:r>
      <w:r>
        <w:rPr/>
        <w:t>建设，增强集体凝聚力，丰富员工文化生活，报告期内公司还组织员工参加</w:t>
      </w:r>
      <w:r>
        <w:rPr>
          <w:rFonts w:ascii="Times New Roman" w:hAnsi="Times New Roman" w:cs="Times New Roman" w:eastAsia="Times New Roman" w:hint="default"/>
        </w:rPr>
        <w:t>“2018</w:t>
      </w:r>
      <w:r>
        <w:rPr/>
        <w:t>惠程仲夏狂欢夜</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w:t>
      </w:r>
      <w:r>
        <w:rPr>
          <w:rFonts w:ascii="Times New Roman" w:hAnsi="Times New Roman" w:cs="Times New Roman" w:eastAsia="Times New Roman" w:hint="default"/>
        </w:rPr>
        <w:t>2018</w:t>
      </w:r>
      <w:r>
        <w:rPr/>
        <w:t>年惠程电气</w:t>
      </w:r>
      <w:r>
        <w:rPr>
          <w:rFonts w:ascii="Times New Roman" w:hAnsi="Times New Roman" w:cs="Times New Roman" w:eastAsia="Times New Roman" w:hint="default"/>
        </w:rPr>
        <w:t>“</w:t>
      </w:r>
      <w:r>
        <w:rPr/>
        <w:t>大力</w:t>
      </w:r>
      <w:r>
        <w:rPr>
          <w:spacing w:val="-3"/>
        </w:rPr>
        <w:t> </w:t>
      </w:r>
      <w:r>
        <w:rPr>
          <w:spacing w:val="-5"/>
          <w:w w:val="100"/>
        </w:rPr>
        <w:t>神杯</w:t>
      </w:r>
      <w:r>
        <w:rPr>
          <w:rFonts w:ascii="Times New Roman" w:hAnsi="Times New Roman" w:cs="Times New Roman" w:eastAsia="Times New Roman" w:hint="default"/>
          <w:spacing w:val="-5"/>
          <w:w w:val="100"/>
        </w:rPr>
        <w:t>”</w:t>
      </w:r>
      <w:r>
        <w:rPr>
          <w:spacing w:val="-5"/>
          <w:w w:val="100"/>
        </w:rPr>
        <w:t>拔河比赛、</w:t>
      </w:r>
      <w:r>
        <w:rPr>
          <w:rFonts w:ascii="Times New Roman" w:hAnsi="Times New Roman" w:cs="Times New Roman" w:eastAsia="Times New Roman" w:hint="default"/>
          <w:spacing w:val="-5"/>
          <w:w w:val="100"/>
        </w:rPr>
        <w:t>2018</w:t>
      </w:r>
      <w:r>
        <w:rPr>
          <w:spacing w:val="-5"/>
          <w:w w:val="100"/>
        </w:rPr>
        <w:t>惠程电气</w:t>
      </w:r>
      <w:r>
        <w:rPr>
          <w:rFonts w:ascii="Times New Roman" w:hAnsi="Times New Roman" w:cs="Times New Roman" w:eastAsia="Times New Roman" w:hint="default"/>
          <w:spacing w:val="-5"/>
          <w:w w:val="100"/>
        </w:rPr>
        <w:t>“</w:t>
      </w:r>
      <w:r>
        <w:rPr>
          <w:spacing w:val="-5"/>
          <w:w w:val="100"/>
        </w:rPr>
        <w:t>谁羽争锋</w:t>
      </w:r>
      <w:r>
        <w:rPr>
          <w:w w:val="100"/>
        </w:rPr>
        <w:t> </w:t>
      </w:r>
      <w:r>
        <w:rPr>
          <w:rFonts w:ascii="Times New Roman" w:hAnsi="Times New Roman" w:cs="Times New Roman" w:eastAsia="Times New Roman" w:hint="default"/>
          <w:w w:val="99"/>
        </w:rPr>
        <w:t>• </w:t>
      </w:r>
      <w:r>
        <w:rPr>
          <w:spacing w:val="-5"/>
          <w:w w:val="98"/>
        </w:rPr>
        <w:t>迎五一</w:t>
      </w:r>
      <w:r>
        <w:rPr>
          <w:rFonts w:ascii="Times New Roman" w:hAnsi="Times New Roman" w:cs="Times New Roman" w:eastAsia="Times New Roman" w:hint="default"/>
          <w:spacing w:val="-5"/>
          <w:w w:val="98"/>
        </w:rPr>
        <w:t>”</w:t>
      </w:r>
      <w:r>
        <w:rPr>
          <w:spacing w:val="-5"/>
          <w:w w:val="98"/>
        </w:rPr>
        <w:t>羽毛球比赛、迎五一</w:t>
      </w:r>
      <w:r>
        <w:rPr>
          <w:rFonts w:ascii="Times New Roman" w:hAnsi="Times New Roman" w:cs="Times New Roman" w:eastAsia="Times New Roman" w:hint="default"/>
          <w:spacing w:val="-5"/>
          <w:w w:val="98"/>
        </w:rPr>
        <w:t>•</w:t>
      </w:r>
      <w:r>
        <w:rPr>
          <w:spacing w:val="-5"/>
          <w:w w:val="98"/>
        </w:rPr>
        <w:t>惠程股份趣味莲花山踏青活动、趣味室内活动</w:t>
      </w:r>
      <w:r>
        <w:rPr>
          <w:rFonts w:ascii="Times New Roman" w:hAnsi="Times New Roman" w:cs="Times New Roman" w:eastAsia="Times New Roman" w:hint="default"/>
          <w:spacing w:val="-5"/>
          <w:w w:val="98"/>
        </w:rPr>
        <w:t>“</w:t>
      </w:r>
      <w:r>
        <w:rPr>
          <w:spacing w:val="-5"/>
          <w:w w:val="98"/>
        </w:rPr>
        <w:t>你</w:t>
      </w:r>
      <w:r>
        <w:rPr>
          <w:rFonts w:ascii="Times New Roman" w:hAnsi="Times New Roman" w:cs="Times New Roman" w:eastAsia="Times New Roman" w:hint="default"/>
          <w:spacing w:val="-5"/>
          <w:w w:val="98"/>
        </w:rPr>
        <w:t>„</w:t>
      </w:r>
      <w:r>
        <w:rPr>
          <w:spacing w:val="-5"/>
          <w:w w:val="98"/>
        </w:rPr>
        <w:t>画</w:t>
      </w:r>
      <w:r>
        <w:rPr>
          <w:rFonts w:ascii="Times New Roman" w:hAnsi="Times New Roman" w:cs="Times New Roman" w:eastAsia="Times New Roman" w:hint="default"/>
          <w:spacing w:val="-5"/>
          <w:w w:val="98"/>
        </w:rPr>
        <w:t>‟</w:t>
      </w:r>
      <w:r>
        <w:rPr>
          <w:rFonts w:ascii="Times New Roman" w:hAnsi="Times New Roman" w:cs="Times New Roman" w:eastAsia="Times New Roman" w:hint="default"/>
          <w:spacing w:val="4"/>
          <w:w w:val="98"/>
        </w:rPr>
        <w:t> </w:t>
      </w:r>
      <w:r>
        <w:rPr/>
        <w:t>我猜</w:t>
      </w:r>
      <w:r>
        <w:rPr>
          <w:rFonts w:ascii="Times New Roman" w:hAnsi="Times New Roman" w:cs="Times New Roman" w:eastAsia="Times New Roman" w:hint="default"/>
        </w:rPr>
        <w:t>”</w:t>
      </w:r>
      <w:r>
        <w:rPr/>
        <w:t>等活动。</w:t>
      </w:r>
    </w:p>
    <w:p>
      <w:pPr>
        <w:pStyle w:val="BodyText"/>
        <w:spacing w:line="309" w:lineRule="auto" w:before="3"/>
        <w:ind w:right="1128" w:firstLine="360"/>
        <w:jc w:val="both"/>
      </w:pPr>
      <w:r>
        <w:rPr>
          <w:spacing w:val="-2"/>
        </w:rPr>
        <w:t>在供应商、客户和消费者权益保护方面，公司建立了一整套输配电设备采购和销售服务体系，确保产品质量，方便用户</w:t>
      </w:r>
      <w:r>
        <w:rPr/>
        <w:t> </w:t>
      </w:r>
      <w:r>
        <w:rPr>
          <w:spacing w:val="-2"/>
        </w:rPr>
        <w:t>使用，获得了较高的客户满意度和忠诚度。公司进一步加强对服务工作的重视，健全和完善服务管理体制和运行机制，做到</w:t>
      </w:r>
      <w:r>
        <w:rPr>
          <w:spacing w:val="-64"/>
        </w:rPr>
        <w:t> </w:t>
      </w:r>
      <w:r>
        <w:rPr>
          <w:spacing w:val="-64"/>
        </w:rPr>
      </w:r>
      <w:r>
        <w:rPr>
          <w:spacing w:val="-2"/>
        </w:rPr>
        <w:t>服务与经营工作同步推进，完善客户意见反馈机制、投诉处理机制和快速响应机制，</w:t>
      </w:r>
      <w:r>
        <w:rPr>
          <w:rFonts w:ascii="Times New Roman" w:hAnsi="Times New Roman" w:cs="Times New Roman" w:eastAsia="Times New Roman" w:hint="default"/>
          <w:spacing w:val="-2"/>
        </w:rPr>
        <w:t>“</w:t>
      </w:r>
      <w:r>
        <w:rPr>
          <w:spacing w:val="-2"/>
        </w:rPr>
        <w:t>以客户为中心</w:t>
      </w:r>
      <w:r>
        <w:rPr>
          <w:rFonts w:ascii="Times New Roman" w:hAnsi="Times New Roman" w:cs="Times New Roman" w:eastAsia="Times New Roman" w:hint="default"/>
          <w:spacing w:val="-2"/>
        </w:rPr>
        <w:t>”</w:t>
      </w:r>
      <w:r>
        <w:rPr>
          <w:spacing w:val="-2"/>
        </w:rPr>
        <w:t>的服务管理新体系、新</w:t>
      </w:r>
      <w:r>
        <w:rPr>
          <w:spacing w:val="-40"/>
        </w:rPr>
        <w:t> </w:t>
      </w:r>
      <w:r>
        <w:rPr>
          <w:spacing w:val="-40"/>
        </w:rPr>
      </w:r>
      <w:r>
        <w:rPr/>
        <w:t>机制日趋完善。报告期内，公司分别在云南昆明、山东济南举办了</w:t>
      </w:r>
      <w:r>
        <w:rPr>
          <w:rFonts w:ascii="Times New Roman" w:hAnsi="Times New Roman" w:cs="Times New Roman" w:eastAsia="Times New Roman" w:hint="default"/>
        </w:rPr>
        <w:t>“</w:t>
      </w:r>
      <w:r>
        <w:rPr/>
        <w:t>惠程电气</w:t>
      </w:r>
      <w:r>
        <w:rPr>
          <w:rFonts w:ascii="Times New Roman" w:hAnsi="Times New Roman" w:cs="Times New Roman" w:eastAsia="Times New Roman" w:hint="default"/>
        </w:rPr>
        <w:t>2018</w:t>
      </w:r>
      <w:r>
        <w:rPr/>
        <w:t>年春季核心经销商会议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深圳惠程</w:t>
      </w:r>
      <w:r>
        <w:rPr>
          <w:rFonts w:ascii="Times New Roman" w:hAnsi="Times New Roman" w:cs="Times New Roman" w:eastAsia="Times New Roman" w:hint="default"/>
        </w:rPr>
        <w:t>2018 </w:t>
      </w:r>
      <w:r>
        <w:rPr/>
        <w:t>年夏季经销商交流会</w:t>
      </w:r>
      <w:r>
        <w:rPr>
          <w:rFonts w:ascii="Times New Roman" w:hAnsi="Times New Roman" w:cs="Times New Roman" w:eastAsia="Times New Roman" w:hint="default"/>
        </w:rPr>
        <w:t>”</w:t>
      </w:r>
      <w:r>
        <w:rPr/>
        <w:t>，与经销商共同完善产品销售服务体系。</w:t>
      </w:r>
    </w:p>
    <w:p>
      <w:pPr>
        <w:pStyle w:val="BodyText"/>
        <w:spacing w:line="316" w:lineRule="auto" w:before="5"/>
        <w:ind w:right="1132" w:firstLine="360"/>
        <w:jc w:val="both"/>
      </w:pPr>
      <w:r>
        <w:rPr>
          <w:spacing w:val="-2"/>
        </w:rPr>
        <w:t>在环境保护与可持续发展方面，公司将环境保护和节能减排作为可持续发展战略的重要内容，注重环保宣传和全体人员</w:t>
      </w:r>
      <w:r>
        <w:rPr/>
        <w:t> </w:t>
      </w:r>
      <w:r>
        <w:rPr>
          <w:spacing w:val="-2"/>
        </w:rPr>
        <w:t>环保意识的提高，树立绿色发展和低碳发展的理念，坚持守法自律、清洁生产、节约资源、保护环境、可持续发展，加大对</w:t>
      </w:r>
      <w:r>
        <w:rPr>
          <w:spacing w:val="-73"/>
        </w:rPr>
        <w:t> </w:t>
      </w:r>
      <w:r>
        <w:rPr>
          <w:spacing w:val="-73"/>
        </w:rPr>
      </w:r>
      <w:r>
        <w:rPr/>
        <w:t>新材料、新技术、新能源的探索，以改进生产工艺，争取实现生产全过程绿色化、低碳化。</w:t>
      </w:r>
    </w:p>
    <w:p>
      <w:pPr>
        <w:pStyle w:val="BodyText"/>
        <w:spacing w:line="309" w:lineRule="auto" w:before="59"/>
        <w:ind w:right="1034" w:firstLine="432"/>
        <w:jc w:val="left"/>
      </w:pPr>
      <w:r>
        <w:rPr/>
        <w:t>在公共关系、社会公益事业方面，公司多年前就成立了惠程股份义工协会，自成立以来一直积极组织员工参与各项爱 心活动，希望把关爱的惠程文化传播给身边每一个人，感召更多的人参与到义工活动中来；哆可梦积极参与“双创”活动，</w:t>
      </w:r>
      <w:r>
        <w:rPr>
          <w:spacing w:val="-81"/>
        </w:rPr>
        <w:t> </w:t>
      </w:r>
      <w:r>
        <w:rPr>
          <w:spacing w:val="-81"/>
        </w:rPr>
      </w:r>
      <w:r>
        <w:rPr/>
        <w:t>积极支持青年学生创新创业。此外，经公司总裁办公会审议批准，报告期内公司参加了东润公益基金会举办的</w:t>
      </w:r>
      <w:r>
        <w:rPr>
          <w:rFonts w:ascii="Times New Roman" w:hAnsi="Times New Roman" w:cs="Times New Roman" w:eastAsia="Times New Roman" w:hint="default"/>
        </w:rPr>
        <w:t>“2018</w:t>
      </w:r>
      <w:r>
        <w:rPr/>
        <w:t>东润慈</w:t>
      </w:r>
      <w:r>
        <w:rPr>
          <w:spacing w:val="-73"/>
        </w:rPr>
        <w:t> </w:t>
      </w:r>
      <w:r>
        <w:rPr>
          <w:spacing w:val="-73"/>
        </w:rPr>
      </w:r>
      <w:r>
        <w:rPr/>
        <w:t>善夜</w:t>
      </w:r>
      <w:r>
        <w:rPr>
          <w:rFonts w:ascii="Times New Roman" w:hAnsi="Times New Roman" w:cs="Times New Roman" w:eastAsia="Times New Roman" w:hint="default"/>
        </w:rPr>
        <w:t>”</w:t>
      </w:r>
      <w:r>
        <w:rPr/>
        <w:t>活动，授权代表代为认捐善款</w:t>
      </w:r>
      <w:r>
        <w:rPr>
          <w:rFonts w:ascii="Times New Roman" w:hAnsi="Times New Roman" w:cs="Times New Roman" w:eastAsia="Times New Roman" w:hint="default"/>
        </w:rPr>
        <w:t>40</w:t>
      </w:r>
      <w:r>
        <w:rPr/>
        <w:t>万元；报告期内公司通过深圳市坪山新区慈善会向百色市田东县扶贫协作项目捐赠款</w:t>
      </w:r>
      <w:r>
        <w:rPr>
          <w:spacing w:val="-75"/>
        </w:rPr>
        <w:t> </w:t>
      </w:r>
      <w:r>
        <w:rPr>
          <w:spacing w:val="-75"/>
        </w:rPr>
      </w:r>
      <w:r>
        <w:rPr/>
        <w:t>项</w:t>
      </w:r>
      <w:r>
        <w:rPr>
          <w:rFonts w:ascii="Times New Roman" w:hAnsi="Times New Roman" w:cs="Times New Roman" w:eastAsia="Times New Roman" w:hint="default"/>
        </w:rPr>
        <w:t>5,000</w:t>
      </w:r>
      <w:r>
        <w:rPr/>
        <w:t>元。</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5714"/>
        <w:jc w:val="left"/>
      </w:pPr>
      <w:r>
        <w:rPr/>
        <w:t>上市公司及其子公司是否属于环境保护部门公布的重点排污单位 否</w:t>
      </w:r>
    </w:p>
    <w:p>
      <w:pPr>
        <w:pStyle w:val="BodyText"/>
        <w:spacing w:line="316" w:lineRule="auto" w:before="29"/>
        <w:ind w:right="1045" w:firstLine="283"/>
        <w:jc w:val="both"/>
      </w:pPr>
      <w:r>
        <w:rPr/>
        <w:t>公司不属于环境保护部门公布的重点排污单位，在环境保护方面，公司将环境保护和节能减排作为可持续发展战略的重 </w:t>
      </w:r>
      <w:r>
        <w:rPr>
          <w:spacing w:val="-5"/>
        </w:rPr>
        <w:t>要内容，注重环保宣传和全体人员环保意识的提高，树立绿色发展和低碳发展的理念，坚持守法自律、清洁生产、节约资源、</w:t>
      </w:r>
      <w:r>
        <w:rPr>
          <w:spacing w:val="-80"/>
        </w:rPr>
        <w:t> </w:t>
      </w:r>
      <w:r>
        <w:rPr>
          <w:spacing w:val="-80"/>
        </w:rPr>
      </w:r>
      <w:r>
        <w:rPr/>
        <w:t>保护环境、可持续发展，加大对新材料、新技术、新能源的探索，以改进生产工艺，争取实现生产全过程绿色化、低碳化。</w:t>
      </w:r>
    </w:p>
    <w:p>
      <w:pPr>
        <w:spacing w:after="0" w:line="316" w:lineRule="auto"/>
        <w:jc w:val="both"/>
        <w:sectPr>
          <w:headerReference w:type="default" r:id="rId30"/>
          <w:footerReference w:type="default" r:id="rId31"/>
          <w:pgSz w:w="11910" w:h="16840"/>
          <w:pgMar w:header="877" w:footer="979" w:top="1100" w:bottom="1160" w:left="980" w:right="0"/>
          <w:pgNumType w:start="58"/>
        </w:sectPr>
      </w:pPr>
    </w:p>
    <w:p>
      <w:pPr>
        <w:spacing w:line="240" w:lineRule="auto" w:before="10"/>
        <w:rPr>
          <w:rFonts w:ascii="宋体" w:hAnsi="宋体" w:cs="宋体" w:eastAsia="宋体" w:hint="default"/>
          <w:sz w:val="19"/>
          <w:szCs w:val="19"/>
        </w:rPr>
      </w:pPr>
    </w:p>
    <w:p>
      <w:pPr>
        <w:pStyle w:val="Heading2"/>
        <w:spacing w:line="240" w:lineRule="auto" w:before="26"/>
        <w:ind w:right="1133"/>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29" w:firstLine="432"/>
        <w:jc w:val="both"/>
      </w:pPr>
      <w:r>
        <w:rPr>
          <w:rFonts w:ascii="Times New Roman" w:hAnsi="Times New Roman" w:cs="Times New Roman" w:eastAsia="Times New Roman" w:hint="default"/>
          <w:spacing w:val="-2"/>
        </w:rPr>
        <w:t>1</w:t>
      </w:r>
      <w:r>
        <w:rPr>
          <w:spacing w:val="-2"/>
        </w:rPr>
        <w:t>、公司因筹划涉及资产收购的重大事项，经向深交所申请，公司股票自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日开市起停牌。根据《上市公司</w:t>
      </w:r>
      <w:r>
        <w:rPr/>
        <w:t> </w:t>
      </w:r>
      <w:r>
        <w:rPr>
          <w:spacing w:val="-2"/>
        </w:rPr>
        <w:t>重大资产重组管理办法》的规定，本次筹划事项构成重大资产重组，公司股票自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spacing w:val="-2"/>
        </w:rPr>
        <w:t>日开市起转入重大资产重组程序</w:t>
      </w:r>
      <w:r>
        <w:rPr>
          <w:spacing w:val="-59"/>
        </w:rPr>
        <w:t> </w:t>
      </w:r>
      <w:r>
        <w:rPr/>
        <w:t>并继续停牌。</w:t>
      </w:r>
    </w:p>
    <w:p>
      <w:pPr>
        <w:pStyle w:val="BodyText"/>
        <w:spacing w:line="300" w:lineRule="auto" w:before="72"/>
        <w:ind w:right="1036" w:firstLine="288"/>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月，为确保本次收购北京爱酷游科技股份有限公司（以下简称</w:t>
      </w:r>
      <w:r>
        <w:rPr>
          <w:rFonts w:ascii="Times New Roman" w:hAnsi="Times New Roman" w:cs="Times New Roman" w:eastAsia="Times New Roman" w:hint="default"/>
        </w:rPr>
        <w:t>“</w:t>
      </w:r>
      <w:r>
        <w:rPr/>
        <w:t>爱酷游</w:t>
      </w:r>
      <w:r>
        <w:rPr>
          <w:rFonts w:ascii="Times New Roman" w:hAnsi="Times New Roman" w:cs="Times New Roman" w:eastAsia="Times New Roman" w:hint="default"/>
        </w:rPr>
        <w:t>”</w:t>
      </w:r>
      <w:r>
        <w:rPr/>
        <w:t>）控制权的重大资产重组事项顺利进行， 公司与爱酷游及其实际控制人郭鹏先生、张强先生签署《合作意向书之补充协议》，约定公司向郭鹏先生支付人民币</w:t>
      </w:r>
      <w:r>
        <w:rPr>
          <w:rFonts w:ascii="Times New Roman" w:hAnsi="Times New Roman" w:cs="Times New Roman" w:eastAsia="Times New Roman" w:hint="default"/>
        </w:rPr>
        <w:t>5,000 </w:t>
      </w:r>
      <w:r>
        <w:rPr/>
        <w:t>万元的诚意金，同时郭鹏先生将其所持爱酷游</w:t>
      </w:r>
      <w:r>
        <w:rPr>
          <w:rFonts w:ascii="Times New Roman" w:hAnsi="Times New Roman" w:cs="Times New Roman" w:eastAsia="Times New Roman" w:hint="default"/>
        </w:rPr>
        <w:t>19.61%</w:t>
      </w:r>
      <w:r>
        <w:rPr/>
        <w:t>的股份质押给公司。</w:t>
      </w:r>
    </w:p>
    <w:p>
      <w:pPr>
        <w:pStyle w:val="BodyText"/>
        <w:spacing w:line="300" w:lineRule="auto" w:before="53"/>
        <w:ind w:right="1131" w:firstLine="288"/>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27</w:t>
      </w:r>
      <w:r>
        <w:rPr>
          <w:spacing w:val="-1"/>
        </w:rPr>
        <w:t>日，公司第六届董事会第十四次会议审议通过了《关于</w:t>
      </w:r>
      <w:r>
        <w:rPr>
          <w:rFonts w:ascii="Times New Roman" w:hAnsi="Times New Roman" w:cs="Times New Roman" w:eastAsia="Times New Roman" w:hint="default"/>
          <w:spacing w:val="-1"/>
        </w:rPr>
        <w:t>&lt;</w:t>
      </w:r>
      <w:r>
        <w:rPr>
          <w:spacing w:val="-1"/>
        </w:rPr>
        <w:t>深圳市惠程电气股份有限公司发行股份及支付现金</w:t>
      </w:r>
      <w:r>
        <w:rPr/>
        <w:t> 购买资产并募集配套资金预案</w:t>
      </w:r>
      <w:r>
        <w:rPr>
          <w:rFonts w:ascii="Times New Roman" w:hAnsi="Times New Roman" w:cs="Times New Roman" w:eastAsia="Times New Roman" w:hint="default"/>
        </w:rPr>
        <w:t>&gt;</w:t>
      </w:r>
      <w:r>
        <w:rPr/>
        <w:t>及其摘要的议案》等相关议案，并于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日在巨潮资讯网（</w:t>
      </w:r>
      <w:hyperlink r:id="rId13">
        <w:r>
          <w:rPr>
            <w:rFonts w:ascii="Times New Roman" w:hAnsi="Times New Roman" w:cs="Times New Roman" w:eastAsia="Times New Roman" w:hint="default"/>
          </w:rPr>
          <w:t>www.cninfo.com.cn</w:t>
        </w:r>
      </w:hyperlink>
      <w:r>
        <w:rPr/>
        <w:t>）上 </w:t>
      </w:r>
      <w:r>
        <w:rPr>
          <w:spacing w:val="-2"/>
        </w:rPr>
        <w:t>披露了《深圳市惠程电气股份有限公司发行股份及支付现金购买资产并募集配套资金预案》等相关文件。</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日，公</w:t>
      </w:r>
      <w:r>
        <w:rPr>
          <w:spacing w:val="-60"/>
        </w:rPr>
        <w:t> </w:t>
      </w:r>
      <w:r>
        <w:rPr>
          <w:spacing w:val="-60"/>
        </w:rPr>
      </w:r>
      <w:r>
        <w:rPr>
          <w:spacing w:val="-2"/>
        </w:rPr>
        <w:t>司收到深圳证券交易所下发的中小板重组问询函（需行政许可）【</w:t>
      </w:r>
      <w:r>
        <w:rPr>
          <w:rFonts w:ascii="Times New Roman" w:hAnsi="Times New Roman" w:cs="Times New Roman" w:eastAsia="Times New Roman" w:hint="default"/>
          <w:spacing w:val="-2"/>
        </w:rPr>
        <w:t>2018</w:t>
      </w:r>
      <w:r>
        <w:rPr>
          <w:spacing w:val="-2"/>
        </w:rPr>
        <w:t>】第</w:t>
      </w:r>
      <w:r>
        <w:rPr>
          <w:rFonts w:ascii="Times New Roman" w:hAnsi="Times New Roman" w:cs="Times New Roman" w:eastAsia="Times New Roman" w:hint="default"/>
          <w:spacing w:val="-2"/>
        </w:rPr>
        <w:t>11</w:t>
      </w:r>
      <w:r>
        <w:rPr>
          <w:spacing w:val="-2"/>
        </w:rPr>
        <w:t>号《关于对深圳市惠程电气股份有限公司的重</w:t>
      </w:r>
      <w:r>
        <w:rPr>
          <w:spacing w:val="-59"/>
        </w:rPr>
        <w:t> </w:t>
      </w:r>
      <w:r>
        <w:rPr>
          <w:spacing w:val="-59"/>
        </w:rPr>
      </w:r>
      <w:r>
        <w:rPr/>
        <w:t>组问询函》，并于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日披露了《深圳市惠程电气股份有限公司发行股份及支付现金购买资产并募集配套资金预案</w:t>
      </w:r>
    </w:p>
    <w:p>
      <w:pPr>
        <w:pStyle w:val="BodyText"/>
        <w:spacing w:line="309" w:lineRule="auto" w:before="13"/>
        <w:ind w:right="0"/>
        <w:jc w:val="left"/>
      </w:pPr>
      <w:r>
        <w:rPr>
          <w:spacing w:val="-2"/>
        </w:rPr>
        <w:t>（修订稿）》及其摘要、《关于深圳证券交易所重组问询函的回复公告》等相关文件。公司拟通过发行股份及支付现金方式</w:t>
      </w:r>
      <w:r>
        <w:rPr>
          <w:spacing w:val="-67"/>
        </w:rPr>
        <w:t> </w:t>
      </w:r>
      <w:r>
        <w:rPr>
          <w:spacing w:val="-67"/>
        </w:rPr>
      </w:r>
      <w:r>
        <w:rPr>
          <w:spacing w:val="-1"/>
        </w:rPr>
        <w:t>向交易对方购买其合计持有的爱酷游</w:t>
      </w:r>
      <w:r>
        <w:rPr>
          <w:rFonts w:ascii="Times New Roman" w:hAnsi="Times New Roman" w:cs="Times New Roman" w:eastAsia="Times New Roman" w:hint="default"/>
          <w:spacing w:val="-1"/>
        </w:rPr>
        <w:t>64.96%</w:t>
      </w:r>
      <w:r>
        <w:rPr>
          <w:spacing w:val="-1"/>
        </w:rPr>
        <w:t>股权，并拟以询价方式向不超过</w:t>
      </w:r>
      <w:r>
        <w:rPr>
          <w:rFonts w:ascii="Times New Roman" w:hAnsi="Times New Roman" w:cs="Times New Roman" w:eastAsia="Times New Roman" w:hint="default"/>
          <w:spacing w:val="-1"/>
        </w:rPr>
        <w:t>10</w:t>
      </w:r>
      <w:r>
        <w:rPr>
          <w:spacing w:val="-1"/>
        </w:rPr>
        <w:t>名特定投资者非公开发行股票募集配套资金，</w:t>
      </w:r>
      <w:r>
        <w:rPr>
          <w:spacing w:val="-42"/>
        </w:rPr>
        <w:t> </w:t>
      </w:r>
      <w:r>
        <w:rPr>
          <w:spacing w:val="-42"/>
        </w:rPr>
      </w:r>
      <w:r>
        <w:rPr/>
        <w:t>募集配套资金总额不超过</w:t>
      </w:r>
      <w:r>
        <w:rPr>
          <w:rFonts w:ascii="Times New Roman" w:hAnsi="Times New Roman" w:cs="Times New Roman" w:eastAsia="Times New Roman" w:hint="default"/>
        </w:rPr>
        <w:t>60,000</w:t>
      </w:r>
      <w:r>
        <w:rPr/>
        <w:t>万元，募集配套资金在扣除相关中介机构费用后，将全部用于支付本次交易的现金对价。</w:t>
      </w:r>
    </w:p>
    <w:p>
      <w:pPr>
        <w:pStyle w:val="BodyText"/>
        <w:spacing w:line="314" w:lineRule="auto" w:before="43"/>
        <w:ind w:right="1128" w:firstLine="288"/>
        <w:jc w:val="both"/>
      </w:pPr>
      <w:r>
        <w:rPr>
          <w:spacing w:val="-1"/>
        </w:rPr>
        <w:t>因本次筹划重大资产重组期间，面临的外部环境特别是资本市场环境发生了较为明显的变化，各方最终未能就股票发行</w:t>
      </w:r>
      <w:r>
        <w:rPr/>
        <w:t> </w:t>
      </w:r>
      <w:r>
        <w:rPr>
          <w:spacing w:val="-2"/>
        </w:rPr>
        <w:t>价格和估值调整等核心条款达成一致意见。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日，公司第六届董事会第二十三次会议审议通过了《关于终止重大</w:t>
      </w:r>
      <w:r>
        <w:rPr>
          <w:spacing w:val="-58"/>
        </w:rPr>
        <w:t> </w:t>
      </w:r>
      <w:r>
        <w:rPr>
          <w:spacing w:val="-58"/>
        </w:rPr>
      </w:r>
      <w:r>
        <w:rPr>
          <w:spacing w:val="-2"/>
        </w:rPr>
        <w:t>资产重组事项的议案》、《关于签署本次交易相关终止协议的议案》，公司与交易对方协商一致，决定终止收购爱酷游控制</w:t>
      </w:r>
      <w:r>
        <w:rPr>
          <w:spacing w:val="-67"/>
        </w:rPr>
        <w:t> </w:t>
      </w:r>
      <w:r>
        <w:rPr>
          <w:spacing w:val="-67"/>
        </w:rPr>
      </w:r>
      <w:r>
        <w:rPr>
          <w:spacing w:val="-2"/>
        </w:rPr>
        <w:t>权的重大资产重组事项，并与交易对方签署了相关终止协议，本次终止实施重大资产重组，未对公司生产经营活动和后续发</w:t>
      </w:r>
      <w:r>
        <w:rPr>
          <w:spacing w:val="-61"/>
        </w:rPr>
        <w:t> </w:t>
      </w:r>
      <w:r>
        <w:rPr>
          <w:spacing w:val="-61"/>
        </w:rPr>
      </w:r>
      <w:r>
        <w:rPr>
          <w:spacing w:val="-2"/>
        </w:rPr>
        <w:t>展造成重大不利影响。公司已在相关终止协议约定期限内收到郭鹏先生退还的全部诚意金，并办理完郭鹏先生出质的爱酷游</w:t>
      </w:r>
      <w:r>
        <w:rPr>
          <w:spacing w:val="-64"/>
        </w:rPr>
        <w:t> </w:t>
      </w:r>
      <w:r>
        <w:rPr>
          <w:spacing w:val="-64"/>
        </w:rPr>
      </w:r>
      <w:r>
        <w:rPr/>
        <w:t>股份解除质押的手续。</w:t>
      </w:r>
    </w:p>
    <w:p>
      <w:pPr>
        <w:pStyle w:val="BodyText"/>
        <w:spacing w:line="300" w:lineRule="auto" w:before="61"/>
        <w:ind w:right="1131"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日公司发布了《关于签署意向性协议的公告》（公告编号：</w:t>
      </w:r>
      <w:r>
        <w:rPr>
          <w:rFonts w:ascii="Times New Roman" w:hAnsi="Times New Roman" w:cs="Times New Roman" w:eastAsia="Times New Roman" w:hint="default"/>
          <w:spacing w:val="-2"/>
        </w:rPr>
        <w:t>2018-040</w:t>
      </w:r>
      <w:r>
        <w:rPr>
          <w:spacing w:val="-2"/>
        </w:rPr>
        <w:t>），公司与湖北恒宏实电力工程有</w:t>
      </w:r>
      <w:r>
        <w:rPr/>
        <w:t> 限公司（以下简称</w:t>
      </w:r>
      <w:r>
        <w:rPr>
          <w:rFonts w:ascii="Times New Roman" w:hAnsi="Times New Roman" w:cs="Times New Roman" w:eastAsia="Times New Roman" w:hint="default"/>
        </w:rPr>
        <w:t>“</w:t>
      </w:r>
      <w:r>
        <w:rPr/>
        <w:t>恒宏实电力</w:t>
      </w:r>
      <w:r>
        <w:rPr>
          <w:rFonts w:ascii="Times New Roman" w:hAnsi="Times New Roman" w:cs="Times New Roman" w:eastAsia="Times New Roman" w:hint="default"/>
        </w:rPr>
        <w:t>”</w:t>
      </w:r>
      <w:r>
        <w:rPr/>
        <w:t>）签署了《关于光伏电站及智能微电网项目设备成套服务意向性协议》（以下简称</w:t>
      </w:r>
      <w:r>
        <w:rPr>
          <w:rFonts w:ascii="Times New Roman" w:hAnsi="Times New Roman" w:cs="Times New Roman" w:eastAsia="Times New Roman" w:hint="default"/>
        </w:rPr>
        <w:t>“</w:t>
      </w:r>
      <w:r>
        <w:rPr/>
        <w:t>《意向 性协议》</w:t>
      </w:r>
      <w:r>
        <w:rPr>
          <w:rFonts w:ascii="Times New Roman" w:hAnsi="Times New Roman" w:cs="Times New Roman" w:eastAsia="Times New Roman" w:hint="default"/>
        </w:rPr>
        <w:t>”</w:t>
      </w:r>
      <w:r>
        <w:rPr/>
        <w:t>）。截至本报告披露日，根据《意向性协议》，公司已与恒宏实电力相关方签署了两份《货物销售合同》，合同 金额合计为人民币</w:t>
      </w:r>
      <w:r>
        <w:rPr>
          <w:rFonts w:ascii="Times New Roman" w:hAnsi="Times New Roman" w:cs="Times New Roman" w:eastAsia="Times New Roman" w:hint="default"/>
        </w:rPr>
        <w:t>26,982,250.00</w:t>
      </w:r>
      <w:r>
        <w:rPr/>
        <w:t>元，合同已部分执行，公司已确认收入合计</w:t>
      </w:r>
      <w:r>
        <w:rPr>
          <w:rFonts w:ascii="Times New Roman" w:hAnsi="Times New Roman" w:cs="Times New Roman" w:eastAsia="Times New Roman" w:hint="default"/>
        </w:rPr>
        <w:t>5,998,680.25</w:t>
      </w:r>
      <w:r>
        <w:rPr/>
        <w:t>元。</w:t>
      </w:r>
    </w:p>
    <w:p>
      <w:pPr>
        <w:pStyle w:val="BodyText"/>
        <w:spacing w:line="304" w:lineRule="auto" w:before="53"/>
        <w:ind w:right="1133" w:firstLine="379"/>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月，经公司总裁办公会审议批准，公司与北京营报传媒文化发展有限责任公司（以下简称</w:t>
      </w:r>
      <w:r>
        <w:rPr>
          <w:rFonts w:ascii="Times New Roman" w:hAnsi="Times New Roman" w:cs="Times New Roman" w:eastAsia="Times New Roman" w:hint="default"/>
        </w:rPr>
        <w:t>“</w:t>
      </w:r>
      <w:r>
        <w:rPr/>
        <w:t>营报传媒</w:t>
      </w:r>
      <w:r>
        <w:rPr>
          <w:rFonts w:ascii="Times New Roman" w:hAnsi="Times New Roman" w:cs="Times New Roman" w:eastAsia="Times New Roman" w:hint="default"/>
        </w:rPr>
        <w:t>”</w:t>
      </w:r>
      <w:r>
        <w:rPr/>
        <w:t>）签</w:t>
      </w:r>
      <w:r>
        <w:rPr>
          <w:spacing w:val="2"/>
        </w:rPr>
        <w:t> </w:t>
      </w:r>
      <w:r>
        <w:rPr>
          <w:spacing w:val="-5"/>
        </w:rPr>
        <w:t>订《战略合作框架协议》，协议主要内容为：营报传媒及相关方将联合发起成立一家新公司，专业从事财经短视频内容产生、</w:t>
      </w:r>
      <w:r>
        <w:rPr>
          <w:spacing w:val="-78"/>
        </w:rPr>
        <w:t> </w:t>
      </w:r>
      <w:r>
        <w:rPr>
          <w:spacing w:val="-78"/>
        </w:rPr>
      </w:r>
      <w:r>
        <w:rPr/>
        <w:t>聚集和分发的新媒体业务；在营报传媒及相关方获得必要的内部批准后</w:t>
      </w:r>
      <w:r>
        <w:rPr>
          <w:rFonts w:ascii="Times New Roman" w:hAnsi="Times New Roman" w:cs="Times New Roman" w:eastAsia="Times New Roman" w:hint="default"/>
        </w:rPr>
        <w:t>,</w:t>
      </w:r>
      <w:r>
        <w:rPr/>
        <w:t>公司将参与新公司未来的增资以及未来战略发展， 公司投资金额初步确定为</w:t>
      </w:r>
      <w:r>
        <w:rPr>
          <w:rFonts w:ascii="Times New Roman" w:hAnsi="Times New Roman" w:cs="Times New Roman" w:eastAsia="Times New Roman" w:hint="default"/>
        </w:rPr>
        <w:t>3,500</w:t>
      </w:r>
      <w:r>
        <w:rPr/>
        <w:t>万元人民币。截至本报告披露日，上述框架协议尚未有任何实质性进展，除上述框架协议公 司尚未签订任何正式投资协议。</w:t>
      </w:r>
    </w:p>
    <w:p>
      <w:pPr>
        <w:pStyle w:val="BodyText"/>
        <w:spacing w:line="300" w:lineRule="auto" w:before="66"/>
        <w:ind w:right="1131" w:firstLine="379"/>
        <w:jc w:val="both"/>
      </w:pPr>
      <w:r>
        <w:rPr>
          <w:rFonts w:ascii="Times New Roman" w:hAnsi="Times New Roman" w:cs="Times New Roman" w:eastAsia="Times New Roman" w:hint="default"/>
          <w:spacing w:val="-1"/>
        </w:rPr>
        <w:t>4</w:t>
      </w:r>
      <w:r>
        <w:rPr>
          <w:spacing w:val="-1"/>
        </w:rPr>
        <w:t>、公司于《深圳市惠程电气股份有限公司</w:t>
      </w:r>
      <w:r>
        <w:rPr>
          <w:rFonts w:ascii="Times New Roman" w:hAnsi="Times New Roman" w:cs="Times New Roman" w:eastAsia="Times New Roman" w:hint="default"/>
          <w:spacing w:val="-1"/>
        </w:rPr>
        <w:t>2017</w:t>
      </w:r>
      <w:r>
        <w:rPr>
          <w:spacing w:val="-1"/>
        </w:rPr>
        <w:t>年年度报告全文》中披露的公司已签订的未执行完毕的重大销售合同后</w:t>
      </w:r>
      <w:r>
        <w:rPr/>
        <w:t> 续执行情况：（</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月，国家电网山东电力公司</w:t>
      </w:r>
      <w:r>
        <w:rPr>
          <w:rFonts w:ascii="Times New Roman" w:hAnsi="Times New Roman" w:cs="Times New Roman" w:eastAsia="Times New Roman" w:hint="default"/>
        </w:rPr>
        <w:t>2016</w:t>
      </w:r>
      <w:r>
        <w:rPr/>
        <w:t>年第一批电网物资招标，中标金额共</w:t>
      </w:r>
      <w:r>
        <w:rPr>
          <w:rFonts w:ascii="Times New Roman" w:hAnsi="Times New Roman" w:cs="Times New Roman" w:eastAsia="Times New Roman" w:hint="default"/>
        </w:rPr>
        <w:t>2,499.15</w:t>
      </w:r>
      <w:r>
        <w:rPr/>
        <w:t>万元，截至本报告 </w:t>
      </w:r>
      <w:r>
        <w:rPr>
          <w:spacing w:val="-2"/>
        </w:rPr>
        <w:t>期末合同已执行完毕；（</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月，贵州电网有限责任公司</w:t>
      </w:r>
      <w:r>
        <w:rPr>
          <w:rFonts w:ascii="Times New Roman" w:hAnsi="Times New Roman" w:cs="Times New Roman" w:eastAsia="Times New Roman" w:hint="default"/>
          <w:spacing w:val="-2"/>
        </w:rPr>
        <w:t>2016</w:t>
      </w:r>
      <w:r>
        <w:rPr>
          <w:spacing w:val="-2"/>
        </w:rPr>
        <w:t>年第一批二级物资（一次设备）集中采购专项招标，中</w:t>
      </w:r>
      <w:r>
        <w:rPr>
          <w:spacing w:val="-62"/>
        </w:rPr>
        <w:t> </w:t>
      </w:r>
      <w:r>
        <w:rPr>
          <w:spacing w:val="-62"/>
        </w:rPr>
      </w:r>
      <w:r>
        <w:rPr/>
        <w:t>标金额共</w:t>
      </w:r>
      <w:r>
        <w:rPr>
          <w:rFonts w:ascii="Times New Roman" w:hAnsi="Times New Roman" w:cs="Times New Roman" w:eastAsia="Times New Roman" w:hint="default"/>
        </w:rPr>
        <w:t>2,954</w:t>
      </w:r>
      <w:r>
        <w:rPr/>
        <w:t>万元，截至本报告期末合同已执行完毕；（</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月，广东电网有限责任公司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10kV</w:t>
      </w:r>
      <w:r>
        <w:rPr/>
        <w:t>户外开关箱、 </w:t>
      </w:r>
      <w:r>
        <w:rPr>
          <w:rFonts w:ascii="Times New Roman" w:hAnsi="Times New Roman" w:cs="Times New Roman" w:eastAsia="Times New Roman" w:hint="default"/>
        </w:rPr>
        <w:t>10kVSF6</w:t>
      </w:r>
      <w:r>
        <w:rPr/>
        <w:t>全绝缘柜等配网箱柜设备框架招标，中标金额</w:t>
      </w:r>
      <w:r>
        <w:rPr>
          <w:rFonts w:ascii="Times New Roman" w:hAnsi="Times New Roman" w:cs="Times New Roman" w:eastAsia="Times New Roman" w:hint="default"/>
        </w:rPr>
        <w:t>4,441.40</w:t>
      </w:r>
      <w:r>
        <w:rPr/>
        <w:t>万元，截至本报告期末合同已执行完毕；（</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spacing w:val="-3"/>
        </w:rPr>
        <w:t> </w:t>
      </w:r>
      <w:r>
        <w:rPr/>
        <w:t>广东电网有限责任公司</w:t>
      </w:r>
      <w:r>
        <w:rPr>
          <w:rFonts w:ascii="Times New Roman" w:hAnsi="Times New Roman" w:cs="Times New Roman" w:eastAsia="Times New Roman" w:hint="default"/>
        </w:rPr>
        <w:t>2017</w:t>
      </w:r>
      <w:r>
        <w:rPr/>
        <w:t>年自动化成套开关柜设备等框架招标，中标金额</w:t>
      </w:r>
      <w:r>
        <w:rPr>
          <w:rFonts w:ascii="Times New Roman" w:hAnsi="Times New Roman" w:cs="Times New Roman" w:eastAsia="Times New Roman" w:hint="default"/>
        </w:rPr>
        <w:t>5,476</w:t>
      </w:r>
      <w:r>
        <w:rPr/>
        <w:t>万元，截至本报告期末合同已执行完毕。</w:t>
      </w:r>
    </w:p>
    <w:p>
      <w:pPr>
        <w:pStyle w:val="BodyText"/>
        <w:spacing w:line="240" w:lineRule="auto" w:before="53"/>
        <w:ind w:left="513" w:right="1133"/>
        <w:jc w:val="left"/>
      </w:pPr>
      <w:r>
        <w:rPr>
          <w:rFonts w:ascii="Times New Roman" w:hAnsi="Times New Roman" w:cs="Times New Roman" w:eastAsia="Times New Roman" w:hint="default"/>
        </w:rPr>
        <w:t>5</w:t>
      </w:r>
      <w:r>
        <w:rPr/>
        <w:t>、其他已作为临时报告披露的重大事项：</w:t>
      </w:r>
    </w:p>
    <w:p>
      <w:pPr>
        <w:spacing w:line="240" w:lineRule="auto" w:before="7"/>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852"/>
        <w:gridCol w:w="5387"/>
        <w:gridCol w:w="994"/>
        <w:gridCol w:w="2429"/>
      </w:tblGrid>
      <w:tr>
        <w:trPr>
          <w:trHeight w:val="541" w:hRule="exact"/>
        </w:trPr>
        <w:tc>
          <w:tcPr>
            <w:tcW w:w="8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60"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53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4" w:right="0"/>
              <w:jc w:val="center"/>
              <w:rPr>
                <w:rFonts w:ascii="宋体" w:hAnsi="宋体" w:cs="宋体" w:eastAsia="宋体" w:hint="default"/>
                <w:sz w:val="18"/>
                <w:szCs w:val="18"/>
              </w:rPr>
            </w:pPr>
            <w:r>
              <w:rPr>
                <w:rFonts w:ascii="宋体" w:hAnsi="宋体" w:cs="宋体" w:eastAsia="宋体" w:hint="default"/>
                <w:sz w:val="18"/>
                <w:szCs w:val="18"/>
              </w:rPr>
              <w:t>重要事项概述</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right="127"/>
              <w:jc w:val="right"/>
              <w:rPr>
                <w:rFonts w:ascii="宋体" w:hAnsi="宋体" w:cs="宋体" w:eastAsia="宋体" w:hint="default"/>
                <w:sz w:val="18"/>
                <w:szCs w:val="18"/>
              </w:rPr>
            </w:pPr>
            <w:r>
              <w:rPr>
                <w:rFonts w:ascii="宋体" w:hAnsi="宋体" w:cs="宋体" w:eastAsia="宋体" w:hint="default"/>
                <w:sz w:val="18"/>
                <w:szCs w:val="18"/>
              </w:rPr>
              <w:t>披露日期</w:t>
            </w:r>
          </w:p>
        </w:tc>
        <w:tc>
          <w:tcPr>
            <w:tcW w:w="24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42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2018-002</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关于产业并购基金第二次处置投资项目的进展公告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31"/>
              <w:jc w:val="right"/>
              <w:rPr>
                <w:rFonts w:ascii="Times New Roman" w:hAnsi="Times New Roman" w:cs="Times New Roman" w:eastAsia="Times New Roman" w:hint="default"/>
                <w:sz w:val="18"/>
                <w:szCs w:val="18"/>
              </w:rPr>
            </w:pPr>
            <w:r>
              <w:rPr>
                <w:rFonts w:ascii="Times New Roman"/>
                <w:spacing w:val="-1"/>
                <w:sz w:val="18"/>
              </w:rPr>
              <w:t>2018-01-03</w:t>
            </w:r>
            <w:r>
              <w:rPr>
                <w:rFonts w:ascii="Times New Roman"/>
                <w:sz w:val="18"/>
              </w:rPr>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2018-003</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关于产业并购基金第三次处置投资项目的进展公告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31"/>
              <w:jc w:val="right"/>
              <w:rPr>
                <w:rFonts w:ascii="Times New Roman" w:hAnsi="Times New Roman" w:cs="Times New Roman" w:eastAsia="Times New Roman" w:hint="default"/>
                <w:sz w:val="18"/>
                <w:szCs w:val="18"/>
              </w:rPr>
            </w:pPr>
            <w:r>
              <w:rPr>
                <w:rFonts w:ascii="Times New Roman"/>
                <w:spacing w:val="-1"/>
                <w:sz w:val="18"/>
              </w:rPr>
              <w:t>2018-01-03</w:t>
            </w:r>
            <w:r>
              <w:rPr>
                <w:rFonts w:ascii="Times New Roman"/>
                <w:sz w:val="18"/>
              </w:rPr>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852"/>
        <w:gridCol w:w="5387"/>
        <w:gridCol w:w="994"/>
        <w:gridCol w:w="2429"/>
      </w:tblGrid>
      <w:tr>
        <w:trPr>
          <w:trHeight w:val="42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2018-010</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关于坏账核销的公告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2018-01-23</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2018-011</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关于签署并购贷款相关合同补充协议的公告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2018-01-23</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2018-013</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关于股东进行股份质押式回购延期购回的公告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2018-01-25</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2018-028</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关于调整相关人员任职安排的公告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2018-03-01</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2018-029</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关于公司会计政策变更的公告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2018-03-01</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5"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2018-048</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关于坏账核销的公告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2018-04-13</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2018-052</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关于公司利用自有闲置资金投资理财产品的公告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2018-04-13</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2018-054</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关于回购注销部分限制性股票的减资公告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2018-04-13</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6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sz w:val="18"/>
              </w:rPr>
              <w:t>2018-062</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关于与绍兴乐想网络科技有限公司及其相关方签署《合作意向书之终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止协议》的公告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sz w:val="18"/>
              </w:rPr>
              <w:t>2018-04-19</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2018-067</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关于控股子公司完成经营范围变更的公告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2018-04-24</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2018-076</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关于部分董事、高级管理人员承诺不减持公司股份的公告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2018-04-28</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2018-079</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关于公司副总裁辞职的公告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2018-05-09</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2018-082</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关于孙公司与河北沐忆文化传播有限公司解除房产租赁合同的公告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2018-05-17</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5"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2018-086</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关于子公司收到参股公司现金分红款的公告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2018-05-24</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2018-093</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关于控股股东及其一致行动人增持公司股份计划的进展公告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2018-05-31</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6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2018-095</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45"/>
              <w:jc w:val="left"/>
              <w:rPr>
                <w:rFonts w:ascii="宋体" w:hAnsi="宋体" w:cs="宋体" w:eastAsia="宋体" w:hint="default"/>
                <w:sz w:val="18"/>
                <w:szCs w:val="18"/>
              </w:rPr>
            </w:pPr>
            <w:r>
              <w:rPr>
                <w:rFonts w:ascii="宋体" w:hAnsi="宋体" w:cs="宋体" w:eastAsia="宋体" w:hint="default"/>
                <w:sz w:val="18"/>
                <w:szCs w:val="18"/>
              </w:rPr>
              <w:t>关于控股股东及其一致行动人增持公司股份进展情况暨权益变动的 提示性公告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2018-06-04</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2018-101</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关于公司控股股东一致行动人股票质押式回购交易到期购回的公告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2018-06-15</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2018-103</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关于产业并购基金处置投资项目的进展公告（三）</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2018-06-21</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2018-108</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关于控股股东部分股票质押式回购交易到期购回的公告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2018-06-28</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2018-110</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关于控股股东部分股票质押式回购交易到期购回的公告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2018-06-30</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5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2018-111</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45"/>
              <w:jc w:val="left"/>
              <w:rPr>
                <w:rFonts w:ascii="宋体" w:hAnsi="宋体" w:cs="宋体" w:eastAsia="宋体" w:hint="default"/>
                <w:sz w:val="18"/>
                <w:szCs w:val="18"/>
              </w:rPr>
            </w:pPr>
            <w:r>
              <w:rPr>
                <w:rFonts w:ascii="宋体" w:hAnsi="宋体" w:cs="宋体" w:eastAsia="宋体" w:hint="default"/>
                <w:sz w:val="18"/>
                <w:szCs w:val="18"/>
              </w:rPr>
              <w:t>关于控股股东及其一致行动人增持公司股份进展情况暨权益变动的 提示性公告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2018-07-02</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74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2018-115</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145"/>
              <w:jc w:val="left"/>
              <w:rPr>
                <w:rFonts w:ascii="宋体" w:hAnsi="宋体" w:cs="宋体" w:eastAsia="宋体" w:hint="default"/>
                <w:sz w:val="18"/>
                <w:szCs w:val="18"/>
              </w:rPr>
            </w:pPr>
            <w:r>
              <w:rPr>
                <w:rFonts w:ascii="宋体" w:hAnsi="宋体" w:cs="宋体" w:eastAsia="宋体" w:hint="default"/>
                <w:sz w:val="18"/>
                <w:szCs w:val="18"/>
              </w:rPr>
              <w:t>关于与成都高新技术产业开发区管理委员会签订战略合作框架协议 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65"/>
              <w:jc w:val="right"/>
              <w:rPr>
                <w:rFonts w:ascii="Times New Roman" w:hAnsi="Times New Roman" w:cs="Times New Roman" w:eastAsia="Times New Roman" w:hint="default"/>
                <w:sz w:val="18"/>
                <w:szCs w:val="18"/>
              </w:rPr>
            </w:pPr>
            <w:r>
              <w:rPr>
                <w:rFonts w:ascii="Times New Roman"/>
                <w:spacing w:val="-1"/>
                <w:sz w:val="18"/>
              </w:rPr>
              <w:t>2018-07-30</w:t>
            </w:r>
            <w:r>
              <w:rPr>
                <w:rFonts w:ascii="Times New Roman"/>
                <w:sz w:val="18"/>
              </w:rPr>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739"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2018-127</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145"/>
              <w:jc w:val="left"/>
              <w:rPr>
                <w:rFonts w:ascii="宋体" w:hAnsi="宋体" w:cs="宋体" w:eastAsia="宋体" w:hint="default"/>
                <w:sz w:val="18"/>
                <w:szCs w:val="18"/>
              </w:rPr>
            </w:pPr>
            <w:r>
              <w:rPr>
                <w:rFonts w:ascii="宋体" w:hAnsi="宋体" w:cs="宋体" w:eastAsia="宋体" w:hint="default"/>
                <w:sz w:val="18"/>
                <w:szCs w:val="18"/>
              </w:rPr>
              <w:t>关于与成都高新技术开发区管理委员会签订战略合作框架协议的进 展公告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65"/>
              <w:jc w:val="right"/>
              <w:rPr>
                <w:rFonts w:ascii="Times New Roman" w:hAnsi="Times New Roman" w:cs="Times New Roman" w:eastAsia="Times New Roman" w:hint="default"/>
                <w:sz w:val="18"/>
                <w:szCs w:val="18"/>
              </w:rPr>
            </w:pPr>
            <w:r>
              <w:rPr>
                <w:rFonts w:ascii="Times New Roman"/>
                <w:spacing w:val="-1"/>
                <w:sz w:val="18"/>
              </w:rPr>
              <w:t>2018-08-28</w:t>
            </w:r>
            <w:r>
              <w:rPr>
                <w:rFonts w:ascii="Times New Roman"/>
                <w:sz w:val="18"/>
              </w:rPr>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739"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2018-128</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45"/>
              <w:jc w:val="left"/>
              <w:rPr>
                <w:rFonts w:ascii="宋体" w:hAnsi="宋体" w:cs="宋体" w:eastAsia="宋体" w:hint="default"/>
                <w:sz w:val="18"/>
                <w:szCs w:val="18"/>
              </w:rPr>
            </w:pPr>
            <w:r>
              <w:rPr>
                <w:rFonts w:ascii="宋体" w:hAnsi="宋体" w:cs="宋体" w:eastAsia="宋体" w:hint="default"/>
                <w:sz w:val="18"/>
                <w:szCs w:val="18"/>
              </w:rPr>
              <w:t>关于控股股东及其一致行动人增持公司股份进展情况暨权益变动的 提示性公告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65"/>
              <w:jc w:val="right"/>
              <w:rPr>
                <w:rFonts w:ascii="Times New Roman" w:hAnsi="Times New Roman" w:cs="Times New Roman" w:eastAsia="Times New Roman" w:hint="default"/>
                <w:sz w:val="18"/>
                <w:szCs w:val="18"/>
              </w:rPr>
            </w:pPr>
            <w:r>
              <w:rPr>
                <w:rFonts w:ascii="Times New Roman"/>
                <w:spacing w:val="-1"/>
                <w:sz w:val="18"/>
              </w:rPr>
              <w:t>2018-08-30</w:t>
            </w:r>
            <w:r>
              <w:rPr>
                <w:rFonts w:ascii="Times New Roman"/>
                <w:sz w:val="18"/>
              </w:rPr>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2018-131</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关于公司注册资本变更和《公司章程》备案完成的公告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65"/>
              <w:jc w:val="right"/>
              <w:rPr>
                <w:rFonts w:ascii="Times New Roman" w:hAnsi="Times New Roman" w:cs="Times New Roman" w:eastAsia="Times New Roman" w:hint="default"/>
                <w:sz w:val="18"/>
                <w:szCs w:val="18"/>
              </w:rPr>
            </w:pPr>
            <w:r>
              <w:rPr>
                <w:rFonts w:ascii="Times New Roman"/>
                <w:spacing w:val="-1"/>
                <w:sz w:val="18"/>
              </w:rPr>
              <w:t>2018-09-13</w:t>
            </w:r>
            <w:r>
              <w:rPr>
                <w:rFonts w:ascii="Times New Roman"/>
                <w:sz w:val="18"/>
              </w:rPr>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739"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2018-134</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45"/>
              <w:jc w:val="left"/>
              <w:rPr>
                <w:rFonts w:ascii="宋体" w:hAnsi="宋体" w:cs="宋体" w:eastAsia="宋体" w:hint="default"/>
                <w:sz w:val="18"/>
                <w:szCs w:val="18"/>
              </w:rPr>
            </w:pPr>
            <w:r>
              <w:rPr>
                <w:rFonts w:ascii="宋体" w:hAnsi="宋体" w:cs="宋体" w:eastAsia="宋体" w:hint="default"/>
                <w:sz w:val="18"/>
                <w:szCs w:val="18"/>
              </w:rPr>
              <w:t>关于控股股东及其一致行动人完成增持公司股份计划暨再次发布增 持公司股份计划的公告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65"/>
              <w:jc w:val="right"/>
              <w:rPr>
                <w:rFonts w:ascii="Times New Roman" w:hAnsi="Times New Roman" w:cs="Times New Roman" w:eastAsia="Times New Roman" w:hint="default"/>
                <w:sz w:val="18"/>
                <w:szCs w:val="18"/>
              </w:rPr>
            </w:pPr>
            <w:r>
              <w:rPr>
                <w:rFonts w:ascii="Times New Roman"/>
                <w:spacing w:val="-1"/>
                <w:sz w:val="18"/>
              </w:rPr>
              <w:t>2018-09-18</w:t>
            </w:r>
            <w:r>
              <w:rPr>
                <w:rFonts w:ascii="Times New Roman"/>
                <w:sz w:val="18"/>
              </w:rPr>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2018-139</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关于孙公司房产对外出租的公告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2018-10-09</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2018-142</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年重大资产重组项目持续督导财务顾问主办人变更的公告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2018-10-20</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852"/>
        <w:gridCol w:w="5387"/>
        <w:gridCol w:w="994"/>
        <w:gridCol w:w="2429"/>
      </w:tblGrid>
      <w:tr>
        <w:trPr>
          <w:trHeight w:val="42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2018-152</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关于拟变更公司名称、证券简称的公告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2018-10-31</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2018-158</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关于股东所持公司股份变动的公告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2018-12-04</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2018-160</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关于部分董事、高级管理人员计划减持公司股份的预披露公告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2018-12-07</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5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2018-170</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45"/>
              <w:jc w:val="left"/>
              <w:rPr>
                <w:rFonts w:ascii="宋体" w:hAnsi="宋体" w:cs="宋体" w:eastAsia="宋体" w:hint="default"/>
                <w:sz w:val="18"/>
                <w:szCs w:val="18"/>
              </w:rPr>
            </w:pPr>
            <w:r>
              <w:rPr>
                <w:rFonts w:ascii="宋体" w:hAnsi="宋体" w:cs="宋体" w:eastAsia="宋体" w:hint="default"/>
                <w:sz w:val="18"/>
                <w:szCs w:val="18"/>
              </w:rPr>
              <w:t>关于孙公司房产对外出租变更承租方暨孙公司房产对外出租的进展 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2018-12-24</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2018-171</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关于公司继续利用自有资金进行证券投资事项的公告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2018-12-24</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2018-172</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关于公司会计政策变更的公告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2018-12-24</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6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2018-175</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45"/>
              <w:jc w:val="left"/>
              <w:rPr>
                <w:rFonts w:ascii="宋体" w:hAnsi="宋体" w:cs="宋体" w:eastAsia="宋体" w:hint="default"/>
                <w:sz w:val="18"/>
                <w:szCs w:val="18"/>
              </w:rPr>
            </w:pPr>
            <w:r>
              <w:rPr>
                <w:rFonts w:ascii="宋体" w:hAnsi="宋体" w:cs="宋体" w:eastAsia="宋体" w:hint="default"/>
                <w:sz w:val="18"/>
                <w:szCs w:val="18"/>
              </w:rPr>
              <w:t>关于公司与武汉华工创业投资有限责任公司签订战略合作框架协议 的公告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2018-12-24</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2018-177</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关于部分董事、高级管理人员减持公司股份的进展公告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2018-12-29</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r>
        <w:rPr/>
        <w:t>二十、公司子公司重大事项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78"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月，经公司总裁办公会审议批准，子公司喀什中汇联银以</w:t>
      </w:r>
      <w:r>
        <w:rPr>
          <w:rFonts w:ascii="Times New Roman" w:hAnsi="Times New Roman" w:cs="Times New Roman" w:eastAsia="Times New Roman" w:hint="default"/>
        </w:rPr>
        <w:t>300</w:t>
      </w:r>
      <w:r>
        <w:rPr/>
        <w:t>万元人民币向深圳久久益资产管理有限公司</w:t>
      </w:r>
    </w:p>
    <w:p>
      <w:pPr>
        <w:pStyle w:val="BodyText"/>
        <w:spacing w:line="300" w:lineRule="auto" w:before="63"/>
        <w:ind w:right="1129"/>
        <w:jc w:val="left"/>
      </w:pPr>
      <w:r>
        <w:rPr/>
        <w:t>（以下简称</w:t>
      </w:r>
      <w:r>
        <w:rPr>
          <w:rFonts w:ascii="Times New Roman" w:hAnsi="Times New Roman" w:cs="Times New Roman" w:eastAsia="Times New Roman" w:hint="default"/>
        </w:rPr>
        <w:t>“</w:t>
      </w:r>
      <w:r>
        <w:rPr/>
        <w:t>久久益</w:t>
      </w:r>
      <w:r>
        <w:rPr>
          <w:rFonts w:ascii="Times New Roman" w:hAnsi="Times New Roman" w:cs="Times New Roman" w:eastAsia="Times New Roman" w:hint="default"/>
        </w:rPr>
        <w:t>”</w:t>
      </w:r>
      <w:r>
        <w:rPr/>
        <w:t>）进行增资，获得久久益</w:t>
      </w:r>
      <w:r>
        <w:rPr>
          <w:rFonts w:ascii="Times New Roman" w:hAnsi="Times New Roman" w:cs="Times New Roman" w:eastAsia="Times New Roman" w:hint="default"/>
        </w:rPr>
        <w:t>0.5908%</w:t>
      </w:r>
      <w:r>
        <w:rPr/>
        <w:t>股权。截止本报告披露日，该增资事项已完成工商变更登记手续，喀 什中汇联银已完成全部实际出资。</w:t>
      </w:r>
    </w:p>
    <w:p>
      <w:pPr>
        <w:pStyle w:val="BodyText"/>
        <w:spacing w:line="300" w:lineRule="auto" w:before="31"/>
        <w:ind w:right="1191" w:firstLine="425"/>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月，经公司总裁办公会审议批准，控股子公司哆可梦以港币</w:t>
      </w:r>
      <w:r>
        <w:rPr>
          <w:rFonts w:ascii="Times New Roman" w:hAnsi="Times New Roman" w:cs="Times New Roman" w:eastAsia="Times New Roman" w:hint="default"/>
        </w:rPr>
        <w:t>2</w:t>
      </w:r>
      <w:r>
        <w:rPr/>
        <w:t>万元受让郭小兰所持翔瑞科技</w:t>
      </w:r>
      <w:r>
        <w:rPr>
          <w:rFonts w:ascii="Times New Roman" w:hAnsi="Times New Roman" w:cs="Times New Roman" w:eastAsia="Times New Roman" w:hint="default"/>
        </w:rPr>
        <w:t>100%</w:t>
      </w:r>
      <w:r>
        <w:rPr/>
        <w:t>股权。截 至本报告披露日，相关工商变更登记手续已办理完成。</w:t>
      </w:r>
    </w:p>
    <w:p>
      <w:pPr>
        <w:pStyle w:val="BodyText"/>
        <w:spacing w:line="300" w:lineRule="auto" w:before="32"/>
        <w:ind w:right="1131" w:firstLine="425"/>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月，经公司总裁办公会审议批准，子公司喀什中汇联银以不超过人民币</w:t>
      </w:r>
      <w:r>
        <w:rPr>
          <w:rFonts w:ascii="Times New Roman" w:hAnsi="Times New Roman" w:cs="Times New Roman" w:eastAsia="Times New Roman" w:hint="default"/>
          <w:spacing w:val="-2"/>
        </w:rPr>
        <w:t>810</w:t>
      </w:r>
      <w:r>
        <w:rPr>
          <w:spacing w:val="-2"/>
        </w:rPr>
        <w:t>万元向北京兆信通能科技有限公</w:t>
      </w:r>
      <w:r>
        <w:rPr/>
        <w:t> </w:t>
      </w:r>
      <w:r>
        <w:rPr>
          <w:spacing w:val="-1"/>
        </w:rPr>
        <w:t>司（以下简称</w:t>
      </w:r>
      <w:r>
        <w:rPr>
          <w:rFonts w:ascii="Times New Roman" w:hAnsi="Times New Roman" w:cs="Times New Roman" w:eastAsia="Times New Roman" w:hint="default"/>
          <w:spacing w:val="-1"/>
        </w:rPr>
        <w:t>“</w:t>
      </w:r>
      <w:r>
        <w:rPr>
          <w:spacing w:val="-1"/>
        </w:rPr>
        <w:t>兆信通能</w:t>
      </w:r>
      <w:r>
        <w:rPr>
          <w:rFonts w:ascii="Times New Roman" w:hAnsi="Times New Roman" w:cs="Times New Roman" w:eastAsia="Times New Roman" w:hint="default"/>
          <w:spacing w:val="-1"/>
        </w:rPr>
        <w:t>”</w:t>
      </w:r>
      <w:r>
        <w:rPr>
          <w:spacing w:val="-1"/>
        </w:rPr>
        <w:t>）进行增资，从而获得兆信通能</w:t>
      </w:r>
      <w:r>
        <w:rPr>
          <w:rFonts w:ascii="Times New Roman" w:hAnsi="Times New Roman" w:cs="Times New Roman" w:eastAsia="Times New Roman" w:hint="default"/>
          <w:spacing w:val="-1"/>
        </w:rPr>
        <w:t>15%</w:t>
      </w:r>
      <w:r>
        <w:rPr>
          <w:spacing w:val="-1"/>
        </w:rPr>
        <w:t>股权。截至本报告披露日，相关工商变更登记已办理完成，公</w:t>
      </w:r>
      <w:r>
        <w:rPr>
          <w:spacing w:val="-68"/>
        </w:rPr>
        <w:t> </w:t>
      </w:r>
      <w:r>
        <w:rPr>
          <w:spacing w:val="-68"/>
        </w:rPr>
      </w:r>
      <w:r>
        <w:rPr/>
        <w:t>司已完成部分实际出资。</w:t>
      </w:r>
    </w:p>
    <w:p>
      <w:pPr>
        <w:pStyle w:val="BodyText"/>
        <w:spacing w:line="300" w:lineRule="auto" w:before="31"/>
        <w:ind w:right="1131" w:firstLine="425"/>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月，经公司总裁办公会审议批准，子公司喀什中汇联银出资</w:t>
      </w:r>
      <w:r>
        <w:rPr>
          <w:rFonts w:ascii="Times New Roman" w:hAnsi="Times New Roman" w:cs="Times New Roman" w:eastAsia="Times New Roman" w:hint="default"/>
          <w:spacing w:val="-2"/>
        </w:rPr>
        <w:t>300</w:t>
      </w:r>
      <w:r>
        <w:rPr>
          <w:spacing w:val="-2"/>
        </w:rPr>
        <w:t>万元参与设立广州九天互娱网络科技有限公</w:t>
      </w:r>
      <w:r>
        <w:rPr/>
        <w:t> </w:t>
      </w:r>
      <w:r>
        <w:rPr>
          <w:spacing w:val="-1"/>
        </w:rPr>
        <w:t>司（以下简称</w:t>
      </w:r>
      <w:r>
        <w:rPr>
          <w:rFonts w:ascii="Times New Roman" w:hAnsi="Times New Roman" w:cs="Times New Roman" w:eastAsia="Times New Roman" w:hint="default"/>
          <w:spacing w:val="-1"/>
        </w:rPr>
        <w:t>“</w:t>
      </w:r>
      <w:r>
        <w:rPr>
          <w:spacing w:val="-1"/>
        </w:rPr>
        <w:t>九天互娱</w:t>
      </w:r>
      <w:r>
        <w:rPr>
          <w:rFonts w:ascii="Times New Roman" w:hAnsi="Times New Roman" w:cs="Times New Roman" w:eastAsia="Times New Roman" w:hint="default"/>
          <w:spacing w:val="-1"/>
        </w:rPr>
        <w:t>”</w:t>
      </w:r>
      <w:r>
        <w:rPr>
          <w:spacing w:val="-1"/>
        </w:rPr>
        <w:t>），从而获得九天互娱</w:t>
      </w:r>
      <w:r>
        <w:rPr>
          <w:rFonts w:ascii="Times New Roman" w:hAnsi="Times New Roman" w:cs="Times New Roman" w:eastAsia="Times New Roman" w:hint="default"/>
          <w:spacing w:val="-1"/>
        </w:rPr>
        <w:t>20%</w:t>
      </w:r>
      <w:r>
        <w:rPr>
          <w:spacing w:val="-1"/>
        </w:rPr>
        <w:t>股权。截至本报告披露日，九天互娱已完成工商登记，喀什中汇联银已</w:t>
      </w:r>
      <w:r>
        <w:rPr>
          <w:spacing w:val="-69"/>
        </w:rPr>
        <w:t> </w:t>
      </w:r>
      <w:r>
        <w:rPr>
          <w:spacing w:val="-69"/>
        </w:rPr>
      </w:r>
      <w:r>
        <w:rPr/>
        <w:t>完成全部实际出资。</w:t>
      </w:r>
    </w:p>
    <w:p>
      <w:pPr>
        <w:pStyle w:val="BodyText"/>
        <w:spacing w:line="240" w:lineRule="auto" w:before="31"/>
        <w:ind w:left="578"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月，经公司总裁办公会审议批准，子公司喀什中汇联银以人民币</w:t>
      </w:r>
      <w:r>
        <w:rPr>
          <w:rFonts w:ascii="Times New Roman" w:hAnsi="Times New Roman" w:cs="Times New Roman" w:eastAsia="Times New Roman" w:hint="default"/>
        </w:rPr>
        <w:t>500</w:t>
      </w:r>
      <w:r>
        <w:rPr/>
        <w:t>万元向星灵互动（深圳）科技有限公司</w:t>
      </w:r>
    </w:p>
    <w:p>
      <w:pPr>
        <w:pStyle w:val="BodyText"/>
        <w:spacing w:line="300" w:lineRule="auto" w:before="63"/>
        <w:ind w:right="0"/>
        <w:jc w:val="left"/>
      </w:pPr>
      <w:r>
        <w:rPr/>
        <w:t>（以下简称</w:t>
      </w:r>
      <w:r>
        <w:rPr>
          <w:rFonts w:ascii="Times New Roman" w:hAnsi="Times New Roman" w:cs="Times New Roman" w:eastAsia="Times New Roman" w:hint="default"/>
        </w:rPr>
        <w:t>“</w:t>
      </w:r>
      <w:r>
        <w:rPr/>
        <w:t>星灵互动</w:t>
      </w:r>
      <w:r>
        <w:rPr>
          <w:rFonts w:ascii="Times New Roman" w:hAnsi="Times New Roman" w:cs="Times New Roman" w:eastAsia="Times New Roman" w:hint="default"/>
        </w:rPr>
        <w:t>”</w:t>
      </w:r>
      <w:r>
        <w:rPr/>
        <w:t>）进行增资，从而获得星灵互动</w:t>
      </w:r>
      <w:r>
        <w:rPr>
          <w:rFonts w:ascii="Times New Roman" w:hAnsi="Times New Roman" w:cs="Times New Roman" w:eastAsia="Times New Roman" w:hint="default"/>
        </w:rPr>
        <w:t>30%</w:t>
      </w:r>
      <w:r>
        <w:rPr/>
        <w:t>股权，截至本报告披露日，相关工商变更登记手续已办理完成，</w:t>
      </w:r>
      <w:r>
        <w:rPr>
          <w:spacing w:val="-47"/>
        </w:rPr>
        <w:t> </w:t>
      </w:r>
      <w:r>
        <w:rPr>
          <w:spacing w:val="-47"/>
        </w:rPr>
      </w:r>
      <w:r>
        <w:rPr/>
        <w:t>喀什中汇联银已完成全部实际出资。</w:t>
      </w:r>
    </w:p>
    <w:p>
      <w:pPr>
        <w:pStyle w:val="BodyText"/>
        <w:spacing w:line="300" w:lineRule="auto" w:before="31"/>
        <w:ind w:right="1129" w:firstLine="425"/>
        <w:jc w:val="both"/>
      </w:pPr>
      <w:r>
        <w:rPr>
          <w:rFonts w:ascii="Times New Roman" w:hAnsi="Times New Roman" w:cs="Times New Roman" w:eastAsia="Times New Roman" w:hint="default"/>
          <w:spacing w:val="-3"/>
        </w:rPr>
        <w:t>6</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10</w:t>
      </w:r>
      <w:r>
        <w:rPr>
          <w:spacing w:val="-3"/>
        </w:rPr>
        <w:t>月，经公司总裁办公会审议批准，子公司喀什中汇联银以人民币</w:t>
      </w:r>
      <w:r>
        <w:rPr>
          <w:rFonts w:ascii="Times New Roman" w:hAnsi="Times New Roman" w:cs="Times New Roman" w:eastAsia="Times New Roman" w:hint="default"/>
          <w:spacing w:val="-3"/>
        </w:rPr>
        <w:t>350</w:t>
      </w:r>
      <w:r>
        <w:rPr>
          <w:spacing w:val="-3"/>
        </w:rPr>
        <w:t>万元向广州雷霆信息科技有限公司（以</w:t>
      </w:r>
      <w:r>
        <w:rPr/>
        <w:t> </w:t>
      </w:r>
      <w:r>
        <w:rPr>
          <w:spacing w:val="-1"/>
        </w:rPr>
        <w:t>下简称</w:t>
      </w:r>
      <w:r>
        <w:rPr>
          <w:rFonts w:ascii="Times New Roman" w:hAnsi="Times New Roman" w:cs="Times New Roman" w:eastAsia="Times New Roman" w:hint="default"/>
          <w:spacing w:val="-1"/>
        </w:rPr>
        <w:t>“</w:t>
      </w:r>
      <w:r>
        <w:rPr>
          <w:spacing w:val="-1"/>
        </w:rPr>
        <w:t>广州雷霆</w:t>
      </w:r>
      <w:r>
        <w:rPr>
          <w:rFonts w:ascii="Times New Roman" w:hAnsi="Times New Roman" w:cs="Times New Roman" w:eastAsia="Times New Roman" w:hint="default"/>
          <w:spacing w:val="-1"/>
        </w:rPr>
        <w:t>”</w:t>
      </w:r>
      <w:r>
        <w:rPr>
          <w:spacing w:val="-1"/>
        </w:rPr>
        <w:t>）进行增资，从而获得广州雷霆</w:t>
      </w:r>
      <w:r>
        <w:rPr>
          <w:rFonts w:ascii="Times New Roman" w:hAnsi="Times New Roman" w:cs="Times New Roman" w:eastAsia="Times New Roman" w:hint="default"/>
          <w:spacing w:val="-1"/>
        </w:rPr>
        <w:t>13%</w:t>
      </w:r>
      <w:r>
        <w:rPr>
          <w:spacing w:val="-1"/>
        </w:rPr>
        <w:t>股权。截至本报告披露日，相关工商变更登记手续已办理完成，喀什</w:t>
      </w:r>
      <w:r>
        <w:rPr>
          <w:spacing w:val="-73"/>
        </w:rPr>
        <w:t> </w:t>
      </w:r>
      <w:r>
        <w:rPr>
          <w:spacing w:val="-73"/>
        </w:rPr>
      </w:r>
      <w:r>
        <w:rPr/>
        <w:t>中汇联银已完成全部实际出资。</w:t>
      </w:r>
    </w:p>
    <w:p>
      <w:pPr>
        <w:pStyle w:val="BodyText"/>
        <w:spacing w:line="240" w:lineRule="auto" w:before="31"/>
        <w:ind w:left="578" w:right="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月，经公司总裁办公会审议批准，子公司喀什中汇联银以人民币</w:t>
      </w:r>
      <w:r>
        <w:rPr>
          <w:rFonts w:ascii="Times New Roman" w:hAnsi="Times New Roman" w:cs="Times New Roman" w:eastAsia="Times New Roman" w:hint="default"/>
        </w:rPr>
        <w:t>900</w:t>
      </w:r>
      <w:r>
        <w:rPr/>
        <w:t>万元对北京图纳密信息科技有限公司</w:t>
      </w:r>
    </w:p>
    <w:p>
      <w:pPr>
        <w:pStyle w:val="BodyText"/>
        <w:spacing w:line="300" w:lineRule="auto" w:before="63"/>
        <w:ind w:right="0"/>
        <w:jc w:val="left"/>
      </w:pPr>
      <w:r>
        <w:rPr>
          <w:spacing w:val="-1"/>
        </w:rPr>
        <w:t>（以下简称</w:t>
      </w:r>
      <w:r>
        <w:rPr>
          <w:rFonts w:ascii="Times New Roman" w:hAnsi="Times New Roman" w:cs="Times New Roman" w:eastAsia="Times New Roman" w:hint="default"/>
          <w:spacing w:val="-1"/>
        </w:rPr>
        <w:t>“</w:t>
      </w:r>
      <w:r>
        <w:rPr>
          <w:spacing w:val="-1"/>
        </w:rPr>
        <w:t>图纳密</w:t>
      </w:r>
      <w:r>
        <w:rPr>
          <w:rFonts w:ascii="Times New Roman" w:hAnsi="Times New Roman" w:cs="Times New Roman" w:eastAsia="Times New Roman" w:hint="default"/>
          <w:spacing w:val="-1"/>
        </w:rPr>
        <w:t>”</w:t>
      </w:r>
      <w:r>
        <w:rPr>
          <w:spacing w:val="-1"/>
        </w:rPr>
        <w:t>）进行增资，从而获得图纳密</w:t>
      </w:r>
      <w:r>
        <w:rPr>
          <w:rFonts w:ascii="Times New Roman" w:hAnsi="Times New Roman" w:cs="Times New Roman" w:eastAsia="Times New Roman" w:hint="default"/>
          <w:spacing w:val="-1"/>
        </w:rPr>
        <w:t>15%</w:t>
      </w:r>
      <w:r>
        <w:rPr>
          <w:spacing w:val="-1"/>
        </w:rPr>
        <w:t>股权。截至本报告披露日，相关工商变更登记手续已办理完成，喀什</w:t>
      </w:r>
      <w:r>
        <w:rPr>
          <w:spacing w:val="-72"/>
        </w:rPr>
        <w:t> </w:t>
      </w:r>
      <w:r>
        <w:rPr>
          <w:spacing w:val="-72"/>
        </w:rPr>
      </w:r>
      <w:r>
        <w:rPr/>
        <w:t>中汇联银已完成全部实际出资。</w:t>
      </w:r>
    </w:p>
    <w:p>
      <w:pPr>
        <w:spacing w:after="0" w:line="30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2964" w:right="1133"/>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1941"/>
        <w:gridCol w:w="1024"/>
        <w:gridCol w:w="739"/>
        <w:gridCol w:w="821"/>
        <w:gridCol w:w="439"/>
        <w:gridCol w:w="1011"/>
        <w:gridCol w:w="979"/>
        <w:gridCol w:w="980"/>
        <w:gridCol w:w="1010"/>
        <w:gridCol w:w="742"/>
      </w:tblGrid>
      <w:tr>
        <w:trPr>
          <w:trHeight w:val="206" w:hRule="exact"/>
        </w:trPr>
        <w:tc>
          <w:tcPr>
            <w:tcW w:w="19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3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1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4" w:hRule="exact"/>
        </w:trPr>
        <w:tc>
          <w:tcPr>
            <w:tcW w:w="1941" w:type="dxa"/>
            <w:vMerge w:val="restart"/>
            <w:tcBorders>
              <w:top w:val="nil" w:sz="6" w:space="0" w:color="auto"/>
              <w:left w:val="single" w:sz="4" w:space="0" w:color="000000"/>
              <w:right w:val="single" w:sz="4" w:space="0" w:color="000000"/>
            </w:tcBorders>
            <w:shd w:val="clear" w:color="auto" w:fill="D2D2D2"/>
          </w:tcPr>
          <w:p>
            <w:pPr/>
          </w:p>
        </w:tc>
        <w:tc>
          <w:tcPr>
            <w:tcW w:w="1763" w:type="dxa"/>
            <w:gridSpan w:val="2"/>
            <w:vMerge/>
            <w:tcBorders>
              <w:left w:val="single" w:sz="4" w:space="0" w:color="000000"/>
              <w:bottom w:val="single" w:sz="4" w:space="0" w:color="000000"/>
              <w:right w:val="single" w:sz="4" w:space="0" w:color="000000"/>
            </w:tcBorders>
            <w:shd w:val="clear" w:color="auto" w:fill="D2D2D2"/>
          </w:tcPr>
          <w:p>
            <w:pPr/>
          </w:p>
        </w:tc>
        <w:tc>
          <w:tcPr>
            <w:tcW w:w="4230" w:type="dxa"/>
            <w:gridSpan w:val="5"/>
            <w:vMerge/>
            <w:tcBorders>
              <w:left w:val="single" w:sz="4" w:space="0" w:color="000000"/>
              <w:bottom w:val="single" w:sz="4" w:space="0" w:color="000000"/>
              <w:right w:val="single" w:sz="4" w:space="0" w:color="000000"/>
            </w:tcBorders>
            <w:shd w:val="clear" w:color="auto" w:fill="D2D2D2"/>
          </w:tcPr>
          <w:p>
            <w:pPr/>
          </w:p>
        </w:tc>
        <w:tc>
          <w:tcPr>
            <w:tcW w:w="1752"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41" w:type="dxa"/>
            <w:vMerge/>
            <w:tcBorders>
              <w:left w:val="single" w:sz="4" w:space="0" w:color="000000"/>
              <w:bottom w:val="nil" w:sz="6" w:space="0" w:color="auto"/>
              <w:right w:val="single" w:sz="4" w:space="0" w:color="000000"/>
            </w:tcBorders>
            <w:shd w:val="clear" w:color="auto" w:fill="D2D2D2"/>
          </w:tcPr>
          <w:p>
            <w:pPr/>
          </w:p>
        </w:tc>
        <w:tc>
          <w:tcPr>
            <w:tcW w:w="10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3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0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4" w:type="dxa"/>
            <w:vMerge/>
            <w:tcBorders>
              <w:left w:val="single" w:sz="4" w:space="0" w:color="000000"/>
              <w:bottom w:val="single" w:sz="4" w:space="0" w:color="000000"/>
              <w:right w:val="single" w:sz="4" w:space="0" w:color="000000"/>
            </w:tcBorders>
            <w:shd w:val="clear" w:color="auto" w:fill="D2D2D2"/>
          </w:tcPr>
          <w:p>
            <w:pPr/>
          </w:p>
        </w:tc>
        <w:tc>
          <w:tcPr>
            <w:tcW w:w="739"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439"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979" w:type="dxa"/>
            <w:vMerge/>
            <w:tcBorders>
              <w:left w:val="single" w:sz="4" w:space="0" w:color="000000"/>
              <w:bottom w:val="single" w:sz="4" w:space="0" w:color="000000"/>
              <w:right w:val="single" w:sz="4" w:space="0" w:color="000000"/>
            </w:tcBorders>
            <w:shd w:val="clear" w:color="auto" w:fill="D2D2D2"/>
          </w:tcPr>
          <w:p>
            <w:pPr/>
          </w:p>
        </w:tc>
        <w:tc>
          <w:tcPr>
            <w:tcW w:w="980"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74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54,610,000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-30,565,000</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-30,565,000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24,045,000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w:t>
            </w:r>
          </w:p>
        </w:tc>
      </w:tr>
      <w:tr>
        <w:trPr>
          <w:trHeight w:val="403"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50,110,000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6.11%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-28,840,000</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-28,840,000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21,270,000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2.61%</w:t>
            </w:r>
          </w:p>
        </w:tc>
      </w:tr>
      <w:tr>
        <w:trPr>
          <w:trHeight w:val="401"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50,110,000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6.11%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-28,840,000</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-28,840,000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21,270,000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2.61%</w:t>
            </w:r>
          </w:p>
        </w:tc>
      </w:tr>
      <w:tr>
        <w:trPr>
          <w:trHeight w:val="401"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-1,725,000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2,775,000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r>
      <w:tr>
        <w:trPr>
          <w:trHeight w:val="404"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6"/>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-1,725,000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2,775,000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r>
      <w:tr>
        <w:trPr>
          <w:trHeight w:val="403"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765,979,768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93.34%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1,129,800</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22,985,000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24,114,800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790,094,568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97.05%</w:t>
            </w:r>
          </w:p>
        </w:tc>
      </w:tr>
      <w:tr>
        <w:trPr>
          <w:trHeight w:val="401"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765,979,768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93.34%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1,129,800</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22,985,000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24,114,800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790,094,568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97.05%</w:t>
            </w:r>
          </w:p>
        </w:tc>
      </w:tr>
      <w:tr>
        <w:trPr>
          <w:trHeight w:val="403"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820,589,768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1,129,800</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-6,450,200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814,139,568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33"/>
        <w:jc w:val="left"/>
      </w:pPr>
      <w:r>
        <w:rPr/>
        <w:t>股份变动的原因</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49" w:firstLine="425"/>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日公司第六届董事会第十一次会议审议通过了《关于回购注销</w:t>
      </w:r>
      <w:r>
        <w:rPr>
          <w:rFonts w:ascii="Times New Roman" w:hAnsi="Times New Roman" w:cs="Times New Roman" w:eastAsia="Times New Roman" w:hint="default"/>
        </w:rPr>
        <w:t>2015</w:t>
      </w:r>
      <w:r>
        <w:rPr/>
        <w:t>年两期股权激励计划部分限制性股 票和股票期权的议案》，鉴于公司</w:t>
      </w:r>
      <w:r>
        <w:rPr>
          <w:rFonts w:ascii="Times New Roman" w:hAnsi="Times New Roman" w:cs="Times New Roman" w:eastAsia="Times New Roman" w:hint="default"/>
        </w:rPr>
        <w:t>2017</w:t>
      </w:r>
      <w:r>
        <w:rPr/>
        <w:t>年业绩未达到公司</w:t>
      </w:r>
      <w:r>
        <w:rPr>
          <w:rFonts w:ascii="Times New Roman" w:hAnsi="Times New Roman" w:cs="Times New Roman" w:eastAsia="Times New Roman" w:hint="default"/>
        </w:rPr>
        <w:t>2015</w:t>
      </w:r>
      <w:r>
        <w:rPr/>
        <w:t>年两期股权激励计划首次授予部分第三个解锁</w:t>
      </w:r>
      <w:r>
        <w:rPr>
          <w:rFonts w:ascii="Times New Roman" w:hAnsi="Times New Roman" w:cs="Times New Roman" w:eastAsia="Times New Roman" w:hint="default"/>
        </w:rPr>
        <w:t>/</w:t>
      </w:r>
      <w:r>
        <w:rPr/>
        <w:t>行权期和预留 部分第二个解锁</w:t>
      </w:r>
      <w:r>
        <w:rPr>
          <w:rFonts w:ascii="Times New Roman" w:hAnsi="Times New Roman" w:cs="Times New Roman" w:eastAsia="Times New Roman" w:hint="default"/>
        </w:rPr>
        <w:t>/</w:t>
      </w:r>
      <w:r>
        <w:rPr/>
        <w:t>行权期规定的业绩考核条件，根据公司</w:t>
      </w:r>
      <w:r>
        <w:rPr>
          <w:rFonts w:ascii="Times New Roman" w:hAnsi="Times New Roman" w:cs="Times New Roman" w:eastAsia="Times New Roman" w:hint="default"/>
        </w:rPr>
        <w:t>2015</w:t>
      </w:r>
      <w:r>
        <w:rPr/>
        <w:t>年两期股权激励计划的相关规定和股东大会的授权，董事会同 意对</w:t>
      </w:r>
      <w:r>
        <w:rPr>
          <w:rFonts w:ascii="Times New Roman" w:hAnsi="Times New Roman" w:cs="Times New Roman" w:eastAsia="Times New Roman" w:hint="default"/>
        </w:rPr>
        <w:t>2015</w:t>
      </w:r>
      <w:r>
        <w:rPr/>
        <w:t>年两期股权激励计划首次授予部分第三个解锁</w:t>
      </w:r>
      <w:r>
        <w:rPr>
          <w:rFonts w:ascii="Times New Roman" w:hAnsi="Times New Roman" w:cs="Times New Roman" w:eastAsia="Times New Roman" w:hint="default"/>
        </w:rPr>
        <w:t>/</w:t>
      </w:r>
      <w:r>
        <w:rPr/>
        <w:t>行权期和预留部分第二个解锁</w:t>
      </w:r>
      <w:r>
        <w:rPr>
          <w:rFonts w:ascii="宋体" w:hAnsi="宋体" w:cs="宋体" w:eastAsia="宋体" w:hint="default"/>
        </w:rPr>
        <w:t>/</w:t>
      </w:r>
      <w:r>
        <w:rPr/>
        <w:t>行权期由于业绩考核未达标导致不 能解锁</w:t>
      </w:r>
      <w:r>
        <w:rPr>
          <w:rFonts w:ascii="Times New Roman" w:hAnsi="Times New Roman" w:cs="Times New Roman" w:eastAsia="Times New Roman" w:hint="default"/>
        </w:rPr>
        <w:t>/</w:t>
      </w:r>
      <w:r>
        <w:rPr/>
        <w:t>行权的</w:t>
      </w:r>
      <w:r>
        <w:rPr>
          <w:rFonts w:ascii="Times New Roman" w:hAnsi="Times New Roman" w:cs="Times New Roman" w:eastAsia="Times New Roman" w:hint="default"/>
        </w:rPr>
        <w:t>758</w:t>
      </w:r>
      <w:r>
        <w:rPr/>
        <w:t>万股限制性股票和</w:t>
      </w:r>
      <w:r>
        <w:rPr>
          <w:rFonts w:ascii="Times New Roman" w:hAnsi="Times New Roman" w:cs="Times New Roman" w:eastAsia="Times New Roman" w:hint="default"/>
        </w:rPr>
        <w:t>246</w:t>
      </w:r>
      <w:r>
        <w:rPr/>
        <w:t>万份股票期权进行回购注销，本次回购注销事宜已于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日办理完成，回购 注销完成后公司总股本由</w:t>
      </w:r>
      <w:r>
        <w:rPr>
          <w:rFonts w:ascii="Times New Roman" w:hAnsi="Times New Roman" w:cs="Times New Roman" w:eastAsia="Times New Roman" w:hint="default"/>
        </w:rPr>
        <w:t>820,589,768</w:t>
      </w:r>
      <w:r>
        <w:rPr/>
        <w:t>股变更为</w:t>
      </w:r>
      <w:r>
        <w:rPr>
          <w:rFonts w:ascii="Times New Roman" w:hAnsi="Times New Roman" w:cs="Times New Roman" w:eastAsia="Times New Roman" w:hint="default"/>
        </w:rPr>
        <w:t>813,009,768</w:t>
      </w:r>
      <w:r>
        <w:rPr/>
        <w:t>股。</w:t>
      </w:r>
    </w:p>
    <w:p>
      <w:pPr>
        <w:pStyle w:val="BodyText"/>
        <w:spacing w:line="300" w:lineRule="auto" w:before="51"/>
        <w:ind w:right="1131" w:firstLine="425"/>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日公司第六届董事会第十四次会议审议通过了《关于</w:t>
      </w:r>
      <w:r>
        <w:rPr>
          <w:rFonts w:ascii="Times New Roman" w:hAnsi="Times New Roman" w:cs="Times New Roman" w:eastAsia="Times New Roman" w:hint="default"/>
        </w:rPr>
        <w:t>2015</w:t>
      </w:r>
      <w:r>
        <w:rPr/>
        <w:t>年第二期股权激励计划首次授予的限制性股 票与股票期权第二个解锁</w:t>
      </w:r>
      <w:r>
        <w:rPr>
          <w:rFonts w:ascii="Times New Roman" w:hAnsi="Times New Roman" w:cs="Times New Roman" w:eastAsia="Times New Roman" w:hint="default"/>
        </w:rPr>
        <w:t>/</w:t>
      </w:r>
      <w:r>
        <w:rPr/>
        <w:t>行权期符合解锁</w:t>
      </w:r>
      <w:r>
        <w:rPr>
          <w:rFonts w:ascii="Times New Roman" w:hAnsi="Times New Roman" w:cs="Times New Roman" w:eastAsia="Times New Roman" w:hint="default"/>
        </w:rPr>
        <w:t>/</w:t>
      </w:r>
      <w:r>
        <w:rPr/>
        <w:t>行权条件的议案》和《关于</w:t>
      </w:r>
      <w:r>
        <w:rPr>
          <w:rFonts w:ascii="Times New Roman" w:hAnsi="Times New Roman" w:cs="Times New Roman" w:eastAsia="Times New Roman" w:hint="default"/>
        </w:rPr>
        <w:t>2015</w:t>
      </w:r>
      <w:r>
        <w:rPr/>
        <w:t>年第二期股权激励计划首次授予的股票期权第二 个行权期采用自主行权模式的议案》，鉴于公司</w:t>
      </w:r>
      <w:r>
        <w:rPr>
          <w:rFonts w:ascii="Times New Roman" w:hAnsi="Times New Roman" w:cs="Times New Roman" w:eastAsia="Times New Roman" w:hint="default"/>
        </w:rPr>
        <w:t>2015</w:t>
      </w:r>
      <w:r>
        <w:rPr/>
        <w:t>年第二期股权激励计划首次授予的限制性股票与股票期权第二个解锁</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行权期的解锁</w:t>
      </w:r>
      <w:r>
        <w:rPr>
          <w:rFonts w:ascii="Times New Roman" w:hAnsi="Times New Roman" w:cs="Times New Roman" w:eastAsia="Times New Roman" w:hint="default"/>
        </w:rPr>
        <w:t>/</w:t>
      </w:r>
      <w:r>
        <w:rPr/>
        <w:t>行权条件业已成就，董事会根据公司</w:t>
      </w:r>
      <w:r>
        <w:rPr>
          <w:rFonts w:ascii="Times New Roman" w:hAnsi="Times New Roman" w:cs="Times New Roman" w:eastAsia="Times New Roman" w:hint="default"/>
        </w:rPr>
        <w:t>2015</w:t>
      </w:r>
      <w:r>
        <w:rPr/>
        <w:t>年第六次临时股东大会的授权，同意按照</w:t>
      </w:r>
      <w:r>
        <w:rPr>
          <w:rFonts w:ascii="Times New Roman" w:hAnsi="Times New Roman" w:cs="Times New Roman" w:eastAsia="Times New Roman" w:hint="default"/>
        </w:rPr>
        <w:t>2015</w:t>
      </w:r>
      <w:r>
        <w:rPr/>
        <w:t>年第二期股权激励计</w:t>
      </w:r>
    </w:p>
    <w:p>
      <w:pPr>
        <w:spacing w:after="0" w:line="300"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127"/>
        <w:jc w:val="both"/>
      </w:pPr>
      <w:r>
        <w:rPr>
          <w:spacing w:val="-2"/>
        </w:rPr>
        <w:t>划的相关规定为激励对象办理解锁和行权事宜，并同意公司</w:t>
      </w:r>
      <w:r>
        <w:rPr>
          <w:rFonts w:ascii="Times New Roman" w:hAnsi="Times New Roman" w:cs="Times New Roman" w:eastAsia="Times New Roman" w:hint="default"/>
          <w:spacing w:val="-2"/>
        </w:rPr>
        <w:t>2015</w:t>
      </w:r>
      <w:r>
        <w:rPr>
          <w:spacing w:val="-2"/>
        </w:rPr>
        <w:t>年第二期股权激励计划首次授予的股票期权第二个行权期采</w:t>
      </w:r>
      <w:r>
        <w:rPr>
          <w:spacing w:val="-62"/>
        </w:rPr>
        <w:t> </w:t>
      </w:r>
      <w:r>
        <w:rPr>
          <w:spacing w:val="-62"/>
        </w:rPr>
      </w:r>
      <w:r>
        <w:rPr>
          <w:spacing w:val="-4"/>
        </w:rPr>
        <w:t>用自主行权模式，本次可申请解锁的限制性股票数量总计为</w:t>
      </w:r>
      <w:r>
        <w:rPr>
          <w:rFonts w:ascii="Times New Roman" w:hAnsi="Times New Roman" w:cs="Times New Roman" w:eastAsia="Times New Roman" w:hint="default"/>
          <w:spacing w:val="-4"/>
        </w:rPr>
        <w:t>300</w:t>
      </w:r>
      <w:r>
        <w:rPr>
          <w:spacing w:val="-4"/>
        </w:rPr>
        <w:t>万股，本次可申请行权的股票期权数量总计为</w:t>
      </w:r>
      <w:r>
        <w:rPr>
          <w:rFonts w:ascii="Times New Roman" w:hAnsi="Times New Roman" w:cs="Times New Roman" w:eastAsia="Times New Roman" w:hint="default"/>
          <w:spacing w:val="-4"/>
        </w:rPr>
        <w:t>139.5</w:t>
      </w:r>
      <w:r>
        <w:rPr>
          <w:spacing w:val="-4"/>
        </w:rPr>
        <w:t>万份。</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日，公司董事会完成了</w:t>
      </w:r>
      <w:r>
        <w:rPr>
          <w:rFonts w:ascii="Times New Roman" w:hAnsi="Times New Roman" w:cs="Times New Roman" w:eastAsia="Times New Roman" w:hint="default"/>
        </w:rPr>
        <w:t>2015</w:t>
      </w:r>
      <w:r>
        <w:rPr/>
        <w:t>年第二期股权激励计划首次授予的股票期权第二个行权期自主行权登记工作，自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rFonts w:ascii="Times New Roman" w:hAnsi="Times New Roman" w:cs="Times New Roman" w:eastAsia="Times New Roman" w:hint="default"/>
          <w:spacing w:val="-41"/>
        </w:rPr>
        <w:t> </w:t>
      </w:r>
      <w:r>
        <w:rPr>
          <w:spacing w:val="-2"/>
        </w:rPr>
        <w:t>月</w:t>
      </w:r>
      <w:r>
        <w:rPr>
          <w:rFonts w:ascii="Times New Roman" w:hAnsi="Times New Roman" w:cs="Times New Roman" w:eastAsia="Times New Roman" w:hint="default"/>
          <w:spacing w:val="-2"/>
        </w:rPr>
        <w:t>7</w:t>
      </w:r>
      <w:r>
        <w:rPr>
          <w:spacing w:val="-2"/>
        </w:rPr>
        <w:t>日起</w:t>
      </w:r>
      <w:r>
        <w:rPr>
          <w:rFonts w:ascii="Times New Roman" w:hAnsi="Times New Roman" w:cs="Times New Roman" w:eastAsia="Times New Roman" w:hint="default"/>
          <w:spacing w:val="-2"/>
        </w:rPr>
        <w:t>9</w:t>
      </w:r>
      <w:r>
        <w:rPr>
          <w:spacing w:val="-2"/>
        </w:rPr>
        <w:t>名激励对象共计</w:t>
      </w:r>
      <w:r>
        <w:rPr>
          <w:rFonts w:ascii="Times New Roman" w:hAnsi="Times New Roman" w:cs="Times New Roman" w:eastAsia="Times New Roman" w:hint="default"/>
          <w:spacing w:val="-2"/>
        </w:rPr>
        <w:t>139.5</w:t>
      </w:r>
      <w:r>
        <w:rPr>
          <w:spacing w:val="-2"/>
        </w:rPr>
        <w:t>万份股票期权自主行权事宜可实施，截止行权期限届满共有</w:t>
      </w:r>
      <w:r>
        <w:rPr>
          <w:rFonts w:ascii="Times New Roman" w:hAnsi="Times New Roman" w:cs="Times New Roman" w:eastAsia="Times New Roman" w:hint="default"/>
          <w:spacing w:val="-2"/>
        </w:rPr>
        <w:t>112.98</w:t>
      </w:r>
      <w:r>
        <w:rPr>
          <w:spacing w:val="-2"/>
        </w:rPr>
        <w:t>万份股票期权已经行权，公</w:t>
      </w:r>
      <w:r>
        <w:rPr>
          <w:spacing w:val="-55"/>
        </w:rPr>
        <w:t> </w:t>
      </w:r>
      <w:r>
        <w:rPr>
          <w:spacing w:val="-55"/>
        </w:rPr>
      </w:r>
      <w:r>
        <w:rPr/>
        <w:t>司新增</w:t>
      </w:r>
      <w:r>
        <w:rPr>
          <w:rFonts w:ascii="Times New Roman" w:hAnsi="Times New Roman" w:cs="Times New Roman" w:eastAsia="Times New Roman" w:hint="default"/>
        </w:rPr>
        <w:t>112.98</w:t>
      </w:r>
      <w:r>
        <w:rPr/>
        <w:t>万股无限售条件股份，公司总股本由</w:t>
      </w:r>
      <w:r>
        <w:rPr>
          <w:rFonts w:ascii="Times New Roman" w:hAnsi="Times New Roman" w:cs="Times New Roman" w:eastAsia="Times New Roman" w:hint="default"/>
        </w:rPr>
        <w:t>813,009,768</w:t>
      </w:r>
      <w:r>
        <w:rPr/>
        <w:t>股变更为</w:t>
      </w:r>
      <w:r>
        <w:rPr>
          <w:rFonts w:ascii="Times New Roman" w:hAnsi="Times New Roman" w:cs="Times New Roman" w:eastAsia="Times New Roman" w:hint="default"/>
        </w:rPr>
        <w:t>814,139,568</w:t>
      </w:r>
      <w:r>
        <w:rPr/>
        <w:t>股。</w:t>
      </w:r>
    </w:p>
    <w:p>
      <w:pPr>
        <w:pStyle w:val="BodyText"/>
        <w:spacing w:line="240" w:lineRule="auto" w:before="53"/>
        <w:ind w:right="0"/>
        <w:jc w:val="both"/>
      </w:pPr>
      <w:r>
        <w:rPr/>
        <w:t>股份变动的批准情况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33" w:firstLine="425"/>
        <w:jc w:val="left"/>
      </w:pPr>
      <w:r>
        <w:rPr>
          <w:rFonts w:ascii="Times New Roman" w:hAnsi="Times New Roman" w:cs="Times New Roman" w:eastAsia="Times New Roman" w:hint="default"/>
          <w:spacing w:val="-2"/>
        </w:rPr>
        <w:t>1</w:t>
      </w:r>
      <w:r>
        <w:rPr>
          <w:spacing w:val="-2"/>
        </w:rPr>
        <w:t>、回购注销</w:t>
      </w:r>
      <w:r>
        <w:rPr>
          <w:rFonts w:ascii="Times New Roman" w:hAnsi="Times New Roman" w:cs="Times New Roman" w:eastAsia="Times New Roman" w:hint="default"/>
          <w:spacing w:val="-2"/>
        </w:rPr>
        <w:t>2015</w:t>
      </w:r>
      <w:r>
        <w:rPr>
          <w:spacing w:val="-2"/>
        </w:rPr>
        <w:t>年两期股权激励计划部分限制性股票与股票期权事项经第六届董事会第十一次会议、第六届监事会第</w:t>
      </w:r>
      <w:r>
        <w:rPr/>
        <w:t> 五次会议审议批准，独立董事对此发表了同意的独立意见。</w:t>
      </w:r>
    </w:p>
    <w:p>
      <w:pPr>
        <w:pStyle w:val="BodyText"/>
        <w:spacing w:line="300" w:lineRule="auto" w:before="72"/>
        <w:ind w:right="1133" w:firstLine="425"/>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年第二期股权激励计划首次授予的股票期权第二个行权期符合行权条件并采用自主行权模式事项经第六届董事</w:t>
      </w:r>
      <w:r>
        <w:rPr/>
        <w:t> 会第十四次会议和第六届监事会第七次会议审议批准，独立董事对此发表了同意的独立意见。</w:t>
      </w:r>
    </w:p>
    <w:p>
      <w:pPr>
        <w:pStyle w:val="BodyText"/>
        <w:spacing w:line="240" w:lineRule="auto" w:before="70"/>
        <w:ind w:right="0"/>
        <w:jc w:val="both"/>
      </w:pPr>
      <w:r>
        <w:rPr/>
        <w:t>股份变动的过户情况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22" w:firstLine="425"/>
        <w:jc w:val="left"/>
      </w:pPr>
      <w:r>
        <w:rPr>
          <w:rFonts w:ascii="Times New Roman" w:hAnsi="Times New Roman" w:cs="Times New Roman" w:eastAsia="Times New Roman" w:hint="default"/>
        </w:rPr>
        <w:t>1</w:t>
      </w:r>
      <w:r>
        <w:rPr/>
        <w:t>、会计师出具了上会师报字（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4844</w:t>
      </w:r>
      <w:r>
        <w:rPr/>
        <w:t>号《验资报告》，审验了公司截至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日止减少注册资本及股本 情况，认为：经我们审验，截至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日，贵公司已减少股本人民币</w:t>
      </w:r>
      <w:r>
        <w:rPr>
          <w:rFonts w:ascii="Times New Roman" w:hAnsi="Times New Roman" w:cs="Times New Roman" w:eastAsia="Times New Roman" w:hint="default"/>
        </w:rPr>
        <w:t>7,580,000.00</w:t>
      </w:r>
      <w:r>
        <w:rPr/>
        <w:t>元，其中：减少杨富年出资人民币 </w:t>
      </w:r>
      <w:r>
        <w:rPr>
          <w:rFonts w:ascii="Times New Roman" w:hAnsi="Times New Roman" w:cs="Times New Roman" w:eastAsia="Times New Roman" w:hint="default"/>
          <w:spacing w:val="-3"/>
        </w:rPr>
        <w:t>3,580,000.00</w:t>
      </w:r>
      <w:r>
        <w:rPr>
          <w:spacing w:val="-3"/>
        </w:rPr>
        <w:t>元、减少田青出资人民币</w:t>
      </w:r>
      <w:r>
        <w:rPr>
          <w:rFonts w:ascii="Times New Roman" w:hAnsi="Times New Roman" w:cs="Times New Roman" w:eastAsia="Times New Roman" w:hint="default"/>
          <w:spacing w:val="-3"/>
        </w:rPr>
        <w:t>640,000.00</w:t>
      </w:r>
      <w:r>
        <w:rPr>
          <w:spacing w:val="-3"/>
        </w:rPr>
        <w:t>元、减少王东出资人民币</w:t>
      </w:r>
      <w:r>
        <w:rPr>
          <w:rFonts w:ascii="Times New Roman" w:hAnsi="Times New Roman" w:cs="Times New Roman" w:eastAsia="Times New Roman" w:hint="default"/>
          <w:spacing w:val="-3"/>
        </w:rPr>
        <w:t>480,000.00</w:t>
      </w:r>
      <w:r>
        <w:rPr>
          <w:spacing w:val="-3"/>
        </w:rPr>
        <w:t>元、减少朱丽梅出资人民币</w:t>
      </w:r>
      <w:r>
        <w:rPr>
          <w:rFonts w:ascii="Times New Roman" w:hAnsi="Times New Roman" w:cs="Times New Roman" w:eastAsia="Times New Roman" w:hint="default"/>
          <w:spacing w:val="-3"/>
        </w:rPr>
        <w:t>420,000.00</w:t>
      </w:r>
      <w:r>
        <w:rPr>
          <w:spacing w:val="-3"/>
        </w:rPr>
        <w:t>元、 </w:t>
      </w:r>
      <w:r>
        <w:rPr>
          <w:spacing w:val="-2"/>
        </w:rPr>
        <w:t>减少方莉出资人民币</w:t>
      </w:r>
      <w:r>
        <w:rPr>
          <w:rFonts w:ascii="Times New Roman" w:hAnsi="Times New Roman" w:cs="Times New Roman" w:eastAsia="Times New Roman" w:hint="default"/>
          <w:spacing w:val="-2"/>
        </w:rPr>
        <w:t>420,000.00</w:t>
      </w:r>
      <w:r>
        <w:rPr>
          <w:spacing w:val="-2"/>
        </w:rPr>
        <w:t>元、减少祁锦波出资人民币</w:t>
      </w:r>
      <w:r>
        <w:rPr>
          <w:rFonts w:ascii="Times New Roman" w:hAnsi="Times New Roman" w:cs="Times New Roman" w:eastAsia="Times New Roman" w:hint="default"/>
          <w:spacing w:val="-2"/>
        </w:rPr>
        <w:t>80,000.00</w:t>
      </w:r>
      <w:r>
        <w:rPr>
          <w:spacing w:val="-2"/>
        </w:rPr>
        <w:t>元、减少迟永军出资人民币</w:t>
      </w:r>
      <w:r>
        <w:rPr>
          <w:rFonts w:ascii="Times New Roman" w:hAnsi="Times New Roman" w:cs="Times New Roman" w:eastAsia="Times New Roman" w:hint="default"/>
          <w:spacing w:val="-2"/>
        </w:rPr>
        <w:t>280,000.00</w:t>
      </w:r>
      <w:r>
        <w:rPr>
          <w:spacing w:val="-2"/>
        </w:rPr>
        <w:t>元、减少许东出资</w:t>
      </w:r>
      <w:r>
        <w:rPr>
          <w:spacing w:val="-42"/>
        </w:rPr>
        <w:t> </w:t>
      </w:r>
      <w:r>
        <w:rPr>
          <w:spacing w:val="-42"/>
        </w:rPr>
      </w:r>
      <w:r>
        <w:rPr/>
        <w:t>人民币</w:t>
      </w:r>
      <w:r>
        <w:rPr>
          <w:rFonts w:ascii="Times New Roman" w:hAnsi="Times New Roman" w:cs="Times New Roman" w:eastAsia="Times New Roman" w:hint="default"/>
        </w:rPr>
        <w:t>40,000.00</w:t>
      </w:r>
      <w:r>
        <w:rPr/>
        <w:t>元、减少程昭霞出资人民币</w:t>
      </w:r>
      <w:r>
        <w:rPr>
          <w:rFonts w:ascii="Times New Roman" w:hAnsi="Times New Roman" w:cs="Times New Roman" w:eastAsia="Times New Roman" w:hint="default"/>
        </w:rPr>
        <w:t>40,000.00</w:t>
      </w:r>
      <w:r>
        <w:rPr/>
        <w:t>元、减少</w:t>
      </w:r>
      <w:r>
        <w:rPr>
          <w:rFonts w:ascii="Times New Roman" w:hAnsi="Times New Roman" w:cs="Times New Roman" w:eastAsia="Times New Roman" w:hint="default"/>
        </w:rPr>
        <w:t>WAN</w:t>
      </w:r>
      <w:r>
        <w:rPr>
          <w:rFonts w:ascii="Times New Roman" w:hAnsi="Times New Roman" w:cs="Times New Roman" w:eastAsia="Times New Roman" w:hint="default"/>
          <w:spacing w:val="-24"/>
        </w:rPr>
        <w:t> </w:t>
      </w:r>
      <w:r>
        <w:rPr>
          <w:rFonts w:ascii="Times New Roman" w:hAnsi="Times New Roman" w:cs="Times New Roman" w:eastAsia="Times New Roman" w:hint="default"/>
        </w:rPr>
        <w:t>XIAO</w:t>
      </w:r>
      <w:r>
        <w:rPr>
          <w:rFonts w:ascii="Times New Roman" w:hAnsi="Times New Roman" w:cs="Times New Roman" w:eastAsia="Times New Roman" w:hint="default"/>
          <w:spacing w:val="-24"/>
        </w:rPr>
        <w:t> </w:t>
      </w:r>
      <w:r>
        <w:rPr>
          <w:rFonts w:ascii="Times New Roman" w:hAnsi="Times New Roman" w:cs="Times New Roman" w:eastAsia="Times New Roman" w:hint="default"/>
        </w:rPr>
        <w:t>YANG</w:t>
      </w:r>
      <w:r>
        <w:rPr/>
        <w:t>出资人民币</w:t>
      </w:r>
      <w:r>
        <w:rPr>
          <w:rFonts w:ascii="Times New Roman" w:hAnsi="Times New Roman" w:cs="Times New Roman" w:eastAsia="Times New Roman" w:hint="default"/>
        </w:rPr>
        <w:t>800,000.00</w:t>
      </w:r>
      <w:r>
        <w:rPr/>
        <w:t>元和减少倪龙轶出资 </w:t>
      </w:r>
      <w:r>
        <w:rPr>
          <w:spacing w:val="-3"/>
        </w:rPr>
        <w:t>人民币</w:t>
      </w:r>
      <w:r>
        <w:rPr>
          <w:rFonts w:ascii="Times New Roman" w:hAnsi="Times New Roman" w:cs="Times New Roman" w:eastAsia="Times New Roman" w:hint="default"/>
          <w:spacing w:val="-3"/>
        </w:rPr>
        <w:t>800,000.00</w:t>
      </w:r>
      <w:r>
        <w:rPr>
          <w:spacing w:val="-3"/>
        </w:rPr>
        <w:t>元。经深交所和中登公司审核确认，公司于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6</w:t>
      </w:r>
      <w:r>
        <w:rPr>
          <w:spacing w:val="-3"/>
        </w:rPr>
        <w:t>日完成相关限制性股票及股票期权的回购注销工作。</w:t>
      </w:r>
    </w:p>
    <w:p>
      <w:pPr>
        <w:pStyle w:val="BodyText"/>
        <w:spacing w:line="300" w:lineRule="auto" w:before="13"/>
        <w:ind w:right="0" w:firstLine="425"/>
        <w:jc w:val="left"/>
      </w:pPr>
      <w:r>
        <w:rPr>
          <w:rFonts w:ascii="Times New Roman" w:hAnsi="Times New Roman" w:cs="Times New Roman" w:eastAsia="Times New Roman" w:hint="default"/>
        </w:rPr>
        <w:t>2</w:t>
      </w:r>
      <w:r>
        <w:rPr/>
        <w:t>、会计师出具了上会师报字（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6568</w:t>
      </w:r>
      <w:r>
        <w:rPr/>
        <w:t>号《验资报告》，审验了公司截至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日止注册资本实收情况，</w:t>
      </w:r>
      <w:r>
        <w:rPr>
          <w:spacing w:val="2"/>
        </w:rPr>
        <w:t> </w:t>
      </w:r>
      <w:r>
        <w:rPr/>
        <w:t>认为：经我们审验，截至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日，贵公司已收到</w:t>
      </w:r>
      <w:r>
        <w:rPr>
          <w:rFonts w:ascii="Times New Roman" w:hAnsi="Times New Roman" w:cs="Times New Roman" w:eastAsia="Times New Roman" w:hint="default"/>
        </w:rPr>
        <w:t>2015</w:t>
      </w:r>
      <w:r>
        <w:rPr/>
        <w:t>年第二期股票期权</w:t>
      </w:r>
      <w:r>
        <w:rPr>
          <w:rFonts w:ascii="Times New Roman" w:hAnsi="Times New Roman" w:cs="Times New Roman" w:eastAsia="Times New Roman" w:hint="default"/>
        </w:rPr>
        <w:t>7</w:t>
      </w:r>
      <w:r>
        <w:rPr/>
        <w:t>名激励对象缴纳的款项合计</w:t>
      </w:r>
      <w:r>
        <w:rPr>
          <w:rFonts w:ascii="Times New Roman" w:hAnsi="Times New Roman" w:cs="Times New Roman" w:eastAsia="Times New Roman" w:hint="default"/>
        </w:rPr>
        <w:t>10,450,650.00 </w:t>
      </w:r>
      <w:r>
        <w:rPr/>
        <w:t>元（大写：壹仟零肆拾伍万零陆佰伍拾元整），其中，增加股本</w:t>
      </w:r>
      <w:r>
        <w:rPr>
          <w:rFonts w:ascii="Times New Roman" w:hAnsi="Times New Roman" w:cs="Times New Roman" w:eastAsia="Times New Roman" w:hint="default"/>
        </w:rPr>
        <w:t>1,129,800.00</w:t>
      </w:r>
      <w:r>
        <w:rPr/>
        <w:t>元，增加资本公积</w:t>
      </w:r>
      <w:r>
        <w:rPr>
          <w:rFonts w:ascii="Times New Roman" w:hAnsi="Times New Roman" w:cs="Times New Roman" w:eastAsia="Times New Roman" w:hint="default"/>
        </w:rPr>
        <w:t>9,320,850.00</w:t>
      </w:r>
      <w:r>
        <w:rPr/>
        <w:t>元。</w:t>
      </w:r>
    </w:p>
    <w:p>
      <w:pPr>
        <w:pStyle w:val="BodyText"/>
        <w:spacing w:line="240" w:lineRule="auto" w:before="53"/>
        <w:ind w:right="0"/>
        <w:jc w:val="both"/>
      </w:pPr>
      <w:r>
        <w:rPr/>
        <w:t>股份回购的实施进展情况</w:t>
      </w:r>
    </w:p>
    <w:p>
      <w:pPr>
        <w:pStyle w:val="BodyText"/>
        <w:spacing w:line="340" w:lineRule="auto" w:before="115"/>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40" w:lineRule="auto" w:before="39"/>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240" w:lineRule="auto" w:before="41"/>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79" w:firstLine="425"/>
        <w:jc w:val="left"/>
      </w:pPr>
      <w:r>
        <w:rPr/>
        <w:t>按期初股本</w:t>
      </w:r>
      <w:r>
        <w:rPr>
          <w:rFonts w:ascii="Times New Roman" w:hAnsi="Times New Roman" w:cs="Times New Roman" w:eastAsia="Times New Roman" w:hint="default"/>
        </w:rPr>
        <w:t>820,589,768</w:t>
      </w:r>
      <w:r>
        <w:rPr/>
        <w:t>股计算，</w:t>
      </w:r>
      <w:r>
        <w:rPr>
          <w:rFonts w:ascii="Times New Roman" w:hAnsi="Times New Roman" w:cs="Times New Roman" w:eastAsia="Times New Roman" w:hint="default"/>
        </w:rPr>
        <w:t>2017</w:t>
      </w:r>
      <w:r>
        <w:rPr/>
        <w:t>年度每股收益为</w:t>
      </w:r>
      <w:r>
        <w:rPr>
          <w:rFonts w:ascii="Times New Roman" w:hAnsi="Times New Roman" w:cs="Times New Roman" w:eastAsia="Times New Roman" w:hint="default"/>
        </w:rPr>
        <w:t>-0.1311</w:t>
      </w:r>
      <w:r>
        <w:rPr/>
        <w:t>元，归属于上市公司股东的每股净资产为</w:t>
      </w:r>
      <w:r>
        <w:rPr>
          <w:rFonts w:ascii="Times New Roman" w:hAnsi="Times New Roman" w:cs="Times New Roman" w:eastAsia="Times New Roman" w:hint="default"/>
        </w:rPr>
        <w:t>1.6447</w:t>
      </w:r>
      <w:r>
        <w:rPr/>
        <w:t>元；</w:t>
      </w:r>
      <w:r>
        <w:rPr>
          <w:rFonts w:ascii="Times New Roman" w:hAnsi="Times New Roman" w:cs="Times New Roman" w:eastAsia="Times New Roman" w:hint="default"/>
        </w:rPr>
        <w:t>2018 </w:t>
      </w:r>
      <w:r>
        <w:rPr/>
        <w:t>年第三季度每股收益为</w:t>
      </w:r>
      <w:r>
        <w:rPr>
          <w:rFonts w:ascii="Times New Roman" w:hAnsi="Times New Roman" w:cs="Times New Roman" w:eastAsia="Times New Roman" w:hint="default"/>
        </w:rPr>
        <w:t>0.3970</w:t>
      </w:r>
      <w:r>
        <w:rPr/>
        <w:t>元，归属于上市公司股东的每股净资产为</w:t>
      </w:r>
      <w:r>
        <w:rPr>
          <w:rFonts w:ascii="Times New Roman" w:hAnsi="Times New Roman" w:cs="Times New Roman" w:eastAsia="Times New Roman" w:hint="default"/>
        </w:rPr>
        <w:t>2.2523</w:t>
      </w:r>
      <w:r>
        <w:rPr/>
        <w:t>元。</w:t>
      </w:r>
    </w:p>
    <w:p>
      <w:pPr>
        <w:pStyle w:val="BodyText"/>
        <w:spacing w:line="319" w:lineRule="auto" w:before="13"/>
        <w:ind w:right="1179" w:firstLine="425"/>
        <w:jc w:val="left"/>
      </w:pPr>
      <w:r>
        <w:rPr/>
        <w:t>按期末股本</w:t>
      </w:r>
      <w:r>
        <w:rPr>
          <w:rFonts w:ascii="Times New Roman" w:hAnsi="Times New Roman" w:cs="Times New Roman" w:eastAsia="Times New Roman" w:hint="default"/>
        </w:rPr>
        <w:t>814,139,568</w:t>
      </w:r>
      <w:r>
        <w:rPr/>
        <w:t>股计算，</w:t>
      </w:r>
      <w:r>
        <w:rPr>
          <w:rFonts w:ascii="Times New Roman" w:hAnsi="Times New Roman" w:cs="Times New Roman" w:eastAsia="Times New Roman" w:hint="default"/>
        </w:rPr>
        <w:t>2017</w:t>
      </w:r>
      <w:r>
        <w:rPr/>
        <w:t>年度每股收益为</w:t>
      </w:r>
      <w:r>
        <w:rPr>
          <w:rFonts w:ascii="Times New Roman" w:hAnsi="Times New Roman" w:cs="Times New Roman" w:eastAsia="Times New Roman" w:hint="default"/>
        </w:rPr>
        <w:t>-0.1322</w:t>
      </w:r>
      <w:r>
        <w:rPr/>
        <w:t>元，归属于上市公司股东的每股净资产为</w:t>
      </w:r>
      <w:r>
        <w:rPr>
          <w:rFonts w:ascii="Times New Roman" w:hAnsi="Times New Roman" w:cs="Times New Roman" w:eastAsia="Times New Roman" w:hint="default"/>
        </w:rPr>
        <w:t>1.6577</w:t>
      </w:r>
      <w:r>
        <w:rPr/>
        <w:t>元；</w:t>
      </w:r>
      <w:r>
        <w:rPr>
          <w:rFonts w:ascii="Times New Roman" w:hAnsi="Times New Roman" w:cs="Times New Roman" w:eastAsia="Times New Roman" w:hint="default"/>
        </w:rPr>
        <w:t>2018 </w:t>
      </w:r>
      <w:r>
        <w:rPr/>
        <w:t>年第三季度每股收益为</w:t>
      </w:r>
      <w:r>
        <w:rPr>
          <w:rFonts w:ascii="Times New Roman" w:hAnsi="Times New Roman" w:cs="Times New Roman" w:eastAsia="Times New Roman" w:hint="default"/>
        </w:rPr>
        <w:t>0.4001</w:t>
      </w:r>
      <w:r>
        <w:rPr/>
        <w:t>元，归属于上市公司股东的每股净资产为</w:t>
      </w:r>
      <w:r>
        <w:rPr>
          <w:rFonts w:ascii="Times New Roman" w:hAnsi="Times New Roman" w:cs="Times New Roman" w:eastAsia="Times New Roman" w:hint="default"/>
        </w:rPr>
        <w:t>2.2702</w:t>
      </w:r>
      <w:r>
        <w:rPr/>
        <w:t>元。 公司认为必要或证券监管机构要求披露的其他内容</w:t>
      </w:r>
    </w:p>
    <w:p>
      <w:pPr>
        <w:pStyle w:val="BodyText"/>
        <w:spacing w:line="240" w:lineRule="auto" w:before="58"/>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r>
        <w:rPr/>
        <w:pict>
          <v:shape style="position:absolute;margin-left:72.840004pt;margin-top:514.51001pt;width:78.5pt;height:39pt;mso-position-horizontal-relative:page;mso-position-vertical-relative:page;z-index:-1196848" type="#_x0000_t202" filled="false" stroked="false">
            <v:textbox inset="0,0,0,0">
              <w:txbxContent>
                <w:p>
                  <w:pPr>
                    <w:pStyle w:val="BodyText"/>
                    <w:spacing w:line="203" w:lineRule="exact"/>
                    <w:ind w:left="0" w:right="0"/>
                    <w:jc w:val="left"/>
                  </w:pPr>
                  <w:r>
                    <w:rPr/>
                    <w:t>万晓阳）</w:t>
                  </w:r>
                </w:p>
              </w:txbxContent>
            </v:textbox>
            <w10:wrap type="none"/>
          </v:shape>
        </w:pict>
      </w:r>
      <w:r>
        <w:rPr/>
        <w:pict>
          <v:group style="position:absolute;margin-left:105.980003pt;margin-top:514.51001pt;width:45.4pt;height:39pt;mso-position-horizontal-relative:page;mso-position-vertical-relative:page;z-index:-1196824" coordorigin="2120,10290" coordsize="908,780">
            <v:shape style="position:absolute;left:2120;top:10290;width:908;height:780" coordorigin="2120,10290" coordsize="908,780" path="m2120,11070l3027,11070,3027,10290,2120,10290,2120,11070xe" filled="true" fillcolor="#ffffff" stroked="false">
              <v:path arrowok="t"/>
              <v:fill type="solid"/>
            </v:shape>
            <w10:wrap type="none"/>
          </v:group>
        </w:pict>
      </w: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011"/>
        <w:gridCol w:w="914"/>
        <w:gridCol w:w="982"/>
        <w:gridCol w:w="972"/>
        <w:gridCol w:w="914"/>
        <w:gridCol w:w="1080"/>
        <w:gridCol w:w="3824"/>
      </w:tblGrid>
      <w:tr>
        <w:trPr>
          <w:trHeight w:val="713" w:hRule="exact"/>
        </w:trPr>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期初限售 股数</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18" w:right="32"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11" w:right="29"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期末限售 股数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3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651"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徐海啸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2,700,000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6" w:right="21"/>
              <w:jc w:val="left"/>
              <w:rPr>
                <w:rFonts w:ascii="宋体" w:hAnsi="宋体" w:cs="宋体" w:eastAsia="宋体" w:hint="default"/>
                <w:sz w:val="18"/>
                <w:szCs w:val="18"/>
              </w:rPr>
            </w:pPr>
            <w:r>
              <w:rPr>
                <w:rFonts w:ascii="宋体" w:hAnsi="宋体" w:cs="宋体" w:eastAsia="宋体" w:hint="default"/>
                <w:sz w:val="18"/>
                <w:szCs w:val="18"/>
              </w:rPr>
              <w:t>股权激励限 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10"/>
                <w:sz w:val="18"/>
                <w:szCs w:val="18"/>
              </w:rPr>
              <w:t>股；高管锁定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万股股权激励限售股解除</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9"/>
                <w:sz w:val="18"/>
                <w:szCs w:val="18"/>
              </w:rPr>
              <w:t>限售；</w:t>
            </w:r>
            <w:r>
              <w:rPr>
                <w:rFonts w:ascii="Times New Roman" w:hAnsi="Times New Roman" w:cs="Times New Roman" w:eastAsia="Times New Roman" w:hint="default"/>
                <w:spacing w:val="-9"/>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w:t>
            </w:r>
          </w:p>
          <w:p>
            <w:pPr>
              <w:pStyle w:val="TableParagraph"/>
              <w:spacing w:line="309" w:lineRule="auto" w:before="63"/>
              <w:ind w:left="23" w:right="95"/>
              <w:jc w:val="left"/>
              <w:rPr>
                <w:rFonts w:ascii="宋体" w:hAnsi="宋体" w:cs="宋体" w:eastAsia="宋体" w:hint="default"/>
                <w:sz w:val="18"/>
                <w:szCs w:val="18"/>
              </w:rPr>
            </w:pPr>
            <w:r>
              <w:rPr>
                <w:rFonts w:ascii="宋体" w:hAnsi="宋体" w:cs="宋体" w:eastAsia="宋体" w:hint="default"/>
                <w:sz w:val="18"/>
                <w:szCs w:val="18"/>
              </w:rPr>
              <w:t>股解除限售；期末限售股将根据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股票激励计划实施情况及高管锁定股相关规定 解除限售</w:t>
            </w:r>
          </w:p>
        </w:tc>
      </w:tr>
      <w:tr>
        <w:trPr>
          <w:trHeight w:val="1649"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张晶</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2,025,000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6" w:right="17"/>
              <w:jc w:val="left"/>
              <w:rPr>
                <w:rFonts w:ascii="宋体" w:hAnsi="宋体" w:cs="宋体" w:eastAsia="宋体" w:hint="default"/>
                <w:sz w:val="18"/>
                <w:szCs w:val="18"/>
              </w:rPr>
            </w:pPr>
            <w:r>
              <w:rPr>
                <w:rFonts w:ascii="宋体" w:hAnsi="宋体" w:cs="宋体" w:eastAsia="宋体" w:hint="default"/>
                <w:sz w:val="18"/>
                <w:szCs w:val="18"/>
              </w:rPr>
              <w:t>股权激励限 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10"/>
                <w:sz w:val="18"/>
                <w:szCs w:val="18"/>
              </w:rPr>
              <w:t>股；高管锁定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万股</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万股股权激励限售股解除</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pacing w:val="-9"/>
                <w:sz w:val="18"/>
                <w:szCs w:val="18"/>
              </w:rPr>
              <w:t>限售；</w:t>
            </w:r>
            <w:r>
              <w:rPr>
                <w:rFonts w:ascii="Times New Roman" w:hAnsi="Times New Roman" w:cs="Times New Roman" w:eastAsia="Times New Roman" w:hint="default"/>
                <w:spacing w:val="-9"/>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w:t>
            </w:r>
          </w:p>
          <w:p>
            <w:pPr>
              <w:pStyle w:val="TableParagraph"/>
              <w:spacing w:line="309" w:lineRule="auto" w:before="63"/>
              <w:ind w:left="23" w:right="95"/>
              <w:jc w:val="left"/>
              <w:rPr>
                <w:rFonts w:ascii="宋体" w:hAnsi="宋体" w:cs="宋体" w:eastAsia="宋体" w:hint="default"/>
                <w:sz w:val="18"/>
                <w:szCs w:val="18"/>
              </w:rPr>
            </w:pPr>
            <w:r>
              <w:rPr>
                <w:rFonts w:ascii="宋体" w:hAnsi="宋体" w:cs="宋体" w:eastAsia="宋体" w:hint="default"/>
                <w:sz w:val="18"/>
                <w:szCs w:val="18"/>
              </w:rPr>
              <w:t>股解除限售；期末限售股将根据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股票激励计划实施情况及高管锁定股相关规定 解除限售</w:t>
            </w:r>
          </w:p>
        </w:tc>
      </w:tr>
      <w:tr>
        <w:trPr>
          <w:trHeight w:val="1651"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2,340,000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6" w:right="21"/>
              <w:jc w:val="left"/>
              <w:rPr>
                <w:rFonts w:ascii="宋体" w:hAnsi="宋体" w:cs="宋体" w:eastAsia="宋体" w:hint="default"/>
                <w:sz w:val="18"/>
                <w:szCs w:val="18"/>
              </w:rPr>
            </w:pPr>
            <w:r>
              <w:rPr>
                <w:rFonts w:ascii="宋体" w:hAnsi="宋体" w:cs="宋体" w:eastAsia="宋体" w:hint="default"/>
                <w:sz w:val="18"/>
                <w:szCs w:val="18"/>
              </w:rPr>
              <w:t>股权激励限 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10"/>
                <w:sz w:val="18"/>
                <w:szCs w:val="18"/>
              </w:rPr>
              <w:t>股；高管锁定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万股股权激励限售股解除</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9"/>
                <w:sz w:val="18"/>
                <w:szCs w:val="18"/>
              </w:rPr>
              <w:t>限售；</w:t>
            </w:r>
            <w:r>
              <w:rPr>
                <w:rFonts w:ascii="Times New Roman" w:hAnsi="Times New Roman" w:cs="Times New Roman" w:eastAsia="Times New Roman" w:hint="default"/>
                <w:spacing w:val="-9"/>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w:t>
            </w:r>
          </w:p>
          <w:p>
            <w:pPr>
              <w:pStyle w:val="TableParagraph"/>
              <w:spacing w:line="309" w:lineRule="auto" w:before="63"/>
              <w:ind w:left="23" w:right="95"/>
              <w:jc w:val="left"/>
              <w:rPr>
                <w:rFonts w:ascii="宋体" w:hAnsi="宋体" w:cs="宋体" w:eastAsia="宋体" w:hint="default"/>
                <w:sz w:val="18"/>
                <w:szCs w:val="18"/>
              </w:rPr>
            </w:pPr>
            <w:r>
              <w:rPr>
                <w:rFonts w:ascii="宋体" w:hAnsi="宋体" w:cs="宋体" w:eastAsia="宋体" w:hint="default"/>
                <w:sz w:val="18"/>
                <w:szCs w:val="18"/>
              </w:rPr>
              <w:t>股解除限售；期末限售股将根据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股票激励计划实施情况及高管锁定股相关规定 解除限售</w:t>
            </w:r>
          </w:p>
        </w:tc>
      </w:tr>
      <w:tr>
        <w:trPr>
          <w:trHeight w:val="1649"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2,025,000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6" w:right="17"/>
              <w:jc w:val="left"/>
              <w:rPr>
                <w:rFonts w:ascii="宋体" w:hAnsi="宋体" w:cs="宋体" w:eastAsia="宋体" w:hint="default"/>
                <w:sz w:val="18"/>
                <w:szCs w:val="18"/>
              </w:rPr>
            </w:pPr>
            <w:r>
              <w:rPr>
                <w:rFonts w:ascii="宋体" w:hAnsi="宋体" w:cs="宋体" w:eastAsia="宋体" w:hint="default"/>
                <w:sz w:val="18"/>
                <w:szCs w:val="18"/>
              </w:rPr>
              <w:t>股权激励限 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10"/>
                <w:sz w:val="18"/>
                <w:szCs w:val="18"/>
              </w:rPr>
              <w:t>股；高管锁定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万股</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万股股权激励限售股解除</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pacing w:val="-9"/>
                <w:sz w:val="18"/>
                <w:szCs w:val="18"/>
              </w:rPr>
              <w:t>限售；</w:t>
            </w:r>
            <w:r>
              <w:rPr>
                <w:rFonts w:ascii="Times New Roman" w:hAnsi="Times New Roman" w:cs="Times New Roman" w:eastAsia="Times New Roman" w:hint="default"/>
                <w:spacing w:val="-9"/>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w:t>
            </w:r>
          </w:p>
          <w:p>
            <w:pPr>
              <w:pStyle w:val="TableParagraph"/>
              <w:spacing w:line="309" w:lineRule="auto" w:before="63"/>
              <w:ind w:left="23" w:right="95"/>
              <w:jc w:val="left"/>
              <w:rPr>
                <w:rFonts w:ascii="宋体" w:hAnsi="宋体" w:cs="宋体" w:eastAsia="宋体" w:hint="default"/>
                <w:sz w:val="18"/>
                <w:szCs w:val="18"/>
              </w:rPr>
            </w:pPr>
            <w:r>
              <w:rPr>
                <w:rFonts w:ascii="宋体" w:hAnsi="宋体" w:cs="宋体" w:eastAsia="宋体" w:hint="default"/>
                <w:sz w:val="18"/>
                <w:szCs w:val="18"/>
              </w:rPr>
              <w:t>股解除限售；期末限售股将根据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股票激励计划实施情况及高管锁定股相关规定 解除限售</w:t>
            </w:r>
          </w:p>
        </w:tc>
      </w:tr>
      <w:tr>
        <w:trPr>
          <w:trHeight w:val="360" w:hRule="exact"/>
        </w:trPr>
        <w:tc>
          <w:tcPr>
            <w:tcW w:w="1011"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982"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38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万股股权激励限售股解除</w:t>
            </w:r>
          </w:p>
        </w:tc>
      </w:tr>
      <w:tr>
        <w:trPr>
          <w:trHeight w:val="1248" w:hRule="exact"/>
        </w:trPr>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8"/>
                <w:sz w:val="18"/>
              </w:rPr>
              <w:t>WAN</w:t>
            </w:r>
            <w:r>
              <w:rPr>
                <w:rFonts w:ascii="Times New Roman"/>
                <w:sz w:val="18"/>
              </w:rPr>
              <w:t> XIAO</w:t>
            </w:r>
          </w:p>
          <w:p>
            <w:pPr>
              <w:pStyle w:val="TableParagraph"/>
              <w:spacing w:line="300" w:lineRule="auto" w:before="63"/>
              <w:ind w:left="24" w:right="24"/>
              <w:jc w:val="left"/>
              <w:rPr>
                <w:rFonts w:ascii="宋体" w:hAnsi="宋体" w:cs="宋体" w:eastAsia="宋体" w:hint="default"/>
                <w:sz w:val="18"/>
                <w:szCs w:val="18"/>
              </w:rPr>
            </w:pPr>
            <w:r>
              <w:rPr>
                <w:rFonts w:ascii="Times New Roman" w:hAnsi="Times New Roman" w:cs="Times New Roman" w:eastAsia="Times New Roman" w:hint="default"/>
                <w:spacing w:val="-16"/>
                <w:w w:val="99"/>
                <w:sz w:val="18"/>
                <w:szCs w:val="18"/>
              </w:rPr>
              <w:t>YANG</w:t>
            </w:r>
            <w:r>
              <w:rPr>
                <w:rFonts w:ascii="宋体" w:hAnsi="宋体" w:cs="宋体" w:eastAsia="宋体" w:hint="default"/>
                <w:spacing w:val="-16"/>
                <w:w w:val="99"/>
                <w:sz w:val="18"/>
                <w:szCs w:val="18"/>
              </w:rPr>
              <w:t>（中文</w:t>
            </w:r>
            <w:r>
              <w:rPr>
                <w:rFonts w:ascii="宋体" w:hAnsi="宋体" w:cs="宋体" w:eastAsia="宋体" w:hint="default"/>
                <w:sz w:val="18"/>
                <w:szCs w:val="18"/>
              </w:rPr>
              <w:t> 名：</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9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3,630,000</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1,905,000</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2,775,000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6" w:right="17"/>
              <w:jc w:val="left"/>
              <w:rPr>
                <w:rFonts w:ascii="宋体" w:hAnsi="宋体" w:cs="宋体" w:eastAsia="宋体" w:hint="default"/>
                <w:sz w:val="18"/>
                <w:szCs w:val="18"/>
              </w:rPr>
            </w:pPr>
            <w:r>
              <w:rPr>
                <w:rFonts w:ascii="宋体" w:hAnsi="宋体" w:cs="宋体" w:eastAsia="宋体" w:hint="default"/>
                <w:sz w:val="18"/>
                <w:szCs w:val="18"/>
              </w:rPr>
              <w:t>股权激励限 售股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w:t>
            </w:r>
            <w:r>
              <w:rPr>
                <w:rFonts w:ascii="宋体" w:hAnsi="宋体" w:cs="宋体" w:eastAsia="宋体" w:hint="default"/>
                <w:spacing w:val="-10"/>
                <w:sz w:val="18"/>
                <w:szCs w:val="18"/>
              </w:rPr>
              <w:t>股；高管锁定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万股</w:t>
            </w:r>
          </w:p>
        </w:tc>
        <w:tc>
          <w:tcPr>
            <w:tcW w:w="38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 </w:t>
            </w:r>
            <w:r>
              <w:rPr>
                <w:rFonts w:ascii="宋体" w:hAnsi="宋体" w:cs="宋体" w:eastAsia="宋体" w:hint="default"/>
                <w:sz w:val="18"/>
                <w:szCs w:val="18"/>
              </w:rPr>
              <w:t>万股股权激励限售股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回购注销；</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87 </w:t>
            </w:r>
            <w:r>
              <w:rPr>
                <w:rFonts w:ascii="宋体" w:hAnsi="宋体" w:cs="宋体" w:eastAsia="宋体" w:hint="default"/>
                <w:sz w:val="18"/>
                <w:szCs w:val="18"/>
              </w:rPr>
              <w:t>万股股权激励</w:t>
            </w:r>
          </w:p>
          <w:p>
            <w:pPr>
              <w:pStyle w:val="TableParagraph"/>
              <w:spacing w:line="300" w:lineRule="auto" w:before="63"/>
              <w:ind w:left="23" w:right="95"/>
              <w:jc w:val="left"/>
              <w:rPr>
                <w:rFonts w:ascii="宋体" w:hAnsi="宋体" w:cs="宋体" w:eastAsia="宋体" w:hint="default"/>
                <w:sz w:val="18"/>
                <w:szCs w:val="18"/>
              </w:rPr>
            </w:pPr>
            <w:r>
              <w:rPr>
                <w:rFonts w:ascii="宋体" w:hAnsi="宋体" w:cs="宋体" w:eastAsia="宋体" w:hint="default"/>
                <w:sz w:val="18"/>
                <w:szCs w:val="18"/>
              </w:rPr>
              <w:t>限售股解除限售；期末限售股将根据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 制性股票激励计划实施情况及高管锁定股相关</w:t>
            </w:r>
          </w:p>
        </w:tc>
      </w:tr>
      <w:tr>
        <w:trPr>
          <w:trHeight w:val="355" w:hRule="exact"/>
        </w:trPr>
        <w:tc>
          <w:tcPr>
            <w:tcW w:w="1011"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982"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38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规定解除限售</w:t>
            </w:r>
          </w:p>
        </w:tc>
      </w:tr>
      <w:tr>
        <w:trPr>
          <w:trHeight w:val="359" w:hRule="exact"/>
        </w:trPr>
        <w:tc>
          <w:tcPr>
            <w:tcW w:w="1011"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982"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38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万股股权激励限售股解除</w:t>
            </w:r>
          </w:p>
        </w:tc>
      </w:tr>
      <w:tr>
        <w:trPr>
          <w:trHeight w:val="623" w:hRule="exact"/>
        </w:trPr>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w:t>
            </w:r>
          </w:p>
        </w:tc>
        <w:tc>
          <w:tcPr>
            <w:tcW w:w="9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735,000</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315,000</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6" w:right="0"/>
              <w:jc w:val="left"/>
              <w:rPr>
                <w:rFonts w:ascii="宋体" w:hAnsi="宋体" w:cs="宋体" w:eastAsia="宋体" w:hint="default"/>
                <w:sz w:val="18"/>
                <w:szCs w:val="18"/>
              </w:rPr>
            </w:pPr>
            <w:r>
              <w:rPr>
                <w:rFonts w:ascii="宋体" w:hAnsi="宋体" w:cs="宋体" w:eastAsia="宋体" w:hint="default"/>
                <w:sz w:val="18"/>
                <w:szCs w:val="18"/>
              </w:rPr>
              <w:t>高管锁定股</w:t>
            </w:r>
          </w:p>
          <w:p>
            <w:pPr>
              <w:pStyle w:val="TableParagraph"/>
              <w:spacing w:line="240" w:lineRule="auto" w:before="74"/>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w:t>
            </w:r>
          </w:p>
        </w:tc>
        <w:tc>
          <w:tcPr>
            <w:tcW w:w="3824" w:type="dxa"/>
            <w:tcBorders>
              <w:top w:val="nil" w:sz="6" w:space="0" w:color="auto"/>
              <w:left w:val="single" w:sz="4" w:space="0" w:color="000000"/>
              <w:bottom w:val="nil" w:sz="6" w:space="0" w:color="auto"/>
              <w:right w:val="single" w:sz="4" w:space="0" w:color="000000"/>
            </w:tcBorders>
          </w:tcPr>
          <w:p>
            <w:pPr>
              <w:pStyle w:val="TableParagraph"/>
              <w:spacing w:line="300" w:lineRule="auto" w:before="4"/>
              <w:ind w:left="23" w:right="20"/>
              <w:jc w:val="left"/>
              <w:rPr>
                <w:rFonts w:ascii="宋体" w:hAnsi="宋体" w:cs="宋体" w:eastAsia="宋体" w:hint="default"/>
                <w:sz w:val="18"/>
                <w:szCs w:val="18"/>
              </w:rPr>
            </w:pPr>
            <w:r>
              <w:rPr>
                <w:rFonts w:ascii="宋体" w:hAnsi="宋体" w:cs="宋体" w:eastAsia="宋体" w:hint="default"/>
                <w:sz w:val="18"/>
                <w:szCs w:val="18"/>
              </w:rPr>
              <w:t>限售；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 </w:t>
            </w:r>
            <w:r>
              <w:rPr>
                <w:rFonts w:ascii="宋体" w:hAnsi="宋体" w:cs="宋体" w:eastAsia="宋体" w:hint="default"/>
                <w:sz w:val="18"/>
                <w:szCs w:val="18"/>
              </w:rPr>
              <w:t>万股股权激励限售股 </w:t>
            </w:r>
            <w:r>
              <w:rPr>
                <w:rFonts w:ascii="宋体" w:hAnsi="宋体" w:cs="宋体" w:eastAsia="宋体" w:hint="default"/>
                <w:spacing w:val="-1"/>
                <w:sz w:val="18"/>
                <w:szCs w:val="18"/>
              </w:rPr>
              <w:t>回购注销；期末限售股将根据高管锁定股相关规</w:t>
            </w:r>
          </w:p>
        </w:tc>
      </w:tr>
      <w:tr>
        <w:trPr>
          <w:trHeight w:val="355" w:hRule="exact"/>
        </w:trPr>
        <w:tc>
          <w:tcPr>
            <w:tcW w:w="1011"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982"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38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定解除限售</w:t>
            </w:r>
          </w:p>
        </w:tc>
      </w:tr>
      <w:tr>
        <w:trPr>
          <w:trHeight w:val="1027"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迟永军</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高管锁定股</w:t>
            </w:r>
          </w:p>
          <w:p>
            <w:pPr>
              <w:pStyle w:val="TableParagraph"/>
              <w:spacing w:line="240" w:lineRule="auto" w:before="7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万股股权激励限售股回购注 </w:t>
            </w:r>
            <w:r>
              <w:rPr>
                <w:rFonts w:ascii="宋体" w:hAnsi="宋体" w:cs="宋体" w:eastAsia="宋体" w:hint="default"/>
                <w:spacing w:val="-1"/>
                <w:sz w:val="18"/>
                <w:szCs w:val="18"/>
              </w:rPr>
              <w:t>销；期末限售股将根据高管锁定股相关规定解除</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限售</w:t>
            </w:r>
          </w:p>
        </w:tc>
      </w:tr>
      <w:tr>
        <w:trPr>
          <w:trHeight w:val="359" w:hRule="exact"/>
        </w:trPr>
        <w:tc>
          <w:tcPr>
            <w:tcW w:w="1011"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982"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38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万股股权激励限售股解除</w:t>
            </w:r>
          </w:p>
        </w:tc>
      </w:tr>
      <w:tr>
        <w:trPr>
          <w:trHeight w:val="935" w:hRule="exact"/>
        </w:trPr>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倪龙轶</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9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pacing w:val="-1"/>
                <w:sz w:val="18"/>
              </w:rPr>
              <w:t>3,630,000</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pacing w:val="-1"/>
                <w:sz w:val="18"/>
              </w:rPr>
              <w:t>870,000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4" w:lineRule="auto"/>
              <w:ind w:left="26" w:right="48"/>
              <w:jc w:val="left"/>
              <w:rPr>
                <w:rFonts w:ascii="宋体" w:hAnsi="宋体" w:cs="宋体" w:eastAsia="宋体" w:hint="default"/>
                <w:sz w:val="18"/>
                <w:szCs w:val="18"/>
              </w:rPr>
            </w:pPr>
            <w:r>
              <w:rPr>
                <w:rFonts w:ascii="宋体" w:hAnsi="宋体" w:cs="宋体" w:eastAsia="宋体" w:hint="default"/>
                <w:sz w:val="18"/>
                <w:szCs w:val="18"/>
              </w:rPr>
              <w:t>股权激励限 售股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w:t>
            </w:r>
          </w:p>
        </w:tc>
        <w:tc>
          <w:tcPr>
            <w:tcW w:w="382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 </w:t>
            </w:r>
            <w:r>
              <w:rPr>
                <w:rFonts w:ascii="宋体" w:hAnsi="宋体" w:cs="宋体" w:eastAsia="宋体" w:hint="default"/>
                <w:sz w:val="18"/>
                <w:szCs w:val="18"/>
              </w:rPr>
              <w:t>万股股权激励限售股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回购注销；</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87 </w:t>
            </w:r>
            <w:r>
              <w:rPr>
                <w:rFonts w:ascii="宋体" w:hAnsi="宋体" w:cs="宋体" w:eastAsia="宋体" w:hint="default"/>
                <w:sz w:val="18"/>
                <w:szCs w:val="18"/>
              </w:rPr>
              <w:t>万股股权激励</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限售股解除限售；期末限售股将根据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w:t>
            </w:r>
          </w:p>
        </w:tc>
      </w:tr>
      <w:tr>
        <w:trPr>
          <w:trHeight w:val="355" w:hRule="exact"/>
        </w:trPr>
        <w:tc>
          <w:tcPr>
            <w:tcW w:w="1011"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982"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38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制性股票激励计划实施情况解除限售</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1011"/>
        <w:gridCol w:w="914"/>
        <w:gridCol w:w="982"/>
        <w:gridCol w:w="972"/>
        <w:gridCol w:w="914"/>
        <w:gridCol w:w="1080"/>
        <w:gridCol w:w="3824"/>
      </w:tblGrid>
      <w:tr>
        <w:trPr>
          <w:trHeight w:val="1337"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曹晓黎</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3,150,000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1,350,000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9" w:lineRule="auto"/>
              <w:ind w:left="26" w:right="139"/>
              <w:jc w:val="both"/>
              <w:rPr>
                <w:rFonts w:ascii="宋体" w:hAnsi="宋体" w:cs="宋体" w:eastAsia="宋体" w:hint="default"/>
                <w:sz w:val="18"/>
                <w:szCs w:val="18"/>
              </w:rPr>
            </w:pPr>
            <w:r>
              <w:rPr>
                <w:rFonts w:ascii="宋体" w:hAnsi="宋体" w:cs="宋体" w:eastAsia="宋体" w:hint="default"/>
                <w:sz w:val="18"/>
                <w:szCs w:val="18"/>
              </w:rPr>
              <w:t>股权激励限 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股</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万股股权激励限售股解除</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9"/>
                <w:sz w:val="18"/>
                <w:szCs w:val="18"/>
              </w:rPr>
              <w:t>限售；</w:t>
            </w:r>
            <w:r>
              <w:rPr>
                <w:rFonts w:ascii="Times New Roman" w:hAnsi="Times New Roman" w:cs="Times New Roman" w:eastAsia="Times New Roman" w:hint="default"/>
                <w:spacing w:val="-9"/>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w:t>
            </w:r>
          </w:p>
          <w:p>
            <w:pPr>
              <w:pStyle w:val="TableParagraph"/>
              <w:spacing w:line="300" w:lineRule="auto" w:before="63"/>
              <w:ind w:left="23" w:right="95"/>
              <w:jc w:val="left"/>
              <w:rPr>
                <w:rFonts w:ascii="宋体" w:hAnsi="宋体" w:cs="宋体" w:eastAsia="宋体" w:hint="default"/>
                <w:sz w:val="18"/>
                <w:szCs w:val="18"/>
              </w:rPr>
            </w:pPr>
            <w:r>
              <w:rPr>
                <w:rFonts w:ascii="宋体" w:hAnsi="宋体" w:cs="宋体" w:eastAsia="宋体" w:hint="default"/>
                <w:sz w:val="18"/>
                <w:szCs w:val="18"/>
              </w:rPr>
              <w:t>股解除限售；期末限售股将根据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股票激励计划实施情况解除限售</w:t>
            </w:r>
          </w:p>
        </w:tc>
      </w:tr>
      <w:tr>
        <w:trPr>
          <w:trHeight w:val="1339"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陈文龙</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5,200,000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3,640,000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1,560,000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7" w:lineRule="auto"/>
              <w:ind w:left="26" w:right="139"/>
              <w:jc w:val="both"/>
              <w:rPr>
                <w:rFonts w:ascii="宋体" w:hAnsi="宋体" w:cs="宋体" w:eastAsia="宋体" w:hint="default"/>
                <w:sz w:val="18"/>
                <w:szCs w:val="18"/>
              </w:rPr>
            </w:pPr>
            <w:r>
              <w:rPr>
                <w:rFonts w:ascii="宋体" w:hAnsi="宋体" w:cs="宋体" w:eastAsia="宋体" w:hint="default"/>
                <w:sz w:val="18"/>
                <w:szCs w:val="18"/>
              </w:rPr>
              <w:t>股权激励限 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股</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万股股权激励限售股解除</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pacing w:val="-9"/>
                <w:sz w:val="18"/>
                <w:szCs w:val="18"/>
              </w:rPr>
              <w:t>限售；</w:t>
            </w:r>
            <w:r>
              <w:rPr>
                <w:rFonts w:ascii="Times New Roman" w:hAnsi="Times New Roman" w:cs="Times New Roman" w:eastAsia="Times New Roman" w:hint="default"/>
                <w:spacing w:val="-9"/>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w:t>
            </w:r>
          </w:p>
          <w:p>
            <w:pPr>
              <w:pStyle w:val="TableParagraph"/>
              <w:spacing w:line="300" w:lineRule="auto" w:before="63"/>
              <w:ind w:left="23" w:right="95"/>
              <w:jc w:val="left"/>
              <w:rPr>
                <w:rFonts w:ascii="宋体" w:hAnsi="宋体" w:cs="宋体" w:eastAsia="宋体" w:hint="default"/>
                <w:sz w:val="18"/>
                <w:szCs w:val="18"/>
              </w:rPr>
            </w:pPr>
            <w:r>
              <w:rPr>
                <w:rFonts w:ascii="宋体" w:hAnsi="宋体" w:cs="宋体" w:eastAsia="宋体" w:hint="default"/>
                <w:sz w:val="18"/>
                <w:szCs w:val="18"/>
              </w:rPr>
              <w:t>股解除限售；期末限售股将根据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股票激励计划实施情况解除限售</w:t>
            </w:r>
          </w:p>
        </w:tc>
      </w:tr>
      <w:tr>
        <w:trPr>
          <w:trHeight w:val="360" w:hRule="exact"/>
        </w:trPr>
        <w:tc>
          <w:tcPr>
            <w:tcW w:w="1011"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982"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38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万股股权激励限售股解除限</w:t>
            </w:r>
          </w:p>
        </w:tc>
      </w:tr>
      <w:tr>
        <w:trPr>
          <w:trHeight w:val="625" w:hRule="exact"/>
        </w:trPr>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林日磊</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98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6" w:right="48"/>
              <w:jc w:val="left"/>
              <w:rPr>
                <w:rFonts w:ascii="宋体" w:hAnsi="宋体" w:cs="宋体" w:eastAsia="宋体" w:hint="default"/>
                <w:sz w:val="18"/>
                <w:szCs w:val="18"/>
              </w:rPr>
            </w:pPr>
            <w:r>
              <w:rPr>
                <w:rFonts w:ascii="宋体" w:hAnsi="宋体" w:cs="宋体" w:eastAsia="宋体" w:hint="default"/>
                <w:sz w:val="18"/>
                <w:szCs w:val="18"/>
              </w:rPr>
              <w:t>股权激励限 售股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w:t>
            </w:r>
          </w:p>
        </w:tc>
        <w:tc>
          <w:tcPr>
            <w:tcW w:w="38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售；</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解除限售；期末限售股将根据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w:t>
            </w:r>
          </w:p>
        </w:tc>
      </w:tr>
      <w:tr>
        <w:trPr>
          <w:trHeight w:val="353" w:hRule="exact"/>
        </w:trPr>
        <w:tc>
          <w:tcPr>
            <w:tcW w:w="1011"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982"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38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票激励计划实施情况解除限售</w:t>
            </w:r>
          </w:p>
        </w:tc>
      </w:tr>
      <w:tr>
        <w:trPr>
          <w:trHeight w:val="1339"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李雨良</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2,800,000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7" w:lineRule="auto"/>
              <w:ind w:left="26" w:right="139"/>
              <w:jc w:val="both"/>
              <w:rPr>
                <w:rFonts w:ascii="宋体" w:hAnsi="宋体" w:cs="宋体" w:eastAsia="宋体" w:hint="default"/>
                <w:sz w:val="18"/>
                <w:szCs w:val="18"/>
              </w:rPr>
            </w:pPr>
            <w:r>
              <w:rPr>
                <w:rFonts w:ascii="宋体" w:hAnsi="宋体" w:cs="宋体" w:eastAsia="宋体" w:hint="default"/>
                <w:sz w:val="18"/>
                <w:szCs w:val="18"/>
              </w:rPr>
              <w:t>股权激励限 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股</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万股股权激励限售股解除</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pacing w:val="-9"/>
                <w:sz w:val="18"/>
                <w:szCs w:val="18"/>
              </w:rPr>
              <w:t>限售；</w:t>
            </w:r>
            <w:r>
              <w:rPr>
                <w:rFonts w:ascii="Times New Roman" w:hAnsi="Times New Roman" w:cs="Times New Roman" w:eastAsia="Times New Roman" w:hint="default"/>
                <w:spacing w:val="-9"/>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w:t>
            </w:r>
          </w:p>
          <w:p>
            <w:pPr>
              <w:pStyle w:val="TableParagraph"/>
              <w:spacing w:line="300" w:lineRule="auto" w:before="63"/>
              <w:ind w:left="23" w:right="95"/>
              <w:jc w:val="left"/>
              <w:rPr>
                <w:rFonts w:ascii="宋体" w:hAnsi="宋体" w:cs="宋体" w:eastAsia="宋体" w:hint="default"/>
                <w:sz w:val="18"/>
                <w:szCs w:val="18"/>
              </w:rPr>
            </w:pPr>
            <w:r>
              <w:rPr>
                <w:rFonts w:ascii="宋体" w:hAnsi="宋体" w:cs="宋体" w:eastAsia="宋体" w:hint="default"/>
                <w:sz w:val="18"/>
                <w:szCs w:val="18"/>
              </w:rPr>
              <w:t>股解除限售；期末限售股将根据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股票激励计划实施情况解除限售</w:t>
            </w:r>
          </w:p>
        </w:tc>
      </w:tr>
      <w:tr>
        <w:trPr>
          <w:trHeight w:val="360" w:hRule="exact"/>
        </w:trPr>
        <w:tc>
          <w:tcPr>
            <w:tcW w:w="1011"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982"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38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268.5 </w:t>
            </w:r>
            <w:r>
              <w:rPr>
                <w:rFonts w:ascii="宋体" w:hAnsi="宋体" w:cs="宋体" w:eastAsia="宋体" w:hint="default"/>
                <w:sz w:val="18"/>
                <w:szCs w:val="18"/>
              </w:rPr>
              <w:t>万股股权激励限售股解</w:t>
            </w:r>
          </w:p>
        </w:tc>
      </w:tr>
      <w:tr>
        <w:trPr>
          <w:trHeight w:val="312" w:hRule="exact"/>
        </w:trPr>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杨富年</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6,265,000</w:t>
            </w:r>
          </w:p>
        </w:tc>
        <w:tc>
          <w:tcPr>
            <w:tcW w:w="98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6,265,000</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8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8"/>
                <w:sz w:val="18"/>
                <w:szCs w:val="18"/>
              </w:rPr>
              <w:t>除限售；</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w:t>
            </w:r>
          </w:p>
        </w:tc>
      </w:tr>
      <w:tr>
        <w:trPr>
          <w:trHeight w:val="353" w:hRule="exact"/>
        </w:trPr>
        <w:tc>
          <w:tcPr>
            <w:tcW w:w="1011"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982"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38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股回购注销</w:t>
            </w:r>
          </w:p>
        </w:tc>
      </w:tr>
      <w:tr>
        <w:trPr>
          <w:trHeight w:val="362" w:hRule="exact"/>
        </w:trPr>
        <w:tc>
          <w:tcPr>
            <w:tcW w:w="1011"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982"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38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万股股权激励限售股解除限</w:t>
            </w:r>
          </w:p>
        </w:tc>
      </w:tr>
      <w:tr>
        <w:trPr>
          <w:trHeight w:val="312" w:hRule="exact"/>
        </w:trPr>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田青</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1,120,000</w:t>
            </w:r>
          </w:p>
        </w:tc>
        <w:tc>
          <w:tcPr>
            <w:tcW w:w="98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1,120,000</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82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万股股权激励限售股回</w:t>
            </w:r>
          </w:p>
        </w:tc>
      </w:tr>
      <w:tr>
        <w:trPr>
          <w:trHeight w:val="354" w:hRule="exact"/>
        </w:trPr>
        <w:tc>
          <w:tcPr>
            <w:tcW w:w="1011"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982"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38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购注销</w:t>
            </w:r>
          </w:p>
        </w:tc>
      </w:tr>
      <w:tr>
        <w:trPr>
          <w:trHeight w:val="360" w:hRule="exact"/>
        </w:trPr>
        <w:tc>
          <w:tcPr>
            <w:tcW w:w="1011"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982"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38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万股股权激励限售股解除限</w:t>
            </w:r>
          </w:p>
        </w:tc>
      </w:tr>
      <w:tr>
        <w:trPr>
          <w:trHeight w:val="312" w:hRule="exact"/>
        </w:trPr>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840,000</w:t>
            </w:r>
          </w:p>
        </w:tc>
        <w:tc>
          <w:tcPr>
            <w:tcW w:w="98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840,000</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8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万股股权激励限售股回</w:t>
            </w:r>
          </w:p>
        </w:tc>
      </w:tr>
      <w:tr>
        <w:trPr>
          <w:trHeight w:val="353" w:hRule="exact"/>
        </w:trPr>
        <w:tc>
          <w:tcPr>
            <w:tcW w:w="1011"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982"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38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购注销</w:t>
            </w:r>
          </w:p>
        </w:tc>
      </w:tr>
      <w:tr>
        <w:trPr>
          <w:trHeight w:val="361" w:hRule="exact"/>
        </w:trPr>
        <w:tc>
          <w:tcPr>
            <w:tcW w:w="1011"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982"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38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万股股权激励限售股解除</w:t>
            </w:r>
          </w:p>
        </w:tc>
      </w:tr>
      <w:tr>
        <w:trPr>
          <w:trHeight w:val="312" w:hRule="exact"/>
        </w:trPr>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朱丽梅</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735,000</w:t>
            </w:r>
          </w:p>
        </w:tc>
        <w:tc>
          <w:tcPr>
            <w:tcW w:w="98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735,000</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82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 </w:t>
            </w:r>
            <w:r>
              <w:rPr>
                <w:rFonts w:ascii="宋体" w:hAnsi="宋体" w:cs="宋体" w:eastAsia="宋体" w:hint="default"/>
                <w:sz w:val="18"/>
                <w:szCs w:val="18"/>
              </w:rPr>
              <w:t>万股股权激励限售股</w:t>
            </w:r>
          </w:p>
        </w:tc>
      </w:tr>
      <w:tr>
        <w:trPr>
          <w:trHeight w:val="354" w:hRule="exact"/>
        </w:trPr>
        <w:tc>
          <w:tcPr>
            <w:tcW w:w="1011"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982"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38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回购注销</w:t>
            </w:r>
          </w:p>
        </w:tc>
      </w:tr>
      <w:tr>
        <w:trPr>
          <w:trHeight w:val="361" w:hRule="exact"/>
        </w:trPr>
        <w:tc>
          <w:tcPr>
            <w:tcW w:w="1011"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982"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38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万股股权激励限售股解除限</w:t>
            </w:r>
          </w:p>
        </w:tc>
      </w:tr>
      <w:tr>
        <w:trPr>
          <w:trHeight w:val="312" w:hRule="exact"/>
        </w:trPr>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祁锦波</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140,000</w:t>
            </w:r>
          </w:p>
        </w:tc>
        <w:tc>
          <w:tcPr>
            <w:tcW w:w="982"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140,000</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8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10"/>
                <w:sz w:val="18"/>
                <w:szCs w:val="18"/>
              </w:rPr>
              <w:t>售；</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万股股权激励限售股回购</w:t>
            </w:r>
          </w:p>
        </w:tc>
      </w:tr>
      <w:tr>
        <w:trPr>
          <w:trHeight w:val="353" w:hRule="exact"/>
        </w:trPr>
        <w:tc>
          <w:tcPr>
            <w:tcW w:w="1011"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982"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38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61" w:hRule="exact"/>
        </w:trPr>
        <w:tc>
          <w:tcPr>
            <w:tcW w:w="1011"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982"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38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万股股权激励限售股解除限</w:t>
            </w:r>
          </w:p>
        </w:tc>
      </w:tr>
      <w:tr>
        <w:trPr>
          <w:trHeight w:val="312" w:hRule="exact"/>
        </w:trPr>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许东</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pacing w:val="-1"/>
                <w:sz w:val="18"/>
              </w:rPr>
              <w:t>70,000</w:t>
            </w:r>
          </w:p>
        </w:tc>
        <w:tc>
          <w:tcPr>
            <w:tcW w:w="98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70,000</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82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pacing w:val="-10"/>
                <w:sz w:val="18"/>
                <w:szCs w:val="18"/>
              </w:rPr>
              <w:t>售；</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万股股权激励限售股回购</w:t>
            </w:r>
          </w:p>
        </w:tc>
      </w:tr>
      <w:tr>
        <w:trPr>
          <w:trHeight w:val="354" w:hRule="exact"/>
        </w:trPr>
        <w:tc>
          <w:tcPr>
            <w:tcW w:w="1011"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982"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38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60" w:hRule="exact"/>
        </w:trPr>
        <w:tc>
          <w:tcPr>
            <w:tcW w:w="1011"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982"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38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万股股权激励限售股解除限</w:t>
            </w:r>
          </w:p>
        </w:tc>
      </w:tr>
      <w:tr>
        <w:trPr>
          <w:trHeight w:val="312" w:hRule="exact"/>
        </w:trPr>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程昭霞</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70,000</w:t>
            </w:r>
          </w:p>
        </w:tc>
        <w:tc>
          <w:tcPr>
            <w:tcW w:w="98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70,000</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8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0"/>
                <w:sz w:val="18"/>
                <w:szCs w:val="18"/>
              </w:rPr>
              <w:t>售；</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万股股权激励限售股回购</w:t>
            </w:r>
          </w:p>
        </w:tc>
      </w:tr>
      <w:tr>
        <w:trPr>
          <w:trHeight w:val="353" w:hRule="exact"/>
        </w:trPr>
        <w:tc>
          <w:tcPr>
            <w:tcW w:w="1011"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982"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38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403" w:hRule="exact"/>
        </w:trPr>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54,610,000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41,945,000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11,380,000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24,045,000</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w:t>
            </w:r>
          </w:p>
        </w:tc>
        <w:tc>
          <w:tcPr>
            <w:tcW w:w="3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113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2"/>
        <w:gridCol w:w="1294"/>
        <w:gridCol w:w="1296"/>
        <w:gridCol w:w="1294"/>
        <w:gridCol w:w="1296"/>
        <w:gridCol w:w="1297"/>
        <w:gridCol w:w="1682"/>
      </w:tblGrid>
      <w:tr>
        <w:trPr>
          <w:trHeight w:val="713"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69"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股票期权行权</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9.25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1,129,800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1,129,800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r>
      <w:tr>
        <w:trPr>
          <w:trHeight w:val="404"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49"/>
        <w:ind w:right="1133"/>
        <w:jc w:val="left"/>
      </w:pPr>
      <w:r>
        <w:rPr/>
        <w:t>报告期内证券发行（不含优先股）情况的说明</w:t>
      </w:r>
    </w:p>
    <w:p>
      <w:pPr>
        <w:pStyle w:val="BodyText"/>
        <w:spacing w:line="300" w:lineRule="auto" w:before="117"/>
        <w:ind w:right="1128" w:firstLine="425"/>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日，公司董事会完成了</w:t>
      </w:r>
      <w:r>
        <w:rPr>
          <w:rFonts w:ascii="Times New Roman" w:hAnsi="Times New Roman" w:cs="Times New Roman" w:eastAsia="Times New Roman" w:hint="default"/>
        </w:rPr>
        <w:t>2015</w:t>
      </w:r>
      <w:r>
        <w:rPr/>
        <w:t>年第二期股权激励计划首次授予的股票期权第二个行权期自主行权登记工作， 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日起</w:t>
      </w:r>
      <w:r>
        <w:rPr>
          <w:rFonts w:ascii="Times New Roman" w:hAnsi="Times New Roman" w:cs="Times New Roman" w:eastAsia="Times New Roman" w:hint="default"/>
        </w:rPr>
        <w:t>9</w:t>
      </w:r>
      <w:r>
        <w:rPr/>
        <w:t>名激励对象共计</w:t>
      </w:r>
      <w:r>
        <w:rPr>
          <w:rFonts w:ascii="Times New Roman" w:hAnsi="Times New Roman" w:cs="Times New Roman" w:eastAsia="Times New Roman" w:hint="default"/>
        </w:rPr>
        <w:t>139.5</w:t>
      </w:r>
      <w:r>
        <w:rPr/>
        <w:t>万份股票期权自主行权事宜可实施，截止行权期限届满共有</w:t>
      </w:r>
      <w:r>
        <w:rPr>
          <w:rFonts w:ascii="Times New Roman" w:hAnsi="Times New Roman" w:cs="Times New Roman" w:eastAsia="Times New Roman" w:hint="default"/>
        </w:rPr>
        <w:t>112.98</w:t>
      </w:r>
      <w:r>
        <w:rPr/>
        <w:t>万份股票期权已</w:t>
      </w:r>
      <w:r>
        <w:rPr>
          <w:spacing w:val="-85"/>
        </w:rPr>
        <w:t> </w:t>
      </w:r>
      <w:r>
        <w:rPr>
          <w:spacing w:val="-85"/>
        </w:rPr>
      </w:r>
      <w:r>
        <w:rPr/>
        <w:t>经行权，公司新增</w:t>
      </w:r>
      <w:r>
        <w:rPr>
          <w:rFonts w:ascii="Times New Roman" w:hAnsi="Times New Roman" w:cs="Times New Roman" w:eastAsia="Times New Roman" w:hint="default"/>
        </w:rPr>
        <w:t>112.98</w:t>
      </w:r>
      <w:r>
        <w:rPr/>
        <w:t>万股无限售条件股份，公司总股本由</w:t>
      </w:r>
      <w:r>
        <w:rPr>
          <w:rFonts w:ascii="Times New Roman" w:hAnsi="Times New Roman" w:cs="Times New Roman" w:eastAsia="Times New Roman" w:hint="default"/>
        </w:rPr>
        <w:t>813,009,768</w:t>
      </w:r>
      <w:r>
        <w:rPr/>
        <w:t>股变更为</w:t>
      </w:r>
      <w:r>
        <w:rPr>
          <w:rFonts w:ascii="Times New Roman" w:hAnsi="Times New Roman" w:cs="Times New Roman" w:eastAsia="Times New Roman" w:hint="default"/>
        </w:rPr>
        <w:t>814,139,568</w:t>
      </w:r>
      <w:r>
        <w:rPr/>
        <w:t>股。</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4"/>
        <w:ind w:right="1034" w:firstLine="425"/>
        <w:jc w:val="left"/>
      </w:pPr>
      <w:r>
        <w:rPr>
          <w:rFonts w:ascii="Times New Roman" w:hAnsi="Times New Roman" w:cs="Times New Roman" w:eastAsia="Times New Roman" w:hint="default"/>
        </w:rPr>
        <w:t>1</w:t>
      </w:r>
      <w:r>
        <w:rPr/>
        <w:t>、经公司</w:t>
      </w:r>
      <w:r>
        <w:rPr>
          <w:rFonts w:ascii="Times New Roman" w:hAnsi="Times New Roman" w:cs="Times New Roman" w:eastAsia="Times New Roman" w:hint="default"/>
        </w:rPr>
        <w:t>2015</w:t>
      </w:r>
      <w:r>
        <w:rPr/>
        <w:t>年第五次临时股东大会、</w:t>
      </w:r>
      <w:r>
        <w:rPr>
          <w:rFonts w:ascii="Times New Roman" w:hAnsi="Times New Roman" w:cs="Times New Roman" w:eastAsia="Times New Roman" w:hint="default"/>
        </w:rPr>
        <w:t>2015</w:t>
      </w:r>
      <w:r>
        <w:rPr/>
        <w:t>年第六次临时股东大会授权和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日第六届董事会第十一次会议 审议，董事会同意对</w:t>
      </w:r>
      <w:r>
        <w:rPr>
          <w:rFonts w:ascii="Times New Roman" w:hAnsi="Times New Roman" w:cs="Times New Roman" w:eastAsia="Times New Roman" w:hint="default"/>
        </w:rPr>
        <w:t>2015</w:t>
      </w:r>
      <w:r>
        <w:rPr/>
        <w:t>年两期股权激励计划首次授予部分第三个解锁</w:t>
      </w:r>
      <w:r>
        <w:rPr>
          <w:rFonts w:ascii="Times New Roman" w:hAnsi="Times New Roman" w:cs="Times New Roman" w:eastAsia="Times New Roman" w:hint="default"/>
        </w:rPr>
        <w:t>/</w:t>
      </w:r>
      <w:r>
        <w:rPr/>
        <w:t>行权期和预留部分第二个解锁行权期由于业绩考核 未达标导致不能解锁</w:t>
      </w:r>
      <w:r>
        <w:rPr>
          <w:rFonts w:ascii="Times New Roman" w:hAnsi="Times New Roman" w:cs="Times New Roman" w:eastAsia="Times New Roman" w:hint="default"/>
        </w:rPr>
        <w:t>/</w:t>
      </w:r>
      <w:r>
        <w:rPr/>
        <w:t>行权的</w:t>
      </w:r>
      <w:r>
        <w:rPr>
          <w:rFonts w:ascii="Times New Roman" w:hAnsi="Times New Roman" w:cs="Times New Roman" w:eastAsia="Times New Roman" w:hint="default"/>
        </w:rPr>
        <w:t>758</w:t>
      </w:r>
      <w:r>
        <w:rPr/>
        <w:t>万股限制性股票和</w:t>
      </w:r>
      <w:r>
        <w:rPr>
          <w:rFonts w:ascii="Times New Roman" w:hAnsi="Times New Roman" w:cs="Times New Roman" w:eastAsia="Times New Roman" w:hint="default"/>
        </w:rPr>
        <w:t>246</w:t>
      </w:r>
      <w:r>
        <w:rPr/>
        <w:t>万份股票期权进行回购注销，本次回购注销事宜已于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日办</w:t>
      </w:r>
      <w:r>
        <w:rPr>
          <w:spacing w:val="-3"/>
        </w:rPr>
        <w:t> </w:t>
      </w:r>
      <w:r>
        <w:rPr/>
        <w:t>理完成，回购注销完成后公司总股本由</w:t>
      </w:r>
      <w:r>
        <w:rPr>
          <w:rFonts w:ascii="Times New Roman" w:hAnsi="Times New Roman" w:cs="Times New Roman" w:eastAsia="Times New Roman" w:hint="default"/>
        </w:rPr>
        <w:t>820,589,768</w:t>
      </w:r>
      <w:r>
        <w:rPr/>
        <w:t>股变更为</w:t>
      </w:r>
      <w:r>
        <w:rPr>
          <w:rFonts w:ascii="Times New Roman" w:hAnsi="Times New Roman" w:cs="Times New Roman" w:eastAsia="Times New Roman" w:hint="default"/>
        </w:rPr>
        <w:t>813,009,768</w:t>
      </w:r>
      <w:r>
        <w:rPr/>
        <w:t>股，公司股东结构、资产和负债结构发生相应变动。</w:t>
      </w:r>
    </w:p>
    <w:p>
      <w:pPr>
        <w:pStyle w:val="BodyText"/>
        <w:spacing w:line="300" w:lineRule="auto" w:before="13"/>
        <w:ind w:right="1034" w:firstLine="425"/>
        <w:jc w:val="left"/>
      </w:pPr>
      <w:r>
        <w:rPr>
          <w:rFonts w:ascii="Times New Roman" w:hAnsi="Times New Roman" w:cs="Times New Roman" w:eastAsia="Times New Roman" w:hint="default"/>
        </w:rPr>
        <w:t>2</w:t>
      </w:r>
      <w:r>
        <w:rPr/>
        <w:t>、经公司</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年第六次临时股东大会授权、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日第六届董事会第十四次会议审议，董事会同意按照</w:t>
      </w:r>
      <w:r>
        <w:rPr>
          <w:rFonts w:ascii="Times New Roman" w:hAnsi="Times New Roman" w:cs="Times New Roman" w:eastAsia="Times New Roman" w:hint="default"/>
        </w:rPr>
        <w:t>2015</w:t>
      </w:r>
      <w:r>
        <w:rPr/>
        <w:t>年 第二期股权激励计划的相关规定为激励对象办理行权事宜，</w:t>
      </w:r>
      <w:r>
        <w:rPr>
          <w:spacing w:val="-18"/>
        </w:rPr>
        <w:t> </w:t>
      </w:r>
      <w:r>
        <w:rPr/>
        <w:t>并且同意公司</w:t>
      </w:r>
      <w:r>
        <w:rPr>
          <w:rFonts w:ascii="Times New Roman" w:hAnsi="Times New Roman" w:cs="Times New Roman" w:eastAsia="Times New Roman" w:hint="default"/>
        </w:rPr>
        <w:t>2015</w:t>
      </w:r>
      <w:r>
        <w:rPr/>
        <w:t>年第二期股权激励计划首次授予的股票期权 </w:t>
      </w:r>
      <w:r>
        <w:rPr>
          <w:spacing w:val="-2"/>
        </w:rPr>
        <w:t>第二个行权期采用自主行权模式。公司于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5</w:t>
      </w:r>
      <w:r>
        <w:rPr>
          <w:spacing w:val="-2"/>
        </w:rPr>
        <w:t>日完成了</w:t>
      </w:r>
      <w:r>
        <w:rPr>
          <w:rFonts w:ascii="Times New Roman" w:hAnsi="Times New Roman" w:cs="Times New Roman" w:eastAsia="Times New Roman" w:hint="default"/>
          <w:spacing w:val="-2"/>
        </w:rPr>
        <w:t>2015</w:t>
      </w:r>
      <w:r>
        <w:rPr>
          <w:spacing w:val="-2"/>
        </w:rPr>
        <w:t>年第二期股权激励计划首次授予的股票期权第二个行权期</w:t>
      </w:r>
      <w:r>
        <w:rPr>
          <w:spacing w:val="-59"/>
        </w:rPr>
        <w:t> </w:t>
      </w:r>
      <w:r>
        <w:rPr>
          <w:spacing w:val="-59"/>
        </w:rPr>
      </w:r>
      <w:r>
        <w:rPr>
          <w:spacing w:val="-3"/>
        </w:rPr>
        <w:t>自主行权登记工作，激励对象自</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7</w:t>
      </w:r>
      <w:r>
        <w:rPr>
          <w:spacing w:val="-3"/>
        </w:rPr>
        <w:t>日起可实施自主行权事宜。截止行权期限届满共有</w:t>
      </w:r>
      <w:r>
        <w:rPr>
          <w:rFonts w:ascii="Times New Roman" w:hAnsi="Times New Roman" w:cs="Times New Roman" w:eastAsia="Times New Roman" w:hint="default"/>
          <w:spacing w:val="-3"/>
        </w:rPr>
        <w:t>112.98</w:t>
      </w:r>
      <w:r>
        <w:rPr>
          <w:spacing w:val="-3"/>
        </w:rPr>
        <w:t>万份股票期权已经行权，</w:t>
      </w:r>
      <w:r>
        <w:rPr>
          <w:spacing w:val="-39"/>
        </w:rPr>
        <w:t> </w:t>
      </w:r>
      <w:r>
        <w:rPr>
          <w:spacing w:val="-39"/>
        </w:rPr>
      </w:r>
      <w:r>
        <w:rPr/>
        <w:t>公司新增</w:t>
      </w:r>
      <w:r>
        <w:rPr>
          <w:rFonts w:ascii="Times New Roman" w:hAnsi="Times New Roman" w:cs="Times New Roman" w:eastAsia="Times New Roman" w:hint="default"/>
        </w:rPr>
        <w:t>112.98</w:t>
      </w:r>
      <w:r>
        <w:rPr/>
        <w:t>万股无限售条件股份，公司总股本由</w:t>
      </w:r>
      <w:r>
        <w:rPr>
          <w:rFonts w:ascii="Times New Roman" w:hAnsi="Times New Roman" w:cs="Times New Roman" w:eastAsia="Times New Roman" w:hint="default"/>
        </w:rPr>
        <w:t>813,009,768</w:t>
      </w:r>
      <w:r>
        <w:rPr/>
        <w:t>股变更为</w:t>
      </w:r>
      <w:r>
        <w:rPr>
          <w:rFonts w:ascii="Times New Roman" w:hAnsi="Times New Roman" w:cs="Times New Roman" w:eastAsia="Times New Roman" w:hint="default"/>
        </w:rPr>
        <w:t>814,139,568</w:t>
      </w:r>
      <w:r>
        <w:rPr/>
        <w:t>股，公司股东结构、资产和负债结构发 生相应变动。</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三、股东和实际控制人情况</w:t>
      </w:r>
      <w:r>
        <w:rPr>
          <w:b w:val="0"/>
          <w:bCs w:val="0"/>
        </w:rPr>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b/>
          <w:bCs/>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shape style="position:absolute;margin-left:511.540009pt;margin-top:55.071728pt;width:23.4pt;height:15.6pt;mso-position-horizontal-relative:page;mso-position-vertical-relative:paragraph;z-index:-1196800" type="#_x0000_t202" filled="false" stroked="false">
            <v:textbox inset="0,0,0,0">
              <w:txbxContent>
                <w:p>
                  <w:pPr>
                    <w:pStyle w:val="BodyText"/>
                    <w:spacing w:line="203" w:lineRule="exact"/>
                    <w:ind w:left="0" w:right="0"/>
                    <w:jc w:val="left"/>
                  </w:pPr>
                  <w:r>
                    <w:rPr/>
                    <w:t>）</w:t>
                  </w:r>
                </w:p>
              </w:txbxContent>
            </v:textbox>
            <w10:wrap type="none"/>
          </v:shape>
        </w:pict>
      </w:r>
      <w:r>
        <w:rPr/>
        <w:pict>
          <v:group style="position:absolute;margin-left:390.190002pt;margin-top:34.851730pt;width:24pt;height:20.8pt;mso-position-horizontal-relative:page;mso-position-vertical-relative:paragraph;z-index:-1196776" coordorigin="7804,697" coordsize="480,416">
            <v:group style="position:absolute;left:7815;top:708;width:2;height:394" coordorigin="7815,708" coordsize="2,394">
              <v:shape style="position:absolute;left:7815;top:708;width:2;height:394" coordorigin="7815,708" coordsize="0,394" path="m7815,708l7815,1101e" filled="false" stroked="true" strokeweight="1.08pt" strokecolor="#ffffff">
                <v:path arrowok="t"/>
              </v:shape>
            </v:group>
            <v:group style="position:absolute;left:7825;top:708;width:459;height:394" coordorigin="7825,708" coordsize="459,394">
              <v:shape style="position:absolute;left:7825;top:708;width:459;height:394" coordorigin="7825,708" coordsize="459,394" path="m7825,1101l8284,1101,8284,708,7825,708,7825,1101xe" filled="true" fillcolor="#ffffff" stroked="false">
                <v:path arrowok="t"/>
                <v:fill type="solid"/>
              </v:shape>
            </v:group>
            <w10:wrap type="none"/>
          </v:group>
        </w:pict>
      </w:r>
      <w:r>
        <w:rPr/>
        <w:pict>
          <v:group style="position:absolute;margin-left:517.780029pt;margin-top:55.071728pt;width:17.2pt;height:15.6pt;mso-position-horizontal-relative:page;mso-position-vertical-relative:paragraph;z-index:-1196752" coordorigin="10356,1101" coordsize="344,312">
            <v:shape style="position:absolute;left:10356;top:1101;width:344;height:312" coordorigin="10356,1101" coordsize="344,312" path="m10356,1413l10699,1413,10699,1101,10356,1101,10356,1413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85"/>
        <w:gridCol w:w="659"/>
        <w:gridCol w:w="295"/>
        <w:gridCol w:w="1124"/>
        <w:gridCol w:w="566"/>
        <w:gridCol w:w="142"/>
        <w:gridCol w:w="131"/>
        <w:gridCol w:w="695"/>
        <w:gridCol w:w="168"/>
        <w:gridCol w:w="992"/>
        <w:gridCol w:w="697"/>
        <w:gridCol w:w="192"/>
        <w:gridCol w:w="344"/>
        <w:gridCol w:w="610"/>
        <w:gridCol w:w="422"/>
        <w:gridCol w:w="427"/>
        <w:gridCol w:w="556"/>
        <w:gridCol w:w="366"/>
      </w:tblGrid>
      <w:tr>
        <w:trPr>
          <w:trHeight w:val="161" w:hRule="exact"/>
        </w:trPr>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95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50,431</w:t>
            </w:r>
          </w:p>
        </w:tc>
        <w:tc>
          <w:tcPr>
            <w:tcW w:w="1963"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95" w:type="dxa"/>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49,317</w:t>
            </w:r>
          </w:p>
        </w:tc>
        <w:tc>
          <w:tcPr>
            <w:tcW w:w="185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33"/>
              <w:jc w:val="left"/>
              <w:rPr>
                <w:rFonts w:ascii="宋体" w:hAnsi="宋体" w:cs="宋体" w:eastAsia="宋体" w:hint="default"/>
                <w:sz w:val="18"/>
                <w:szCs w:val="18"/>
              </w:rPr>
            </w:pPr>
            <w:r>
              <w:rPr>
                <w:rFonts w:ascii="宋体" w:hAnsi="宋体" w:cs="宋体" w:eastAsia="宋体" w:hint="default"/>
                <w:sz w:val="18"/>
                <w:szCs w:val="18"/>
              </w:rPr>
              <w:t>报告期末表决权恢复的 </w:t>
            </w:r>
            <w:r>
              <w:rPr>
                <w:rFonts w:ascii="宋体" w:hAnsi="宋体" w:cs="宋体" w:eastAsia="宋体" w:hint="default"/>
                <w:spacing w:val="-7"/>
                <w:sz w:val="18"/>
                <w:szCs w:val="18"/>
              </w:rPr>
              <w:t>优先股股东总数（如有</w:t>
            </w:r>
          </w:p>
          <w:p>
            <w:pPr>
              <w:pStyle w:val="TableParagraph"/>
              <w:spacing w:line="240" w:lineRule="auto" w:before="19"/>
              <w:ind w:left="1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536"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tabs>
                <w:tab w:pos="392" w:val="left" w:leader="none"/>
              </w:tabs>
              <w:spacing w:line="240" w:lineRule="auto" w:before="125"/>
              <w:ind w:left="-1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w:t>
            </w:r>
          </w:p>
        </w:tc>
        <w:tc>
          <w:tcPr>
            <w:tcW w:w="2015"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11"/>
              <w:jc w:val="both"/>
              <w:rPr>
                <w:rFonts w:ascii="Times New Roman" w:hAnsi="Times New Roman" w:cs="Times New Roman" w:eastAsia="Times New Roman" w:hint="default"/>
                <w:sz w:val="18"/>
                <w:szCs w:val="18"/>
              </w:rPr>
            </w:pPr>
            <w:r>
              <w:rPr>
                <w:rFonts w:ascii="宋体" w:hAnsi="宋体" w:cs="宋体" w:eastAsia="宋体" w:hint="default"/>
                <w:sz w:val="18"/>
                <w:szCs w:val="18"/>
              </w:rPr>
              <w:t>年度报告披露日前上一月 末表决权恢复的优先股股 </w:t>
            </w:r>
            <w:r>
              <w:rPr>
                <w:rFonts w:ascii="宋体" w:hAnsi="宋体" w:cs="宋体" w:eastAsia="宋体" w:hint="default"/>
                <w:spacing w:val="-21"/>
                <w:sz w:val="18"/>
                <w:szCs w:val="18"/>
              </w:rPr>
              <w:t>东总数（如有）（参见注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p>
        </w:tc>
        <w:tc>
          <w:tcPr>
            <w:tcW w:w="36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06" w:hRule="exact"/>
        </w:trPr>
        <w:tc>
          <w:tcPr>
            <w:tcW w:w="1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954" w:type="dxa"/>
            <w:gridSpan w:val="2"/>
            <w:vMerge/>
            <w:tcBorders>
              <w:left w:val="single" w:sz="9" w:space="0" w:color="D2D2D2"/>
              <w:right w:val="single" w:sz="9" w:space="0" w:color="D2D2D2"/>
            </w:tcBorders>
          </w:tcPr>
          <w:p>
            <w:pPr/>
          </w:p>
        </w:tc>
        <w:tc>
          <w:tcPr>
            <w:tcW w:w="1963"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1" w:right="138"/>
              <w:jc w:val="left"/>
              <w:rPr>
                <w:rFonts w:ascii="宋体" w:hAnsi="宋体" w:cs="宋体" w:eastAsia="宋体" w:hint="default"/>
                <w:sz w:val="18"/>
                <w:szCs w:val="18"/>
              </w:rPr>
            </w:pPr>
            <w:r>
              <w:rPr>
                <w:rFonts w:ascii="宋体" w:hAnsi="宋体" w:cs="宋体" w:eastAsia="宋体" w:hint="default"/>
                <w:sz w:val="18"/>
                <w:szCs w:val="18"/>
              </w:rPr>
              <w:t>年度报告披露日前上一 月末普通股股东总数</w:t>
            </w:r>
          </w:p>
        </w:tc>
        <w:tc>
          <w:tcPr>
            <w:tcW w:w="695" w:type="dxa"/>
            <w:vMerge/>
            <w:tcBorders>
              <w:left w:val="single" w:sz="9" w:space="0" w:color="D2D2D2"/>
              <w:right w:val="single" w:sz="10" w:space="0" w:color="D2D2D2"/>
            </w:tcBorders>
          </w:tcPr>
          <w:p>
            <w:pPr/>
          </w:p>
        </w:tc>
        <w:tc>
          <w:tcPr>
            <w:tcW w:w="1857" w:type="dxa"/>
            <w:gridSpan w:val="3"/>
            <w:vMerge/>
            <w:tcBorders>
              <w:left w:val="single" w:sz="4" w:space="0" w:color="000000"/>
              <w:right w:val="single" w:sz="4" w:space="0" w:color="000000"/>
            </w:tcBorders>
            <w:shd w:val="clear" w:color="auto" w:fill="D2D2D2"/>
          </w:tcPr>
          <w:p>
            <w:pPr/>
          </w:p>
        </w:tc>
        <w:tc>
          <w:tcPr>
            <w:tcW w:w="536" w:type="dxa"/>
            <w:gridSpan w:val="2"/>
            <w:vMerge/>
            <w:tcBorders>
              <w:left w:val="single" w:sz="10" w:space="0" w:color="D2D2D2"/>
              <w:right w:val="single" w:sz="13" w:space="0" w:color="D2D2D2"/>
            </w:tcBorders>
          </w:tcPr>
          <w:p>
            <w:pPr/>
          </w:p>
        </w:tc>
        <w:tc>
          <w:tcPr>
            <w:tcW w:w="2015" w:type="dxa"/>
            <w:gridSpan w:val="4"/>
            <w:vMerge/>
            <w:tcBorders>
              <w:left w:val="single" w:sz="4" w:space="0" w:color="000000"/>
              <w:right w:val="single" w:sz="4" w:space="0" w:color="000000"/>
            </w:tcBorders>
            <w:shd w:val="clear" w:color="auto" w:fill="D2D2D2"/>
          </w:tcPr>
          <w:p>
            <w:pPr/>
          </w:p>
        </w:tc>
        <w:tc>
          <w:tcPr>
            <w:tcW w:w="366" w:type="dxa"/>
            <w:vMerge/>
            <w:tcBorders>
              <w:left w:val="single" w:sz="10" w:space="0" w:color="D2D2D2"/>
              <w:right w:val="single" w:sz="4" w:space="0" w:color="000000"/>
            </w:tcBorders>
          </w:tcPr>
          <w:p>
            <w:pPr/>
          </w:p>
        </w:tc>
      </w:tr>
      <w:tr>
        <w:trPr>
          <w:trHeight w:val="166" w:hRule="exact"/>
        </w:trPr>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954" w:type="dxa"/>
            <w:gridSpan w:val="2"/>
            <w:vMerge/>
            <w:tcBorders>
              <w:left w:val="single" w:sz="9" w:space="0" w:color="D2D2D2"/>
              <w:bottom w:val="single" w:sz="4" w:space="0" w:color="000000"/>
              <w:right w:val="single" w:sz="9" w:space="0" w:color="D2D2D2"/>
            </w:tcBorders>
          </w:tcPr>
          <w:p>
            <w:pPr/>
          </w:p>
        </w:tc>
        <w:tc>
          <w:tcPr>
            <w:tcW w:w="1963"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95" w:type="dxa"/>
            <w:vMerge/>
            <w:tcBorders>
              <w:left w:val="single" w:sz="9" w:space="0" w:color="D2D2D2"/>
              <w:bottom w:val="single" w:sz="4" w:space="0" w:color="000000"/>
              <w:right w:val="single" w:sz="10" w:space="0" w:color="D2D2D2"/>
            </w:tcBorders>
          </w:tcPr>
          <w:p>
            <w:pPr/>
          </w:p>
        </w:tc>
        <w:tc>
          <w:tcPr>
            <w:tcW w:w="1857" w:type="dxa"/>
            <w:gridSpan w:val="3"/>
            <w:vMerge/>
            <w:tcBorders>
              <w:left w:val="single" w:sz="4" w:space="0" w:color="000000"/>
              <w:bottom w:val="single" w:sz="4" w:space="0" w:color="000000"/>
              <w:right w:val="single" w:sz="4" w:space="0" w:color="000000"/>
            </w:tcBorders>
            <w:shd w:val="clear" w:color="auto" w:fill="D2D2D2"/>
          </w:tcPr>
          <w:p>
            <w:pPr/>
          </w:p>
        </w:tc>
        <w:tc>
          <w:tcPr>
            <w:tcW w:w="536" w:type="dxa"/>
            <w:gridSpan w:val="2"/>
            <w:vMerge/>
            <w:tcBorders>
              <w:left w:val="single" w:sz="10" w:space="0" w:color="D2D2D2"/>
              <w:bottom w:val="single" w:sz="4" w:space="0" w:color="000000"/>
              <w:right w:val="single" w:sz="13" w:space="0" w:color="D2D2D2"/>
            </w:tcBorders>
          </w:tcPr>
          <w:p>
            <w:pPr/>
          </w:p>
        </w:tc>
        <w:tc>
          <w:tcPr>
            <w:tcW w:w="2015" w:type="dxa"/>
            <w:gridSpan w:val="4"/>
            <w:vMerge/>
            <w:tcBorders>
              <w:left w:val="single" w:sz="4" w:space="0" w:color="000000"/>
              <w:bottom w:val="single" w:sz="4" w:space="0" w:color="000000"/>
              <w:right w:val="single" w:sz="4" w:space="0" w:color="000000"/>
            </w:tcBorders>
            <w:shd w:val="clear" w:color="auto" w:fill="D2D2D2"/>
          </w:tcPr>
          <w:p>
            <w:pPr/>
          </w:p>
        </w:tc>
        <w:tc>
          <w:tcPr>
            <w:tcW w:w="366" w:type="dxa"/>
            <w:vMerge/>
            <w:tcBorders>
              <w:left w:val="single" w:sz="10" w:space="0" w:color="D2D2D2"/>
              <w:bottom w:val="single" w:sz="4" w:space="0" w:color="000000"/>
              <w:right w:val="single" w:sz="4" w:space="0" w:color="000000"/>
            </w:tcBorders>
          </w:tcPr>
          <w:p>
            <w:pPr/>
          </w:p>
        </w:tc>
      </w:tr>
      <w:tr>
        <w:trPr>
          <w:trHeight w:val="391" w:hRule="exact"/>
        </w:trPr>
        <w:tc>
          <w:tcPr>
            <w:tcW w:w="9571" w:type="dxa"/>
            <w:gridSpan w:val="1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844" w:type="dxa"/>
            <w:gridSpan w:val="2"/>
            <w:vMerge w:val="restart"/>
            <w:tcBorders>
              <w:top w:val="single" w:sz="4" w:space="0" w:color="000000"/>
              <w:left w:val="single" w:sz="4" w:space="0" w:color="000000"/>
              <w:right w:val="single" w:sz="4" w:space="0" w:color="000000"/>
            </w:tcBorders>
            <w:shd w:val="clear" w:color="auto" w:fill="D2D2D2"/>
          </w:tcPr>
          <w:p>
            <w:pPr/>
          </w:p>
        </w:tc>
        <w:tc>
          <w:tcPr>
            <w:tcW w:w="1419" w:type="dxa"/>
            <w:gridSpan w:val="2"/>
            <w:vMerge w:val="restart"/>
            <w:tcBorders>
              <w:top w:val="single" w:sz="4" w:space="0" w:color="000000"/>
              <w:left w:val="single" w:sz="4" w:space="0" w:color="000000"/>
              <w:right w:val="single" w:sz="4" w:space="0" w:color="000000"/>
            </w:tcBorders>
            <w:shd w:val="clear" w:color="auto" w:fill="D2D2D2"/>
          </w:tcPr>
          <w:p>
            <w:pPr/>
          </w:p>
        </w:tc>
        <w:tc>
          <w:tcPr>
            <w:tcW w:w="70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8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0" w:right="9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7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844" w:type="dxa"/>
            <w:gridSpan w:val="2"/>
            <w:vMerge/>
            <w:tcBorders>
              <w:left w:val="single" w:sz="4" w:space="0" w:color="000000"/>
              <w:bottom w:val="nil" w:sz="6" w:space="0" w:color="auto"/>
              <w:right w:val="single" w:sz="4" w:space="0" w:color="000000"/>
            </w:tcBorders>
            <w:shd w:val="clear" w:color="auto" w:fill="D2D2D2"/>
          </w:tcPr>
          <w:p>
            <w:pPr/>
          </w:p>
        </w:tc>
        <w:tc>
          <w:tcPr>
            <w:tcW w:w="1419" w:type="dxa"/>
            <w:gridSpan w:val="2"/>
            <w:vMerge/>
            <w:tcBorders>
              <w:left w:val="single" w:sz="4" w:space="0" w:color="000000"/>
              <w:bottom w:val="nil" w:sz="6" w:space="0" w:color="auto"/>
              <w:right w:val="single" w:sz="4" w:space="0" w:color="000000"/>
            </w:tcBorders>
            <w:shd w:val="clear" w:color="auto" w:fill="D2D2D2"/>
          </w:tcPr>
          <w:p>
            <w:pPr/>
          </w:p>
        </w:tc>
        <w:tc>
          <w:tcPr>
            <w:tcW w:w="70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94"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0"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0" w:right="3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889" w:type="dxa"/>
            <w:gridSpan w:val="2"/>
            <w:vMerge/>
            <w:tcBorders>
              <w:left w:val="single" w:sz="4" w:space="0" w:color="000000"/>
              <w:right w:val="single" w:sz="4" w:space="0" w:color="000000"/>
            </w:tcBorders>
            <w:shd w:val="clear" w:color="auto" w:fill="D2D2D2"/>
          </w:tcPr>
          <w:p>
            <w:pPr/>
          </w:p>
        </w:tc>
        <w:tc>
          <w:tcPr>
            <w:tcW w:w="955" w:type="dxa"/>
            <w:gridSpan w:val="2"/>
            <w:vMerge/>
            <w:tcBorders>
              <w:left w:val="single" w:sz="4" w:space="0" w:color="000000"/>
              <w:right w:val="single" w:sz="4" w:space="0" w:color="000000"/>
            </w:tcBorders>
            <w:shd w:val="clear" w:color="auto" w:fill="D2D2D2"/>
          </w:tcPr>
          <w:p>
            <w:pPr/>
          </w:p>
        </w:tc>
        <w:tc>
          <w:tcPr>
            <w:tcW w:w="1771" w:type="dxa"/>
            <w:gridSpan w:val="4"/>
            <w:vMerge/>
            <w:tcBorders>
              <w:left w:val="single" w:sz="4" w:space="0" w:color="000000"/>
              <w:right w:val="single" w:sz="4" w:space="0" w:color="000000"/>
            </w:tcBorders>
            <w:shd w:val="clear" w:color="auto" w:fill="D2D2D2"/>
          </w:tcPr>
          <w:p>
            <w:pPr/>
          </w:p>
        </w:tc>
      </w:tr>
      <w:tr>
        <w:trPr>
          <w:trHeight w:val="142" w:hRule="exact"/>
        </w:trPr>
        <w:tc>
          <w:tcPr>
            <w:tcW w:w="184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8" w:type="dxa"/>
            <w:gridSpan w:val="2"/>
            <w:vMerge/>
            <w:tcBorders>
              <w:left w:val="single" w:sz="4" w:space="0" w:color="000000"/>
              <w:right w:val="single" w:sz="4" w:space="0" w:color="000000"/>
            </w:tcBorders>
            <w:shd w:val="clear" w:color="auto" w:fill="D2D2D2"/>
          </w:tcPr>
          <w:p>
            <w:pPr/>
          </w:p>
        </w:tc>
        <w:tc>
          <w:tcPr>
            <w:tcW w:w="994" w:type="dxa"/>
            <w:gridSpan w:val="3"/>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89" w:type="dxa"/>
            <w:gridSpan w:val="2"/>
            <w:vMerge/>
            <w:tcBorders>
              <w:left w:val="single" w:sz="4" w:space="0" w:color="000000"/>
              <w:right w:val="single" w:sz="4" w:space="0" w:color="000000"/>
            </w:tcBorders>
            <w:shd w:val="clear" w:color="auto" w:fill="D2D2D2"/>
          </w:tcPr>
          <w:p>
            <w:pPr/>
          </w:p>
        </w:tc>
        <w:tc>
          <w:tcPr>
            <w:tcW w:w="955" w:type="dxa"/>
            <w:gridSpan w:val="2"/>
            <w:vMerge/>
            <w:tcBorders>
              <w:left w:val="single" w:sz="4" w:space="0" w:color="000000"/>
              <w:right w:val="single" w:sz="4" w:space="0" w:color="000000"/>
            </w:tcBorders>
            <w:shd w:val="clear" w:color="auto" w:fill="D2D2D2"/>
          </w:tcPr>
          <w:p>
            <w:pPr/>
          </w:p>
        </w:tc>
        <w:tc>
          <w:tcPr>
            <w:tcW w:w="1771"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844" w:type="dxa"/>
            <w:gridSpan w:val="2"/>
            <w:vMerge/>
            <w:tcBorders>
              <w:left w:val="single" w:sz="4" w:space="0" w:color="000000"/>
              <w:bottom w:val="nil" w:sz="6" w:space="0" w:color="auto"/>
              <w:right w:val="single" w:sz="4" w:space="0" w:color="000000"/>
            </w:tcBorders>
            <w:shd w:val="clear" w:color="auto" w:fill="D2D2D2"/>
          </w:tcPr>
          <w:p>
            <w:pPr/>
          </w:p>
        </w:tc>
        <w:tc>
          <w:tcPr>
            <w:tcW w:w="1419" w:type="dxa"/>
            <w:gridSpan w:val="2"/>
            <w:vMerge/>
            <w:tcBorders>
              <w:left w:val="single" w:sz="4" w:space="0" w:color="000000"/>
              <w:bottom w:val="nil" w:sz="6" w:space="0" w:color="auto"/>
              <w:right w:val="single" w:sz="4" w:space="0" w:color="000000"/>
            </w:tcBorders>
            <w:shd w:val="clear" w:color="auto" w:fill="D2D2D2"/>
          </w:tcPr>
          <w:p>
            <w:pPr/>
          </w:p>
        </w:tc>
        <w:tc>
          <w:tcPr>
            <w:tcW w:w="708" w:type="dxa"/>
            <w:gridSpan w:val="2"/>
            <w:vMerge/>
            <w:tcBorders>
              <w:left w:val="single" w:sz="4" w:space="0" w:color="000000"/>
              <w:right w:val="single" w:sz="4" w:space="0" w:color="000000"/>
            </w:tcBorders>
            <w:shd w:val="clear" w:color="auto" w:fill="D2D2D2"/>
          </w:tcPr>
          <w:p>
            <w:pPr/>
          </w:p>
        </w:tc>
        <w:tc>
          <w:tcPr>
            <w:tcW w:w="994" w:type="dxa"/>
            <w:gridSpan w:val="3"/>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89" w:type="dxa"/>
            <w:gridSpan w:val="2"/>
            <w:vMerge/>
            <w:tcBorders>
              <w:left w:val="single" w:sz="4" w:space="0" w:color="000000"/>
              <w:right w:val="single" w:sz="4" w:space="0" w:color="000000"/>
            </w:tcBorders>
            <w:shd w:val="clear" w:color="auto" w:fill="D2D2D2"/>
          </w:tcPr>
          <w:p>
            <w:pPr/>
          </w:p>
        </w:tc>
        <w:tc>
          <w:tcPr>
            <w:tcW w:w="955" w:type="dxa"/>
            <w:gridSpan w:val="2"/>
            <w:vMerge/>
            <w:tcBorders>
              <w:left w:val="single" w:sz="4" w:space="0" w:color="000000"/>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27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844" w:type="dxa"/>
            <w:gridSpan w:val="2"/>
            <w:vMerge w:val="restart"/>
            <w:tcBorders>
              <w:top w:val="nil" w:sz="6" w:space="0" w:color="auto"/>
              <w:left w:val="single" w:sz="4" w:space="0" w:color="000000"/>
              <w:right w:val="single" w:sz="4" w:space="0" w:color="000000"/>
            </w:tcBorders>
            <w:shd w:val="clear" w:color="auto" w:fill="D2D2D2"/>
          </w:tcPr>
          <w:p>
            <w:pPr/>
          </w:p>
        </w:tc>
        <w:tc>
          <w:tcPr>
            <w:tcW w:w="1419" w:type="dxa"/>
            <w:gridSpan w:val="2"/>
            <w:vMerge w:val="restart"/>
            <w:tcBorders>
              <w:top w:val="nil" w:sz="6" w:space="0" w:color="auto"/>
              <w:left w:val="single" w:sz="4" w:space="0" w:color="000000"/>
              <w:right w:val="single" w:sz="4" w:space="0" w:color="000000"/>
            </w:tcBorders>
            <w:shd w:val="clear" w:color="auto" w:fill="D2D2D2"/>
          </w:tcPr>
          <w:p>
            <w:pPr/>
          </w:p>
        </w:tc>
        <w:tc>
          <w:tcPr>
            <w:tcW w:w="708" w:type="dxa"/>
            <w:gridSpan w:val="2"/>
            <w:vMerge/>
            <w:tcBorders>
              <w:left w:val="single" w:sz="4" w:space="0" w:color="000000"/>
              <w:bottom w:val="nil" w:sz="6" w:space="0" w:color="auto"/>
              <w:right w:val="single" w:sz="4" w:space="0" w:color="000000"/>
            </w:tcBorders>
            <w:shd w:val="clear" w:color="auto" w:fill="D2D2D2"/>
          </w:tcPr>
          <w:p>
            <w:pPr/>
          </w:p>
        </w:tc>
        <w:tc>
          <w:tcPr>
            <w:tcW w:w="994" w:type="dxa"/>
            <w:gridSpan w:val="3"/>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889" w:type="dxa"/>
            <w:gridSpan w:val="2"/>
            <w:vMerge/>
            <w:tcBorders>
              <w:left w:val="single" w:sz="4" w:space="0" w:color="000000"/>
              <w:right w:val="single" w:sz="4" w:space="0" w:color="000000"/>
            </w:tcBorders>
            <w:shd w:val="clear" w:color="auto" w:fill="D2D2D2"/>
          </w:tcPr>
          <w:p>
            <w:pPr/>
          </w:p>
        </w:tc>
        <w:tc>
          <w:tcPr>
            <w:tcW w:w="955"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922" w:type="dxa"/>
            <w:gridSpan w:val="2"/>
            <w:vMerge/>
            <w:tcBorders>
              <w:left w:val="single" w:sz="4" w:space="0" w:color="000000"/>
              <w:right w:val="single" w:sz="4" w:space="0" w:color="000000"/>
            </w:tcBorders>
            <w:shd w:val="clear" w:color="auto" w:fill="D2D2D2"/>
          </w:tcPr>
          <w:p>
            <w:pPr/>
          </w:p>
        </w:tc>
      </w:tr>
      <w:tr>
        <w:trPr>
          <w:trHeight w:val="161" w:hRule="exact"/>
        </w:trPr>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419" w:type="dxa"/>
            <w:gridSpan w:val="2"/>
            <w:vMerge/>
            <w:tcBorders>
              <w:left w:val="single" w:sz="4" w:space="0" w:color="000000"/>
              <w:bottom w:val="single" w:sz="4" w:space="0" w:color="000000"/>
              <w:right w:val="single" w:sz="4" w:space="0" w:color="000000"/>
            </w:tcBorders>
            <w:shd w:val="clear" w:color="auto" w:fill="D2D2D2"/>
          </w:tcPr>
          <w:p>
            <w:pPr/>
          </w:p>
        </w:tc>
        <w:tc>
          <w:tcPr>
            <w:tcW w:w="70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889" w:type="dxa"/>
            <w:gridSpan w:val="2"/>
            <w:vMerge/>
            <w:tcBorders>
              <w:left w:val="single" w:sz="4" w:space="0" w:color="000000"/>
              <w:bottom w:val="single" w:sz="4" w:space="0" w:color="000000"/>
              <w:right w:val="single" w:sz="4" w:space="0" w:color="000000"/>
            </w:tcBorders>
            <w:shd w:val="clear" w:color="auto" w:fill="D2D2D2"/>
          </w:tcPr>
          <w:p>
            <w:pPr/>
          </w:p>
        </w:tc>
        <w:tc>
          <w:tcPr>
            <w:tcW w:w="955" w:type="dxa"/>
            <w:gridSpan w:val="2"/>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922" w:type="dxa"/>
            <w:gridSpan w:val="2"/>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共青城信中利宝信投 资合伙企业（有限合 伙）</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12.89%</w:t>
            </w:r>
          </w:p>
        </w:tc>
        <w:tc>
          <w:tcPr>
            <w:tcW w:w="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104,929,778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104,929,778</w:t>
            </w:r>
          </w:p>
        </w:tc>
        <w:tc>
          <w:tcPr>
            <w:tcW w:w="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z w:val="18"/>
              </w:rPr>
              <w:t>0</w:t>
            </w: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104,929,778</w:t>
            </w:r>
          </w:p>
        </w:tc>
        <w:tc>
          <w:tcPr>
            <w:tcW w:w="850" w:type="dxa"/>
            <w:gridSpan w:val="2"/>
            <w:tcBorders>
              <w:top w:val="single" w:sz="49" w:space="0" w:color="D2D2D2"/>
              <w:left w:val="single" w:sz="4" w:space="0" w:color="000000"/>
              <w:bottom w:val="single" w:sz="4" w:space="0" w:color="000000"/>
              <w:right w:val="single" w:sz="4" w:space="0" w:color="000000"/>
            </w:tcBorders>
          </w:tcPr>
          <w:p>
            <w:pPr/>
          </w:p>
        </w:tc>
        <w:tc>
          <w:tcPr>
            <w:tcW w:w="922" w:type="dxa"/>
            <w:gridSpan w:val="2"/>
            <w:tcBorders>
              <w:top w:val="single" w:sz="49" w:space="0" w:color="D2D2D2"/>
              <w:left w:val="single" w:sz="4" w:space="0" w:color="000000"/>
              <w:bottom w:val="single" w:sz="4" w:space="0" w:color="000000"/>
              <w:right w:val="single" w:sz="4" w:space="0" w:color="000000"/>
            </w:tcBorders>
          </w:tcPr>
          <w:p>
            <w:pPr/>
          </w:p>
        </w:tc>
      </w:tr>
      <w:tr>
        <w:trPr>
          <w:trHeight w:val="715"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中驰惠程企业管理有 限公司</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10.39%</w:t>
            </w:r>
          </w:p>
        </w:tc>
        <w:tc>
          <w:tcPr>
            <w:tcW w:w="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84,557,366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2,326,411</w:t>
            </w:r>
          </w:p>
        </w:tc>
        <w:tc>
          <w:tcPr>
            <w:tcW w:w="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z w:val="18"/>
              </w:rPr>
              <w:t>0</w:t>
            </w: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84,557,366</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12,063,200</w:t>
            </w:r>
          </w:p>
        </w:tc>
      </w:tr>
      <w:tr>
        <w:trPr>
          <w:trHeight w:val="713"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中央汇金资产管理有 限责任公司</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3.55%</w:t>
            </w:r>
          </w:p>
        </w:tc>
        <w:tc>
          <w:tcPr>
            <w:tcW w:w="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28,882,200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z w:val="18"/>
              </w:rPr>
              <w:t>0</w:t>
            </w: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28,882,200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2"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北京信中利投资股份 有限公司</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3.34%</w:t>
            </w:r>
          </w:p>
        </w:tc>
        <w:tc>
          <w:tcPr>
            <w:tcW w:w="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27,153,727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25,886,647</w:t>
            </w:r>
          </w:p>
        </w:tc>
        <w:tc>
          <w:tcPr>
            <w:tcW w:w="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z w:val="18"/>
              </w:rPr>
              <w:t>0</w:t>
            </w: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27,153,727</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2"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共青城中源信投资管 理合伙企业（有限合 伙）</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2.12%</w:t>
            </w:r>
          </w:p>
        </w:tc>
        <w:tc>
          <w:tcPr>
            <w:tcW w:w="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17,223,762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z w:val="18"/>
              </w:rPr>
              <w:t>0</w:t>
            </w: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17,223,762</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2" w:type="dxa"/>
            <w:gridSpan w:val="2"/>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陕西省国际信托股份 有限公司－陕国投</w:t>
            </w:r>
            <w:r>
              <w:rPr>
                <w:rFonts w:ascii="Times New Roman" w:hAnsi="Times New Roman" w:cs="Times New Roman" w:eastAsia="Times New Roman" w:hint="default"/>
                <w:sz w:val="18"/>
                <w:szCs w:val="18"/>
              </w:rPr>
              <w:t>·</w:t>
            </w:r>
            <w:r>
              <w:rPr>
                <w:rFonts w:ascii="宋体" w:hAnsi="宋体" w:cs="宋体" w:eastAsia="宋体" w:hint="default"/>
                <w:sz w:val="18"/>
                <w:szCs w:val="18"/>
              </w:rPr>
              <w:t>增 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号证券投资集合资 金信托计划</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1.59%</w:t>
            </w:r>
          </w:p>
        </w:tc>
        <w:tc>
          <w:tcPr>
            <w:tcW w:w="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12,954,116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12,954,116</w:t>
            </w:r>
          </w:p>
        </w:tc>
        <w:tc>
          <w:tcPr>
            <w:tcW w:w="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z w:val="18"/>
              </w:rPr>
              <w:t>0</w:t>
            </w: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12,954,116</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2"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长城人寿保险股份有 限公司－自有资金</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1.01%</w:t>
            </w:r>
          </w:p>
        </w:tc>
        <w:tc>
          <w:tcPr>
            <w:tcW w:w="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8,203,060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8,203,060</w:t>
            </w:r>
          </w:p>
        </w:tc>
        <w:tc>
          <w:tcPr>
            <w:tcW w:w="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z w:val="18"/>
              </w:rPr>
              <w:t>0</w:t>
            </w: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8,203,060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2" w:type="dxa"/>
            <w:gridSpan w:val="2"/>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湖北正知资产管理有 限公司</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0.85%</w:t>
            </w:r>
          </w:p>
        </w:tc>
        <w:tc>
          <w:tcPr>
            <w:tcW w:w="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6,895,000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6,895,000</w:t>
            </w:r>
          </w:p>
        </w:tc>
        <w:tc>
          <w:tcPr>
            <w:tcW w:w="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z w:val="18"/>
              </w:rPr>
              <w:t>0</w:t>
            </w: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6,895,000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2"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张利群</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0.80%</w:t>
            </w:r>
          </w:p>
        </w:tc>
        <w:tc>
          <w:tcPr>
            <w:tcW w:w="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6,526,400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72,191</w:t>
            </w:r>
          </w:p>
        </w:tc>
        <w:tc>
          <w:tcPr>
            <w:tcW w:w="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
              <w:jc w:val="right"/>
              <w:rPr>
                <w:rFonts w:ascii="Times New Roman" w:hAnsi="Times New Roman" w:cs="Times New Roman" w:eastAsia="Times New Roman" w:hint="default"/>
                <w:sz w:val="18"/>
                <w:szCs w:val="18"/>
              </w:rPr>
            </w:pPr>
            <w:r>
              <w:rPr>
                <w:rFonts w:ascii="Times New Roman"/>
                <w:sz w:val="18"/>
              </w:rPr>
              <w:t>0</w:t>
            </w: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 w:right="0"/>
              <w:jc w:val="left"/>
              <w:rPr>
                <w:rFonts w:ascii="Times New Roman" w:hAnsi="Times New Roman" w:cs="Times New Roman" w:eastAsia="Times New Roman" w:hint="default"/>
                <w:sz w:val="18"/>
                <w:szCs w:val="18"/>
              </w:rPr>
            </w:pPr>
            <w:r>
              <w:rPr>
                <w:rFonts w:ascii="Times New Roman"/>
                <w:sz w:val="18"/>
              </w:rPr>
              <w:t>6,526,400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2"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张景华</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0.80%</w:t>
            </w:r>
          </w:p>
        </w:tc>
        <w:tc>
          <w:tcPr>
            <w:tcW w:w="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6,500,000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
              <w:jc w:val="right"/>
              <w:rPr>
                <w:rFonts w:ascii="Times New Roman" w:hAnsi="Times New Roman" w:cs="Times New Roman" w:eastAsia="Times New Roman" w:hint="default"/>
                <w:sz w:val="18"/>
                <w:szCs w:val="18"/>
              </w:rPr>
            </w:pPr>
            <w:r>
              <w:rPr>
                <w:rFonts w:ascii="Times New Roman"/>
                <w:sz w:val="18"/>
              </w:rPr>
              <w:t>0</w:t>
            </w: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 w:right="0"/>
              <w:jc w:val="left"/>
              <w:rPr>
                <w:rFonts w:ascii="Times New Roman" w:hAnsi="Times New Roman" w:cs="Times New Roman" w:eastAsia="Times New Roman" w:hint="default"/>
                <w:sz w:val="18"/>
                <w:szCs w:val="18"/>
              </w:rPr>
            </w:pPr>
            <w:r>
              <w:rPr>
                <w:rFonts w:ascii="Times New Roman"/>
                <w:sz w:val="18"/>
              </w:rPr>
              <w:t>6,500,000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2" w:type="dxa"/>
            <w:gridSpan w:val="2"/>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4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727" w:type="dxa"/>
            <w:gridSpan w:val="16"/>
            <w:vMerge w:val="restart"/>
            <w:tcBorders>
              <w:top w:val="single" w:sz="4" w:space="0" w:color="000000"/>
              <w:left w:val="single" w:sz="9" w:space="0" w:color="D2D2D2"/>
              <w:right w:val="single" w:sz="4" w:space="0" w:color="000000"/>
            </w:tcBorders>
          </w:tcPr>
          <w:p>
            <w:pPr>
              <w:pStyle w:val="TableParagraph"/>
              <w:spacing w:line="309" w:lineRule="auto" w:before="49"/>
              <w:ind w:left="17" w:right="21"/>
              <w:jc w:val="both"/>
              <w:rPr>
                <w:rFonts w:ascii="宋体" w:hAnsi="宋体" w:cs="宋体" w:eastAsia="宋体" w:hint="default"/>
                <w:sz w:val="18"/>
                <w:szCs w:val="18"/>
              </w:rPr>
            </w:pPr>
            <w:r>
              <w:rPr>
                <w:rFonts w:ascii="宋体" w:hAnsi="宋体" w:cs="宋体" w:eastAsia="宋体" w:hint="default"/>
                <w:spacing w:val="-6"/>
                <w:sz w:val="18"/>
                <w:szCs w:val="18"/>
              </w:rPr>
              <w:t>共青城中源信投资管理合伙企业（有限合伙）、共青城信中利宝信投资合伙企业（有限合伙）、北京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信中利投资股份有限公司系中驰惠程企业管理有限公司的一致行动人，合计持股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233,864,633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占公司期末总股本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28.73%</w:t>
            </w:r>
            <w:r>
              <w:rPr>
                <w:rFonts w:ascii="宋体" w:hAnsi="宋体" w:cs="宋体" w:eastAsia="宋体" w:hint="default"/>
                <w:sz w:val="18"/>
                <w:szCs w:val="18"/>
              </w:rPr>
              <w:t>；其他股东之间关系不详。</w:t>
            </w:r>
          </w:p>
        </w:tc>
      </w:tr>
      <w:tr>
        <w:trPr>
          <w:trHeight w:val="703" w:hRule="exact"/>
        </w:trPr>
        <w:tc>
          <w:tcPr>
            <w:tcW w:w="184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上述股东关联关系或 一致行动的说明</w:t>
            </w:r>
          </w:p>
        </w:tc>
        <w:tc>
          <w:tcPr>
            <w:tcW w:w="7727" w:type="dxa"/>
            <w:gridSpan w:val="16"/>
            <w:vMerge/>
            <w:tcBorders>
              <w:left w:val="single" w:sz="9" w:space="0" w:color="D2D2D2"/>
              <w:right w:val="single" w:sz="4" w:space="0" w:color="000000"/>
            </w:tcBorders>
          </w:tcPr>
          <w:p>
            <w:pPr/>
          </w:p>
        </w:tc>
      </w:tr>
      <w:tr>
        <w:trPr>
          <w:trHeight w:val="161" w:hRule="exact"/>
        </w:trPr>
        <w:tc>
          <w:tcPr>
            <w:tcW w:w="184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727" w:type="dxa"/>
            <w:gridSpan w:val="16"/>
            <w:vMerge/>
            <w:tcBorders>
              <w:left w:val="single" w:sz="9" w:space="0" w:color="D2D2D2"/>
              <w:bottom w:val="single" w:sz="4" w:space="0" w:color="000000"/>
              <w:right w:val="single" w:sz="4" w:space="0" w:color="000000"/>
            </w:tcBorders>
          </w:tcPr>
          <w:p>
            <w:pPr/>
          </w:p>
        </w:tc>
      </w:tr>
      <w:tr>
        <w:trPr>
          <w:trHeight w:val="403" w:hRule="exact"/>
        </w:trPr>
        <w:tc>
          <w:tcPr>
            <w:tcW w:w="9571" w:type="dxa"/>
            <w:gridSpan w:val="1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382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3016" w:type="dxa"/>
            <w:gridSpan w:val="7"/>
            <w:tcBorders>
              <w:top w:val="single" w:sz="4" w:space="0" w:color="000000"/>
              <w:left w:val="single" w:sz="4" w:space="0" w:color="000000"/>
              <w:bottom w:val="nil" w:sz="6" w:space="0" w:color="auto"/>
              <w:right w:val="single" w:sz="4" w:space="0" w:color="000000"/>
            </w:tcBorders>
            <w:shd w:val="clear" w:color="auto" w:fill="D2D2D2"/>
          </w:tcPr>
          <w:p>
            <w:pPr/>
          </w:p>
        </w:tc>
        <w:tc>
          <w:tcPr>
            <w:tcW w:w="2726" w:type="dxa"/>
            <w:gridSpan w:val="6"/>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8"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382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016" w:type="dxa"/>
            <w:gridSpan w:val="7"/>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26" w:type="dxa"/>
            <w:gridSpan w:val="6"/>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829" w:type="dxa"/>
            <w:gridSpan w:val="5"/>
            <w:vMerge/>
            <w:tcBorders>
              <w:left w:val="single" w:sz="4" w:space="0" w:color="000000"/>
              <w:bottom w:val="nil" w:sz="6" w:space="0" w:color="auto"/>
              <w:right w:val="single" w:sz="4" w:space="0" w:color="000000"/>
            </w:tcBorders>
            <w:shd w:val="clear" w:color="auto" w:fill="D2D2D2"/>
          </w:tcPr>
          <w:p>
            <w:pPr/>
          </w:p>
        </w:tc>
        <w:tc>
          <w:tcPr>
            <w:tcW w:w="3016" w:type="dxa"/>
            <w:gridSpan w:val="7"/>
            <w:vMerge/>
            <w:tcBorders>
              <w:left w:val="single" w:sz="4" w:space="0" w:color="000000"/>
              <w:bottom w:val="nil" w:sz="6" w:space="0" w:color="auto"/>
              <w:right w:val="single" w:sz="4" w:space="0" w:color="000000"/>
            </w:tcBorders>
            <w:shd w:val="clear" w:color="auto" w:fill="D2D2D2"/>
          </w:tcPr>
          <w:p>
            <w:pPr/>
          </w:p>
        </w:tc>
        <w:tc>
          <w:tcPr>
            <w:tcW w:w="13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3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7" w:hRule="exact"/>
        </w:trPr>
        <w:tc>
          <w:tcPr>
            <w:tcW w:w="382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3016" w:type="dxa"/>
            <w:gridSpan w:val="7"/>
            <w:tcBorders>
              <w:top w:val="nil" w:sz="6" w:space="0" w:color="auto"/>
              <w:left w:val="single" w:sz="4" w:space="0" w:color="000000"/>
              <w:bottom w:val="single" w:sz="4" w:space="0" w:color="000000"/>
              <w:right w:val="single" w:sz="4" w:space="0" w:color="000000"/>
            </w:tcBorders>
            <w:shd w:val="clear" w:color="auto" w:fill="D2D2D2"/>
          </w:tcPr>
          <w:p>
            <w:pPr/>
          </w:p>
        </w:tc>
        <w:tc>
          <w:tcPr>
            <w:tcW w:w="1377" w:type="dxa"/>
            <w:gridSpan w:val="3"/>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8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共青城信中利宝信投资合伙企业（有限合伙）</w:t>
            </w:r>
          </w:p>
        </w:tc>
        <w:tc>
          <w:tcPr>
            <w:tcW w:w="301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104,929,778</w:t>
            </w:r>
          </w:p>
        </w:tc>
        <w:tc>
          <w:tcPr>
            <w:tcW w:w="1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104,929,778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left="0" w:right="1140"/>
        <w:jc w:val="right"/>
      </w:pPr>
      <w:r>
        <w:rPr/>
        <w:pict>
          <v:shape style="position:absolute;margin-left:56.400002pt;margin-top:-281.978302pt;width:479.3pt;height:330.9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29"/>
                    <w:gridCol w:w="3044"/>
                    <w:gridCol w:w="1349"/>
                    <w:gridCol w:w="1349"/>
                  </w:tblGrid>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中驰惠程企业管理有限公司</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84,557,366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84,557,366</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28,882,200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28,882,200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27,153,727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27,153,727</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共青城中源信投资管理合伙企业（有限合伙）</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17,223,762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17,223,762</w:t>
                        </w:r>
                      </w:p>
                    </w:tc>
                  </w:tr>
                  <w:tr>
                    <w:trPr>
                      <w:trHeight w:val="71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陕西省国际信托股份有限公司－陕国投</w:t>
                        </w:r>
                        <w:r>
                          <w:rPr>
                            <w:rFonts w:ascii="Times New Roman" w:hAnsi="Times New Roman" w:cs="Times New Roman" w:eastAsia="Times New Roman" w:hint="default"/>
                            <w:sz w:val="18"/>
                            <w:szCs w:val="18"/>
                          </w:rPr>
                          <w:t>·</w:t>
                        </w:r>
                        <w:r>
                          <w:rPr>
                            <w:rFonts w:ascii="宋体" w:hAnsi="宋体" w:cs="宋体" w:eastAsia="宋体" w:hint="default"/>
                            <w:sz w:val="18"/>
                            <w:szCs w:val="18"/>
                          </w:rPr>
                          <w:t>增盈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号证券投资集合资金信托计划</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12,954,116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12,954,116</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长城人寿保险股份有限公司－自有资金</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8,203,060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8,203,060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湖北正知资产管理有限公司</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6,895,000</w:t>
                        </w:r>
                      </w:p>
                    </w:tc>
                  </w:tr>
                  <w:tr>
                    <w:trPr>
                      <w:trHeight w:val="40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张利群</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6,526,400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6,526,400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张景华</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w:t>
                        </w:r>
                      </w:p>
                    </w:tc>
                  </w:tr>
                  <w:tr>
                    <w:trPr>
                      <w:trHeight w:val="1339"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w:t>
                        </w:r>
                      </w:p>
                      <w:p>
                        <w:pPr>
                          <w:pStyle w:val="TableParagraph"/>
                          <w:spacing w:line="300" w:lineRule="auto" w:before="60"/>
                          <w:ind w:left="24" w:right="101"/>
                          <w:jc w:val="left"/>
                          <w:rPr>
                            <w:rFonts w:ascii="宋体" w:hAnsi="宋体" w:cs="宋体" w:eastAsia="宋体" w:hint="default"/>
                            <w:sz w:val="18"/>
                            <w:szCs w:val="18"/>
                          </w:rPr>
                        </w:pPr>
                        <w:r>
                          <w:rPr>
                            <w:rFonts w:ascii="宋体" w:hAnsi="宋体" w:cs="宋体" w:eastAsia="宋体" w:hint="default"/>
                            <w:sz w:val="18"/>
                            <w:szCs w:val="18"/>
                          </w:rPr>
                          <w:t>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 一致行动的说明</w:t>
                        </w:r>
                      </w:p>
                    </w:tc>
                    <w:tc>
                      <w:tcPr>
                        <w:tcW w:w="5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35"/>
                          <w:jc w:val="left"/>
                          <w:rPr>
                            <w:rFonts w:ascii="宋体" w:hAnsi="宋体" w:cs="宋体" w:eastAsia="宋体" w:hint="default"/>
                            <w:sz w:val="18"/>
                            <w:szCs w:val="18"/>
                          </w:rPr>
                        </w:pPr>
                        <w:r>
                          <w:rPr>
                            <w:rFonts w:ascii="宋体" w:hAnsi="宋体" w:cs="宋体" w:eastAsia="宋体" w:hint="default"/>
                            <w:spacing w:val="-3"/>
                            <w:sz w:val="18"/>
                            <w:szCs w:val="18"/>
                          </w:rPr>
                          <w:t>共青城中源信投资管理合伙企业（有限合伙）、共青城信中利宝信投资合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伙企业（有限合伙）、北京信中利投资股份有限公司系中驰惠程企业管理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有限公司的一致行动人，合计持股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233,864,633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股，占公司期末总股本 </w:t>
                        </w:r>
                        <w:r>
                          <w:rPr>
                            <w:rFonts w:ascii="Times New Roman" w:hAnsi="Times New Roman" w:cs="Times New Roman" w:eastAsia="Times New Roman" w:hint="default"/>
                            <w:sz w:val="18"/>
                            <w:szCs w:val="18"/>
                          </w:rPr>
                          <w:t>28.73%</w:t>
                        </w:r>
                        <w:r>
                          <w:rPr>
                            <w:rFonts w:ascii="宋体" w:hAnsi="宋体" w:cs="宋体" w:eastAsia="宋体" w:hint="default"/>
                            <w:sz w:val="18"/>
                            <w:szCs w:val="18"/>
                          </w:rPr>
                          <w:t>；其他股东之间关系不详。</w:t>
                        </w:r>
                      </w:p>
                    </w:tc>
                  </w:tr>
                  <w:tr>
                    <w:trPr>
                      <w:trHeight w:val="1339"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名普通股股东参与融资融券业务情况说明</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5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1"/>
                          <w:jc w:val="left"/>
                          <w:rPr>
                            <w:rFonts w:ascii="宋体" w:hAnsi="宋体" w:cs="宋体" w:eastAsia="宋体" w:hint="default"/>
                            <w:sz w:val="18"/>
                            <w:szCs w:val="18"/>
                          </w:rPr>
                        </w:pPr>
                        <w:r>
                          <w:rPr>
                            <w:rFonts w:ascii="宋体" w:hAnsi="宋体" w:cs="宋体" w:eastAsia="宋体" w:hint="default"/>
                            <w:spacing w:val="-3"/>
                            <w:sz w:val="18"/>
                            <w:szCs w:val="18"/>
                          </w:rPr>
                          <w:t>中驰惠程企业管理有限公司、北京信中利投资股份有限公司、共青城中源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6"/>
                            <w:sz w:val="18"/>
                            <w:szCs w:val="18"/>
                          </w:rPr>
                          <w:t>信投资管理合伙企业（有限合伙）、湖北正知资产管理有限公司、张利群</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5"/>
                            <w:sz w:val="18"/>
                            <w:szCs w:val="18"/>
                          </w:rPr>
                          <w:t>张景华参与融资融券业务，涉及的股份数分别为</w:t>
                        </w:r>
                        <w:r>
                          <w:rPr>
                            <w:rFonts w:ascii="宋体" w:hAnsi="宋体" w:cs="宋体" w:eastAsia="宋体" w:hint="default"/>
                            <w:spacing w:val="-30"/>
                            <w:sz w:val="18"/>
                            <w:szCs w:val="18"/>
                          </w:rPr>
                          <w:t> </w:t>
                        </w:r>
                        <w:r>
                          <w:rPr>
                            <w:rFonts w:ascii="Times New Roman" w:hAnsi="Times New Roman" w:cs="Times New Roman" w:eastAsia="Times New Roman" w:hint="default"/>
                            <w:spacing w:val="-1"/>
                            <w:sz w:val="18"/>
                            <w:szCs w:val="18"/>
                          </w:rPr>
                          <w:t>26,026,280</w:t>
                        </w:r>
                        <w:r>
                          <w:rPr>
                            <w:rFonts w:ascii="Times New Roman" w:hAnsi="Times New Roman" w:cs="Times New Roman" w:eastAsia="Times New Roman" w:hint="default"/>
                            <w:spacing w:val="17"/>
                            <w:sz w:val="18"/>
                            <w:szCs w:val="18"/>
                          </w:rPr>
                          <w:t> </w:t>
                        </w:r>
                        <w:r>
                          <w:rPr>
                            <w:rFonts w:ascii="宋体" w:hAnsi="宋体" w:cs="宋体" w:eastAsia="宋体" w:hint="default"/>
                            <w:spacing w:val="-8"/>
                            <w:sz w:val="18"/>
                            <w:szCs w:val="18"/>
                          </w:rPr>
                          <w:t>股、</w:t>
                        </w:r>
                        <w:r>
                          <w:rPr>
                            <w:rFonts w:ascii="Times New Roman" w:hAnsi="Times New Roman" w:cs="Times New Roman" w:eastAsia="Times New Roman" w:hint="default"/>
                            <w:spacing w:val="-8"/>
                            <w:sz w:val="18"/>
                            <w:szCs w:val="18"/>
                          </w:rPr>
                          <w:t>25,886,647</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股、</w:t>
                        </w:r>
                        <w:r>
                          <w:rPr>
                            <w:rFonts w:ascii="Times New Roman" w:hAnsi="Times New Roman" w:cs="Times New Roman" w:eastAsia="Times New Roman" w:hint="default"/>
                            <w:sz w:val="18"/>
                            <w:szCs w:val="18"/>
                          </w:rPr>
                          <w:t>17,223,762 </w:t>
                        </w:r>
                        <w:r>
                          <w:rPr>
                            <w:rFonts w:ascii="宋体" w:hAnsi="宋体" w:cs="宋体" w:eastAsia="宋体" w:hint="default"/>
                            <w:sz w:val="18"/>
                            <w:szCs w:val="18"/>
                          </w:rPr>
                          <w:t>股、</w:t>
                        </w:r>
                        <w:r>
                          <w:rPr>
                            <w:rFonts w:ascii="Times New Roman" w:hAnsi="Times New Roman" w:cs="Times New Roman" w:eastAsia="Times New Roman" w:hint="default"/>
                            <w:sz w:val="18"/>
                            <w:szCs w:val="18"/>
                          </w:rPr>
                          <w:t>6,895,000 </w:t>
                        </w:r>
                        <w:r>
                          <w:rPr>
                            <w:rFonts w:ascii="宋体" w:hAnsi="宋体" w:cs="宋体" w:eastAsia="宋体" w:hint="default"/>
                            <w:sz w:val="18"/>
                            <w:szCs w:val="18"/>
                          </w:rPr>
                          <w:t>股、</w:t>
                        </w:r>
                        <w:r>
                          <w:rPr>
                            <w:rFonts w:ascii="Times New Roman" w:hAnsi="Times New Roman" w:cs="Times New Roman" w:eastAsia="Times New Roman" w:hint="default"/>
                            <w:sz w:val="18"/>
                            <w:szCs w:val="18"/>
                          </w:rPr>
                          <w:t>6,446,700 </w:t>
                        </w:r>
                        <w:r>
                          <w:rPr>
                            <w:rFonts w:ascii="宋体" w:hAnsi="宋体" w:cs="宋体" w:eastAsia="宋体" w:hint="default"/>
                            <w:sz w:val="18"/>
                            <w:szCs w:val="18"/>
                          </w:rPr>
                          <w:t>股、</w:t>
                        </w:r>
                        <w:r>
                          <w:rPr>
                            <w:rFonts w:ascii="Times New Roman" w:hAnsi="Times New Roman" w:cs="Times New Roman" w:eastAsia="Times New Roman" w:hint="default"/>
                            <w:sz w:val="18"/>
                            <w:szCs w:val="18"/>
                          </w:rPr>
                          <w:t>6,500,000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股。</w:t>
                        </w:r>
                        <w:r>
                          <w:rPr>
                            <w:rFonts w:ascii="宋体" w:hAnsi="宋体" w:cs="宋体" w:eastAsia="宋体" w:hint="default"/>
                            <w:sz w:val="18"/>
                            <w:szCs w:val="18"/>
                          </w:rPr>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44"/>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left="0" w:right="1040"/>
        <w:jc w:val="right"/>
      </w:pPr>
      <w:r>
        <w:rPr/>
        <w:pict>
          <v:shape style="position:absolute;margin-left:54.959999pt;margin-top:-51.998325pt;width:485.65pt;height:123.1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0"/>
                    <w:gridCol w:w="1023"/>
                    <w:gridCol w:w="943"/>
                    <w:gridCol w:w="1668"/>
                    <w:gridCol w:w="3543"/>
                  </w:tblGrid>
                  <w:tr>
                    <w:trPr>
                      <w:trHeight w:val="713"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7" w:right="29"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中驰惠程企业管理有限公司</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李朝岭</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911101073303568270</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企业管理；企业营销策划；企业管理咨询； </w:t>
                        </w:r>
                        <w:r>
                          <w:rPr>
                            <w:rFonts w:ascii="宋体" w:hAnsi="宋体" w:cs="宋体" w:eastAsia="宋体" w:hint="default"/>
                            <w:spacing w:val="-2"/>
                            <w:sz w:val="18"/>
                            <w:szCs w:val="18"/>
                          </w:rPr>
                          <w:t>技术开发、技术转让、技术咨询、技术服务</w:t>
                        </w:r>
                      </w:p>
                    </w:tc>
                  </w:tr>
                  <w:tr>
                    <w:trPr>
                      <w:trHeight w:val="1025"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控股股东报告期内控股和参股 的其他境内外上市公司的股权 情况</w:t>
                        </w:r>
                      </w:p>
                    </w:tc>
                    <w:tc>
                      <w:tcPr>
                        <w:tcW w:w="71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right="1133"/>
        <w:jc w:val="left"/>
      </w:pPr>
      <w:r>
        <w:rPr/>
        <w:t>控股股东报告期内变更</w:t>
      </w:r>
    </w:p>
    <w:p>
      <w:pPr>
        <w:pStyle w:val="BodyText"/>
        <w:spacing w:line="338" w:lineRule="auto" w:before="117"/>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after="0" w:line="338"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李亦非</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汪超涌先生目前主要职业及职务为北京信中利投资股份有限公司董事长。</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3"/>
              <w:jc w:val="left"/>
              <w:rPr>
                <w:rFonts w:ascii="宋体" w:hAnsi="宋体" w:cs="宋体" w:eastAsia="宋体" w:hint="default"/>
                <w:sz w:val="18"/>
                <w:szCs w:val="18"/>
              </w:rPr>
            </w:pPr>
            <w:r>
              <w:rPr>
                <w:rFonts w:ascii="宋体" w:hAnsi="宋体" w:cs="宋体" w:eastAsia="宋体" w:hint="default"/>
                <w:sz w:val="18"/>
                <w:szCs w:val="18"/>
              </w:rPr>
              <w:t>汪超涌先生和李亦非女士系全国中小企业股份转让系统挂牌公司北京信中利投资股份有限 公司一致行动人和实际控制人。</w:t>
            </w:r>
          </w:p>
        </w:tc>
      </w:tr>
    </w:tbl>
    <w:p>
      <w:pPr>
        <w:pStyle w:val="BodyText"/>
        <w:spacing w:line="240" w:lineRule="auto" w:before="70"/>
        <w:ind w:right="1133"/>
        <w:jc w:val="left"/>
      </w:pPr>
      <w:r>
        <w:rPr/>
        <w:t>实际控制人报告期内变更</w:t>
      </w:r>
    </w:p>
    <w:p>
      <w:pPr>
        <w:pStyle w:val="BodyText"/>
        <w:spacing w:line="348"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4"/>
        <w:rPr>
          <w:rFonts w:ascii="宋体" w:hAnsi="宋体" w:cs="宋体" w:eastAsia="宋体" w:hint="default"/>
          <w:sz w:val="22"/>
          <w:szCs w:val="22"/>
        </w:rPr>
      </w:pPr>
    </w:p>
    <w:p>
      <w:pPr>
        <w:spacing w:line="7590" w:lineRule="exact"/>
        <w:ind w:left="1358" w:right="0" w:firstLine="0"/>
        <w:rPr>
          <w:rFonts w:ascii="宋体" w:hAnsi="宋体" w:cs="宋体" w:eastAsia="宋体" w:hint="default"/>
          <w:sz w:val="20"/>
          <w:szCs w:val="20"/>
        </w:rPr>
      </w:pPr>
      <w:r>
        <w:rPr>
          <w:rFonts w:ascii="宋体" w:hAnsi="宋体" w:cs="宋体" w:eastAsia="宋体" w:hint="default"/>
          <w:position w:val="-151"/>
          <w:sz w:val="20"/>
          <w:szCs w:val="20"/>
        </w:rPr>
        <w:drawing>
          <wp:inline distT="0" distB="0" distL="0" distR="0">
            <wp:extent cx="4591050" cy="481965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32" cstate="print"/>
                    <a:stretch>
                      <a:fillRect/>
                    </a:stretch>
                  </pic:blipFill>
                  <pic:spPr>
                    <a:xfrm>
                      <a:off x="0" y="0"/>
                      <a:ext cx="4591050" cy="4819650"/>
                    </a:xfrm>
                    <a:prstGeom prst="rect">
                      <a:avLst/>
                    </a:prstGeom>
                  </pic:spPr>
                </pic:pic>
              </a:graphicData>
            </a:graphic>
          </wp:inline>
        </w:drawing>
      </w:r>
      <w:r>
        <w:rPr>
          <w:rFonts w:ascii="宋体" w:hAnsi="宋体" w:cs="宋体" w:eastAsia="宋体" w:hint="default"/>
          <w:position w:val="-151"/>
          <w:sz w:val="20"/>
          <w:szCs w:val="20"/>
        </w:rPr>
      </w:r>
    </w:p>
    <w:p>
      <w:pPr>
        <w:spacing w:after="0" w:line="7590" w:lineRule="exact"/>
        <w:rPr>
          <w:rFonts w:ascii="宋体" w:hAnsi="宋体" w:cs="宋体" w:eastAsia="宋体" w:hint="default"/>
          <w:sz w:val="20"/>
          <w:szCs w:val="20"/>
        </w:rPr>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实际控制人通过信托或其他资产管理方式控制公司</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5"/>
        <w:gridCol w:w="1560"/>
        <w:gridCol w:w="1414"/>
        <w:gridCol w:w="1634"/>
        <w:gridCol w:w="2127"/>
      </w:tblGrid>
      <w:tr>
        <w:trPr>
          <w:trHeight w:val="71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5" w:right="26" w:hanging="56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共青城信中利宝信投资合伙企业</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彭寸玲</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项目投资，实业投资。</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285" w:right="1133"/>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679" w:right="1133"/>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994"/>
        <w:gridCol w:w="1133"/>
        <w:gridCol w:w="569"/>
        <w:gridCol w:w="425"/>
        <w:gridCol w:w="425"/>
        <w:gridCol w:w="850"/>
        <w:gridCol w:w="850"/>
        <w:gridCol w:w="994"/>
        <w:gridCol w:w="708"/>
        <w:gridCol w:w="853"/>
        <w:gridCol w:w="850"/>
        <w:gridCol w:w="924"/>
      </w:tblGrid>
      <w:tr>
        <w:trPr>
          <w:trHeight w:val="1339"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98" w:right="99"/>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9"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9" w:right="5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0" w:right="6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59" w:firstLine="36"/>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5"/>
                <w:sz w:val="18"/>
                <w:szCs w:val="18"/>
              </w:rPr>
              <w:t>变动（股</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0"/>
                <w:sz w:val="18"/>
                <w:szCs w:val="18"/>
              </w:rPr>
              <w:t> </w:t>
            </w:r>
            <w:r>
              <w:rPr>
                <w:rFonts w:ascii="宋体" w:hAnsi="宋体" w:cs="宋体" w:eastAsia="宋体" w:hint="default"/>
                <w:sz w:val="18"/>
                <w:szCs w:val="18"/>
              </w:rPr>
              <w:t>数（股）</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3,400,000</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徐海啸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3,900,000</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3,400,000</w:t>
            </w:r>
          </w:p>
        </w:tc>
      </w:tr>
      <w:tr>
        <w:trPr>
          <w:trHeight w:val="133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both"/>
              <w:rPr>
                <w:rFonts w:ascii="Times New Roman" w:hAnsi="Times New Roman" w:cs="Times New Roman" w:eastAsia="Times New Roman" w:hint="default"/>
                <w:sz w:val="18"/>
                <w:szCs w:val="18"/>
              </w:rPr>
            </w:pPr>
            <w:r>
              <w:rPr>
                <w:rFonts w:ascii="Times New Roman"/>
                <w:spacing w:val="-8"/>
                <w:sz w:val="18"/>
              </w:rPr>
              <w:t>WAN</w:t>
            </w:r>
            <w:r>
              <w:rPr>
                <w:rFonts w:ascii="Times New Roman"/>
                <w:sz w:val="18"/>
              </w:rPr>
              <w:t> XIAO</w:t>
            </w:r>
          </w:p>
          <w:p>
            <w:pPr>
              <w:pStyle w:val="TableParagraph"/>
              <w:spacing w:line="309" w:lineRule="auto" w:before="63"/>
              <w:ind w:left="24" w:right="58"/>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YANG</w:t>
            </w:r>
            <w:r>
              <w:rPr>
                <w:rFonts w:ascii="宋体" w:hAnsi="宋体" w:cs="宋体" w:eastAsia="宋体" w:hint="default"/>
                <w:spacing w:val="-5"/>
                <w:sz w:val="18"/>
                <w:szCs w:val="18"/>
              </w:rPr>
              <w:t>（中</w:t>
            </w:r>
            <w:r>
              <w:rPr>
                <w:rFonts w:ascii="宋体" w:hAnsi="宋体" w:cs="宋体" w:eastAsia="宋体" w:hint="default"/>
                <w:spacing w:val="-86"/>
                <w:sz w:val="18"/>
                <w:szCs w:val="18"/>
              </w:rPr>
              <w:t> </w:t>
            </w:r>
            <w:r>
              <w:rPr>
                <w:rFonts w:ascii="宋体" w:hAnsi="宋体" w:cs="宋体" w:eastAsia="宋体" w:hint="default"/>
                <w:sz w:val="18"/>
                <w:szCs w:val="18"/>
              </w:rPr>
              <w:t>文名：万晓 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2,775,000</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叶陈刚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Key Ke</w:t>
            </w:r>
            <w:r>
              <w:rPr>
                <w:rFonts w:ascii="Times New Roman"/>
                <w:spacing w:val="-5"/>
                <w:sz w:val="18"/>
              </w:rPr>
              <w:t> </w:t>
            </w:r>
            <w:r>
              <w:rPr>
                <w:rFonts w:ascii="Times New Roman"/>
                <w:sz w:val="18"/>
              </w:rPr>
              <w:t>Liu</w:t>
            </w:r>
          </w:p>
          <w:p>
            <w:pPr>
              <w:pStyle w:val="TableParagraph"/>
              <w:spacing w:line="316" w:lineRule="auto" w:before="61"/>
              <w:ind w:left="24" w:right="58"/>
              <w:jc w:val="left"/>
              <w:rPr>
                <w:rFonts w:ascii="宋体" w:hAnsi="宋体" w:cs="宋体" w:eastAsia="宋体" w:hint="default"/>
                <w:sz w:val="18"/>
                <w:szCs w:val="18"/>
              </w:rPr>
            </w:pPr>
            <w:r>
              <w:rPr>
                <w:rFonts w:ascii="宋体" w:hAnsi="宋体" w:cs="宋体" w:eastAsia="宋体" w:hint="default"/>
                <w:sz w:val="18"/>
                <w:szCs w:val="18"/>
              </w:rPr>
              <w:t>（中文名： 刘科）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梅绍华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夏云飞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温秋萍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监事、证券事 务代表</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994"/>
        <w:gridCol w:w="1133"/>
        <w:gridCol w:w="569"/>
        <w:gridCol w:w="425"/>
        <w:gridCol w:w="425"/>
        <w:gridCol w:w="850"/>
        <w:gridCol w:w="850"/>
        <w:gridCol w:w="994"/>
        <w:gridCol w:w="708"/>
        <w:gridCol w:w="853"/>
        <w:gridCol w:w="850"/>
        <w:gridCol w:w="924"/>
      </w:tblGrid>
      <w:tr>
        <w:trPr>
          <w:trHeight w:val="102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刘扬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董事会秘书、 副总裁、财务 总监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57"/>
              <w:jc w:val="right"/>
              <w:rPr>
                <w:rFonts w:ascii="宋体" w:hAnsi="宋体" w:cs="宋体" w:eastAsia="宋体" w:hint="default"/>
                <w:sz w:val="18"/>
                <w:szCs w:val="18"/>
              </w:rPr>
            </w:pPr>
            <w:r>
              <w:rPr>
                <w:rFonts w:ascii="宋体" w:hAnsi="宋体" w:cs="宋体" w:eastAsia="宋体" w:hint="default"/>
                <w:sz w:val="18"/>
                <w:szCs w:val="18"/>
              </w:rPr>
              <w:t>副总裁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迟永军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57"/>
              <w:jc w:val="right"/>
              <w:rPr>
                <w:rFonts w:ascii="宋体" w:hAnsi="宋体" w:cs="宋体" w:eastAsia="宋体" w:hint="default"/>
                <w:sz w:val="18"/>
                <w:szCs w:val="18"/>
              </w:rPr>
            </w:pPr>
            <w:r>
              <w:rPr>
                <w:rFonts w:ascii="宋体" w:hAnsi="宋体" w:cs="宋体" w:eastAsia="宋体" w:hint="default"/>
                <w:sz w:val="18"/>
                <w:szCs w:val="18"/>
              </w:rPr>
              <w:t>副总裁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479,900</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499"/>
              <w:jc w:val="right"/>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19"/>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26,660,000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6,120,100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19,039,900</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2"/>
        <w:gridCol w:w="2125"/>
        <w:gridCol w:w="569"/>
        <w:gridCol w:w="1700"/>
        <w:gridCol w:w="4323"/>
      </w:tblGrid>
      <w:tr>
        <w:trPr>
          <w:trHeight w:val="402"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4"/>
              <w:jc w:val="center"/>
              <w:rPr>
                <w:rFonts w:ascii="宋体" w:hAnsi="宋体" w:cs="宋体" w:eastAsia="宋体" w:hint="default"/>
                <w:sz w:val="18"/>
                <w:szCs w:val="18"/>
              </w:rPr>
            </w:pPr>
            <w:r>
              <w:rPr>
                <w:rFonts w:ascii="宋体" w:hAnsi="宋体" w:cs="宋体" w:eastAsia="宋体" w:hint="default"/>
                <w:sz w:val="18"/>
                <w:szCs w:val="18"/>
              </w:rPr>
              <w:t>任免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新任副总裁</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迟永军</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4"/>
              <w:jc w:val="center"/>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7"/>
              <w:jc w:val="left"/>
              <w:rPr>
                <w:rFonts w:ascii="宋体" w:hAnsi="宋体" w:cs="宋体" w:eastAsia="宋体" w:hint="default"/>
                <w:sz w:val="18"/>
                <w:szCs w:val="18"/>
              </w:rPr>
            </w:pPr>
            <w:r>
              <w:rPr>
                <w:rFonts w:ascii="宋体" w:hAnsi="宋体" w:cs="宋体" w:eastAsia="宋体" w:hint="default"/>
                <w:spacing w:val="-3"/>
                <w:sz w:val="18"/>
                <w:szCs w:val="18"/>
              </w:rPr>
              <w:t>因个人原因辞去副总裁职务，且在公司不再担任任何职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务</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徐海啸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董事长、总裁、财务总监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4"/>
              <w:jc w:val="center"/>
              <w:rPr>
                <w:rFonts w:ascii="宋体" w:hAnsi="宋体" w:cs="宋体" w:eastAsia="宋体" w:hint="default"/>
                <w:sz w:val="18"/>
                <w:szCs w:val="18"/>
              </w:rPr>
            </w:pPr>
            <w:r>
              <w:rPr>
                <w:rFonts w:ascii="宋体" w:hAnsi="宋体" w:cs="宋体" w:eastAsia="宋体" w:hint="default"/>
                <w:sz w:val="18"/>
                <w:szCs w:val="18"/>
              </w:rPr>
              <w:t>任免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7"/>
              <w:jc w:val="left"/>
              <w:rPr>
                <w:rFonts w:ascii="宋体" w:hAnsi="宋体" w:cs="宋体" w:eastAsia="宋体" w:hint="default"/>
                <w:sz w:val="18"/>
                <w:szCs w:val="18"/>
              </w:rPr>
            </w:pPr>
            <w:r>
              <w:rPr>
                <w:rFonts w:ascii="宋体" w:hAnsi="宋体" w:cs="宋体" w:eastAsia="宋体" w:hint="default"/>
                <w:spacing w:val="-3"/>
                <w:sz w:val="18"/>
                <w:szCs w:val="18"/>
              </w:rPr>
              <w:t>经公司总裁徐海啸先生提名、公司提名委员会审核，董</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事会同意公司财务总监由徐海啸先生变更为刘扬女士</w:t>
            </w:r>
          </w:p>
        </w:tc>
      </w:tr>
      <w:tr>
        <w:trPr>
          <w:trHeight w:val="71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刘扬</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董事会秘书、副总裁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4"/>
              <w:jc w:val="center"/>
              <w:rPr>
                <w:rFonts w:ascii="宋体" w:hAnsi="宋体" w:cs="宋体" w:eastAsia="宋体" w:hint="default"/>
                <w:sz w:val="18"/>
                <w:szCs w:val="18"/>
              </w:rPr>
            </w:pPr>
            <w:r>
              <w:rPr>
                <w:rFonts w:ascii="宋体" w:hAnsi="宋体" w:cs="宋体" w:eastAsia="宋体" w:hint="default"/>
                <w:sz w:val="18"/>
                <w:szCs w:val="18"/>
              </w:rPr>
              <w:t>任免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7"/>
              <w:jc w:val="left"/>
              <w:rPr>
                <w:rFonts w:ascii="宋体" w:hAnsi="宋体" w:cs="宋体" w:eastAsia="宋体" w:hint="default"/>
                <w:sz w:val="18"/>
                <w:szCs w:val="18"/>
              </w:rPr>
            </w:pPr>
            <w:r>
              <w:rPr>
                <w:rFonts w:ascii="宋体" w:hAnsi="宋体" w:cs="宋体" w:eastAsia="宋体" w:hint="default"/>
                <w:spacing w:val="-3"/>
                <w:sz w:val="18"/>
                <w:szCs w:val="18"/>
              </w:rPr>
              <w:t>经公司总裁徐海啸先生提名、公司提名委员会审核，董</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事会同意公司财务总监由徐海啸先生变更为刘扬女士</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公司现任董事、监事、高级管理人员专业背景、主要工作经历以及目前在公司的主要职责</w:t>
      </w:r>
    </w:p>
    <w:p>
      <w:pPr>
        <w:pStyle w:val="BodyText"/>
        <w:spacing w:line="300" w:lineRule="auto" w:before="115"/>
        <w:ind w:right="1131" w:firstLine="360"/>
        <w:jc w:val="both"/>
      </w:pPr>
      <w:r>
        <w:rPr>
          <w:rFonts w:ascii="Times New Roman" w:hAnsi="Times New Roman" w:cs="Times New Roman" w:eastAsia="Times New Roman" w:hint="default"/>
          <w:b/>
          <w:bCs/>
        </w:rPr>
        <w:t>1</w:t>
      </w:r>
      <w:r>
        <w:rPr>
          <w:rFonts w:ascii="宋体" w:hAnsi="宋体" w:cs="宋体" w:eastAsia="宋体" w:hint="default"/>
          <w:b/>
          <w:bCs/>
        </w:rPr>
        <w:t>、汪超涌先生：</w:t>
      </w:r>
      <w:r>
        <w:rPr>
          <w:rFonts w:ascii="Times New Roman" w:hAnsi="Times New Roman" w:cs="Times New Roman" w:eastAsia="Times New Roman" w:hint="default"/>
        </w:rPr>
        <w:t>1965</w:t>
      </w:r>
      <w:r>
        <w:rPr/>
        <w:t>年出生，中国籍，华中理工大学（现华中科技大学）工学学士、清华大学经管学院研究生、美国 罗格斯（</w:t>
      </w:r>
      <w:r>
        <w:rPr>
          <w:rFonts w:ascii="Times New Roman" w:hAnsi="Times New Roman" w:cs="Times New Roman" w:eastAsia="Times New Roman" w:hint="default"/>
        </w:rPr>
        <w:t>Rutgers</w:t>
      </w:r>
      <w:r>
        <w:rPr/>
        <w:t>）大学</w:t>
      </w:r>
      <w:r>
        <w:rPr>
          <w:rFonts w:ascii="Times New Roman" w:hAnsi="Times New Roman" w:cs="Times New Roman" w:eastAsia="Times New Roman" w:hint="default"/>
        </w:rPr>
        <w:t>MBA</w:t>
      </w:r>
      <w:r>
        <w:rPr/>
        <w:t>。曾任美国摩根大通银行高级经理、美国标准普尔证券评级公司资产证券化部副主任、摩根士 </w:t>
      </w:r>
      <w:r>
        <w:rPr>
          <w:spacing w:val="-2"/>
        </w:rPr>
        <w:t>丹利亚洲区副总裁和北京代表处首席代表、国家开发银行投资银行业务顾问，</w:t>
      </w:r>
      <w:r>
        <w:rPr>
          <w:rFonts w:ascii="Times New Roman" w:hAnsi="Times New Roman" w:cs="Times New Roman" w:eastAsia="Times New Roman" w:hint="default"/>
          <w:spacing w:val="-2"/>
        </w:rPr>
        <w:t>1999</w:t>
      </w:r>
      <w:r>
        <w:rPr>
          <w:spacing w:val="-2"/>
        </w:rPr>
        <w:t>年创办北京信中利投资股份有限公司并担</w:t>
      </w:r>
      <w:r>
        <w:rPr>
          <w:spacing w:val="-61"/>
        </w:rPr>
        <w:t> </w:t>
      </w:r>
      <w:r>
        <w:rPr>
          <w:spacing w:val="-61"/>
        </w:rPr>
      </w:r>
      <w:r>
        <w:rPr/>
        <w:t>任董事长至今，</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月起担任本公司董事。</w:t>
      </w:r>
    </w:p>
    <w:p>
      <w:pPr>
        <w:pStyle w:val="BodyText"/>
        <w:spacing w:line="300" w:lineRule="auto" w:before="53"/>
        <w:ind w:right="1131" w:firstLine="360"/>
        <w:jc w:val="both"/>
      </w:pPr>
      <w:r>
        <w:rPr>
          <w:rFonts w:ascii="Times New Roman" w:hAnsi="Times New Roman" w:cs="Times New Roman" w:eastAsia="Times New Roman" w:hint="default"/>
          <w:b/>
          <w:bCs/>
        </w:rPr>
        <w:t>2</w:t>
      </w:r>
      <w:r>
        <w:rPr>
          <w:rFonts w:ascii="宋体" w:hAnsi="宋体" w:cs="宋体" w:eastAsia="宋体" w:hint="default"/>
          <w:b/>
          <w:bCs/>
        </w:rPr>
        <w:t>、张晶女士：</w:t>
      </w:r>
      <w:r>
        <w:rPr>
          <w:rFonts w:ascii="Times New Roman" w:hAnsi="Times New Roman" w:cs="Times New Roman" w:eastAsia="Times New Roman" w:hint="default"/>
        </w:rPr>
        <w:t>1975</w:t>
      </w:r>
      <w:r>
        <w:rPr/>
        <w:t>年出生，中国籍，东北林业大学毕业，长江商学院</w:t>
      </w:r>
      <w:r>
        <w:rPr>
          <w:rFonts w:ascii="Times New Roman" w:hAnsi="Times New Roman" w:cs="Times New Roman" w:eastAsia="Times New Roman" w:hint="default"/>
        </w:rPr>
        <w:t>EMBA</w:t>
      </w:r>
      <w:r>
        <w:rPr/>
        <w:t>，注册会计师，注册资产评估师。历任大 </w:t>
      </w:r>
      <w:r>
        <w:rPr>
          <w:spacing w:val="-2"/>
        </w:rPr>
        <w:t>鹏证券投资银行部高管，现任北京信中利投资股份有限公司董事，</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月起担任本公司副总裁，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月起担任本公司</w:t>
      </w:r>
      <w:r>
        <w:rPr>
          <w:spacing w:val="-59"/>
        </w:rPr>
        <w:t> </w:t>
      </w:r>
      <w:r>
        <w:rPr>
          <w:spacing w:val="-59"/>
        </w:rPr>
      </w:r>
      <w:r>
        <w:rPr/>
        <w:t>董事。</w:t>
      </w:r>
    </w:p>
    <w:p>
      <w:pPr>
        <w:pStyle w:val="BodyText"/>
        <w:spacing w:line="300" w:lineRule="auto" w:before="72"/>
        <w:ind w:right="1135" w:firstLine="360"/>
        <w:jc w:val="both"/>
      </w:pPr>
      <w:r>
        <w:rPr>
          <w:rFonts w:ascii="Times New Roman" w:hAnsi="Times New Roman" w:cs="Times New Roman" w:eastAsia="Times New Roman" w:hint="default"/>
          <w:b/>
          <w:bCs/>
        </w:rPr>
        <w:t>3</w:t>
      </w:r>
      <w:r>
        <w:rPr>
          <w:rFonts w:ascii="宋体" w:hAnsi="宋体" w:cs="宋体" w:eastAsia="宋体" w:hint="default"/>
          <w:b/>
          <w:bCs/>
        </w:rPr>
        <w:t>、徐海啸先生：</w:t>
      </w:r>
      <w:r>
        <w:rPr>
          <w:rFonts w:ascii="Times New Roman" w:hAnsi="Times New Roman" w:cs="Times New Roman" w:eastAsia="Times New Roman" w:hint="default"/>
        </w:rPr>
        <w:t>1972</w:t>
      </w:r>
      <w:r>
        <w:rPr/>
        <w:t>年出生，中国籍，中南财经政法大学会计学硕士。曾任大鹏证券投行总部总经理助理、信达证券 投资银行总部董事总经理、日信证券助理总裁兼投资银行事业部总经理。现任北京信中利投资股份有限公司董事，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 </w:t>
      </w:r>
      <w:r>
        <w:rPr/>
        <w:t>月起担任本公司总裁，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月起担任本公司董事长、财务负责人，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月起不再担任本公司财务负责人。</w:t>
      </w:r>
    </w:p>
    <w:p>
      <w:pPr>
        <w:pStyle w:val="BodyText"/>
        <w:spacing w:line="300" w:lineRule="auto" w:before="51"/>
        <w:ind w:right="1135" w:firstLine="360"/>
        <w:jc w:val="both"/>
      </w:pPr>
      <w:r>
        <w:rPr>
          <w:rFonts w:ascii="Times New Roman" w:hAnsi="Times New Roman" w:cs="Times New Roman" w:eastAsia="Times New Roman" w:hint="default"/>
          <w:b/>
          <w:bCs/>
          <w:spacing w:val="-4"/>
        </w:rPr>
        <w:t>4</w:t>
      </w:r>
      <w:r>
        <w:rPr>
          <w:rFonts w:ascii="宋体" w:hAnsi="宋体" w:cs="宋体" w:eastAsia="宋体" w:hint="default"/>
          <w:b/>
          <w:bCs/>
          <w:spacing w:val="-4"/>
        </w:rPr>
        <w:t>、沈晓超女士：</w:t>
      </w:r>
      <w:r>
        <w:rPr>
          <w:rFonts w:ascii="Times New Roman" w:hAnsi="Times New Roman" w:cs="Times New Roman" w:eastAsia="Times New Roman" w:hint="default"/>
          <w:spacing w:val="-4"/>
        </w:rPr>
        <w:t>1977</w:t>
      </w:r>
      <w:r>
        <w:rPr>
          <w:spacing w:val="-4"/>
        </w:rPr>
        <w:t>年出生，中国籍，中国人民大学管理学硕士，会计师。曾任保定市华美园林花木有限公司总经理、</w:t>
      </w:r>
      <w:r>
        <w:rPr/>
        <w:t> 北京吉农科技有限公司财务总监，现任北京信中利投资股份有限公司董事、副总经理、财务总监，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月起担任本公司 董事。</w:t>
      </w:r>
    </w:p>
    <w:p>
      <w:pPr>
        <w:pStyle w:val="BodyText"/>
        <w:spacing w:line="300" w:lineRule="auto" w:before="72"/>
        <w:ind w:right="1130" w:firstLine="360"/>
        <w:jc w:val="both"/>
      </w:pPr>
      <w:r>
        <w:rPr>
          <w:rFonts w:ascii="Times New Roman" w:hAnsi="Times New Roman" w:cs="Times New Roman" w:eastAsia="Times New Roman" w:hint="default"/>
          <w:b/>
          <w:bCs/>
        </w:rPr>
        <w:t>5</w:t>
      </w:r>
      <w:r>
        <w:rPr>
          <w:rFonts w:ascii="宋体" w:hAnsi="宋体" w:cs="宋体" w:eastAsia="宋体" w:hint="default"/>
          <w:b/>
          <w:bCs/>
        </w:rPr>
        <w:t>、陈丹女士：</w:t>
      </w:r>
      <w:r>
        <w:rPr>
          <w:rFonts w:ascii="Times New Roman" w:hAnsi="Times New Roman" w:cs="Times New Roman" w:eastAsia="Times New Roman" w:hint="default"/>
        </w:rPr>
        <w:t>1973</w:t>
      </w:r>
      <w:r>
        <w:rPr/>
        <w:t>年出生，中国籍，武汉大学金融保险专业学士、</w:t>
      </w:r>
      <w:r>
        <w:rPr>
          <w:rFonts w:ascii="Times New Roman" w:hAnsi="Times New Roman" w:cs="Times New Roman" w:eastAsia="Times New Roman" w:hint="default"/>
        </w:rPr>
        <w:t>MBA</w:t>
      </w:r>
      <w:r>
        <w:rPr/>
        <w:t>，经济师。曾任</w:t>
      </w:r>
      <w:r>
        <w:rPr>
          <w:rFonts w:ascii="Times New Roman" w:hAnsi="Times New Roman" w:cs="Times New Roman" w:eastAsia="Times New Roman" w:hint="default"/>
        </w:rPr>
        <w:t>Transfield</w:t>
      </w:r>
      <w:r>
        <w:rPr>
          <w:rFonts w:ascii="Times New Roman" w:hAnsi="Times New Roman" w:cs="Times New Roman" w:eastAsia="Times New Roman" w:hint="default"/>
          <w:spacing w:val="-9"/>
        </w:rPr>
        <w:t> </w:t>
      </w:r>
      <w:r>
        <w:rPr>
          <w:rFonts w:ascii="Times New Roman" w:hAnsi="Times New Roman" w:cs="Times New Roman" w:eastAsia="Times New Roman" w:hint="default"/>
        </w:rPr>
        <w:t>Services</w:t>
      </w:r>
      <w:r>
        <w:rPr/>
        <w:t>高级投资经 理、澳大利亚澳保集团（</w:t>
      </w:r>
      <w:r>
        <w:rPr>
          <w:rFonts w:ascii="Times New Roman" w:hAnsi="Times New Roman" w:cs="Times New Roman" w:eastAsia="Times New Roman" w:hint="default"/>
        </w:rPr>
        <w:t>Insurance Australia</w:t>
      </w:r>
      <w:r>
        <w:rPr>
          <w:rFonts w:ascii="Times New Roman" w:hAnsi="Times New Roman" w:cs="Times New Roman" w:eastAsia="Times New Roman" w:hint="default"/>
          <w:spacing w:val="-15"/>
        </w:rPr>
        <w:t> </w:t>
      </w:r>
      <w:r>
        <w:rPr>
          <w:rFonts w:ascii="Times New Roman" w:hAnsi="Times New Roman" w:cs="Times New Roman" w:eastAsia="Times New Roman" w:hint="default"/>
        </w:rPr>
        <w:t>Group</w:t>
      </w:r>
      <w:r>
        <w:rPr/>
        <w:t>）高级战略顾问，现任北京信中利投资股份有限公司董事、总经理，</w:t>
      </w:r>
      <w:r>
        <w:rPr>
          <w:rFonts w:ascii="Times New Roman" w:hAnsi="Times New Roman" w:cs="Times New Roman" w:eastAsia="Times New Roman" w:hint="default"/>
        </w:rPr>
        <w:t>2016</w:t>
      </w:r>
      <w:r>
        <w:rPr>
          <w:rFonts w:ascii="Times New Roman" w:hAnsi="Times New Roman" w:cs="Times New Roman" w:eastAsia="Times New Roman" w:hint="default"/>
          <w:w w:val="99"/>
        </w:rPr>
        <w:t> </w:t>
      </w:r>
      <w:r>
        <w:rPr/>
        <w:t>年</w:t>
      </w:r>
      <w:r>
        <w:rPr>
          <w:rFonts w:ascii="Times New Roman" w:hAnsi="Times New Roman" w:cs="Times New Roman" w:eastAsia="Times New Roman" w:hint="default"/>
        </w:rPr>
        <w:t>7</w:t>
      </w:r>
      <w:r>
        <w:rPr/>
        <w:t>月起担任本公司董事。</w:t>
      </w:r>
    </w:p>
    <w:p>
      <w:pPr>
        <w:spacing w:before="53"/>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WAN XIAO</w:t>
      </w:r>
      <w:r>
        <w:rPr>
          <w:rFonts w:ascii="Times New Roman" w:hAnsi="Times New Roman" w:cs="Times New Roman" w:eastAsia="Times New Roman" w:hint="default"/>
          <w:b/>
          <w:bCs/>
          <w:spacing w:val="-7"/>
          <w:sz w:val="18"/>
          <w:szCs w:val="18"/>
        </w:rPr>
        <w:t> </w:t>
      </w:r>
      <w:r>
        <w:rPr>
          <w:rFonts w:ascii="Times New Roman" w:hAnsi="Times New Roman" w:cs="Times New Roman" w:eastAsia="Times New Roman" w:hint="default"/>
          <w:b/>
          <w:bCs/>
          <w:sz w:val="18"/>
          <w:szCs w:val="18"/>
        </w:rPr>
        <w:t>YANG</w:t>
      </w:r>
      <w:r>
        <w:rPr>
          <w:rFonts w:ascii="宋体" w:hAnsi="宋体" w:cs="宋体" w:eastAsia="宋体" w:hint="default"/>
          <w:b/>
          <w:bCs/>
          <w:sz w:val="18"/>
          <w:szCs w:val="18"/>
        </w:rPr>
        <w:t>（中文名：万晓阳）先生：</w:t>
      </w:r>
      <w:r>
        <w:rPr>
          <w:rFonts w:ascii="Times New Roman" w:hAnsi="Times New Roman" w:cs="Times New Roman" w:eastAsia="Times New Roman" w:hint="default"/>
          <w:sz w:val="18"/>
          <w:szCs w:val="18"/>
        </w:rPr>
        <w:t>1959</w:t>
      </w:r>
      <w:r>
        <w:rPr>
          <w:rFonts w:ascii="宋体" w:hAnsi="宋体" w:cs="宋体" w:eastAsia="宋体" w:hint="default"/>
          <w:sz w:val="18"/>
          <w:szCs w:val="18"/>
        </w:rPr>
        <w:t>年出生，澳大利亚籍，中国石油大学机械工程专业学士学位，</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澳大利亚皇家墨尔本大学工程科学硕士博士学位。曾任</w:t>
      </w:r>
      <w:r>
        <w:rPr>
          <w:rFonts w:ascii="Times New Roman" w:hAnsi="Times New Roman" w:cs="Times New Roman" w:eastAsia="Times New Roman" w:hint="default"/>
        </w:rPr>
        <w:t>Simplex</w:t>
      </w:r>
      <w:r>
        <w:rPr/>
        <w:t>资本亚洲投资有限公司</w:t>
      </w:r>
      <w:r>
        <w:rPr>
          <w:rFonts w:ascii="Times New Roman" w:hAnsi="Times New Roman" w:cs="Times New Roman" w:eastAsia="Times New Roman" w:hint="default"/>
        </w:rPr>
        <w:t>-</w:t>
      </w:r>
      <w:r>
        <w:rPr/>
        <w:t>香港董事总经理、德国昆格瓦格纳</w:t>
      </w:r>
    </w:p>
    <w:p>
      <w:pPr>
        <w:pStyle w:val="BodyText"/>
        <w:spacing w:line="319" w:lineRule="auto" w:before="63"/>
        <w:ind w:left="0" w:right="1134"/>
        <w:jc w:val="right"/>
      </w:pPr>
      <w:r>
        <w:rPr>
          <w:spacing w:val="-1"/>
        </w:rPr>
        <w:t>（</w:t>
      </w:r>
      <w:r>
        <w:rPr>
          <w:rFonts w:ascii="Times New Roman" w:hAnsi="Times New Roman" w:cs="Times New Roman" w:eastAsia="Times New Roman" w:hint="default"/>
          <w:spacing w:val="-1"/>
        </w:rPr>
        <w:t>Kuenkel-Wagner</w:t>
      </w:r>
      <w:r>
        <w:rPr>
          <w:spacing w:val="-1"/>
        </w:rPr>
        <w:t>）技术公司首席执行官，现任山东朗进科技股份有限公司董事、总经理，</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7</w:t>
      </w:r>
      <w:r>
        <w:rPr>
          <w:spacing w:val="-1"/>
        </w:rPr>
        <w:t>月起担任本公司董事。</w:t>
      </w:r>
      <w:r>
        <w:rPr>
          <w:spacing w:val="-74"/>
        </w:rPr>
        <w:t> </w:t>
      </w:r>
      <w:r>
        <w:rPr>
          <w:spacing w:val="-74"/>
        </w:rPr>
      </w:r>
      <w:r>
        <w:rPr>
          <w:rFonts w:ascii="Times New Roman" w:hAnsi="Times New Roman" w:cs="Times New Roman" w:eastAsia="Times New Roman" w:hint="default"/>
          <w:b/>
          <w:bCs/>
          <w:w w:val="95"/>
        </w:rPr>
        <w:t>7</w:t>
      </w:r>
      <w:r>
        <w:rPr>
          <w:rFonts w:ascii="宋体" w:hAnsi="宋体" w:cs="宋体" w:eastAsia="宋体" w:hint="default"/>
          <w:b/>
          <w:bCs/>
          <w:w w:val="95"/>
        </w:rPr>
        <w:t>、叶陈刚先生：</w:t>
      </w:r>
      <w:r>
        <w:rPr>
          <w:rFonts w:ascii="Times New Roman" w:hAnsi="Times New Roman" w:cs="Times New Roman" w:eastAsia="Times New Roman" w:hint="default"/>
          <w:w w:val="95"/>
        </w:rPr>
        <w:t>1962</w:t>
      </w:r>
      <w:r>
        <w:rPr>
          <w:w w:val="95"/>
        </w:rPr>
        <w:t>年出生，中国籍，中南财经政法大学会计学硕士，华中科技大学管理学博士，南开大学商学院工</w:t>
      </w:r>
      <w:r>
        <w:rPr>
          <w:spacing w:val="5"/>
          <w:w w:val="95"/>
        </w:rPr>
        <w:t> </w:t>
      </w:r>
      <w:r>
        <w:rPr>
          <w:spacing w:val="5"/>
          <w:w w:val="95"/>
        </w:rPr>
      </w:r>
      <w:r>
        <w:rPr>
          <w:spacing w:val="-2"/>
        </w:rPr>
        <w:t>商管理博士后。曾任中国地质大学（武汉）会计学与审计学教授、硕士生导师，现任对外经济贸易大学会计学与审计学教授</w:t>
      </w:r>
      <w:r>
        <w:rPr>
          <w:spacing w:val="-76"/>
        </w:rPr>
        <w:t> </w:t>
      </w:r>
      <w:r>
        <w:rPr>
          <w:spacing w:val="-76"/>
        </w:rPr>
      </w:r>
      <w:r>
        <w:rPr>
          <w:spacing w:val="-1"/>
        </w:rPr>
        <w:t>和博士生导师、远大产业控股股份有限公司（证券简称：远大控股，证券代码：</w:t>
      </w:r>
      <w:r>
        <w:rPr>
          <w:rFonts w:ascii="Times New Roman" w:hAnsi="Times New Roman" w:cs="Times New Roman" w:eastAsia="Times New Roman" w:hint="default"/>
          <w:spacing w:val="-1"/>
        </w:rPr>
        <w:t>000626</w:t>
      </w:r>
      <w:r>
        <w:rPr>
          <w:spacing w:val="-1"/>
        </w:rPr>
        <w:t>）独立董事，</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7</w:t>
      </w:r>
      <w:r>
        <w:rPr>
          <w:spacing w:val="-1"/>
        </w:rPr>
        <w:t>月起担任本公</w:t>
      </w:r>
    </w:p>
    <w:p>
      <w:pPr>
        <w:pStyle w:val="BodyText"/>
        <w:spacing w:line="233" w:lineRule="exact"/>
        <w:ind w:right="1133"/>
        <w:jc w:val="left"/>
      </w:pPr>
      <w:r>
        <w:rPr/>
        <w:t>司独立董事。</w:t>
      </w:r>
    </w:p>
    <w:p>
      <w:pPr>
        <w:pStyle w:val="BodyText"/>
        <w:spacing w:line="300" w:lineRule="auto" w:before="115"/>
        <w:ind w:right="0" w:firstLine="360"/>
        <w:jc w:val="left"/>
      </w:pPr>
      <w:r>
        <w:rPr>
          <w:rFonts w:ascii="Times New Roman" w:hAnsi="Times New Roman" w:cs="Times New Roman" w:eastAsia="Times New Roman" w:hint="default"/>
          <w:b/>
          <w:bCs/>
        </w:rPr>
        <w:t>8</w:t>
      </w:r>
      <w:r>
        <w:rPr>
          <w:rFonts w:ascii="宋体" w:hAnsi="宋体" w:cs="宋体" w:eastAsia="宋体" w:hint="default"/>
          <w:b/>
          <w:bCs/>
        </w:rPr>
        <w:t>、钟晓林先生：</w:t>
      </w:r>
      <w:r>
        <w:rPr>
          <w:rFonts w:ascii="Times New Roman" w:hAnsi="Times New Roman" w:cs="Times New Roman" w:eastAsia="Times New Roman" w:hint="default"/>
        </w:rPr>
        <w:t>1965</w:t>
      </w:r>
      <w:r>
        <w:rPr/>
        <w:t>年出生，中国香港籍，华中科技大学工学学士和硕士学位，英国爱丁堡龙比亚大学机器人与人工 </w:t>
      </w:r>
      <w:r>
        <w:rPr>
          <w:spacing w:val="-4"/>
        </w:rPr>
        <w:t>智能博士学位，加拿大西安大略大学</w:t>
      </w:r>
      <w:r>
        <w:rPr>
          <w:rFonts w:ascii="Times New Roman" w:hAnsi="Times New Roman" w:cs="Times New Roman" w:eastAsia="Times New Roman" w:hint="default"/>
          <w:spacing w:val="-4"/>
        </w:rPr>
        <w:t>Ivey</w:t>
      </w:r>
      <w:r>
        <w:rPr>
          <w:spacing w:val="-4"/>
        </w:rPr>
        <w:t>商学院工商管理硕士（</w:t>
      </w:r>
      <w:r>
        <w:rPr>
          <w:rFonts w:ascii="Times New Roman" w:hAnsi="Times New Roman" w:cs="Times New Roman" w:eastAsia="Times New Roman" w:hint="default"/>
          <w:spacing w:val="-4"/>
        </w:rPr>
        <w:t>MBA</w:t>
      </w:r>
      <w:r>
        <w:rPr>
          <w:spacing w:val="-4"/>
        </w:rPr>
        <w:t>）学位。曾任凯鹏华盈（</w:t>
      </w:r>
      <w:r>
        <w:rPr>
          <w:rFonts w:ascii="Times New Roman" w:hAnsi="Times New Roman" w:cs="Times New Roman" w:eastAsia="Times New Roman" w:hint="default"/>
          <w:spacing w:val="-4"/>
        </w:rPr>
        <w:t>KPCB</w:t>
      </w:r>
      <w:r>
        <w:rPr>
          <w:spacing w:val="-4"/>
        </w:rPr>
        <w:t>）中国基金主管合伙人、</w:t>
      </w:r>
      <w:r>
        <w:rPr>
          <w:spacing w:val="-63"/>
        </w:rPr>
        <w:t> </w:t>
      </w:r>
      <w:r>
        <w:rPr>
          <w:spacing w:val="-63"/>
        </w:rPr>
      </w:r>
      <w:r>
        <w:rPr>
          <w:spacing w:val="-9"/>
          <w:w w:val="99"/>
        </w:rPr>
        <w:t>无锡江南仁和新能源产业投资基金（有限合伙）主管合伙人、兴铁富江投资管理有限公司总裁，现任上海华盈创投（</w:t>
      </w:r>
      <w:r>
        <w:rPr>
          <w:rFonts w:ascii="Times New Roman" w:hAnsi="Times New Roman" w:cs="Times New Roman" w:eastAsia="Times New Roman" w:hint="default"/>
          <w:spacing w:val="-9"/>
          <w:w w:val="99"/>
        </w:rPr>
        <w:t>TDF</w:t>
      </w:r>
      <w:r>
        <w:rPr>
          <w:rFonts w:ascii="Times New Roman" w:hAnsi="Times New Roman" w:cs="Times New Roman" w:eastAsia="Times New Roman" w:hint="default"/>
          <w:spacing w:val="33"/>
          <w:w w:val="99"/>
        </w:rPr>
        <w:t> </w:t>
      </w:r>
      <w:r>
        <w:rPr>
          <w:rFonts w:ascii="Times New Roman" w:hAnsi="Times New Roman" w:cs="Times New Roman" w:eastAsia="Times New Roman" w:hint="default"/>
          <w:spacing w:val="-1"/>
        </w:rPr>
        <w:t>Capital</w:t>
      </w:r>
      <w:r>
        <w:rPr>
          <w:spacing w:val="-1"/>
        </w:rPr>
        <w:t>）</w:t>
      </w:r>
      <w:r>
        <w:rPr>
          <w:spacing w:val="-76"/>
        </w:rPr>
        <w:t> </w:t>
      </w:r>
      <w:r>
        <w:rPr/>
        <w:t>董事总经理和合伙人、深圳图灵资产管理有限公司董事长，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月起担任本公司独立董事。</w:t>
      </w:r>
    </w:p>
    <w:p>
      <w:pPr>
        <w:pStyle w:val="BodyText"/>
        <w:spacing w:line="307" w:lineRule="auto" w:before="53"/>
        <w:ind w:right="1129" w:firstLine="360"/>
        <w:jc w:val="both"/>
      </w:pPr>
      <w:r>
        <w:rPr>
          <w:rFonts w:ascii="Times New Roman" w:hAnsi="Times New Roman" w:cs="Times New Roman" w:eastAsia="Times New Roman" w:hint="default"/>
          <w:b/>
          <w:bCs/>
        </w:rPr>
        <w:t>9</w:t>
      </w:r>
      <w:r>
        <w:rPr>
          <w:rFonts w:ascii="宋体" w:hAnsi="宋体" w:cs="宋体" w:eastAsia="宋体" w:hint="default"/>
          <w:b/>
          <w:bCs/>
        </w:rPr>
        <w:t>、</w:t>
      </w:r>
      <w:r>
        <w:rPr>
          <w:rFonts w:ascii="Times New Roman" w:hAnsi="Times New Roman" w:cs="Times New Roman" w:eastAsia="Times New Roman" w:hint="default"/>
          <w:b/>
          <w:bCs/>
        </w:rPr>
        <w:t>Key Ke</w:t>
      </w:r>
      <w:r>
        <w:rPr>
          <w:rFonts w:ascii="Times New Roman" w:hAnsi="Times New Roman" w:cs="Times New Roman" w:eastAsia="Times New Roman" w:hint="default"/>
          <w:b/>
          <w:bCs/>
          <w:spacing w:val="-5"/>
        </w:rPr>
        <w:t> </w:t>
      </w:r>
      <w:r>
        <w:rPr>
          <w:rFonts w:ascii="Times New Roman" w:hAnsi="Times New Roman" w:cs="Times New Roman" w:eastAsia="Times New Roman" w:hint="default"/>
          <w:b/>
          <w:bCs/>
        </w:rPr>
        <w:t>Liu</w:t>
      </w:r>
      <w:r>
        <w:rPr>
          <w:rFonts w:ascii="宋体" w:hAnsi="宋体" w:cs="宋体" w:eastAsia="宋体" w:hint="default"/>
          <w:b/>
          <w:bCs/>
        </w:rPr>
        <w:t>（中文名：刘科）先生：</w:t>
      </w:r>
      <w:r>
        <w:rPr>
          <w:rFonts w:ascii="Times New Roman" w:hAnsi="Times New Roman" w:cs="Times New Roman" w:eastAsia="Times New Roman" w:hint="default"/>
        </w:rPr>
        <w:t>1964</w:t>
      </w:r>
      <w:r>
        <w:rPr/>
        <w:t>年出生，美国籍，西北大学有机化学学士学位和硕士学位，美国纽约市立 </w:t>
      </w:r>
      <w:r>
        <w:rPr>
          <w:spacing w:val="-2"/>
        </w:rPr>
        <w:t>大学博士学位，美国伦斯勒理工学院管理学硕士。曾任北京低碳能源研究所副所长和</w:t>
      </w:r>
      <w:r>
        <w:rPr>
          <w:rFonts w:ascii="Times New Roman" w:hAnsi="Times New Roman" w:cs="Times New Roman" w:eastAsia="Times New Roman" w:hint="default"/>
          <w:spacing w:val="-2"/>
        </w:rPr>
        <w:t>CTO</w:t>
      </w:r>
      <w:r>
        <w:rPr>
          <w:spacing w:val="-2"/>
        </w:rPr>
        <w:t>，现任环球资源公司合伙人，南方</w:t>
      </w:r>
      <w:r>
        <w:rPr>
          <w:spacing w:val="-63"/>
        </w:rPr>
        <w:t> </w:t>
      </w:r>
      <w:r>
        <w:rPr>
          <w:spacing w:val="-63"/>
        </w:rPr>
      </w:r>
      <w:r>
        <w:rPr>
          <w:spacing w:val="-2"/>
        </w:rPr>
        <w:t>科技大学清洁能源研究院院长、创新创业学院院长和讲座教授，宁波江丰电子材料股份有限公司（证券简称：江丰电子，证</w:t>
      </w:r>
      <w:r>
        <w:rPr>
          <w:spacing w:val="-67"/>
        </w:rPr>
        <w:t> </w:t>
      </w:r>
      <w:r>
        <w:rPr>
          <w:spacing w:val="-67"/>
        </w:rPr>
      </w:r>
      <w:r>
        <w:rPr/>
        <w:t>券代码：</w:t>
      </w:r>
      <w:r>
        <w:rPr>
          <w:rFonts w:ascii="Times New Roman" w:hAnsi="Times New Roman" w:cs="Times New Roman" w:eastAsia="Times New Roman" w:hint="default"/>
        </w:rPr>
        <w:t>300666</w:t>
      </w:r>
      <w:r>
        <w:rPr/>
        <w:t>）独立董事，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月起担任本公司独立董事。</w:t>
      </w:r>
    </w:p>
    <w:p>
      <w:pPr>
        <w:pStyle w:val="BodyText"/>
        <w:spacing w:line="309" w:lineRule="auto" w:before="48"/>
        <w:ind w:right="1130" w:firstLine="360"/>
        <w:jc w:val="both"/>
      </w:pPr>
      <w:r>
        <w:rPr>
          <w:rFonts w:ascii="Times New Roman" w:hAnsi="Times New Roman" w:cs="Times New Roman" w:eastAsia="Times New Roman" w:hint="default"/>
          <w:b/>
          <w:bCs/>
          <w:spacing w:val="-5"/>
        </w:rPr>
        <w:t>10</w:t>
      </w:r>
      <w:r>
        <w:rPr>
          <w:rFonts w:ascii="宋体" w:hAnsi="宋体" w:cs="宋体" w:eastAsia="宋体" w:hint="default"/>
          <w:b/>
          <w:bCs/>
          <w:spacing w:val="-5"/>
        </w:rPr>
        <w:t>、梅绍华先生：</w:t>
      </w:r>
      <w:r>
        <w:rPr>
          <w:rFonts w:ascii="Times New Roman" w:hAnsi="Times New Roman" w:cs="Times New Roman" w:eastAsia="Times New Roman" w:hint="default"/>
          <w:spacing w:val="-5"/>
        </w:rPr>
        <w:t>1964</w:t>
      </w:r>
      <w:r>
        <w:rPr>
          <w:spacing w:val="-5"/>
        </w:rPr>
        <w:t>年出生，中国籍，华中科技大学毕业，工学硕士。曾任证券日报社副社长、《经济》杂志总编辑、</w:t>
      </w:r>
      <w:r>
        <w:rPr/>
        <w:t> </w:t>
      </w:r>
      <w:r>
        <w:rPr>
          <w:spacing w:val="-2"/>
        </w:rPr>
        <w:t>经济日报特刊部常务副主任和高级编辑，现任华中科技大学经济学院兼职教授、中关村股权投资协会副会长、北京弘高创意</w:t>
      </w:r>
      <w:r>
        <w:rPr>
          <w:spacing w:val="-63"/>
        </w:rPr>
        <w:t> </w:t>
      </w:r>
      <w:r>
        <w:rPr>
          <w:spacing w:val="-63"/>
        </w:rPr>
      </w:r>
      <w:r>
        <w:rPr/>
        <w:t>建筑设计股份有限公司（证券简称：弘高创意，证券代码：</w:t>
      </w:r>
      <w:r>
        <w:rPr>
          <w:rFonts w:ascii="Times New Roman" w:hAnsi="Times New Roman" w:cs="Times New Roman" w:eastAsia="Times New Roman" w:hint="default"/>
        </w:rPr>
        <w:t>002504</w:t>
      </w:r>
      <w:r>
        <w:rPr/>
        <w:t>）监事会主席，</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月起担任本公司监事会主席。</w:t>
      </w:r>
    </w:p>
    <w:p>
      <w:pPr>
        <w:pStyle w:val="BodyText"/>
        <w:spacing w:line="300" w:lineRule="auto" w:before="43"/>
        <w:ind w:right="1133" w:firstLine="360"/>
        <w:jc w:val="left"/>
      </w:pPr>
      <w:r>
        <w:rPr>
          <w:rFonts w:ascii="Times New Roman" w:hAnsi="Times New Roman" w:cs="Times New Roman" w:eastAsia="Times New Roman" w:hint="default"/>
          <w:b/>
          <w:bCs/>
        </w:rPr>
        <w:t>11</w:t>
      </w:r>
      <w:r>
        <w:rPr>
          <w:rFonts w:ascii="宋体" w:hAnsi="宋体" w:cs="宋体" w:eastAsia="宋体" w:hint="default"/>
          <w:b/>
          <w:bCs/>
        </w:rPr>
        <w:t>、夏云飞女士：</w:t>
      </w:r>
      <w:r>
        <w:rPr>
          <w:rFonts w:ascii="Times New Roman" w:hAnsi="Times New Roman" w:cs="Times New Roman" w:eastAsia="Times New Roman" w:hint="default"/>
        </w:rPr>
        <w:t>1983</w:t>
      </w:r>
      <w:r>
        <w:rPr/>
        <w:t>年出生，中国籍，北京大学光华管理学院会计学专业本科、北京大学光华管理学院</w:t>
      </w:r>
      <w:r>
        <w:rPr>
          <w:rFonts w:ascii="Times New Roman" w:hAnsi="Times New Roman" w:cs="Times New Roman" w:eastAsia="Times New Roman" w:hint="default"/>
        </w:rPr>
        <w:t>MBA</w:t>
      </w:r>
      <w:r>
        <w:rPr/>
        <w:t>、中国 </w:t>
      </w:r>
      <w:r>
        <w:rPr>
          <w:spacing w:val="-2"/>
        </w:rPr>
        <w:t>注册会计师（</w:t>
      </w:r>
      <w:r>
        <w:rPr>
          <w:rFonts w:ascii="Times New Roman" w:hAnsi="Times New Roman" w:cs="Times New Roman" w:eastAsia="Times New Roman" w:hint="default"/>
          <w:spacing w:val="-2"/>
        </w:rPr>
        <w:t>CPA</w:t>
      </w:r>
      <w:r>
        <w:rPr>
          <w:spacing w:val="-2"/>
        </w:rPr>
        <w:t>）、国际注册内部审计师、中级会计师职称。曾任毕马威华振会计师事务所审计经理、建投控股有限责任</w:t>
      </w:r>
      <w:r>
        <w:rPr>
          <w:spacing w:val="-59"/>
        </w:rPr>
        <w:t> </w:t>
      </w:r>
      <w:r>
        <w:rPr>
          <w:spacing w:val="-59"/>
        </w:rPr>
      </w:r>
      <w:r>
        <w:rPr/>
        <w:t>公司计划财务部业务经理、金融街（北京）置业有限公司财务部财务经理，现任北京信中利投资股份有限公司监事，</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9</w:t>
      </w:r>
      <w:r>
        <w:rPr/>
        <w:t>月起担任本公司监事。</w:t>
      </w:r>
    </w:p>
    <w:p>
      <w:pPr>
        <w:pStyle w:val="BodyText"/>
        <w:spacing w:line="300" w:lineRule="auto" w:before="54"/>
        <w:ind w:right="1133" w:firstLine="360"/>
        <w:jc w:val="both"/>
      </w:pPr>
      <w:r>
        <w:rPr>
          <w:rFonts w:ascii="Times New Roman" w:hAnsi="Times New Roman" w:cs="Times New Roman" w:eastAsia="Times New Roman" w:hint="default"/>
          <w:b/>
          <w:bCs/>
          <w:spacing w:val="-2"/>
        </w:rPr>
        <w:t>12</w:t>
      </w:r>
      <w:r>
        <w:rPr>
          <w:rFonts w:ascii="宋体" w:hAnsi="宋体" w:cs="宋体" w:eastAsia="宋体" w:hint="default"/>
          <w:b/>
          <w:bCs/>
          <w:spacing w:val="-2"/>
        </w:rPr>
        <w:t>、温秋萍女士：</w:t>
      </w:r>
      <w:r>
        <w:rPr>
          <w:rFonts w:ascii="Times New Roman" w:hAnsi="Times New Roman" w:cs="Times New Roman" w:eastAsia="Times New Roman" w:hint="default"/>
          <w:spacing w:val="-2"/>
        </w:rPr>
        <w:t>1990</w:t>
      </w:r>
      <w:r>
        <w:rPr>
          <w:spacing w:val="-2"/>
        </w:rPr>
        <w:t>年出生，中国籍，华南农业大学法学专业本科毕业，获法律职业资格证、董事会秘书资格证、证</w:t>
      </w:r>
      <w:r>
        <w:rPr/>
        <w:t> 券从业资格证。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月起任公司证券部合规专员，</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月起任公司监事，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月起任公司证券事务代表。</w:t>
      </w:r>
    </w:p>
    <w:p>
      <w:pPr>
        <w:pStyle w:val="BodyText"/>
        <w:spacing w:line="300" w:lineRule="auto" w:before="53"/>
        <w:ind w:right="1131" w:firstLine="360"/>
        <w:jc w:val="both"/>
      </w:pPr>
      <w:r>
        <w:rPr>
          <w:rFonts w:ascii="Times New Roman" w:hAnsi="Times New Roman" w:cs="Times New Roman" w:eastAsia="Times New Roman" w:hint="default"/>
          <w:b/>
          <w:bCs/>
          <w:spacing w:val="-2"/>
        </w:rPr>
        <w:t>13</w:t>
      </w:r>
      <w:r>
        <w:rPr>
          <w:rFonts w:ascii="宋体" w:hAnsi="宋体" w:cs="宋体" w:eastAsia="宋体" w:hint="default"/>
          <w:b/>
          <w:bCs/>
          <w:spacing w:val="-2"/>
        </w:rPr>
        <w:t>、方莉女士：</w:t>
      </w:r>
      <w:r>
        <w:rPr>
          <w:rFonts w:ascii="Times New Roman" w:hAnsi="Times New Roman" w:cs="Times New Roman" w:eastAsia="Times New Roman" w:hint="default"/>
          <w:spacing w:val="-2"/>
        </w:rPr>
        <w:t>1978</w:t>
      </w:r>
      <w:r>
        <w:rPr>
          <w:spacing w:val="-2"/>
        </w:rPr>
        <w:t>年出生，中国籍，武汉大学法学专业毕业，厦门大学</w:t>
      </w:r>
      <w:r>
        <w:rPr>
          <w:rFonts w:ascii="Times New Roman" w:hAnsi="Times New Roman" w:cs="Times New Roman" w:eastAsia="Times New Roman" w:hint="default"/>
          <w:spacing w:val="-2"/>
        </w:rPr>
        <w:t>EMBA</w:t>
      </w:r>
      <w:r>
        <w:rPr>
          <w:spacing w:val="-2"/>
        </w:rPr>
        <w:t>，获董事会秘书资格证。曾任东方金钰</w:t>
      </w:r>
      <w:r>
        <w:rPr/>
        <w:t> </w:t>
      </w:r>
      <w:r>
        <w:rPr>
          <w:spacing w:val="-2"/>
        </w:rPr>
        <w:t>股份有限公司总裁助理、证券事务代表、董事会秘书。</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月起担任本公司董事会秘书、副总裁，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月起不再担任</w:t>
      </w:r>
      <w:r>
        <w:rPr>
          <w:spacing w:val="-56"/>
        </w:rPr>
        <w:t> </w:t>
      </w:r>
      <w:r>
        <w:rPr>
          <w:spacing w:val="-56"/>
        </w:rPr>
      </w:r>
      <w:r>
        <w:rPr/>
        <w:t>本公司董事会秘书。</w:t>
      </w:r>
    </w:p>
    <w:p>
      <w:pPr>
        <w:pStyle w:val="BodyText"/>
        <w:spacing w:line="300" w:lineRule="auto" w:before="70"/>
        <w:ind w:right="1130" w:firstLine="360"/>
        <w:jc w:val="both"/>
      </w:pPr>
      <w:r>
        <w:rPr>
          <w:rFonts w:ascii="Times New Roman" w:hAnsi="Times New Roman" w:cs="Times New Roman" w:eastAsia="Times New Roman" w:hint="default"/>
          <w:b/>
          <w:bCs/>
          <w:spacing w:val="-2"/>
        </w:rPr>
        <w:t>14</w:t>
      </w:r>
      <w:r>
        <w:rPr>
          <w:rFonts w:ascii="宋体" w:hAnsi="宋体" w:cs="宋体" w:eastAsia="宋体" w:hint="default"/>
          <w:b/>
          <w:bCs/>
          <w:spacing w:val="-2"/>
        </w:rPr>
        <w:t>、刘扬女士</w:t>
      </w:r>
      <w:r>
        <w:rPr>
          <w:spacing w:val="-2"/>
        </w:rPr>
        <w:t>：</w:t>
      </w:r>
      <w:r>
        <w:rPr>
          <w:rFonts w:ascii="Times New Roman" w:hAnsi="Times New Roman" w:cs="Times New Roman" w:eastAsia="Times New Roman" w:hint="default"/>
          <w:spacing w:val="-2"/>
        </w:rPr>
        <w:t>1987</w:t>
      </w:r>
      <w:r>
        <w:rPr>
          <w:spacing w:val="-2"/>
        </w:rPr>
        <w:t>年出生，中国籍，天津财经大学会计学专业毕业，管理学硕士，获董事会秘书资格证。曾在中国证</w:t>
      </w:r>
      <w:r>
        <w:rPr/>
        <w:t> </w:t>
      </w:r>
      <w:r>
        <w:rPr>
          <w:spacing w:val="-2"/>
        </w:rPr>
        <w:t>监会辽宁监管局、中国证监会深圳专员办任职。</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月加入本公司，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月起担任本公司董事会秘书、副总裁，</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w:t>
      </w:r>
      <w:r>
        <w:rPr>
          <w:rFonts w:ascii="Times New Roman" w:hAnsi="Times New Roman" w:cs="Times New Roman" w:eastAsia="Times New Roman" w:hint="default"/>
        </w:rPr>
        <w:t>10</w:t>
      </w:r>
      <w:r>
        <w:rPr/>
        <w:t>月起担任本公司财务负责人。</w:t>
      </w:r>
    </w:p>
    <w:p>
      <w:pPr>
        <w:pStyle w:val="BodyText"/>
        <w:spacing w:line="300" w:lineRule="auto" w:before="53"/>
        <w:ind w:right="1131" w:firstLine="360"/>
        <w:jc w:val="both"/>
      </w:pPr>
      <w:r>
        <w:rPr>
          <w:rFonts w:ascii="Times New Roman" w:hAnsi="Times New Roman" w:cs="Times New Roman" w:eastAsia="Times New Roman" w:hint="default"/>
          <w:b/>
          <w:bCs/>
        </w:rPr>
        <w:t>15</w:t>
      </w:r>
      <w:r>
        <w:rPr>
          <w:rFonts w:ascii="宋体" w:hAnsi="宋体" w:cs="宋体" w:eastAsia="宋体" w:hint="default"/>
          <w:b/>
          <w:bCs/>
        </w:rPr>
        <w:t>、寇汉先生</w:t>
      </w:r>
      <w:r>
        <w:rPr/>
        <w:t>：</w:t>
      </w:r>
      <w:r>
        <w:rPr>
          <w:rFonts w:ascii="Times New Roman" w:hAnsi="Times New Roman" w:cs="Times New Roman" w:eastAsia="Times New Roman" w:hint="default"/>
        </w:rPr>
        <w:t>1975</w:t>
      </w:r>
      <w:r>
        <w:rPr/>
        <w:t>年出生，中国籍，西南财经大学本科毕业，清华大学经济管理学院研究生学历。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月至今任 哆可梦总经理，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月起担任本公司副总裁。</w:t>
      </w:r>
    </w:p>
    <w:p>
      <w:pPr>
        <w:pStyle w:val="BodyText"/>
        <w:spacing w:line="240" w:lineRule="auto" w:before="54"/>
        <w:ind w:right="1133"/>
        <w:jc w:val="left"/>
      </w:pPr>
      <w:r>
        <w:rPr/>
        <w:t>在股东单位任职情况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989"/>
        <w:gridCol w:w="2727"/>
        <w:gridCol w:w="1702"/>
        <w:gridCol w:w="1699"/>
        <w:gridCol w:w="1561"/>
        <w:gridCol w:w="1020"/>
      </w:tblGrid>
      <w:tr>
        <w:trPr>
          <w:trHeight w:val="1025"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98" w:right="39"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1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56" w:right="34" w:hanging="720"/>
              <w:jc w:val="left"/>
              <w:rPr>
                <w:rFonts w:ascii="宋体" w:hAnsi="宋体" w:cs="宋体" w:eastAsia="宋体" w:hint="default"/>
                <w:sz w:val="18"/>
                <w:szCs w:val="18"/>
              </w:rPr>
            </w:pPr>
            <w:r>
              <w:rPr>
                <w:rFonts w:ascii="宋体" w:hAnsi="宋体" w:cs="宋体" w:eastAsia="宋体" w:hint="default"/>
                <w:sz w:val="18"/>
                <w:szCs w:val="18"/>
              </w:rPr>
              <w:t>在股东单位担任的职 务</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在股东单位 是否领取报 酬津贴</w:t>
            </w:r>
          </w:p>
        </w:tc>
      </w:tr>
      <w:tr>
        <w:trPr>
          <w:trHeight w:val="40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张晶</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徐海啸</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董事、副总经理、财 务总监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r>
        <w:rPr/>
        <w:pict>
          <v:group style="position:absolute;margin-left:340.51001pt;margin-top:273.169983pt;width:56.2pt;height:28pt;mso-position-horizontal-relative:page;mso-position-vertical-relative:page;z-index:-1196656" coordorigin="6810,5463" coordsize="1124,560">
            <v:group style="position:absolute;left:6810;top:5463;width:1124;height:156" coordorigin="6810,5463" coordsize="1124,156">
              <v:shape style="position:absolute;left:6810;top:5463;width:1124;height:156" coordorigin="6810,5463" coordsize="1124,156" path="m6810,5619l7933,5619,7933,5463,6810,5463,6810,5619xe" filled="true" fillcolor="#ffffff" stroked="false">
                <v:path arrowok="t"/>
                <v:fill type="solid"/>
              </v:shape>
            </v:group>
            <v:group style="position:absolute;left:6822;top:5619;width:2;height:392" coordorigin="6822,5619" coordsize="2,392">
              <v:shape style="position:absolute;left:6822;top:5619;width:2;height:392" coordorigin="6822,5619" coordsize="0,392" path="m6822,5619l6822,6011e" filled="false" stroked="true" strokeweight="1.2pt" strokecolor="#ffffff">
                <v:path arrowok="t"/>
              </v:shape>
            </v:group>
            <v:group style="position:absolute;left:6834;top:5619;width:1078;height:392" coordorigin="6834,5619" coordsize="1078,392">
              <v:shape style="position:absolute;left:6834;top:5619;width:1078;height:392" coordorigin="6834,5619" coordsize="1078,392" path="m6834,6011l7912,6011,7912,5619,6834,5619,6834,6011xe" filled="true" fillcolor="#ffffff" stroked="false">
                <v:path arrowok="t"/>
                <v:fill type="solid"/>
              </v:shape>
            </v:group>
            <w10:wrap type="none"/>
          </v:group>
        </w:pict>
      </w:r>
    </w:p>
    <w:tbl>
      <w:tblPr>
        <w:tblW w:w="0" w:type="auto"/>
        <w:jc w:val="left"/>
        <w:tblInd w:w="119" w:type="dxa"/>
        <w:tblLayout w:type="fixed"/>
        <w:tblCellMar>
          <w:top w:w="0" w:type="dxa"/>
          <w:left w:w="0" w:type="dxa"/>
          <w:bottom w:w="0" w:type="dxa"/>
          <w:right w:w="0" w:type="dxa"/>
        </w:tblCellMar>
        <w:tblLook w:val="01E0"/>
      </w:tblPr>
      <w:tblGrid>
        <w:gridCol w:w="989"/>
        <w:gridCol w:w="2727"/>
        <w:gridCol w:w="1702"/>
        <w:gridCol w:w="1699"/>
        <w:gridCol w:w="1561"/>
        <w:gridCol w:w="1020"/>
      </w:tblGrid>
      <w:tr>
        <w:trPr>
          <w:trHeight w:val="40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夏云飞</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133"/>
        <w:jc w:val="left"/>
      </w:pPr>
      <w:r>
        <w:rPr/>
        <w:t>在其他单位任职情况</w:t>
      </w:r>
    </w:p>
    <w:p>
      <w:pPr>
        <w:pStyle w:val="BodyText"/>
        <w:spacing w:line="240" w:lineRule="auto" w:before="115"/>
        <w:ind w:right="1133"/>
        <w:jc w:val="left"/>
      </w:pPr>
      <w:r>
        <w:rPr/>
        <w:pict>
          <v:group style="position:absolute;margin-left:136.100006pt;margin-top:59.22171pt;width:260.6pt;height:35.2pt;mso-position-horizontal-relative:page;mso-position-vertical-relative:paragraph;z-index:-1196680" coordorigin="2722,1184" coordsize="5212,704">
            <v:group style="position:absolute;left:2722;top:1535;width:4055;height:353" coordorigin="2722,1535" coordsize="4055,353">
              <v:shape style="position:absolute;left:2722;top:1535;width:4055;height:353" coordorigin="2722,1535" coordsize="4055,353" path="m2722,1888l6777,1888,6777,1535,2722,1535,2722,1888xe" filled="true" fillcolor="#ffffff" stroked="false">
                <v:path arrowok="t"/>
                <v:fill type="solid"/>
              </v:shape>
            </v:group>
            <v:group style="position:absolute;left:6810;top:1184;width:1124;height:156" coordorigin="6810,1184" coordsize="1124,156">
              <v:shape style="position:absolute;left:6810;top:1184;width:1124;height:156" coordorigin="6810,1184" coordsize="1124,156" path="m6810,1340l7933,1340,7933,1184,6810,1184,6810,1340xe" filled="true" fillcolor="#ffffff" stroked="false">
                <v:path arrowok="t"/>
                <v:fill type="solid"/>
              </v:shape>
            </v:group>
            <v:group style="position:absolute;left:6834;top:1340;width:1078;height:392" coordorigin="6834,1340" coordsize="1078,392">
              <v:shape style="position:absolute;left:6834;top:1340;width:1078;height:392" coordorigin="6834,1340" coordsize="1078,392" path="m6834,1732l7912,1732,7912,1340,6834,1340,6834,1732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0"/>
        <w:gridCol w:w="4112"/>
        <w:gridCol w:w="1133"/>
        <w:gridCol w:w="708"/>
        <w:gridCol w:w="711"/>
        <w:gridCol w:w="1344"/>
      </w:tblGrid>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08"/>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 w:right="77"/>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3" w:hRule="exact"/>
        </w:trPr>
        <w:tc>
          <w:tcPr>
            <w:tcW w:w="156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8"/>
                <w:sz w:val="18"/>
              </w:rPr>
              <w:t>WAN </w:t>
            </w:r>
            <w:r>
              <w:rPr>
                <w:rFonts w:ascii="Times New Roman"/>
                <w:sz w:val="18"/>
              </w:rPr>
              <w:t>XIAO</w:t>
            </w:r>
            <w:r>
              <w:rPr>
                <w:rFonts w:ascii="Times New Roman"/>
                <w:spacing w:val="1"/>
                <w:sz w:val="18"/>
              </w:rPr>
              <w:t> </w:t>
            </w:r>
            <w:r>
              <w:rPr>
                <w:rFonts w:ascii="Times New Roman"/>
                <w:spacing w:val="-5"/>
                <w:sz w:val="18"/>
              </w:rPr>
              <w:t>YANG</w:t>
            </w:r>
          </w:p>
          <w:p>
            <w:pPr>
              <w:pStyle w:val="TableParagraph"/>
              <w:spacing w:line="240" w:lineRule="auto" w:before="60"/>
              <w:ind w:left="24" w:right="-46"/>
              <w:jc w:val="left"/>
              <w:rPr>
                <w:rFonts w:ascii="宋体" w:hAnsi="宋体" w:cs="宋体" w:eastAsia="宋体" w:hint="default"/>
                <w:sz w:val="18"/>
                <w:szCs w:val="18"/>
              </w:rPr>
            </w:pPr>
            <w:r>
              <w:rPr>
                <w:rFonts w:ascii="宋体" w:hAnsi="宋体" w:cs="宋体" w:eastAsia="宋体" w:hint="default"/>
                <w:spacing w:val="-7"/>
                <w:sz w:val="18"/>
                <w:szCs w:val="18"/>
              </w:rPr>
              <w:t>（中文名：万晓阳）</w:t>
            </w:r>
            <w:r>
              <w:rPr>
                <w:rFonts w:ascii="宋体" w:hAnsi="宋体" w:cs="宋体" w:eastAsia="宋体" w:hint="default"/>
                <w:sz w:val="18"/>
                <w:szCs w:val="18"/>
              </w:rPr>
            </w:r>
          </w:p>
        </w:tc>
        <w:tc>
          <w:tcPr>
            <w:tcW w:w="4112" w:type="dxa"/>
            <w:tcBorders>
              <w:top w:val="single" w:sz="4" w:space="0" w:color="000000"/>
              <w:left w:val="single" w:sz="13" w:space="0" w:color="FFFFFF"/>
              <w:bottom w:val="single" w:sz="4" w:space="0" w:color="000000"/>
              <w:right w:val="single" w:sz="13" w:space="0" w:color="FFFFFF"/>
            </w:tcBorders>
          </w:tcPr>
          <w:p>
            <w:pPr>
              <w:pStyle w:val="TableParagraph"/>
              <w:spacing w:line="314" w:lineRule="auto" w:before="49"/>
              <w:ind w:left="11" w:right="104"/>
              <w:jc w:val="left"/>
              <w:rPr>
                <w:rFonts w:ascii="宋体" w:hAnsi="宋体" w:cs="宋体" w:eastAsia="宋体" w:hint="default"/>
                <w:sz w:val="18"/>
                <w:szCs w:val="18"/>
              </w:rPr>
            </w:pPr>
            <w:r>
              <w:rPr>
                <w:rFonts w:ascii="宋体" w:hAnsi="宋体" w:cs="宋体" w:eastAsia="宋体" w:hint="default"/>
                <w:sz w:val="18"/>
                <w:szCs w:val="18"/>
              </w:rPr>
              <w:t>山东朗进科技股份有限公司（证券简称：朗进科技 证券代码：</w:t>
            </w:r>
            <w:r>
              <w:rPr>
                <w:rFonts w:ascii="Times New Roman" w:hAnsi="Times New Roman" w:cs="Times New Roman" w:eastAsia="Times New Roman" w:hint="default"/>
                <w:sz w:val="18"/>
                <w:szCs w:val="18"/>
              </w:rPr>
              <w:t>871452</w:t>
            </w:r>
            <w:r>
              <w:rPr>
                <w:rFonts w:ascii="宋体" w:hAnsi="宋体" w:cs="宋体" w:eastAsia="宋体" w:hint="default"/>
                <w:sz w:val="18"/>
                <w:szCs w:val="18"/>
              </w:rPr>
              <w:t>）</w:t>
            </w:r>
          </w:p>
        </w:tc>
        <w:tc>
          <w:tcPr>
            <w:tcW w:w="1133" w:type="dxa"/>
            <w:tcBorders>
              <w:top w:val="single" w:sz="4" w:space="0" w:color="000000"/>
              <w:left w:val="single" w:sz="13" w:space="0" w:color="FFFFFF"/>
              <w:bottom w:val="single" w:sz="4" w:space="0" w:color="000000"/>
              <w:right w:val="single" w:sz="4" w:space="0" w:color="000000"/>
            </w:tcBorders>
          </w:tcPr>
          <w:p>
            <w:pPr>
              <w:pStyle w:val="TableParagraph"/>
              <w:spacing w:line="196" w:lineRule="exact" w:before="49"/>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叶陈刚</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对外经济贸易大学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会计学与审 计学教授和 博士生导师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叶陈刚</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6"/>
              <w:jc w:val="left"/>
              <w:rPr>
                <w:rFonts w:ascii="宋体" w:hAnsi="宋体" w:cs="宋体" w:eastAsia="宋体" w:hint="default"/>
                <w:sz w:val="18"/>
                <w:szCs w:val="18"/>
              </w:rPr>
            </w:pPr>
            <w:r>
              <w:rPr>
                <w:rFonts w:ascii="宋体" w:hAnsi="宋体" w:cs="宋体" w:eastAsia="宋体" w:hint="default"/>
                <w:sz w:val="18"/>
                <w:szCs w:val="18"/>
              </w:rPr>
              <w:t>远大产业控股股份有限公司（证券简称：远大控股 证券代码：</w:t>
            </w:r>
            <w:r>
              <w:rPr>
                <w:rFonts w:ascii="Times New Roman" w:hAnsi="Times New Roman" w:cs="Times New Roman" w:eastAsia="Times New Roman" w:hint="default"/>
                <w:sz w:val="18"/>
                <w:szCs w:val="18"/>
              </w:rPr>
              <w:t>000626</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上海华盈创投（</w:t>
            </w:r>
            <w:r>
              <w:rPr>
                <w:rFonts w:ascii="Times New Roman" w:hAnsi="Times New Roman" w:cs="Times New Roman" w:eastAsia="Times New Roman" w:hint="default"/>
                <w:sz w:val="18"/>
                <w:szCs w:val="18"/>
              </w:rPr>
              <w:t>TDF</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Capital</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董事总经理 和合伙人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深圳图灵资产管理有限公司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4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4" w:right="134"/>
              <w:jc w:val="left"/>
              <w:rPr>
                <w:rFonts w:ascii="宋体" w:hAnsi="宋体" w:cs="宋体" w:eastAsia="宋体" w:hint="default"/>
                <w:sz w:val="18"/>
                <w:szCs w:val="18"/>
              </w:rPr>
            </w:pPr>
            <w:r>
              <w:rPr>
                <w:rFonts w:ascii="Times New Roman" w:hAnsi="Times New Roman" w:cs="Times New Roman" w:eastAsia="Times New Roman" w:hint="default"/>
                <w:sz w:val="18"/>
                <w:szCs w:val="18"/>
              </w:rPr>
              <w:t>Key Ke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Liu</w:t>
            </w:r>
            <w:r>
              <w:rPr>
                <w:rFonts w:ascii="宋体" w:hAnsi="宋体" w:cs="宋体" w:eastAsia="宋体" w:hint="default"/>
                <w:sz w:val="18"/>
                <w:szCs w:val="18"/>
              </w:rPr>
              <w:t>（中文 名：刘科）</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南方科技大学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清洁能源研 究院院长、创 新创业学院 院长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34"/>
              <w:jc w:val="left"/>
              <w:rPr>
                <w:rFonts w:ascii="宋体" w:hAnsi="宋体" w:cs="宋体" w:eastAsia="宋体" w:hint="default"/>
                <w:sz w:val="18"/>
                <w:szCs w:val="18"/>
              </w:rPr>
            </w:pPr>
            <w:r>
              <w:rPr>
                <w:rFonts w:ascii="Times New Roman" w:hAnsi="Times New Roman" w:cs="Times New Roman" w:eastAsia="Times New Roman" w:hint="default"/>
                <w:sz w:val="18"/>
                <w:szCs w:val="18"/>
              </w:rPr>
              <w:t>Key Ke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Liu</w:t>
            </w:r>
            <w:r>
              <w:rPr>
                <w:rFonts w:ascii="宋体" w:hAnsi="宋体" w:cs="宋体" w:eastAsia="宋体" w:hint="default"/>
                <w:sz w:val="18"/>
                <w:szCs w:val="18"/>
              </w:rPr>
              <w:t>（中文 名：刘科）</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4"/>
              <w:jc w:val="left"/>
              <w:rPr>
                <w:rFonts w:ascii="宋体" w:hAnsi="宋体" w:cs="宋体" w:eastAsia="宋体" w:hint="default"/>
                <w:sz w:val="18"/>
                <w:szCs w:val="18"/>
              </w:rPr>
            </w:pPr>
            <w:r>
              <w:rPr>
                <w:rFonts w:ascii="宋体" w:hAnsi="宋体" w:cs="宋体" w:eastAsia="宋体" w:hint="default"/>
                <w:spacing w:val="-4"/>
                <w:sz w:val="18"/>
                <w:szCs w:val="18"/>
              </w:rPr>
              <w:t>宁波江丰电子材料股份有限公司（证券简称：江丰电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子，证券代码：</w:t>
            </w:r>
            <w:r>
              <w:rPr>
                <w:rFonts w:ascii="Times New Roman" w:hAnsi="Times New Roman" w:cs="Times New Roman" w:eastAsia="Times New Roman" w:hint="default"/>
                <w:sz w:val="18"/>
                <w:szCs w:val="18"/>
              </w:rPr>
              <w:t>300666</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梅绍华</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经济学院兼 职教授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梅绍华</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中关村股权投资协会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梅绍华</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pacing w:val="-4"/>
                <w:sz w:val="18"/>
                <w:szCs w:val="18"/>
              </w:rPr>
              <w:t>北京弘高创意建筑设计股份有限公司（证券简称：弘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高创意，证券代码：</w:t>
            </w:r>
            <w:r>
              <w:rPr>
                <w:rFonts w:ascii="Times New Roman" w:hAnsi="Times New Roman" w:cs="Times New Roman" w:eastAsia="Times New Roman" w:hint="default"/>
                <w:sz w:val="18"/>
                <w:szCs w:val="18"/>
              </w:rPr>
              <w:t>002504</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董事、监事、高级管理人员报酬的决策程序、确定依据、实际支付情况</w:t>
      </w:r>
    </w:p>
    <w:p>
      <w:pPr>
        <w:pStyle w:val="Heading4"/>
        <w:spacing w:line="240" w:lineRule="auto" w:before="115"/>
        <w:ind w:right="1133"/>
        <w:jc w:val="left"/>
        <w:rPr>
          <w:b w:val="0"/>
          <w:bCs w:val="0"/>
        </w:rPr>
      </w:pPr>
      <w:r>
        <w:rPr>
          <w:rFonts w:ascii="Times New Roman" w:hAnsi="Times New Roman" w:cs="Times New Roman" w:eastAsia="Times New Roman" w:hint="default"/>
        </w:rPr>
        <w:t>1</w:t>
      </w:r>
      <w:r>
        <w:rPr/>
        <w:t>、决策程序：</w:t>
      </w:r>
      <w:r>
        <w:rPr>
          <w:b w:val="0"/>
          <w:bCs w:val="0"/>
        </w:rPr>
      </w:r>
    </w:p>
    <w:p>
      <w:pPr>
        <w:pStyle w:val="BodyText"/>
        <w:spacing w:line="240" w:lineRule="auto" w:before="63"/>
        <w:ind w:left="513" w:right="1133"/>
        <w:jc w:val="left"/>
      </w:pPr>
      <w:r>
        <w:rPr/>
        <w:t>（</w:t>
      </w:r>
      <w:r>
        <w:rPr>
          <w:rFonts w:ascii="Times New Roman" w:hAnsi="Times New Roman" w:cs="Times New Roman" w:eastAsia="Times New Roman" w:hint="default"/>
        </w:rPr>
        <w:t>1</w:t>
      </w:r>
      <w:r>
        <w:rPr/>
        <w:t>）董事会薪酬与考核委员会负责拟订公司董事、监事薪酬方案及独立董事津贴方案经公司股东大会批准后实施。</w:t>
      </w:r>
    </w:p>
    <w:p>
      <w:pPr>
        <w:pStyle w:val="BodyText"/>
        <w:spacing w:line="309" w:lineRule="auto" w:before="63"/>
        <w:ind w:right="1132" w:firstLine="360"/>
        <w:jc w:val="both"/>
      </w:pPr>
      <w:r>
        <w:rPr/>
        <w:t>（</w:t>
      </w:r>
      <w:r>
        <w:rPr>
          <w:rFonts w:ascii="Times New Roman" w:hAnsi="Times New Roman" w:cs="Times New Roman" w:eastAsia="Times New Roman" w:hint="default"/>
        </w:rPr>
        <w:t>2</w:t>
      </w:r>
      <w:r>
        <w:rPr/>
        <w:t>）董事会薪酬与考核委员会是确定公司高管人员薪酬方案、负责薪酬管理、考核和监督的专门机构，对于公司引进 </w:t>
      </w:r>
      <w:r>
        <w:rPr>
          <w:spacing w:val="-2"/>
        </w:rPr>
        <w:t>高管人员或对公司有杰出贡献的人员，可由总裁参考引进人员原有的薪酬水平及引进人员对公司的贡献情况另行拟订其薪酬</w:t>
      </w:r>
      <w:r>
        <w:rPr>
          <w:spacing w:val="-64"/>
        </w:rPr>
        <w:t> </w:t>
      </w:r>
      <w:r>
        <w:rPr>
          <w:spacing w:val="-64"/>
        </w:rPr>
      </w:r>
      <w:r>
        <w:rPr/>
        <w:t>方案。</w:t>
      </w:r>
    </w:p>
    <w:p>
      <w:pPr>
        <w:pStyle w:val="BodyText"/>
        <w:spacing w:line="300" w:lineRule="auto" w:before="24"/>
        <w:ind w:right="1131" w:firstLine="360"/>
        <w:jc w:val="both"/>
      </w:pPr>
      <w:r>
        <w:rPr>
          <w:rFonts w:ascii="Times New Roman" w:hAnsi="Times New Roman" w:cs="Times New Roman" w:eastAsia="Times New Roman" w:hint="default"/>
          <w:b/>
          <w:bCs/>
          <w:spacing w:val="-4"/>
        </w:rPr>
        <w:t>2</w:t>
      </w:r>
      <w:r>
        <w:rPr>
          <w:rFonts w:ascii="宋体" w:hAnsi="宋体" w:cs="宋体" w:eastAsia="宋体" w:hint="default"/>
          <w:b/>
          <w:bCs/>
          <w:spacing w:val="-4"/>
        </w:rPr>
        <w:t>、确定依据：</w:t>
      </w:r>
      <w:r>
        <w:rPr>
          <w:rFonts w:ascii="Times New Roman" w:hAnsi="Times New Roman" w:cs="Times New Roman" w:eastAsia="Times New Roman" w:hint="default"/>
          <w:spacing w:val="-4"/>
        </w:rPr>
        <w:t>2017</w:t>
      </w:r>
      <w:r>
        <w:rPr>
          <w:spacing w:val="-4"/>
        </w:rPr>
        <w:t>年第二次临时股东大会审议通过的《关于公司第六届董事会董事、第六届监事会监事薪酬的议案》、</w:t>
      </w:r>
      <w:r>
        <w:rPr/>
        <w:t> </w:t>
      </w:r>
      <w:r>
        <w:rPr>
          <w:spacing w:val="-2"/>
        </w:rPr>
        <w:t>第六届董事会第一次会议审议通过的《关于确定公司高级管理人员薪酬的议案》、</w:t>
      </w:r>
      <w:r>
        <w:rPr>
          <w:rFonts w:ascii="Times New Roman" w:hAnsi="Times New Roman" w:cs="Times New Roman" w:eastAsia="Times New Roman" w:hint="default"/>
          <w:spacing w:val="-2"/>
        </w:rPr>
        <w:t>2015</w:t>
      </w:r>
      <w:r>
        <w:rPr>
          <w:spacing w:val="-2"/>
        </w:rPr>
        <w:t>年两期股权激励计划及</w:t>
      </w:r>
      <w:r>
        <w:rPr>
          <w:rFonts w:ascii="Times New Roman" w:hAnsi="Times New Roman" w:cs="Times New Roman" w:eastAsia="Times New Roman" w:hint="default"/>
          <w:spacing w:val="-2"/>
        </w:rPr>
        <w:t>2016</w:t>
      </w:r>
      <w:r>
        <w:rPr>
          <w:spacing w:val="-2"/>
        </w:rPr>
        <w:t>年股权激</w:t>
      </w:r>
    </w:p>
    <w:p>
      <w:pPr>
        <w:spacing w:after="0" w:line="300"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r>
        <w:rPr/>
        <w:pict>
          <v:group style="position:absolute;margin-left:207.050003pt;margin-top:370.72998pt;width:103.45pt;height:19.6pt;mso-position-horizontal-relative:page;mso-position-vertical-relative:page;z-index:-1196632" coordorigin="4141,7415" coordsize="2069,392">
            <v:shape style="position:absolute;left:4141;top:7415;width:2069;height:392" coordorigin="4141,7415" coordsize="2069,392" path="m4141,7806l6210,7806,6210,7415,4141,7415,4141,7806xe" filled="true" fillcolor="#ffffff" stroked="false">
              <v:path arrowok="t"/>
              <v:fill type="solid"/>
            </v:shape>
            <w10:wrap type="none"/>
          </v:group>
        </w:pict>
      </w:r>
    </w:p>
    <w:p>
      <w:pPr>
        <w:pStyle w:val="BodyText"/>
        <w:spacing w:line="240" w:lineRule="auto" w:before="44"/>
        <w:ind w:right="1133"/>
        <w:jc w:val="left"/>
      </w:pPr>
      <w:r>
        <w:rPr/>
        <w:t>励计划。</w:t>
      </w:r>
    </w:p>
    <w:p>
      <w:pPr>
        <w:pStyle w:val="Heading4"/>
        <w:spacing w:line="240" w:lineRule="auto" w:before="76"/>
        <w:ind w:right="1133"/>
        <w:jc w:val="left"/>
        <w:rPr>
          <w:b w:val="0"/>
          <w:bCs w:val="0"/>
        </w:rPr>
      </w:pPr>
      <w:r>
        <w:rPr>
          <w:rFonts w:ascii="Times New Roman" w:hAnsi="Times New Roman" w:cs="Times New Roman" w:eastAsia="Times New Roman" w:hint="default"/>
        </w:rPr>
        <w:t>3</w:t>
      </w:r>
      <w:r>
        <w:rPr/>
        <w:t>、实际支付情况：</w:t>
      </w:r>
      <w:r>
        <w:rPr>
          <w:b w:val="0"/>
          <w:bCs w:val="0"/>
        </w:rPr>
      </w:r>
    </w:p>
    <w:p>
      <w:pPr>
        <w:pStyle w:val="BodyText"/>
        <w:spacing w:line="300" w:lineRule="auto" w:before="63"/>
        <w:ind w:right="1124" w:firstLine="360"/>
        <w:jc w:val="left"/>
      </w:pPr>
      <w:r>
        <w:rPr/>
        <w:t>（</w:t>
      </w:r>
      <w:r>
        <w:rPr>
          <w:rFonts w:ascii="Times New Roman" w:hAnsi="Times New Roman" w:cs="Times New Roman" w:eastAsia="Times New Roman" w:hint="default"/>
        </w:rPr>
        <w:t>1</w:t>
      </w:r>
      <w:r>
        <w:rPr/>
        <w:t>）报告期内，董事、监事的薪酬根据</w:t>
      </w:r>
      <w:r>
        <w:rPr>
          <w:rFonts w:ascii="Times New Roman" w:hAnsi="Times New Roman" w:cs="Times New Roman" w:eastAsia="Times New Roman" w:hint="default"/>
        </w:rPr>
        <w:t>2017</w:t>
      </w:r>
      <w:r>
        <w:rPr/>
        <w:t>年第二次临时股东大会审议通过的《关于公司第六届董事会董事、第六届 监事会监事薪酬的议案》按月发放。</w:t>
      </w:r>
    </w:p>
    <w:p>
      <w:pPr>
        <w:pStyle w:val="BodyText"/>
        <w:spacing w:line="300" w:lineRule="auto" w:before="31"/>
        <w:ind w:right="1124" w:firstLine="360"/>
        <w:jc w:val="left"/>
      </w:pPr>
      <w:r>
        <w:rPr/>
        <w:t>（</w:t>
      </w:r>
      <w:r>
        <w:rPr>
          <w:rFonts w:ascii="Times New Roman" w:hAnsi="Times New Roman" w:cs="Times New Roman" w:eastAsia="Times New Roman" w:hint="default"/>
        </w:rPr>
        <w:t>2</w:t>
      </w:r>
      <w:r>
        <w:rPr/>
        <w:t>）报告期内，公司高级管理人员的基本工资根据第六届董事会第一次会议审议通过的《关于确定公司高级管理人员 薪酬的议案》按月发放，绩效奖金根据《高级管理人员绩效考核实施细则》在年度绩效考评结束后发放。</w:t>
      </w:r>
    </w:p>
    <w:p>
      <w:pPr>
        <w:pStyle w:val="BodyText"/>
        <w:spacing w:line="300" w:lineRule="auto" w:before="31"/>
        <w:ind w:right="1124" w:firstLine="360"/>
        <w:jc w:val="left"/>
      </w:pPr>
      <w:r>
        <w:rPr/>
        <w:t>（</w:t>
      </w:r>
      <w:r>
        <w:rPr>
          <w:rFonts w:ascii="Times New Roman" w:hAnsi="Times New Roman" w:cs="Times New Roman" w:eastAsia="Times New Roman" w:hint="default"/>
        </w:rPr>
        <w:t>3</w:t>
      </w:r>
      <w:r>
        <w:rPr/>
        <w:t>）报告期内，公司董事、高级管理人员的股权激励根据</w:t>
      </w:r>
      <w:r>
        <w:rPr>
          <w:rFonts w:ascii="Times New Roman" w:hAnsi="Times New Roman" w:cs="Times New Roman" w:eastAsia="Times New Roman" w:hint="default"/>
        </w:rPr>
        <w:t>2015</w:t>
      </w:r>
      <w:r>
        <w:rPr/>
        <w:t>年两期股权激励计划和</w:t>
      </w:r>
      <w:r>
        <w:rPr>
          <w:rFonts w:ascii="Times New Roman" w:hAnsi="Times New Roman" w:cs="Times New Roman" w:eastAsia="Times New Roman" w:hint="default"/>
        </w:rPr>
        <w:t>2016</w:t>
      </w:r>
      <w:r>
        <w:rPr/>
        <w:t>年股权激励计划的实施情况 和公司具体安排解除限售。</w:t>
      </w:r>
    </w:p>
    <w:p>
      <w:pPr>
        <w:pStyle w:val="BodyText"/>
        <w:spacing w:line="240" w:lineRule="auto" w:before="72"/>
        <w:ind w:right="1133"/>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2126"/>
        <w:gridCol w:w="569"/>
        <w:gridCol w:w="566"/>
        <w:gridCol w:w="600"/>
        <w:gridCol w:w="1366"/>
        <w:gridCol w:w="1368"/>
      </w:tblGrid>
      <w:tr>
        <w:trPr>
          <w:trHeight w:val="71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3"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张晶</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4"/>
              <w:jc w:val="righ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徐海啸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4"/>
              <w:jc w:val="righ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977" w:type="dxa"/>
            <w:tcBorders>
              <w:top w:val="single" w:sz="4" w:space="0" w:color="000000"/>
              <w:left w:val="single" w:sz="4" w:space="0" w:color="000000"/>
              <w:bottom w:val="single" w:sz="4" w:space="0" w:color="000000"/>
              <w:right w:val="single" w:sz="14" w:space="0" w:color="FFFFF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WAN </w:t>
            </w:r>
            <w:r>
              <w:rPr>
                <w:rFonts w:ascii="Times New Roman" w:hAnsi="Times New Roman" w:cs="Times New Roman" w:eastAsia="Times New Roman" w:hint="default"/>
                <w:sz w:val="18"/>
                <w:szCs w:val="18"/>
              </w:rPr>
              <w:t>XIAO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6"/>
                <w:sz w:val="18"/>
                <w:szCs w:val="18"/>
              </w:rPr>
              <w:t>YANG</w:t>
            </w:r>
            <w:r>
              <w:rPr>
                <w:rFonts w:ascii="宋体" w:hAnsi="宋体" w:cs="宋体" w:eastAsia="宋体" w:hint="default"/>
                <w:spacing w:val="-6"/>
                <w:sz w:val="18"/>
                <w:szCs w:val="18"/>
              </w:rPr>
              <w:t>（中文名：万晓阳</w:t>
            </w:r>
          </w:p>
        </w:tc>
        <w:tc>
          <w:tcPr>
            <w:tcW w:w="2126"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pacing w:val="-23"/>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4"/>
              <w:jc w:val="righ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叶陈刚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4"/>
              <w:jc w:val="righ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Key Ke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Liu</w:t>
            </w:r>
            <w:r>
              <w:rPr>
                <w:rFonts w:ascii="宋体" w:hAnsi="宋体" w:cs="宋体" w:eastAsia="宋体" w:hint="default"/>
                <w:sz w:val="18"/>
                <w:szCs w:val="18"/>
              </w:rPr>
              <w:t>（中文名：刘科）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梅绍华</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4"/>
              <w:jc w:val="righ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夏云飞</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温秋萍</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4"/>
              <w:jc w:val="righ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刘扬</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8"/>
                <w:sz w:val="18"/>
                <w:szCs w:val="18"/>
              </w:rPr>
              <w:t>董事会秘书、副总裁、财务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4"/>
              <w:jc w:val="righ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43</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4"/>
              <w:jc w:val="righ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迟永军</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4"/>
              <w:jc w:val="righ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33"/>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944.84</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79" w:top="1100" w:bottom="1160" w:left="980" w:right="0"/>
        </w:sectPr>
      </w:pPr>
    </w:p>
    <w:p>
      <w:pPr>
        <w:pStyle w:val="BodyText"/>
        <w:spacing w:line="240" w:lineRule="auto" w:before="44"/>
        <w:ind w:right="-20"/>
        <w:jc w:val="left"/>
      </w:pPr>
      <w:r>
        <w:rPr/>
        <w:t>公司董事、高级管理人员报告期内被授予的股权激励情况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0"/>
          <w:cols w:num="2" w:equalWidth="0">
            <w:col w:w="4653" w:space="426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2"/>
        <w:gridCol w:w="868"/>
        <w:gridCol w:w="872"/>
        <w:gridCol w:w="869"/>
        <w:gridCol w:w="869"/>
        <w:gridCol w:w="871"/>
        <w:gridCol w:w="869"/>
        <w:gridCol w:w="872"/>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2"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71"/>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5" w:right="43"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19"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徐海啸</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314" w:lineRule="auto" w:before="51"/>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张晶</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314" w:lineRule="auto" w:before="51"/>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w:t>
            </w:r>
          </w:p>
        </w:tc>
      </w:tr>
      <w:tr>
        <w:trPr>
          <w:trHeight w:val="165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140"/>
              <w:jc w:val="left"/>
              <w:rPr>
                <w:rFonts w:ascii="Times New Roman" w:hAnsi="Times New Roman" w:cs="Times New Roman" w:eastAsia="Times New Roman" w:hint="default"/>
                <w:sz w:val="18"/>
                <w:szCs w:val="18"/>
              </w:rPr>
            </w:pPr>
            <w:r>
              <w:rPr>
                <w:rFonts w:ascii="Times New Roman"/>
                <w:spacing w:val="-8"/>
                <w:sz w:val="18"/>
              </w:rPr>
              <w:t>WAN</w:t>
            </w:r>
            <w:r>
              <w:rPr>
                <w:rFonts w:ascii="Times New Roman"/>
                <w:w w:val="99"/>
                <w:sz w:val="18"/>
              </w:rPr>
              <w:t> </w:t>
            </w:r>
            <w:r>
              <w:rPr>
                <w:rFonts w:ascii="Times New Roman"/>
                <w:spacing w:val="-4"/>
                <w:sz w:val="18"/>
              </w:rPr>
              <w:t>XIAOYA</w:t>
            </w:r>
          </w:p>
          <w:p>
            <w:pPr>
              <w:pStyle w:val="TableParagraph"/>
              <w:spacing w:line="21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NG(</w:t>
            </w:r>
            <w:r>
              <w:rPr>
                <w:rFonts w:ascii="宋体" w:hAnsi="宋体" w:cs="宋体" w:eastAsia="宋体" w:hint="default"/>
                <w:sz w:val="18"/>
                <w:szCs w:val="18"/>
              </w:rPr>
              <w:t>中文</w:t>
            </w:r>
          </w:p>
          <w:p>
            <w:pPr>
              <w:pStyle w:val="TableParagraph"/>
              <w:spacing w:line="316" w:lineRule="auto" w:before="63"/>
              <w:ind w:left="24"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名：万晓 阳</w:t>
            </w:r>
            <w:r>
              <w:rPr>
                <w:rFonts w:ascii="Times New Roman" w:hAnsi="Times New Roman" w:cs="Times New Roman" w:eastAsia="Times New Roman" w:hint="default"/>
                <w:sz w:val="18"/>
                <w:szCs w:val="18"/>
              </w:rPr>
              <w:t>)</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870,000</w:t>
            </w: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40"/>
              <w:jc w:val="left"/>
              <w:rPr>
                <w:rFonts w:ascii="Times New Roman" w:hAnsi="Times New Roman" w:cs="Times New Roman" w:eastAsia="Times New Roman" w:hint="default"/>
                <w:sz w:val="18"/>
                <w:szCs w:val="18"/>
              </w:rPr>
            </w:pPr>
            <w:r>
              <w:rPr>
                <w:rFonts w:ascii="Times New Roman"/>
                <w:spacing w:val="-8"/>
                <w:sz w:val="18"/>
              </w:rPr>
              <w:t>WAN</w:t>
            </w:r>
            <w:r>
              <w:rPr>
                <w:rFonts w:ascii="Times New Roman"/>
                <w:w w:val="99"/>
                <w:sz w:val="18"/>
              </w:rPr>
              <w:t> </w:t>
            </w:r>
            <w:r>
              <w:rPr>
                <w:rFonts w:ascii="Times New Roman"/>
                <w:spacing w:val="-4"/>
                <w:sz w:val="18"/>
              </w:rPr>
              <w:t>XIAOYA</w:t>
            </w:r>
          </w:p>
          <w:p>
            <w:pPr>
              <w:pStyle w:val="TableParagraph"/>
              <w:spacing w:line="21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NG(</w:t>
            </w:r>
            <w:r>
              <w:rPr>
                <w:rFonts w:ascii="宋体" w:hAnsi="宋体" w:cs="宋体" w:eastAsia="宋体" w:hint="default"/>
                <w:sz w:val="18"/>
                <w:szCs w:val="18"/>
              </w:rPr>
              <w:t>中文</w:t>
            </w:r>
          </w:p>
          <w:p>
            <w:pPr>
              <w:pStyle w:val="TableParagraph"/>
              <w:spacing w:line="316" w:lineRule="auto" w:before="63"/>
              <w:ind w:left="24"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名：万晓 阳</w:t>
            </w:r>
            <w:r>
              <w:rPr>
                <w:rFonts w:ascii="Times New Roman" w:hAnsi="Times New Roman" w:cs="Times New Roman" w:eastAsia="Times New Roman" w:hint="default"/>
                <w:sz w:val="18"/>
                <w:szCs w:val="18"/>
              </w:rPr>
              <w:t>)</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迟永军</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2"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25,925,000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18,995,000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6,930,000</w:t>
            </w:r>
          </w:p>
        </w:tc>
      </w:tr>
      <w:tr>
        <w:trPr>
          <w:trHeight w:val="1652" w:hRule="exact"/>
        </w:trPr>
        <w:tc>
          <w:tcPr>
            <w:tcW w:w="1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9" w:type="dxa"/>
            <w:gridSpan w:val="9"/>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5" w:right="1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WAN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XIAO</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4"/>
                <w:sz w:val="18"/>
                <w:szCs w:val="18"/>
              </w:rPr>
              <w:t>YANG</w:t>
            </w:r>
            <w:r>
              <w:rPr>
                <w:rFonts w:ascii="宋体" w:hAnsi="宋体" w:cs="宋体" w:eastAsia="宋体" w:hint="default"/>
                <w:spacing w:val="-4"/>
                <w:sz w:val="18"/>
                <w:szCs w:val="18"/>
              </w:rPr>
              <w:t>（中文名：万晓阳）先生期初持有的以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7.49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股价格获授的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160 </w:t>
            </w:r>
            <w:r>
              <w:rPr>
                <w:rFonts w:ascii="宋体" w:hAnsi="宋体" w:cs="宋体" w:eastAsia="宋体" w:hint="default"/>
                <w:sz w:val="18"/>
                <w:szCs w:val="18"/>
              </w:rPr>
              <w:t>万股限制性股票 中有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万股在本期是被回购注销的；方莉女士期初持有的以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股价格获授的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万股限制性股</w:t>
            </w:r>
          </w:p>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票中有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万股在本期是被回购注销的；方莉女士期初持有的以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股价格获授的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万股限制</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性股票中有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万股在本期是被回购注销的；迟永军先生持有的以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股价格获授的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万股限制</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性股票中有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万股在本期是被回购注销的。</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19"/>
          <w:szCs w:val="19"/>
        </w:rPr>
      </w:pPr>
    </w:p>
    <w:p>
      <w:pPr>
        <w:pStyle w:val="Heading2"/>
        <w:spacing w:line="240" w:lineRule="auto" w:before="26"/>
        <w:ind w:right="113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876</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1,488</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876</w:t>
            </w:r>
          </w:p>
        </w:tc>
      </w:tr>
      <w:tr>
        <w:trPr>
          <w:trHeight w:val="39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876</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0" w:firstLine="425"/>
        <w:jc w:val="both"/>
      </w:pPr>
      <w:r>
        <w:rPr/>
        <w:t>公司的薪酬结构包括基本薪金及津贴、绩效工资，坚持公司与员工共同发展的原则，为员工提供公平的及有竞争力的 </w:t>
      </w:r>
      <w:r>
        <w:rPr>
          <w:spacing w:val="-2"/>
        </w:rPr>
        <w:t>福利待遇，严格遵照劳动法及劳动合同法规定，实行对全体员工劳动合同制，并根据相关规定缴纳各类社会保险及住房公积</w:t>
      </w:r>
      <w:r>
        <w:rPr>
          <w:spacing w:val="-63"/>
        </w:rPr>
        <w:t> </w:t>
      </w:r>
      <w:r>
        <w:rPr>
          <w:spacing w:val="-63"/>
        </w:rPr>
      </w:r>
      <w:r>
        <w:rPr>
          <w:spacing w:val="-2"/>
        </w:rPr>
        <w:t>金，针对部分特殊岗位购买意外险。对于各类休假严格按照劳动法及相关法律法规规定执行。公司定期会根据员工上年度绩</w:t>
      </w:r>
      <w:r>
        <w:rPr>
          <w:spacing w:val="-63"/>
        </w:rPr>
        <w:t> </w:t>
      </w:r>
      <w:r>
        <w:rPr>
          <w:spacing w:val="-63"/>
        </w:rPr>
      </w:r>
      <w:r>
        <w:rPr>
          <w:spacing w:val="-2"/>
        </w:rPr>
        <w:t>效考核、工作结果对员工重新进行定薪定级。公司对工资核算及发放制定了严格的审批流程，确保员工工资发放的准确、及</w:t>
      </w:r>
      <w:r>
        <w:rPr>
          <w:spacing w:val="-64"/>
        </w:rPr>
        <w:t> </w:t>
      </w:r>
      <w:r>
        <w:rPr>
          <w:spacing w:val="-64"/>
        </w:rPr>
      </w:r>
      <w:r>
        <w:rPr/>
        <w:t>时。</w:t>
      </w:r>
    </w:p>
    <w:p>
      <w:pPr>
        <w:pStyle w:val="BodyText"/>
        <w:spacing w:line="338" w:lineRule="auto" w:before="59"/>
        <w:ind w:left="578"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报告期内职工薪酬总额（计入成本部分）为</w:t>
      </w:r>
      <w:r>
        <w:rPr>
          <w:rFonts w:ascii="Times New Roman" w:hAnsi="Times New Roman" w:cs="Times New Roman" w:eastAsia="Times New Roman" w:hint="default"/>
        </w:rPr>
        <w:t>12,509.55</w:t>
      </w:r>
      <w:r>
        <w:rPr/>
        <w:t>万元，占公司成本总额</w:t>
      </w:r>
      <w:r>
        <w:rPr>
          <w:rFonts w:ascii="Times New Roman" w:hAnsi="Times New Roman" w:cs="Times New Roman" w:eastAsia="Times New Roman" w:hint="default"/>
        </w:rPr>
        <w:t>162,104.60</w:t>
      </w:r>
      <w:r>
        <w:rPr/>
        <w:t>的</w:t>
      </w:r>
      <w:r>
        <w:rPr>
          <w:rFonts w:ascii="Times New Roman" w:hAnsi="Times New Roman" w:cs="Times New Roman" w:eastAsia="Times New Roman" w:hint="default"/>
        </w:rPr>
        <w:t>7.72%</w:t>
      </w:r>
      <w:r>
        <w:rPr/>
        <w:t>，职工薪酬总额占公司</w:t>
      </w:r>
    </w:p>
    <w:p>
      <w:pPr>
        <w:pStyle w:val="BodyText"/>
        <w:spacing w:line="217" w:lineRule="exact"/>
        <w:ind w:right="1133"/>
        <w:jc w:val="left"/>
      </w:pPr>
      <w:r>
        <w:rPr/>
        <w:t>成本总额比重较小，公司利润对职工薪酬总额变化的敏感性较低。</w:t>
      </w:r>
    </w:p>
    <w:p>
      <w:pPr>
        <w:pStyle w:val="BodyText"/>
        <w:spacing w:line="300" w:lineRule="auto" w:before="117"/>
        <w:ind w:right="1130" w:firstLine="425"/>
        <w:jc w:val="both"/>
      </w:pPr>
      <w:r>
        <w:rPr/>
        <w:t>报告期内核心技术人员数量（含离职）为</w:t>
      </w:r>
      <w:r>
        <w:rPr>
          <w:rFonts w:ascii="Times New Roman" w:hAnsi="Times New Roman" w:cs="Times New Roman" w:eastAsia="Times New Roman" w:hint="default"/>
        </w:rPr>
        <w:t>160</w:t>
      </w:r>
      <w:r>
        <w:rPr/>
        <w:t>人，占当期领取薪酬员工总人数</w:t>
      </w:r>
      <w:r>
        <w:rPr>
          <w:rFonts w:ascii="Times New Roman" w:hAnsi="Times New Roman" w:cs="Times New Roman" w:eastAsia="Times New Roman" w:hint="default"/>
        </w:rPr>
        <w:t>1,488</w:t>
      </w:r>
      <w:r>
        <w:rPr/>
        <w:t>人的</w:t>
      </w:r>
      <w:r>
        <w:rPr>
          <w:rFonts w:ascii="Times New Roman" w:hAnsi="Times New Roman" w:cs="Times New Roman" w:eastAsia="Times New Roman" w:hint="default"/>
        </w:rPr>
        <w:t>10.75%</w:t>
      </w:r>
      <w:r>
        <w:rPr/>
        <w:t>，核心技术人员薪酬总 </w:t>
      </w:r>
      <w:r>
        <w:rPr>
          <w:spacing w:val="-1"/>
        </w:rPr>
        <w:t>额（含离职）为</w:t>
      </w:r>
      <w:r>
        <w:rPr>
          <w:rFonts w:ascii="Times New Roman" w:hAnsi="Times New Roman" w:cs="Times New Roman" w:eastAsia="Times New Roman" w:hint="default"/>
          <w:spacing w:val="-1"/>
        </w:rPr>
        <w:t>2,183.72</w:t>
      </w:r>
      <w:r>
        <w:rPr>
          <w:spacing w:val="-1"/>
        </w:rPr>
        <w:t>万元，占职工薪酬总额</w:t>
      </w:r>
      <w:r>
        <w:rPr>
          <w:rFonts w:ascii="Times New Roman" w:hAnsi="Times New Roman" w:cs="Times New Roman" w:eastAsia="Times New Roman" w:hint="default"/>
          <w:spacing w:val="-1"/>
        </w:rPr>
        <w:t>12,509.55</w:t>
      </w:r>
      <w:r>
        <w:rPr>
          <w:spacing w:val="-1"/>
        </w:rPr>
        <w:t>万元的</w:t>
      </w:r>
      <w:r>
        <w:rPr>
          <w:rFonts w:ascii="Times New Roman" w:hAnsi="Times New Roman" w:cs="Times New Roman" w:eastAsia="Times New Roman" w:hint="default"/>
          <w:spacing w:val="-1"/>
        </w:rPr>
        <w:t>17.46%</w:t>
      </w:r>
      <w:r>
        <w:rPr>
          <w:spacing w:val="-1"/>
        </w:rPr>
        <w:t>，相比</w:t>
      </w:r>
      <w:r>
        <w:rPr>
          <w:rFonts w:ascii="Times New Roman" w:hAnsi="Times New Roman" w:cs="Times New Roman" w:eastAsia="Times New Roman" w:hint="default"/>
          <w:spacing w:val="-1"/>
        </w:rPr>
        <w:t>2017</w:t>
      </w:r>
      <w:r>
        <w:rPr>
          <w:spacing w:val="-1"/>
        </w:rPr>
        <w:t>年度变动较大，主要系</w:t>
      </w:r>
      <w:r>
        <w:rPr>
          <w:rFonts w:ascii="宋体" w:hAnsi="宋体" w:cs="宋体" w:eastAsia="宋体" w:hint="default"/>
          <w:spacing w:val="-1"/>
        </w:rPr>
        <w:t>2017</w:t>
      </w:r>
      <w:r>
        <w:rPr>
          <w:spacing w:val="-1"/>
        </w:rPr>
        <w:t>年底新增控股</w:t>
      </w:r>
      <w:r>
        <w:rPr>
          <w:spacing w:val="-44"/>
        </w:rPr>
        <w:t> </w:t>
      </w:r>
      <w:r>
        <w:rPr>
          <w:spacing w:val="-44"/>
        </w:rPr>
      </w:r>
      <w:r>
        <w:rPr/>
        <w:t>子公司哆可梦在本报告期公司合并报表时间持续一年（去年同期合并报表时间仅</w:t>
      </w:r>
      <w:r>
        <w:rPr>
          <w:rFonts w:ascii="宋体" w:hAnsi="宋体" w:cs="宋体" w:eastAsia="宋体" w:hint="default"/>
        </w:rPr>
        <w:t>10</w:t>
      </w:r>
      <w:r>
        <w:rPr/>
        <w:t>天）所致。</w:t>
      </w:r>
    </w:p>
    <w:p>
      <w:pPr>
        <w:spacing w:after="0" w:line="300"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3" w:firstLine="425"/>
        <w:jc w:val="left"/>
      </w:pPr>
      <w:r>
        <w:rPr>
          <w:spacing w:val="-1"/>
        </w:rPr>
        <w:t>公司严格按照既定的培训计划进行开展相关培训</w:t>
      </w:r>
      <w:r>
        <w:rPr>
          <w:rFonts w:ascii="Times New Roman" w:hAnsi="Times New Roman" w:cs="Times New Roman" w:eastAsia="Times New Roman" w:hint="default"/>
          <w:spacing w:val="-1"/>
        </w:rPr>
        <w:t>,</w:t>
      </w:r>
      <w:r>
        <w:rPr>
          <w:spacing w:val="-1"/>
        </w:rPr>
        <w:t>积极开拓多种学习资源，以技能培训为主，旨在提高公司在职员工的</w:t>
      </w:r>
      <w:r>
        <w:rPr/>
        <w:t> 职业素养，从而提高工作效率，为公司经营目标的实现奠定基础。</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56,913.39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3217"/>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公司严格按照《公司法》、《证券法》、《上市公司治理准则》、《深圳证券交易所股票上市规则》、《深圳证券交易</w:t>
      </w:r>
      <w:r>
        <w:rPr/>
        <w:t> </w:t>
      </w:r>
      <w:r>
        <w:rPr>
          <w:spacing w:val="-4"/>
        </w:rPr>
        <w:t>所中小企业板上市公司规范运作指引》和中国证监会及深交所颁布的其他有关法律法规的要求，不断完善公司法人治理结构，</w:t>
      </w:r>
      <w:r>
        <w:rPr>
          <w:spacing w:val="-44"/>
        </w:rPr>
        <w:t> </w:t>
      </w:r>
      <w:r>
        <w:rPr>
          <w:spacing w:val="-44"/>
        </w:rPr>
      </w:r>
      <w:r>
        <w:rPr>
          <w:spacing w:val="-2"/>
        </w:rPr>
        <w:t>建立健全内部控制制度，加强公司信息披露工作，积极开展投资者关系管理，维护公司及全体股东的利益，确保公司规范运</w:t>
      </w:r>
      <w:r>
        <w:rPr>
          <w:spacing w:val="-62"/>
        </w:rPr>
        <w:t> </w:t>
      </w:r>
      <w:r>
        <w:rPr>
          <w:spacing w:val="-62"/>
        </w:rPr>
      </w:r>
      <w:r>
        <w:rPr/>
        <w:t>作、健康发展。</w:t>
      </w:r>
    </w:p>
    <w:p>
      <w:pPr>
        <w:pStyle w:val="BodyText"/>
        <w:spacing w:line="319" w:lineRule="auto" w:before="19"/>
        <w:ind w:right="0" w:firstLine="360"/>
        <w:jc w:val="left"/>
      </w:pPr>
      <w:r>
        <w:rPr>
          <w:spacing w:val="-2"/>
        </w:rPr>
        <w:t>截至报告期末，公司治理的实际状况符合《上市公司治理准则》、《深圳证券交易所股票上市规则》、《深圳证券交易</w:t>
      </w:r>
      <w:r>
        <w:rPr/>
        <w:t> 所中小企业板上市公司规范运作指引》等相关法律法规的要求，具体情况如下：</w:t>
      </w:r>
    </w:p>
    <w:p>
      <w:pPr>
        <w:pStyle w:val="Heading4"/>
        <w:spacing w:line="240" w:lineRule="auto"/>
        <w:ind w:right="1133"/>
        <w:jc w:val="left"/>
        <w:rPr>
          <w:b w:val="0"/>
          <w:bCs w:val="0"/>
        </w:rPr>
      </w:pPr>
      <w:r>
        <w:rPr/>
        <w:t>（一）公司治理结构</w:t>
      </w:r>
      <w:r>
        <w:rPr>
          <w:b w:val="0"/>
          <w:bCs w:val="0"/>
        </w:rPr>
      </w:r>
    </w:p>
    <w:p>
      <w:pPr>
        <w:pStyle w:val="BodyText"/>
        <w:spacing w:line="300" w:lineRule="auto" w:before="76"/>
        <w:ind w:left="513" w:right="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）股东与股东大会</w:t>
      </w:r>
      <w:r>
        <w:rPr>
          <w:rFonts w:ascii="宋体" w:hAnsi="宋体" w:cs="宋体" w:eastAsia="宋体" w:hint="default"/>
          <w:b/>
          <w:bCs/>
          <w:w w:val="99"/>
        </w:rPr>
        <w:t> </w:t>
      </w:r>
      <w:r>
        <w:rPr>
          <w:spacing w:val="-2"/>
        </w:rPr>
        <w:t>公司依据《公司法》、《公司章程》、《上市公司治理准则》等文件制定了《股东大会议事规则》、《控股股东、实际</w:t>
      </w:r>
    </w:p>
    <w:p>
      <w:pPr>
        <w:pStyle w:val="BodyText"/>
        <w:spacing w:line="312" w:lineRule="auto" w:before="31"/>
        <w:ind w:right="1131"/>
        <w:jc w:val="both"/>
      </w:pPr>
      <w:r>
        <w:rPr>
          <w:spacing w:val="-2"/>
        </w:rPr>
        <w:t>控制人行为规范》，对股东大会的权力、召开程序、提案、表决和控股股东及实际控制人行为进行了规范，为维护中小股东</w:t>
      </w:r>
      <w:r>
        <w:rPr>
          <w:spacing w:val="-68"/>
        </w:rPr>
        <w:t> </w:t>
      </w:r>
      <w:r>
        <w:rPr>
          <w:spacing w:val="-68"/>
        </w:rPr>
      </w:r>
      <w:r>
        <w:rPr>
          <w:spacing w:val="-5"/>
        </w:rPr>
        <w:t>权益提供制度保障。报告期内，公司根据中国证券监督管理委员会《关于进一步落实上市公司现金分红有关事项的通知》（证</w:t>
      </w:r>
      <w:r>
        <w:rPr>
          <w:spacing w:val="-80"/>
        </w:rPr>
        <w:t> </w:t>
      </w:r>
      <w:r>
        <w:rPr>
          <w:spacing w:val="-80"/>
        </w:rPr>
      </w:r>
      <w:r>
        <w:rPr>
          <w:spacing w:val="-1"/>
        </w:rPr>
        <w:t>监发</w:t>
      </w:r>
      <w:r>
        <w:rPr>
          <w:rFonts w:ascii="Times New Roman" w:hAnsi="Times New Roman" w:cs="Times New Roman" w:eastAsia="Times New Roman" w:hint="default"/>
          <w:spacing w:val="-1"/>
        </w:rPr>
        <w:t>[2012]37</w:t>
      </w:r>
      <w:r>
        <w:rPr>
          <w:spacing w:val="-1"/>
        </w:rPr>
        <w:t>号）、《上市公司监管指引第</w:t>
      </w:r>
      <w:r>
        <w:rPr>
          <w:rFonts w:ascii="Times New Roman" w:hAnsi="Times New Roman" w:cs="Times New Roman" w:eastAsia="Times New Roman" w:hint="default"/>
          <w:spacing w:val="-1"/>
        </w:rPr>
        <w:t>3</w:t>
      </w:r>
      <w:r>
        <w:rPr>
          <w:spacing w:val="-1"/>
        </w:rPr>
        <w:t>号</w:t>
      </w:r>
      <w:r>
        <w:rPr>
          <w:rFonts w:ascii="Times New Roman" w:hAnsi="Times New Roman" w:cs="Times New Roman" w:eastAsia="Times New Roman" w:hint="default"/>
          <w:spacing w:val="-1"/>
        </w:rPr>
        <w:t>——</w:t>
      </w:r>
      <w:r>
        <w:rPr>
          <w:spacing w:val="-1"/>
        </w:rPr>
        <w:t>上市公司现金分红》（证监会公告</w:t>
      </w:r>
      <w:r>
        <w:rPr>
          <w:rFonts w:ascii="Times New Roman" w:hAnsi="Times New Roman" w:cs="Times New Roman" w:eastAsia="Times New Roman" w:hint="default"/>
          <w:spacing w:val="-1"/>
        </w:rPr>
        <w:t>[2013]43</w:t>
      </w:r>
      <w:r>
        <w:rPr>
          <w:spacing w:val="-1"/>
        </w:rPr>
        <w:t>号）和《公司章程》的相关规</w:t>
      </w:r>
      <w:r>
        <w:rPr>
          <w:spacing w:val="-88"/>
        </w:rPr>
        <w:t> </w:t>
      </w:r>
      <w:r>
        <w:rPr>
          <w:spacing w:val="-88"/>
        </w:rPr>
      </w:r>
      <w:r>
        <w:rPr/>
        <w:t>定，综合公司盈利能力、经营发展规划、股东回报、社会资金成本及外部融资环境等因素，制定《未来三年股东回报规划</w:t>
      </w:r>
    </w:p>
    <w:p>
      <w:pPr>
        <w:pStyle w:val="BodyText"/>
        <w:spacing w:line="300" w:lineRule="auto" w:before="22"/>
        <w:ind w:left="513" w:right="1132" w:hanging="361"/>
        <w:jc w:val="left"/>
      </w:pPr>
      <w:r>
        <w:rPr/>
        <w:t>（</w:t>
      </w:r>
      <w:r>
        <w:rPr>
          <w:rFonts w:ascii="Times New Roman" w:hAnsi="Times New Roman" w:cs="Times New Roman" w:eastAsia="Times New Roman" w:hint="default"/>
        </w:rPr>
        <w:t>2018-2020</w:t>
      </w:r>
      <w:r>
        <w:rPr/>
        <w:t>）》。 </w:t>
      </w:r>
      <w:r>
        <w:rPr>
          <w:spacing w:val="-2"/>
        </w:rPr>
        <w:t>公司股东严格根据《上市公司治理准则》、《深圳证券交易所股票上市规则》、《公司章程》规范自身行为，通过股东</w:t>
      </w:r>
    </w:p>
    <w:p>
      <w:pPr>
        <w:pStyle w:val="BodyText"/>
        <w:spacing w:line="316" w:lineRule="auto" w:before="32"/>
        <w:ind w:left="513" w:right="1132" w:hanging="361"/>
        <w:jc w:val="left"/>
      </w:pPr>
      <w:r>
        <w:rPr/>
        <w:t>大会行使股东权利，未发生超越股东大会及董事会而直接干预公司经营与决策的行为。 </w:t>
      </w:r>
      <w:r>
        <w:rPr>
          <w:spacing w:val="-2"/>
        </w:rPr>
        <w:t>公司依据《上市公司股东大会规则》的要求，报告期内召开股东大会均采取现场及网络投票相结合的表决方式，方便中</w:t>
      </w:r>
    </w:p>
    <w:p>
      <w:pPr>
        <w:pStyle w:val="BodyText"/>
        <w:spacing w:line="316" w:lineRule="auto" w:before="19"/>
        <w:ind w:left="513" w:right="1123" w:hanging="361"/>
        <w:jc w:val="left"/>
      </w:pPr>
      <w:r>
        <w:rPr/>
        <w:t>小投资者通过股东大会行使股东权利，提高中小投资者对公司决策的参与度。 报告期内，公司共召开</w:t>
      </w:r>
      <w:r>
        <w:rPr>
          <w:rFonts w:ascii="Times New Roman" w:hAnsi="Times New Roman" w:cs="Times New Roman" w:eastAsia="Times New Roman" w:hint="default"/>
        </w:rPr>
        <w:t>6</w:t>
      </w:r>
      <w:r>
        <w:rPr/>
        <w:t>次股东大会，会议的召集与召开程序、出席会议人员的资格、会议表决程序、表决结果和决议</w:t>
      </w:r>
    </w:p>
    <w:p>
      <w:pPr>
        <w:pStyle w:val="BodyText"/>
        <w:spacing w:line="235" w:lineRule="exact"/>
        <w:ind w:right="0"/>
        <w:jc w:val="both"/>
      </w:pPr>
      <w:r>
        <w:rPr/>
        <w:t>内容均符合法律法规和《公司章程》的规定。</w:t>
      </w:r>
    </w:p>
    <w:p>
      <w:pPr>
        <w:spacing w:line="300" w:lineRule="auto" w:before="76"/>
        <w:ind w:left="513" w:right="1132"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）公司与控股股东、实际控制人</w:t>
      </w:r>
      <w:r>
        <w:rPr>
          <w:rFonts w:ascii="宋体" w:hAnsi="宋体" w:cs="宋体" w:eastAsia="宋体" w:hint="default"/>
          <w:b/>
          <w:bCs/>
          <w:w w:val="99"/>
          <w:sz w:val="18"/>
          <w:szCs w:val="18"/>
        </w:rPr>
        <w:t> </w:t>
      </w:r>
      <w:r>
        <w:rPr>
          <w:rFonts w:ascii="宋体" w:hAnsi="宋体" w:cs="宋体" w:eastAsia="宋体" w:hint="default"/>
          <w:spacing w:val="-2"/>
          <w:sz w:val="18"/>
          <w:szCs w:val="18"/>
        </w:rPr>
        <w:t>公司控股股东和实际控制人按照《上市公司治理准则》、《深圳证券交易所股票上市规则》、《深圳证券交易所中小企</w:t>
      </w:r>
    </w:p>
    <w:p>
      <w:pPr>
        <w:pStyle w:val="BodyText"/>
        <w:spacing w:line="319" w:lineRule="auto" w:before="31"/>
        <w:ind w:right="1131"/>
        <w:jc w:val="both"/>
      </w:pPr>
      <w:r>
        <w:rPr>
          <w:spacing w:val="-2"/>
        </w:rPr>
        <w:t>业板上市公司规范运作指引》、《公司章程》等的规定和要求规范自己的行为，依法行使权利并承担相应义务，没有超越权</w:t>
      </w:r>
      <w:r>
        <w:rPr>
          <w:spacing w:val="-69"/>
        </w:rPr>
        <w:t> </w:t>
      </w:r>
      <w:r>
        <w:rPr>
          <w:spacing w:val="-69"/>
        </w:rPr>
      </w:r>
      <w:r>
        <w:rPr>
          <w:spacing w:val="-2"/>
        </w:rPr>
        <w:t>限直接或间接干预公司的决策及生产经营活动，没有损害公司及其他股东的利益。公司与控股股东、实际控制人在人员、资</w:t>
      </w:r>
      <w:r>
        <w:rPr>
          <w:spacing w:val="-64"/>
        </w:rPr>
        <w:t> </w:t>
      </w:r>
      <w:r>
        <w:rPr>
          <w:spacing w:val="-64"/>
        </w:rPr>
      </w:r>
      <w:r>
        <w:rPr>
          <w:spacing w:val="-5"/>
        </w:rPr>
        <w:t>产、财务、机构、业务上均保持独立，公司拥有独立完整的自主经营能力；公司董事会、监事会及其他内部机构均独立运作；</w:t>
      </w:r>
      <w:r>
        <w:rPr>
          <w:spacing w:val="-82"/>
        </w:rPr>
        <w:t> </w:t>
      </w:r>
      <w:r>
        <w:rPr>
          <w:spacing w:val="-82"/>
        </w:rPr>
      </w:r>
      <w:r>
        <w:rPr/>
        <w:t>报告期内未发生控股股东和实际控制人占用公司资金、资产的情况。</w:t>
      </w:r>
    </w:p>
    <w:p>
      <w:pPr>
        <w:pStyle w:val="BodyText"/>
        <w:spacing w:line="300" w:lineRule="auto" w:before="17"/>
        <w:ind w:left="513" w:right="113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）董事与董事会</w:t>
      </w:r>
      <w:r>
        <w:rPr>
          <w:rFonts w:ascii="宋体" w:hAnsi="宋体" w:cs="宋体" w:eastAsia="宋体" w:hint="default"/>
          <w:b/>
          <w:bCs/>
          <w:w w:val="99"/>
        </w:rPr>
        <w:t> </w:t>
      </w:r>
      <w:r>
        <w:rPr>
          <w:spacing w:val="-2"/>
        </w:rPr>
        <w:t>公司依据《公司法》、《公司章程》、《上市公司治理准则》等文件制定了《董事会议事规则》、《独立董事年报工作</w:t>
      </w:r>
    </w:p>
    <w:p>
      <w:pPr>
        <w:pStyle w:val="BodyText"/>
        <w:spacing w:line="312" w:lineRule="auto" w:before="31"/>
        <w:ind w:right="1129"/>
        <w:jc w:val="both"/>
      </w:pPr>
      <w:r>
        <w:rPr>
          <w:spacing w:val="-2"/>
        </w:rPr>
        <w:t>制度》、《总经理工作细则》、《独立董事工作制度》，公司董事会设董事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名，公司董事选举程序、董</w:t>
      </w:r>
      <w:r>
        <w:rPr>
          <w:spacing w:val="-69"/>
        </w:rPr>
        <w:t> </w:t>
      </w:r>
      <w:r>
        <w:rPr>
          <w:spacing w:val="-69"/>
        </w:rPr>
      </w:r>
      <w:r>
        <w:rPr>
          <w:spacing w:val="-2"/>
        </w:rPr>
        <w:t>事会人数及人员构成符合法律、法规的要求；公司董事勤勉尽责地履行职责，维护公司和全体股东的合法权益；独立董事能</w:t>
      </w:r>
      <w:r>
        <w:rPr>
          <w:spacing w:val="-62"/>
        </w:rPr>
        <w:t> </w:t>
      </w:r>
      <w:r>
        <w:rPr>
          <w:spacing w:val="-62"/>
        </w:rPr>
      </w:r>
      <w:r>
        <w:rPr>
          <w:spacing w:val="-2"/>
        </w:rPr>
        <w:t>够严格按照《公司章程》、《独立董事工作制度》的要求独立履行职责，对公司生产经营、关联交易、人事任免等重要及重</w:t>
      </w:r>
      <w:r>
        <w:rPr>
          <w:spacing w:val="-64"/>
        </w:rPr>
        <w:t> </w:t>
      </w:r>
      <w:r>
        <w:rPr>
          <w:spacing w:val="-64"/>
        </w:rPr>
      </w:r>
      <w:r>
        <w:rPr/>
        <w:t>大事项发表独立意见，保证公司的规范运作。</w:t>
      </w:r>
    </w:p>
    <w:p>
      <w:pPr>
        <w:pStyle w:val="BodyText"/>
        <w:spacing w:line="300" w:lineRule="auto" w:before="22"/>
        <w:ind w:right="1133" w:firstLine="360"/>
        <w:jc w:val="left"/>
      </w:pPr>
      <w:r>
        <w:rPr>
          <w:spacing w:val="-2"/>
        </w:rPr>
        <w:t>报告期内，公司共召开</w:t>
      </w:r>
      <w:r>
        <w:rPr>
          <w:rFonts w:ascii="Times New Roman" w:hAnsi="Times New Roman" w:cs="Times New Roman" w:eastAsia="Times New Roman" w:hint="default"/>
          <w:spacing w:val="-2"/>
        </w:rPr>
        <w:t>23</w:t>
      </w:r>
      <w:r>
        <w:rPr>
          <w:spacing w:val="-2"/>
        </w:rPr>
        <w:t>次董事会会议，会议的召集与召开程序、出席会议人员的资格、会议表决程序、表决结果和决</w:t>
      </w:r>
      <w:r>
        <w:rPr/>
        <w:t> 议内容均符合法律法规和《公司章程》的规定。</w:t>
      </w:r>
    </w:p>
    <w:p>
      <w:pPr>
        <w:pStyle w:val="BodyText"/>
        <w:spacing w:line="309" w:lineRule="auto" w:before="31"/>
        <w:ind w:right="1135" w:firstLine="360"/>
        <w:jc w:val="both"/>
      </w:pPr>
      <w:r>
        <w:rPr>
          <w:spacing w:val="-2"/>
        </w:rPr>
        <w:t>公司董事会设立了审计、薪酬与考核、提名、战略四个专门委员会，建立并完善了议事规则，各委员会分工明确，报告</w:t>
      </w:r>
      <w:r>
        <w:rPr/>
        <w:t> 期内，公司共召开</w:t>
      </w:r>
      <w:r>
        <w:rPr>
          <w:rFonts w:ascii="Times New Roman" w:hAnsi="Times New Roman" w:cs="Times New Roman" w:eastAsia="Times New Roman" w:hint="default"/>
        </w:rPr>
        <w:t>6</w:t>
      </w:r>
      <w:r>
        <w:rPr/>
        <w:t>次审计委员会会议、</w:t>
      </w:r>
      <w:r>
        <w:rPr>
          <w:rFonts w:ascii="Times New Roman" w:hAnsi="Times New Roman" w:cs="Times New Roman" w:eastAsia="Times New Roman" w:hint="default"/>
        </w:rPr>
        <w:t>3</w:t>
      </w:r>
      <w:r>
        <w:rPr/>
        <w:t>次薪酬与考核委员会会议、</w:t>
      </w:r>
      <w:r>
        <w:rPr>
          <w:rFonts w:ascii="Times New Roman" w:hAnsi="Times New Roman" w:cs="Times New Roman" w:eastAsia="Times New Roman" w:hint="default"/>
        </w:rPr>
        <w:t>2</w:t>
      </w:r>
      <w:r>
        <w:rPr/>
        <w:t>次提名委员会会议，为董事会的决策提供科学和专业</w:t>
      </w:r>
      <w:r>
        <w:rPr>
          <w:spacing w:val="-87"/>
        </w:rPr>
        <w:t> </w:t>
      </w:r>
      <w:r>
        <w:rPr/>
        <w:t>的意见，确保董事会对经营层的有效监督。</w:t>
      </w:r>
    </w:p>
    <w:p>
      <w:pPr>
        <w:pStyle w:val="Heading4"/>
        <w:spacing w:line="240" w:lineRule="auto" w:before="24"/>
        <w:ind w:right="1133"/>
        <w:jc w:val="left"/>
        <w:rPr>
          <w:b w:val="0"/>
          <w:bCs w:val="0"/>
        </w:rPr>
      </w:pPr>
      <w:r>
        <w:rPr/>
        <w:t>（</w:t>
      </w:r>
      <w:r>
        <w:rPr>
          <w:rFonts w:ascii="Times New Roman" w:hAnsi="Times New Roman" w:cs="Times New Roman" w:eastAsia="Times New Roman" w:hint="default"/>
        </w:rPr>
        <w:t>4</w:t>
      </w:r>
      <w:r>
        <w:rPr/>
        <w:t>）监事与监事会</w:t>
      </w:r>
      <w:r>
        <w:rPr>
          <w:b w:val="0"/>
          <w:bCs w:val="0"/>
        </w:rPr>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b/>
          <w:bCs/>
          <w:sz w:val="21"/>
          <w:szCs w:val="21"/>
        </w:rPr>
      </w:pPr>
    </w:p>
    <w:p>
      <w:pPr>
        <w:pStyle w:val="BodyText"/>
        <w:spacing w:line="300" w:lineRule="auto" w:before="44"/>
        <w:ind w:right="1139" w:firstLine="360"/>
        <w:jc w:val="both"/>
      </w:pPr>
      <w:r>
        <w:rPr/>
        <w:t>公司依据《公司法》、《公司章程》、《上市公司治理准则》等文件制定了《监事会议事规则》，公司监事会设监事</w:t>
      </w:r>
      <w:r>
        <w:rPr>
          <w:rFonts w:ascii="Times New Roman" w:hAnsi="Times New Roman" w:cs="Times New Roman" w:eastAsia="Times New Roman" w:hint="default"/>
        </w:rPr>
        <w:t>3 </w:t>
      </w:r>
      <w:r>
        <w:rPr/>
        <w:t>名，其中职工代表监事</w:t>
      </w:r>
      <w:r>
        <w:rPr>
          <w:rFonts w:ascii="Times New Roman" w:hAnsi="Times New Roman" w:cs="Times New Roman" w:eastAsia="Times New Roman" w:hint="default"/>
        </w:rPr>
        <w:t>1</w:t>
      </w:r>
      <w:r>
        <w:rPr/>
        <w:t>名，监事会的人数、构成及选聘程序均符合相关法律法规的规定。公司监事按规定出席监事会，认 真履行职责，对公司重大事项、关联交易、财务状况等进行监督并发表意见，维护公司及股东的合法权益。</w:t>
      </w:r>
    </w:p>
    <w:p>
      <w:pPr>
        <w:pStyle w:val="BodyText"/>
        <w:spacing w:line="300" w:lineRule="auto" w:before="31"/>
        <w:ind w:right="1141" w:firstLine="360"/>
        <w:jc w:val="both"/>
      </w:pPr>
      <w:r>
        <w:rPr/>
        <w:t>报告期内，公司共召开</w:t>
      </w:r>
      <w:r>
        <w:rPr>
          <w:rFonts w:ascii="Times New Roman" w:hAnsi="Times New Roman" w:cs="Times New Roman" w:eastAsia="Times New Roman" w:hint="default"/>
        </w:rPr>
        <w:t>9</w:t>
      </w:r>
      <w:r>
        <w:rPr/>
        <w:t>次监事会会议，会议的召集与召开程序、出席会议人员的资格、会议表决程序、表决结果和决 议内容均符合法律法规和《公司章程》的规定。</w:t>
      </w:r>
    </w:p>
    <w:p>
      <w:pPr>
        <w:pStyle w:val="BodyText"/>
        <w:spacing w:line="300" w:lineRule="auto" w:before="31"/>
        <w:ind w:left="513" w:right="1118"/>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）信息披露</w:t>
      </w:r>
      <w:r>
        <w:rPr>
          <w:rFonts w:ascii="宋体" w:hAnsi="宋体" w:cs="宋体" w:eastAsia="宋体" w:hint="default"/>
          <w:b/>
          <w:bCs/>
          <w:w w:val="99"/>
        </w:rPr>
        <w:t> </w:t>
      </w:r>
      <w:r>
        <w:rPr>
          <w:spacing w:val="-5"/>
        </w:rPr>
        <w:t>公司上市前就根据相关文件制度制定了《信息披露管理制度》和《投资者关系管理制度》，公司上市后按照中国证监会、</w:t>
      </w:r>
    </w:p>
    <w:p>
      <w:pPr>
        <w:pStyle w:val="BodyText"/>
        <w:spacing w:line="319" w:lineRule="auto" w:before="31"/>
        <w:ind w:right="1131"/>
        <w:jc w:val="both"/>
      </w:pPr>
      <w:r>
        <w:rPr>
          <w:spacing w:val="-2"/>
        </w:rPr>
        <w:t>深圳证券交易所发布的相关法规修订或者制定了《信息披露管理制度》、《年报信息披露重大差错责任追究制度》、《推广</w:t>
      </w:r>
      <w:r>
        <w:rPr>
          <w:spacing w:val="-68"/>
        </w:rPr>
        <w:t> </w:t>
      </w:r>
      <w:r>
        <w:rPr>
          <w:spacing w:val="-68"/>
        </w:rPr>
      </w:r>
      <w:r>
        <w:rPr>
          <w:spacing w:val="-2"/>
        </w:rPr>
        <w:t>和接待制度》、《重大信息内部报告制度》、《董事会审计委员会年报工作规程》、《独立董事年报工作制度》、《内部信</w:t>
      </w:r>
      <w:r>
        <w:rPr>
          <w:spacing w:val="-69"/>
        </w:rPr>
        <w:t> </w:t>
      </w:r>
      <w:r>
        <w:rPr>
          <w:spacing w:val="-69"/>
        </w:rPr>
      </w:r>
      <w:r>
        <w:rPr>
          <w:spacing w:val="-2"/>
        </w:rPr>
        <w:t>息保密制度》、《内幕信息知情人登记和报备制度》，指定公司董事会秘书负责信息披露工作，规范公司内部重大信息传递</w:t>
      </w:r>
      <w:r>
        <w:rPr>
          <w:spacing w:val="-67"/>
        </w:rPr>
        <w:t> </w:t>
      </w:r>
      <w:r>
        <w:rPr>
          <w:spacing w:val="-67"/>
        </w:rPr>
      </w:r>
      <w:r>
        <w:rPr>
          <w:spacing w:val="-5"/>
        </w:rPr>
        <w:t>的程序，对年报信息披露重大差错责任追究作出明确规定，切实履行信息披露义务。公司指定《中国证券报》、《证券时报》</w:t>
      </w:r>
      <w:r>
        <w:rPr>
          <w:spacing w:val="-82"/>
        </w:rPr>
        <w:t> </w:t>
      </w:r>
      <w:r>
        <w:rPr>
          <w:spacing w:val="-82"/>
        </w:rPr>
      </w:r>
      <w:r>
        <w:rPr>
          <w:spacing w:val="-2"/>
        </w:rPr>
        <w:t>和巨潮资讯网站为公司信息披露的报纸和网站，真实、准确、完整、及时地披露公司信息，确保公司所有股东公平的获得公</w:t>
      </w:r>
      <w:r>
        <w:rPr>
          <w:spacing w:val="-67"/>
        </w:rPr>
        <w:t> </w:t>
      </w:r>
      <w:r>
        <w:rPr>
          <w:spacing w:val="-67"/>
        </w:rPr>
      </w:r>
      <w:r>
        <w:rPr/>
        <w:t>司相关信息。</w:t>
      </w:r>
    </w:p>
    <w:p>
      <w:pPr>
        <w:pStyle w:val="BodyText"/>
        <w:spacing w:line="300" w:lineRule="auto" w:before="17"/>
        <w:ind w:left="513" w:right="0"/>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）投资者关系管理</w:t>
      </w:r>
      <w:r>
        <w:rPr>
          <w:rFonts w:ascii="宋体" w:hAnsi="宋体" w:cs="宋体" w:eastAsia="宋体" w:hint="default"/>
          <w:b/>
          <w:bCs/>
          <w:w w:val="99"/>
        </w:rPr>
        <w:t> </w:t>
      </w:r>
      <w:r>
        <w:rPr>
          <w:spacing w:val="-2"/>
        </w:rPr>
        <w:t>公司重视投资者关系管理工作，指定董事会秘书为投资者关系管理负责人，公司证券部作为投资者关系管理的具体实施</w:t>
      </w:r>
    </w:p>
    <w:p>
      <w:pPr>
        <w:pStyle w:val="BodyText"/>
        <w:spacing w:line="316" w:lineRule="auto" w:before="31"/>
        <w:ind w:right="1129"/>
        <w:jc w:val="both"/>
      </w:pPr>
      <w:r>
        <w:rPr>
          <w:spacing w:val="-2"/>
        </w:rPr>
        <w:t>机构，协助实施投资者关系的日常管理工作，包括投资者来电和来访接待、股东大会的组织安排、投资者关系互动平台答疑</w:t>
      </w:r>
      <w:r>
        <w:rPr>
          <w:spacing w:val="-64"/>
        </w:rPr>
        <w:t> </w:t>
      </w:r>
      <w:r>
        <w:rPr>
          <w:spacing w:val="-64"/>
        </w:rPr>
      </w:r>
      <w:r>
        <w:rPr/>
        <w:t>等，加强与投资者沟通和交流，充分保障广大投资者的知情权。</w:t>
      </w:r>
    </w:p>
    <w:p>
      <w:pPr>
        <w:pStyle w:val="BodyText"/>
        <w:spacing w:line="300" w:lineRule="auto" w:before="19"/>
        <w:ind w:left="513" w:right="1133"/>
        <w:jc w:val="left"/>
      </w:pPr>
      <w:r>
        <w:rPr>
          <w:rFonts w:ascii="宋体" w:hAnsi="宋体" w:cs="宋体" w:eastAsia="宋体" w:hint="default"/>
          <w:b/>
          <w:bCs/>
        </w:rPr>
        <w:t>（</w:t>
      </w:r>
      <w:r>
        <w:rPr>
          <w:rFonts w:ascii="Times New Roman" w:hAnsi="Times New Roman" w:cs="Times New Roman" w:eastAsia="Times New Roman" w:hint="default"/>
          <w:b/>
          <w:bCs/>
        </w:rPr>
        <w:t>7</w:t>
      </w:r>
      <w:r>
        <w:rPr>
          <w:rFonts w:ascii="宋体" w:hAnsi="宋体" w:cs="宋体" w:eastAsia="宋体" w:hint="default"/>
          <w:b/>
          <w:bCs/>
        </w:rPr>
        <w:t>）关于利益相关者</w:t>
      </w:r>
      <w:r>
        <w:rPr>
          <w:rFonts w:ascii="宋体" w:hAnsi="宋体" w:cs="宋体" w:eastAsia="宋体" w:hint="default"/>
          <w:b/>
          <w:bCs/>
          <w:w w:val="99"/>
        </w:rPr>
        <w:t> </w:t>
      </w:r>
      <w:r>
        <w:rPr>
          <w:spacing w:val="-6"/>
        </w:rPr>
        <w:t>公司充分尊重和维护利益相关者（债权人、员工、关联方等）的合法权益，重视公司的社会责任，努力实现股东、员工、</w:t>
      </w:r>
    </w:p>
    <w:p>
      <w:pPr>
        <w:pStyle w:val="BodyText"/>
        <w:spacing w:line="240" w:lineRule="auto" w:before="31"/>
        <w:ind w:right="0"/>
        <w:jc w:val="both"/>
      </w:pPr>
      <w:r>
        <w:rPr/>
        <w:t>社会等各方利益的协调平衡，通过与利益相关者积极合作共同推动公司持续、健康发展。</w:t>
      </w:r>
    </w:p>
    <w:p>
      <w:pPr>
        <w:spacing w:line="319" w:lineRule="auto" w:before="76"/>
        <w:ind w:left="513" w:right="1133" w:firstLine="0"/>
        <w:jc w:val="left"/>
        <w:rPr>
          <w:rFonts w:ascii="宋体" w:hAnsi="宋体" w:cs="宋体" w:eastAsia="宋体" w:hint="default"/>
          <w:sz w:val="18"/>
          <w:szCs w:val="18"/>
        </w:rPr>
      </w:pPr>
      <w:r>
        <w:rPr>
          <w:rFonts w:ascii="宋体" w:hAnsi="宋体" w:cs="宋体" w:eastAsia="宋体" w:hint="default"/>
          <w:b/>
          <w:bCs/>
          <w:sz w:val="18"/>
          <w:szCs w:val="18"/>
        </w:rPr>
        <w:t>（二）公司董事履行职责情况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报告期内，公司董事长能够积极推动公司内部各项制度的制定和完善，报告期内推动公司修订了《公司章程》、《独立</w:t>
      </w:r>
    </w:p>
    <w:p>
      <w:pPr>
        <w:pStyle w:val="BodyText"/>
        <w:spacing w:line="316" w:lineRule="auto" w:before="17"/>
        <w:ind w:right="1129"/>
        <w:jc w:val="both"/>
      </w:pPr>
      <w:r>
        <w:rPr>
          <w:spacing w:val="-2"/>
        </w:rPr>
        <w:t>董事工作制度》、《募集资金管理制度》和《年报信息披露重大差错责任追究制度》，加强董事会建设，确保董事会会议依</w:t>
      </w:r>
      <w:r>
        <w:rPr>
          <w:spacing w:val="-65"/>
        </w:rPr>
        <w:t> </w:t>
      </w:r>
      <w:r>
        <w:rPr>
          <w:spacing w:val="-65"/>
        </w:rPr>
      </w:r>
      <w:r>
        <w:rPr>
          <w:spacing w:val="-2"/>
        </w:rPr>
        <w:t>法正常召集和召开。董事长未有从事超越其职权范围的行为，能够积极督促股东大会决议和董事会决议的执行，及时将有关</w:t>
      </w:r>
      <w:r>
        <w:rPr>
          <w:spacing w:val="-62"/>
        </w:rPr>
        <w:t> </w:t>
      </w:r>
      <w:r>
        <w:rPr>
          <w:spacing w:val="-62"/>
        </w:rPr>
      </w:r>
      <w:r>
        <w:rPr/>
        <w:t>情况告知其他董事，能够保证独立董事和董事会秘书的知情权，为其行使职能和发挥作用提供平台和保障。</w:t>
      </w:r>
    </w:p>
    <w:p>
      <w:pPr>
        <w:pStyle w:val="BodyText"/>
        <w:spacing w:line="316" w:lineRule="auto" w:before="19"/>
        <w:ind w:right="1130" w:firstLine="360"/>
        <w:jc w:val="both"/>
      </w:pPr>
      <w:r>
        <w:rPr>
          <w:spacing w:val="-2"/>
        </w:rPr>
        <w:t>报告期内，公司全体董事能够依照《公司法》、《公司章程》的规定出席公司召开的董事会会议并客观地发表意见，恪</w:t>
      </w:r>
      <w:r>
        <w:rPr/>
        <w:t> </w:t>
      </w:r>
      <w:r>
        <w:rPr>
          <w:spacing w:val="-5"/>
        </w:rPr>
        <w:t>尽职守、廉洁自律、忠实勤勉地履行职责，致力于保护公司和股东利益及合法权益，未出现违反有关法律法规、《公司章程》</w:t>
      </w:r>
      <w:r>
        <w:rPr>
          <w:spacing w:val="-78"/>
        </w:rPr>
        <w:t> </w:t>
      </w:r>
      <w:r>
        <w:rPr>
          <w:spacing w:val="-78"/>
        </w:rPr>
      </w:r>
      <w:r>
        <w:rPr/>
        <w:t>等规定不能担任公司董事职责的行为。</w:t>
      </w:r>
    </w:p>
    <w:p>
      <w:pPr>
        <w:spacing w:line="240" w:lineRule="auto" w:before="4"/>
        <w:rPr>
          <w:rFonts w:ascii="宋体" w:hAnsi="宋体" w:cs="宋体" w:eastAsia="宋体" w:hint="default"/>
          <w:sz w:val="25"/>
          <w:szCs w:val="25"/>
        </w:rPr>
      </w:pPr>
    </w:p>
    <w:p>
      <w:pPr>
        <w:pStyle w:val="BodyText"/>
        <w:spacing w:line="312" w:lineRule="auto"/>
        <w:ind w:right="1034" w:firstLine="360"/>
        <w:jc w:val="left"/>
      </w:pPr>
      <w:r>
        <w:rPr/>
        <w:t>报告期内，公司独立董事能够定期了解公司经营情况，为公司的重大决策提供专业性意见，保证了公司决策的科学性； </w:t>
      </w:r>
      <w:r>
        <w:rPr>
          <w:spacing w:val="-2"/>
        </w:rPr>
        <w:t>对公司定期报告及相关事项、坏账核销、注销孙公司、签署并购贷款补充协议、停牌期满继续停牌、调整相关人员任职安排</w:t>
      </w:r>
      <w:r>
        <w:rPr>
          <w:spacing w:val="-66"/>
        </w:rPr>
        <w:t> </w:t>
      </w:r>
      <w:r>
        <w:rPr>
          <w:spacing w:val="-66"/>
        </w:rPr>
      </w:r>
      <w:r>
        <w:rPr>
          <w:spacing w:val="-2"/>
        </w:rPr>
        <w:t>和聘任新的副总裁、公司两次会计政策变更、产业并购基金两次调整出资额和对外转让剩余份额及签订对外转让份额补充协</w:t>
      </w:r>
      <w:r>
        <w:rPr>
          <w:spacing w:val="-64"/>
        </w:rPr>
        <w:t> </w:t>
      </w:r>
      <w:r>
        <w:rPr>
          <w:spacing w:val="-64"/>
        </w:rPr>
      </w:r>
      <w:r>
        <w:rPr>
          <w:spacing w:val="-2"/>
        </w:rPr>
        <w:t>议、继续投资理财产品、回购注销</w:t>
      </w:r>
      <w:r>
        <w:rPr>
          <w:rFonts w:ascii="Times New Roman" w:hAnsi="Times New Roman" w:cs="Times New Roman" w:eastAsia="Times New Roman" w:hint="default"/>
          <w:spacing w:val="-2"/>
        </w:rPr>
        <w:t>2015</w:t>
      </w:r>
      <w:r>
        <w:rPr>
          <w:spacing w:val="-2"/>
        </w:rPr>
        <w:t>年两期股权激励计划部分限制性股票和股票期权、发行股份及支付现金购买资产并募</w:t>
      </w:r>
      <w:r>
        <w:rPr>
          <w:spacing w:val="-63"/>
        </w:rPr>
        <w:t> </w:t>
      </w:r>
      <w:r>
        <w:rPr>
          <w:spacing w:val="-63"/>
        </w:rPr>
      </w:r>
      <w:r>
        <w:rPr/>
        <w:t>集配套资金预案、</w:t>
      </w:r>
      <w:r>
        <w:rPr>
          <w:rFonts w:ascii="Times New Roman" w:hAnsi="Times New Roman" w:cs="Times New Roman" w:eastAsia="Times New Roman" w:hint="default"/>
        </w:rPr>
        <w:t>2015</w:t>
      </w:r>
      <w:r>
        <w:rPr/>
        <w:t>年两期股权激励计划首次授予的限制性股票与股票期权第二期解锁</w:t>
      </w:r>
      <w:r>
        <w:rPr>
          <w:rFonts w:ascii="Times New Roman" w:hAnsi="Times New Roman" w:cs="Times New Roman" w:eastAsia="Times New Roman" w:hint="default"/>
        </w:rPr>
        <w:t>/</w:t>
      </w:r>
      <w:r>
        <w:rPr/>
        <w:t>行权、</w:t>
      </w:r>
      <w:r>
        <w:rPr>
          <w:rFonts w:ascii="Times New Roman" w:hAnsi="Times New Roman" w:cs="Times New Roman" w:eastAsia="Times New Roman" w:hint="default"/>
        </w:rPr>
        <w:t>2016</w:t>
      </w:r>
      <w:r>
        <w:rPr/>
        <w:t>年限制性股票激励计 </w:t>
      </w:r>
      <w:r>
        <w:rPr>
          <w:spacing w:val="-2"/>
        </w:rPr>
        <w:t>划授予的限制性股票第一期和第二期解锁、公司开展融资租赁业务、孙公司向关联方租赁办公场所、变更公司财务总监、终</w:t>
      </w:r>
      <w:r>
        <w:rPr>
          <w:spacing w:val="-64"/>
        </w:rPr>
        <w:t> </w:t>
      </w:r>
      <w:r>
        <w:rPr>
          <w:spacing w:val="-64"/>
        </w:rPr>
      </w:r>
      <w:r>
        <w:rPr>
          <w:spacing w:val="-2"/>
        </w:rPr>
        <w:t>止重大资产重组、变更公司名称和证券简称、追加投资惠智网联、继续证券投资等重大事项进行审议并发表独立意见，为完</w:t>
      </w:r>
      <w:r>
        <w:rPr>
          <w:spacing w:val="-65"/>
        </w:rPr>
        <w:t> </w:t>
      </w:r>
      <w:r>
        <w:rPr>
          <w:spacing w:val="-65"/>
        </w:rPr>
      </w:r>
      <w:r>
        <w:rPr/>
        <w:t>善公司监督机制、维护公司和全体股东的合法权益发挥了应有的作用；报告期内，独立董事没有对公司有关事项提出异议。</w:t>
      </w:r>
    </w:p>
    <w:p>
      <w:pPr>
        <w:pStyle w:val="BodyText"/>
        <w:spacing w:line="240" w:lineRule="auto" w:before="22"/>
        <w:ind w:left="513" w:right="1133"/>
        <w:jc w:val="left"/>
      </w:pPr>
      <w:r>
        <w:rPr/>
        <w:t>报告期内董事出席董事会的情况：</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327"/>
        <w:gridCol w:w="2295"/>
        <w:gridCol w:w="854"/>
        <w:gridCol w:w="696"/>
        <w:gridCol w:w="692"/>
        <w:gridCol w:w="535"/>
        <w:gridCol w:w="1457"/>
      </w:tblGrid>
      <w:tr>
        <w:trPr>
          <w:trHeight w:val="660"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董事姓名</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60" w:right="59"/>
              <w:jc w:val="left"/>
              <w:rPr>
                <w:rFonts w:ascii="宋体" w:hAnsi="宋体" w:cs="宋体" w:eastAsia="宋体" w:hint="default"/>
                <w:sz w:val="18"/>
                <w:szCs w:val="18"/>
              </w:rPr>
            </w:pPr>
            <w:r>
              <w:rPr>
                <w:rFonts w:ascii="宋体" w:hAnsi="宋体" w:cs="宋体" w:eastAsia="宋体" w:hint="default"/>
                <w:sz w:val="18"/>
                <w:szCs w:val="18"/>
              </w:rPr>
              <w:t>应参加董 事会次数</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71" w:right="67"/>
              <w:jc w:val="left"/>
              <w:rPr>
                <w:rFonts w:ascii="宋体" w:hAnsi="宋体" w:cs="宋体" w:eastAsia="宋体" w:hint="default"/>
                <w:sz w:val="18"/>
                <w:szCs w:val="18"/>
              </w:rPr>
            </w:pPr>
            <w:r>
              <w:rPr>
                <w:rFonts w:ascii="宋体" w:hAnsi="宋体" w:cs="宋体" w:eastAsia="宋体" w:hint="default"/>
                <w:sz w:val="18"/>
                <w:szCs w:val="18"/>
              </w:rPr>
              <w:t>亲自出 席次数</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67" w:right="68"/>
              <w:jc w:val="left"/>
              <w:rPr>
                <w:rFonts w:ascii="宋体" w:hAnsi="宋体" w:cs="宋体" w:eastAsia="宋体" w:hint="default"/>
                <w:sz w:val="18"/>
                <w:szCs w:val="18"/>
              </w:rPr>
            </w:pPr>
            <w:r>
              <w:rPr>
                <w:rFonts w:ascii="宋体" w:hAnsi="宋体" w:cs="宋体" w:eastAsia="宋体" w:hint="default"/>
                <w:sz w:val="18"/>
                <w:szCs w:val="18"/>
              </w:rPr>
              <w:t>委托出 席次数</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81" w:right="77"/>
              <w:jc w:val="left"/>
              <w:rPr>
                <w:rFonts w:ascii="宋体" w:hAnsi="宋体" w:cs="宋体" w:eastAsia="宋体" w:hint="default"/>
                <w:sz w:val="18"/>
                <w:szCs w:val="18"/>
              </w:rPr>
            </w:pPr>
            <w:r>
              <w:rPr>
                <w:rFonts w:ascii="宋体" w:hAnsi="宋体" w:cs="宋体" w:eastAsia="宋体" w:hint="default"/>
                <w:sz w:val="18"/>
                <w:szCs w:val="18"/>
              </w:rPr>
              <w:t>缺席 次数</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82" w:right="89"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346"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张晶</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23</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23</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徐海啸</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23</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23</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327"/>
        <w:gridCol w:w="2295"/>
        <w:gridCol w:w="854"/>
        <w:gridCol w:w="696"/>
        <w:gridCol w:w="692"/>
        <w:gridCol w:w="535"/>
        <w:gridCol w:w="1457"/>
      </w:tblGrid>
      <w:tr>
        <w:trPr>
          <w:trHeight w:val="348"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WAN XIAO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YANG</w:t>
            </w:r>
            <w:r>
              <w:rPr>
                <w:rFonts w:ascii="宋体" w:hAnsi="宋体" w:cs="宋体" w:eastAsia="宋体" w:hint="default"/>
                <w:sz w:val="18"/>
                <w:szCs w:val="18"/>
              </w:rPr>
              <w:t>（中文名：万晓阳）</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叶陈刚</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23</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23</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22</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Key Ke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Liu</w:t>
            </w:r>
            <w:r>
              <w:rPr>
                <w:rFonts w:ascii="宋体" w:hAnsi="宋体" w:cs="宋体" w:eastAsia="宋体" w:hint="default"/>
                <w:sz w:val="18"/>
                <w:szCs w:val="18"/>
              </w:rPr>
              <w:t>（中文名：刘科）</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23</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23</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316" w:lineRule="auto" w:before="8"/>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（三）公司内部审计制度的建立和执行</w:t>
      </w:r>
      <w:r>
        <w:rPr>
          <w:rFonts w:ascii="宋体" w:hAnsi="宋体" w:cs="宋体" w:eastAsia="宋体" w:hint="default"/>
          <w:b/>
          <w:bCs/>
          <w:w w:val="99"/>
          <w:sz w:val="18"/>
          <w:szCs w:val="18"/>
        </w:rPr>
        <w:t> </w:t>
      </w:r>
      <w:r>
        <w:rPr>
          <w:rFonts w:ascii="宋体" w:hAnsi="宋体" w:cs="宋体" w:eastAsia="宋体" w:hint="default"/>
          <w:spacing w:val="-2"/>
          <w:sz w:val="18"/>
          <w:szCs w:val="18"/>
        </w:rPr>
        <w:t>公司根据《中华人民共和国审计法》、《审计署关于内部审计工作的规定》等法律法规和《公司章程》的有关规定，结</w:t>
      </w:r>
    </w:p>
    <w:p>
      <w:pPr>
        <w:pStyle w:val="BodyText"/>
        <w:spacing w:line="316" w:lineRule="auto" w:before="19"/>
        <w:ind w:left="513" w:right="0" w:hanging="361"/>
        <w:jc w:val="left"/>
      </w:pPr>
      <w:r>
        <w:rPr/>
        <w:t>合公司实际情况，制定了《内部审计制度》。 </w:t>
      </w:r>
      <w:r>
        <w:rPr>
          <w:spacing w:val="-2"/>
        </w:rPr>
        <w:t>根据《内部审计制度》，公司董事会设审计委员会，审计委员会下设审计室作为公司内部审计的执行机构，审计室负责</w:t>
      </w:r>
    </w:p>
    <w:p>
      <w:pPr>
        <w:pStyle w:val="BodyText"/>
        <w:spacing w:line="319" w:lineRule="auto" w:before="19"/>
        <w:ind w:right="0"/>
        <w:jc w:val="left"/>
      </w:pPr>
      <w:r>
        <w:rPr>
          <w:spacing w:val="-2"/>
        </w:rPr>
        <w:t>人由董事会审计委员会提名，董事会任免。内部审计机构对审计委员会负责，向审计委员会报告工作，对公司及所属的经营</w:t>
      </w:r>
      <w:r>
        <w:rPr>
          <w:spacing w:val="-65"/>
        </w:rPr>
        <w:t> </w:t>
      </w:r>
      <w:r>
        <w:rPr>
          <w:spacing w:val="-65"/>
        </w:rPr>
      </w:r>
      <w:r>
        <w:rPr/>
        <w:t>管理活动进行审计监督。</w:t>
      </w:r>
    </w:p>
    <w:p>
      <w:pPr>
        <w:pStyle w:val="BodyText"/>
        <w:spacing w:line="316" w:lineRule="auto" w:before="58"/>
        <w:ind w:right="1034" w:firstLine="288"/>
        <w:jc w:val="left"/>
      </w:pPr>
      <w:r>
        <w:rPr/>
        <w:t>审计室负责组织实施公司内部审计制度，对公司财务计划成本计划或公司预算的执行和决算情况、财务收支及其有关的 </w:t>
      </w:r>
      <w:r>
        <w:rPr>
          <w:spacing w:val="-2"/>
        </w:rPr>
        <w:t>经济活动，生产经营开发的经济效益和资产保值增值情况、建设项目预算和决算情况、经济合同的签订及履行情况、内部控</w:t>
      </w:r>
      <w:r>
        <w:rPr>
          <w:spacing w:val="-65"/>
        </w:rPr>
        <w:t> </w:t>
      </w:r>
      <w:r>
        <w:rPr>
          <w:spacing w:val="-65"/>
        </w:rPr>
      </w:r>
      <w:r>
        <w:rPr/>
        <w:t>制制度等事项的合法性、合规性、真实性和完整性进行审计监督，负责监督检查公司董事会各项经营决策的贯彻执行情况，</w:t>
      </w:r>
      <w:r>
        <w:rPr>
          <w:spacing w:val="-83"/>
        </w:rPr>
        <w:t> </w:t>
      </w:r>
      <w:r>
        <w:rPr>
          <w:spacing w:val="-83"/>
        </w:rPr>
      </w:r>
      <w:r>
        <w:rPr/>
        <w:t>确定反舞弊的重点领域、关键环节和主要内容，并在内部审计过程中合理关注和检查可能存在的舞弊行为。</w:t>
      </w:r>
    </w:p>
    <w:p>
      <w:pPr>
        <w:pStyle w:val="BodyText"/>
        <w:spacing w:line="240" w:lineRule="auto" w:before="57"/>
        <w:ind w:right="1133"/>
        <w:jc w:val="left"/>
      </w:pPr>
      <w:r>
        <w:rPr/>
        <w:t>公司治理的实际状况与中国证监会发布的有关上市公司治理的规范性文件是否存在重大差异</w:t>
      </w:r>
    </w:p>
    <w:p>
      <w:pPr>
        <w:pStyle w:val="BodyText"/>
        <w:spacing w:line="340" w:lineRule="auto" w:before="117"/>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公司与控股股东在业务、人员、资产、机构、财务等方面完全分开，具有独立完整的业务及自主经营能力。</w:t>
      </w:r>
    </w:p>
    <w:p>
      <w:pPr>
        <w:pStyle w:val="BodyText"/>
        <w:spacing w:line="300" w:lineRule="auto" w:before="117"/>
        <w:ind w:right="1135" w:firstLine="346"/>
        <w:jc w:val="left"/>
      </w:pPr>
      <w:r>
        <w:rPr>
          <w:rFonts w:ascii="Times New Roman" w:hAnsi="Times New Roman" w:cs="Times New Roman" w:eastAsia="Times New Roman" w:hint="default"/>
          <w:b/>
          <w:bCs/>
        </w:rPr>
        <w:t>1</w:t>
      </w:r>
      <w:r>
        <w:rPr>
          <w:rFonts w:ascii="宋体" w:hAnsi="宋体" w:cs="宋体" w:eastAsia="宋体" w:hint="default"/>
          <w:b/>
          <w:bCs/>
        </w:rPr>
        <w:t>、业务：</w:t>
      </w:r>
      <w:r>
        <w:rPr/>
        <w:t>公司业务结构完整，自主独立经营，不依赖于控股股东或其他任何关联方，与控股股东、实际控制人及其控 制的其他企业间不存在同业竞争或者显失公平的关联交易，也不存在控股股东直接或间接干预公司经营运作的情形。</w:t>
      </w:r>
    </w:p>
    <w:p>
      <w:pPr>
        <w:pStyle w:val="BodyText"/>
        <w:spacing w:line="300" w:lineRule="auto" w:before="72"/>
        <w:ind w:right="1135" w:firstLine="346"/>
        <w:jc w:val="left"/>
      </w:pPr>
      <w:r>
        <w:rPr>
          <w:rFonts w:ascii="Times New Roman" w:hAnsi="Times New Roman" w:cs="Times New Roman" w:eastAsia="Times New Roman" w:hint="default"/>
          <w:b/>
          <w:bCs/>
        </w:rPr>
        <w:t>2</w:t>
      </w:r>
      <w:r>
        <w:rPr>
          <w:rFonts w:ascii="宋体" w:hAnsi="宋体" w:cs="宋体" w:eastAsia="宋体" w:hint="default"/>
          <w:b/>
          <w:bCs/>
        </w:rPr>
        <w:t>、人员：</w:t>
      </w:r>
      <w:r>
        <w:rPr/>
        <w:t>公司在劳动、人事及工资等方面均完全独立于控股股东。公司董事长、总裁、副总裁、董事会秘书、财务负 责人等人员均在公司领取薪酬，未在控股股东及其下属企业担任董事、监事以外的任何职务。</w:t>
      </w:r>
    </w:p>
    <w:p>
      <w:pPr>
        <w:pStyle w:val="BodyText"/>
        <w:spacing w:line="309" w:lineRule="auto" w:before="70"/>
        <w:ind w:right="1135" w:firstLine="346"/>
        <w:jc w:val="both"/>
      </w:pPr>
      <w:r>
        <w:rPr>
          <w:rFonts w:ascii="Times New Roman" w:hAnsi="Times New Roman" w:cs="Times New Roman" w:eastAsia="Times New Roman" w:hint="default"/>
          <w:b/>
          <w:bCs/>
        </w:rPr>
        <w:t>3</w:t>
      </w:r>
      <w:r>
        <w:rPr>
          <w:rFonts w:ascii="宋体" w:hAnsi="宋体" w:cs="宋体" w:eastAsia="宋体" w:hint="default"/>
          <w:b/>
          <w:bCs/>
        </w:rPr>
        <w:t>、资产：</w:t>
      </w:r>
      <w:r>
        <w:rPr/>
        <w:t>公司拥有独立于控股股东的生产经营场所，拥有独立完整的资产结构，拥有独立的生产系统、辅助生产系统 </w:t>
      </w:r>
      <w:r>
        <w:rPr>
          <w:spacing w:val="-2"/>
        </w:rPr>
        <w:t>和配套设施、土地使用权、房屋所有权等资产，拥有独立的采购和销售系统，对所有资产拥有完全的控制支配权，不存在资</w:t>
      </w:r>
      <w:r>
        <w:rPr>
          <w:spacing w:val="-67"/>
        </w:rPr>
        <w:t> </w:t>
      </w:r>
      <w:r>
        <w:rPr>
          <w:spacing w:val="-67"/>
        </w:rPr>
      </w:r>
      <w:r>
        <w:rPr/>
        <w:t>产、资金被控股股东、实际控制人及其控制的其他企业违规占用而损害公司利益的情况。</w:t>
      </w:r>
    </w:p>
    <w:p>
      <w:pPr>
        <w:pStyle w:val="BodyText"/>
        <w:spacing w:line="240" w:lineRule="auto" w:before="65"/>
        <w:ind w:left="498" w:right="1133"/>
        <w:jc w:val="left"/>
      </w:pPr>
      <w:r>
        <w:rPr>
          <w:rFonts w:ascii="Times New Roman" w:hAnsi="Times New Roman" w:cs="Times New Roman" w:eastAsia="Times New Roman" w:hint="default"/>
          <w:b/>
          <w:bCs/>
        </w:rPr>
        <w:t>4</w:t>
      </w:r>
      <w:r>
        <w:rPr>
          <w:rFonts w:ascii="宋体" w:hAnsi="宋体" w:cs="宋体" w:eastAsia="宋体" w:hint="default"/>
          <w:b/>
          <w:bCs/>
        </w:rPr>
        <w:t>、机构：</w:t>
      </w:r>
      <w:r>
        <w:rPr/>
        <w:t>公司设立了健全的组织机构体系，独立运作，不存在与控股股东或其职能部门之间的从属关系。</w:t>
      </w:r>
    </w:p>
    <w:p>
      <w:pPr>
        <w:pStyle w:val="BodyText"/>
        <w:spacing w:line="300" w:lineRule="auto" w:before="104"/>
        <w:ind w:right="1133" w:firstLine="307"/>
        <w:jc w:val="left"/>
      </w:pPr>
      <w:r>
        <w:rPr>
          <w:rFonts w:ascii="Times New Roman" w:hAnsi="Times New Roman" w:cs="Times New Roman" w:eastAsia="Times New Roman" w:hint="default"/>
          <w:b/>
          <w:bCs/>
        </w:rPr>
        <w:t>5</w:t>
      </w:r>
      <w:r>
        <w:rPr>
          <w:rFonts w:ascii="宋体" w:hAnsi="宋体" w:cs="宋体" w:eastAsia="宋体" w:hint="default"/>
          <w:b/>
          <w:bCs/>
        </w:rPr>
        <w:t>、财务：</w:t>
      </w:r>
      <w:r>
        <w:rPr/>
        <w:t>公司设有独立的财务会计部门，配备独立的财务会计人员，建立了独立的会计核算体系和财务管理制度，独 立进行财务决策；公司独立开设银行账户，独立纳税。</w:t>
      </w:r>
    </w:p>
    <w:p>
      <w:pPr>
        <w:spacing w:line="240" w:lineRule="auto" w:before="8"/>
        <w:rPr>
          <w:rFonts w:ascii="宋体" w:hAnsi="宋体" w:cs="宋体" w:eastAsia="宋体" w:hint="default"/>
          <w:sz w:val="21"/>
          <w:szCs w:val="21"/>
        </w:rPr>
      </w:pPr>
    </w:p>
    <w:p>
      <w:pPr>
        <w:pStyle w:val="Heading2"/>
        <w:spacing w:line="240" w:lineRule="auto"/>
        <w:ind w:right="1133"/>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31" w:type="dxa"/>
        <w:tblLayout w:type="fixed"/>
        <w:tblCellMar>
          <w:top w:w="0" w:type="dxa"/>
          <w:left w:w="0" w:type="dxa"/>
          <w:bottom w:w="0" w:type="dxa"/>
          <w:right w:w="0" w:type="dxa"/>
        </w:tblCellMar>
        <w:tblLook w:val="01E0"/>
      </w:tblPr>
      <w:tblGrid>
        <w:gridCol w:w="824"/>
        <w:gridCol w:w="726"/>
        <w:gridCol w:w="996"/>
        <w:gridCol w:w="1031"/>
        <w:gridCol w:w="1030"/>
        <w:gridCol w:w="5079"/>
      </w:tblGrid>
      <w:tr>
        <w:trPr>
          <w:trHeight w:val="403" w:hRule="exact"/>
        </w:trPr>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88" w:right="0"/>
              <w:jc w:val="left"/>
              <w:rPr>
                <w:rFonts w:ascii="宋体" w:hAnsi="宋体" w:cs="宋体" w:eastAsia="宋体" w:hint="default"/>
                <w:sz w:val="18"/>
                <w:szCs w:val="18"/>
              </w:rPr>
            </w:pPr>
            <w:r>
              <w:rPr>
                <w:rFonts w:ascii="宋体" w:hAnsi="宋体" w:cs="宋体" w:eastAsia="宋体" w:hint="default"/>
                <w:sz w:val="18"/>
                <w:szCs w:val="18"/>
              </w:rPr>
              <w:t>会议类</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1" w:right="0"/>
              <w:jc w:val="left"/>
              <w:rPr>
                <w:rFonts w:ascii="宋体" w:hAnsi="宋体" w:cs="宋体" w:eastAsia="宋体" w:hint="default"/>
                <w:sz w:val="18"/>
                <w:szCs w:val="18"/>
              </w:rPr>
            </w:pPr>
            <w:r>
              <w:rPr>
                <w:rFonts w:ascii="宋体" w:hAnsi="宋体" w:cs="宋体" w:eastAsia="宋体" w:hint="default"/>
                <w:sz w:val="18"/>
                <w:szCs w:val="18"/>
              </w:rPr>
              <w:t>投资者参与</w:t>
            </w:r>
          </w:p>
        </w:tc>
        <w:tc>
          <w:tcPr>
            <w:tcW w:w="1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0"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5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19" w:type="dxa"/>
        <w:tblLayout w:type="fixed"/>
        <w:tblCellMar>
          <w:top w:w="0" w:type="dxa"/>
          <w:left w:w="0" w:type="dxa"/>
          <w:bottom w:w="0" w:type="dxa"/>
          <w:right w:w="0" w:type="dxa"/>
        </w:tblCellMar>
        <w:tblLook w:val="01E0"/>
      </w:tblPr>
      <w:tblGrid>
        <w:gridCol w:w="833"/>
        <w:gridCol w:w="727"/>
        <w:gridCol w:w="996"/>
        <w:gridCol w:w="1033"/>
        <w:gridCol w:w="1030"/>
        <w:gridCol w:w="5079"/>
      </w:tblGrid>
      <w:tr>
        <w:trPr>
          <w:trHeight w:val="363" w:hRule="exact"/>
        </w:trPr>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0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一次</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49"/>
              <w:jc w:val="left"/>
              <w:rPr>
                <w:rFonts w:ascii="宋体" w:hAnsi="宋体" w:cs="宋体" w:eastAsia="宋体" w:hint="default"/>
                <w:sz w:val="18"/>
                <w:szCs w:val="18"/>
              </w:rPr>
            </w:pPr>
            <w:r>
              <w:rPr>
                <w:rFonts w:ascii="宋体" w:hAnsi="宋体" w:cs="宋体" w:eastAsia="宋体" w:hint="default"/>
                <w:sz w:val="18"/>
                <w:szCs w:val="18"/>
              </w:rPr>
              <w:t>临时股 东大会</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17.25%</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0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3"/>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2"/>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w:t>
            </w:r>
            <w:r>
              <w:rPr>
                <w:rFonts w:ascii="宋体" w:hAnsi="宋体" w:cs="宋体" w:eastAsia="宋体" w:hint="default"/>
                <w:spacing w:val="-3"/>
                <w:sz w:val="18"/>
                <w:szCs w:val="18"/>
              </w:rPr>
              <w:t>大</w:t>
            </w:r>
            <w:r>
              <w:rPr>
                <w:rFonts w:ascii="宋体" w:hAnsi="宋体" w:cs="宋体" w:eastAsia="宋体" w:hint="default"/>
                <w:sz w:val="18"/>
                <w:szCs w:val="18"/>
              </w:rPr>
              <w:t>会</w:t>
            </w:r>
            <w:r>
              <w:rPr>
                <w:rFonts w:ascii="宋体" w:hAnsi="宋体" w:cs="宋体" w:eastAsia="宋体" w:hint="default"/>
                <w:sz w:val="18"/>
                <w:szCs w:val="18"/>
              </w:rPr>
              <w:t> 决议公告</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20</w:t>
            </w:r>
            <w:r>
              <w:rPr>
                <w:rFonts w:ascii="宋体" w:hAnsi="宋体" w:cs="宋体" w:eastAsia="宋体" w:hint="default"/>
                <w:sz w:val="18"/>
                <w:szCs w:val="18"/>
              </w:rPr>
              <w:t>）</w:t>
            </w:r>
          </w:p>
        </w:tc>
      </w:tr>
      <w:tr>
        <w:trPr>
          <w:trHeight w:val="71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二次</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49"/>
              <w:jc w:val="left"/>
              <w:rPr>
                <w:rFonts w:ascii="宋体" w:hAnsi="宋体" w:cs="宋体" w:eastAsia="宋体" w:hint="default"/>
                <w:sz w:val="18"/>
                <w:szCs w:val="18"/>
              </w:rPr>
            </w:pPr>
            <w:r>
              <w:rPr>
                <w:rFonts w:ascii="宋体" w:hAnsi="宋体" w:cs="宋体" w:eastAsia="宋体" w:hint="default"/>
                <w:sz w:val="18"/>
                <w:szCs w:val="18"/>
              </w:rPr>
              <w:t>临时股 东大会</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21.61%</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0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3"/>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2"/>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w:t>
            </w:r>
            <w:r>
              <w:rPr>
                <w:rFonts w:ascii="宋体" w:hAnsi="宋体" w:cs="宋体" w:eastAsia="宋体" w:hint="default"/>
                <w:spacing w:val="-3"/>
                <w:sz w:val="18"/>
                <w:szCs w:val="18"/>
              </w:rPr>
              <w:t>大</w:t>
            </w:r>
            <w:r>
              <w:rPr>
                <w:rFonts w:ascii="宋体" w:hAnsi="宋体" w:cs="宋体" w:eastAsia="宋体" w:hint="default"/>
                <w:sz w:val="18"/>
                <w:szCs w:val="18"/>
              </w:rPr>
              <w:t>会</w:t>
            </w:r>
            <w:r>
              <w:rPr>
                <w:rFonts w:ascii="宋体" w:hAnsi="宋体" w:cs="宋体" w:eastAsia="宋体" w:hint="default"/>
                <w:sz w:val="18"/>
                <w:szCs w:val="18"/>
              </w:rPr>
              <w:t> 决议公告</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37</w:t>
            </w:r>
            <w:r>
              <w:rPr>
                <w:rFonts w:ascii="宋体" w:hAnsi="宋体" w:cs="宋体" w:eastAsia="宋体" w:hint="default"/>
                <w:sz w:val="18"/>
                <w:szCs w:val="18"/>
              </w:rPr>
              <w:t>）</w:t>
            </w:r>
          </w:p>
        </w:tc>
      </w:tr>
      <w:tr>
        <w:trPr>
          <w:trHeight w:val="713"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三次</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49"/>
              <w:jc w:val="left"/>
              <w:rPr>
                <w:rFonts w:ascii="宋体" w:hAnsi="宋体" w:cs="宋体" w:eastAsia="宋体" w:hint="default"/>
                <w:sz w:val="18"/>
                <w:szCs w:val="18"/>
              </w:rPr>
            </w:pPr>
            <w:r>
              <w:rPr>
                <w:rFonts w:ascii="宋体" w:hAnsi="宋体" w:cs="宋体" w:eastAsia="宋体" w:hint="default"/>
                <w:sz w:val="18"/>
                <w:szCs w:val="18"/>
              </w:rPr>
              <w:t>临时股 东大会</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21.14%</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0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3"/>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2"/>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w:t>
            </w:r>
            <w:r>
              <w:rPr>
                <w:rFonts w:ascii="宋体" w:hAnsi="宋体" w:cs="宋体" w:eastAsia="宋体" w:hint="default"/>
                <w:spacing w:val="-3"/>
                <w:sz w:val="18"/>
                <w:szCs w:val="18"/>
              </w:rPr>
              <w:t>大</w:t>
            </w:r>
            <w:r>
              <w:rPr>
                <w:rFonts w:ascii="宋体" w:hAnsi="宋体" w:cs="宋体" w:eastAsia="宋体" w:hint="default"/>
                <w:sz w:val="18"/>
                <w:szCs w:val="18"/>
              </w:rPr>
              <w:t>会</w:t>
            </w:r>
            <w:r>
              <w:rPr>
                <w:rFonts w:ascii="宋体" w:hAnsi="宋体" w:cs="宋体" w:eastAsia="宋体" w:hint="default"/>
                <w:sz w:val="18"/>
                <w:szCs w:val="18"/>
              </w:rPr>
              <w:t> 决议公告</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42</w:t>
            </w:r>
            <w:r>
              <w:rPr>
                <w:rFonts w:ascii="宋体" w:hAnsi="宋体" w:cs="宋体" w:eastAsia="宋体" w:hint="default"/>
                <w:sz w:val="18"/>
                <w:szCs w:val="18"/>
              </w:rPr>
              <w:t>）</w:t>
            </w:r>
          </w:p>
        </w:tc>
      </w:tr>
      <w:tr>
        <w:trPr>
          <w:trHeight w:val="71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49"/>
              <w:jc w:val="left"/>
              <w:rPr>
                <w:rFonts w:ascii="宋体" w:hAnsi="宋体" w:cs="宋体" w:eastAsia="宋体" w:hint="default"/>
                <w:sz w:val="18"/>
                <w:szCs w:val="18"/>
              </w:rPr>
            </w:pPr>
            <w:r>
              <w:rPr>
                <w:rFonts w:ascii="宋体" w:hAnsi="宋体" w:cs="宋体" w:eastAsia="宋体" w:hint="default"/>
                <w:sz w:val="18"/>
                <w:szCs w:val="18"/>
              </w:rPr>
              <w:t>年度股 东大会</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21.19%</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0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3"/>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2"/>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年年度股东大会决</w:t>
            </w:r>
            <w:r>
              <w:rPr>
                <w:rFonts w:ascii="宋体" w:hAnsi="宋体" w:cs="宋体" w:eastAsia="宋体" w:hint="default"/>
                <w:spacing w:val="-3"/>
                <w:sz w:val="18"/>
                <w:szCs w:val="18"/>
              </w:rPr>
              <w:t>议</w:t>
            </w:r>
            <w:r>
              <w:rPr>
                <w:rFonts w:ascii="宋体" w:hAnsi="宋体" w:cs="宋体" w:eastAsia="宋体" w:hint="default"/>
                <w:sz w:val="18"/>
                <w:szCs w:val="18"/>
              </w:rPr>
              <w:t>公</w:t>
            </w:r>
            <w:r>
              <w:rPr>
                <w:rFonts w:ascii="宋体" w:hAnsi="宋体" w:cs="宋体" w:eastAsia="宋体" w:hint="default"/>
                <w:sz w:val="18"/>
                <w:szCs w:val="18"/>
              </w:rPr>
              <w:t> 告</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w:t>
            </w:r>
          </w:p>
        </w:tc>
      </w:tr>
      <w:tr>
        <w:trPr>
          <w:trHeight w:val="713"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四次</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49"/>
              <w:jc w:val="left"/>
              <w:rPr>
                <w:rFonts w:ascii="宋体" w:hAnsi="宋体" w:cs="宋体" w:eastAsia="宋体" w:hint="default"/>
                <w:sz w:val="18"/>
                <w:szCs w:val="18"/>
              </w:rPr>
            </w:pPr>
            <w:r>
              <w:rPr>
                <w:rFonts w:ascii="宋体" w:hAnsi="宋体" w:cs="宋体" w:eastAsia="宋体" w:hint="default"/>
                <w:sz w:val="18"/>
                <w:szCs w:val="18"/>
              </w:rPr>
              <w:t>临时股 东大会</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17.63%</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0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3"/>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2"/>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年第四次临时股东</w:t>
            </w:r>
            <w:r>
              <w:rPr>
                <w:rFonts w:ascii="宋体" w:hAnsi="宋体" w:cs="宋体" w:eastAsia="宋体" w:hint="default"/>
                <w:spacing w:val="-3"/>
                <w:sz w:val="18"/>
                <w:szCs w:val="18"/>
              </w:rPr>
              <w:t>大</w:t>
            </w:r>
            <w:r>
              <w:rPr>
                <w:rFonts w:ascii="宋体" w:hAnsi="宋体" w:cs="宋体" w:eastAsia="宋体" w:hint="default"/>
                <w:sz w:val="18"/>
                <w:szCs w:val="18"/>
              </w:rPr>
              <w:t>会</w:t>
            </w:r>
            <w:r>
              <w:rPr>
                <w:rFonts w:ascii="宋体" w:hAnsi="宋体" w:cs="宋体" w:eastAsia="宋体" w:hint="default"/>
                <w:sz w:val="18"/>
                <w:szCs w:val="18"/>
              </w:rPr>
              <w:t> 决议公告</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07</w:t>
            </w:r>
            <w:r>
              <w:rPr>
                <w:rFonts w:ascii="宋体" w:hAnsi="宋体" w:cs="宋体" w:eastAsia="宋体" w:hint="default"/>
                <w:sz w:val="18"/>
                <w:szCs w:val="18"/>
              </w:rPr>
              <w:t>）</w:t>
            </w:r>
          </w:p>
        </w:tc>
      </w:tr>
      <w:tr>
        <w:trPr>
          <w:trHeight w:val="71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五次</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49"/>
              <w:jc w:val="left"/>
              <w:rPr>
                <w:rFonts w:ascii="宋体" w:hAnsi="宋体" w:cs="宋体" w:eastAsia="宋体" w:hint="default"/>
                <w:sz w:val="18"/>
                <w:szCs w:val="18"/>
              </w:rPr>
            </w:pPr>
            <w:r>
              <w:rPr>
                <w:rFonts w:ascii="宋体" w:hAnsi="宋体" w:cs="宋体" w:eastAsia="宋体" w:hint="default"/>
                <w:sz w:val="18"/>
                <w:szCs w:val="18"/>
              </w:rPr>
              <w:t>临时股 东大会</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32.81%</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0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3"/>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2"/>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年第五次临时股东</w:t>
            </w:r>
            <w:r>
              <w:rPr>
                <w:rFonts w:ascii="宋体" w:hAnsi="宋体" w:cs="宋体" w:eastAsia="宋体" w:hint="default"/>
                <w:spacing w:val="-3"/>
                <w:sz w:val="18"/>
                <w:szCs w:val="18"/>
              </w:rPr>
              <w:t>大</w:t>
            </w:r>
            <w:r>
              <w:rPr>
                <w:rFonts w:ascii="宋体" w:hAnsi="宋体" w:cs="宋体" w:eastAsia="宋体" w:hint="default"/>
                <w:sz w:val="18"/>
                <w:szCs w:val="18"/>
              </w:rPr>
              <w:t>会</w:t>
            </w:r>
            <w:r>
              <w:rPr>
                <w:rFonts w:ascii="宋体" w:hAnsi="宋体" w:cs="宋体" w:eastAsia="宋体" w:hint="default"/>
                <w:sz w:val="18"/>
                <w:szCs w:val="18"/>
              </w:rPr>
              <w:t> 决议公告</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54</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叶陈刚</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Key Ke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4"/>
                <w:sz w:val="18"/>
                <w:szCs w:val="18"/>
              </w:rPr>
              <w:t>Liu</w:t>
            </w:r>
            <w:r>
              <w:rPr>
                <w:rFonts w:ascii="宋体" w:hAnsi="宋体" w:cs="宋体" w:eastAsia="宋体" w:hint="default"/>
                <w:spacing w:val="-4"/>
                <w:sz w:val="18"/>
                <w:szCs w:val="18"/>
              </w:rPr>
              <w:t>（中文</w:t>
            </w:r>
            <w:r>
              <w:rPr>
                <w:rFonts w:ascii="宋体" w:hAnsi="宋体" w:cs="宋体" w:eastAsia="宋体" w:hint="default"/>
                <w:sz w:val="18"/>
                <w:szCs w:val="18"/>
              </w:rPr>
              <w:t> 名：刘科）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1133"/>
        <w:jc w:val="left"/>
      </w:pPr>
      <w:r>
        <w:rPr/>
        <w:t>连续两次未亲自出席董事会的说明：无。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40"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40" w:lineRule="auto" w:before="44"/>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09" w:lineRule="auto" w:before="39"/>
        <w:ind w:right="1131" w:firstLine="425"/>
        <w:jc w:val="both"/>
      </w:pPr>
      <w:r>
        <w:rPr/>
        <w:t>公司独立董事关注公司运作，独立履行职责，对报告期内公司定期报告及相关事项、坏账核销、注销孙公司、签署并 </w:t>
      </w:r>
      <w:r>
        <w:rPr>
          <w:spacing w:val="-2"/>
        </w:rPr>
        <w:t>购贷款补充协议、停牌期满继续停牌、调整相关人员任职安排和聘任新的副总裁、公司两次会计政策变更、产业并购基金两</w:t>
      </w:r>
      <w:r>
        <w:rPr>
          <w:spacing w:val="-65"/>
        </w:rPr>
        <w:t> </w:t>
      </w:r>
      <w:r>
        <w:rPr>
          <w:spacing w:val="-65"/>
        </w:rPr>
      </w:r>
      <w:r>
        <w:rPr>
          <w:spacing w:val="-2"/>
        </w:rPr>
        <w:t>次调整出资额和对外转让剩余份额及签订对外转让份额补充协议、继续投资理财产品、回购注销</w:t>
      </w:r>
      <w:r>
        <w:rPr>
          <w:rFonts w:ascii="Times New Roman" w:hAnsi="Times New Roman" w:cs="Times New Roman" w:eastAsia="Times New Roman" w:hint="default"/>
          <w:spacing w:val="-2"/>
        </w:rPr>
        <w:t>2015</w:t>
      </w:r>
      <w:r>
        <w:rPr>
          <w:spacing w:val="-2"/>
        </w:rPr>
        <w:t>年两期股权激励计划部</w:t>
      </w:r>
      <w:r>
        <w:rPr>
          <w:spacing w:val="-60"/>
        </w:rPr>
        <w:t> </w:t>
      </w:r>
      <w:r>
        <w:rPr>
          <w:spacing w:val="-60"/>
        </w:rPr>
      </w:r>
      <w:r>
        <w:rPr>
          <w:spacing w:val="-2"/>
        </w:rPr>
        <w:t>分限制性股票和股票期权、发行股份及支付现金购买资产并募集配套资金预案、</w:t>
      </w:r>
      <w:r>
        <w:rPr>
          <w:rFonts w:ascii="Times New Roman" w:hAnsi="Times New Roman" w:cs="Times New Roman" w:eastAsia="Times New Roman" w:hint="default"/>
          <w:spacing w:val="-2"/>
        </w:rPr>
        <w:t>2015</w:t>
      </w:r>
      <w:r>
        <w:rPr>
          <w:spacing w:val="-2"/>
        </w:rPr>
        <w:t>年两期股权激励计划首次授予的限制性</w:t>
      </w:r>
      <w:r>
        <w:rPr>
          <w:spacing w:val="-61"/>
        </w:rPr>
        <w:t> </w:t>
      </w:r>
      <w:r>
        <w:rPr>
          <w:spacing w:val="-61"/>
        </w:rPr>
      </w:r>
      <w:r>
        <w:rPr/>
        <w:t>股票与股票期权第二期解锁</w:t>
      </w:r>
      <w:r>
        <w:rPr>
          <w:rFonts w:ascii="Times New Roman" w:hAnsi="Times New Roman" w:cs="Times New Roman" w:eastAsia="Times New Roman" w:hint="default"/>
        </w:rPr>
        <w:t>/</w:t>
      </w:r>
      <w:r>
        <w:rPr/>
        <w:t>行权、</w:t>
      </w:r>
      <w:r>
        <w:rPr>
          <w:rFonts w:ascii="Times New Roman" w:hAnsi="Times New Roman" w:cs="Times New Roman" w:eastAsia="Times New Roman" w:hint="default"/>
        </w:rPr>
        <w:t>2016</w:t>
      </w:r>
      <w:r>
        <w:rPr/>
        <w:t>年限制性股票激励计划授予的限制性股票第一期和第二期解锁、公司开展融资租赁 </w:t>
      </w:r>
      <w:r>
        <w:rPr>
          <w:spacing w:val="-2"/>
        </w:rPr>
        <w:t>业务、孙公司向关联方租赁办公场所、变更公司财务总监、终止重大资产重组、变更公司名称和证券简称、追加投资惠智网</w:t>
      </w:r>
      <w:r>
        <w:rPr>
          <w:spacing w:val="-67"/>
        </w:rPr>
        <w:t> </w:t>
      </w:r>
      <w:r>
        <w:rPr>
          <w:spacing w:val="-67"/>
        </w:rPr>
      </w:r>
      <w:r>
        <w:rPr/>
        <w:t>联、继续证券投资等事项发表了同意的独立意见，对维护公司及全体股东的权益发挥了积极的作用。</w:t>
      </w:r>
    </w:p>
    <w:p>
      <w:pPr>
        <w:spacing w:line="240" w:lineRule="auto" w:before="3"/>
        <w:rPr>
          <w:rFonts w:ascii="宋体" w:hAnsi="宋体" w:cs="宋体" w:eastAsia="宋体" w:hint="default"/>
          <w:sz w:val="21"/>
          <w:szCs w:val="21"/>
        </w:rPr>
      </w:pPr>
    </w:p>
    <w:p>
      <w:pPr>
        <w:pStyle w:val="Heading2"/>
        <w:spacing w:line="240" w:lineRule="auto"/>
        <w:ind w:right="1133"/>
        <w:jc w:val="left"/>
        <w:rPr>
          <w:b w:val="0"/>
          <w:bCs w:val="0"/>
        </w:rPr>
      </w:pP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rFonts w:ascii="Times New Roman" w:hAnsi="Times New Roman" w:cs="Times New Roman" w:eastAsia="Times New Roman" w:hint="default"/>
        </w:rPr>
        <w:t>1</w:t>
      </w:r>
      <w:r>
        <w:rPr/>
        <w:t>、报告期内公司董事会战略委员会未召开会议。</w:t>
      </w:r>
    </w:p>
    <w:p>
      <w:pPr>
        <w:pStyle w:val="BodyText"/>
        <w:spacing w:line="307" w:lineRule="auto" w:before="63"/>
        <w:ind w:right="1129" w:firstLine="360"/>
        <w:jc w:val="right"/>
      </w:pPr>
      <w:r>
        <w:rPr>
          <w:rFonts w:ascii="Times New Roman" w:hAnsi="Times New Roman" w:cs="Times New Roman" w:eastAsia="Times New Roman" w:hint="default"/>
          <w:spacing w:val="-2"/>
        </w:rPr>
        <w:t>2</w:t>
      </w:r>
      <w:r>
        <w:rPr>
          <w:spacing w:val="-2"/>
        </w:rPr>
        <w:t>、报告期内公司董事会审计委员会召开了</w:t>
      </w:r>
      <w:r>
        <w:rPr>
          <w:rFonts w:ascii="Times New Roman" w:hAnsi="Times New Roman" w:cs="Times New Roman" w:eastAsia="Times New Roman" w:hint="default"/>
          <w:spacing w:val="-2"/>
        </w:rPr>
        <w:t>6</w:t>
      </w:r>
      <w:r>
        <w:rPr>
          <w:spacing w:val="-2"/>
        </w:rPr>
        <w:t>次会议，审议公司审计室提交的各项内部审计报告，听取审计室年度工作总</w:t>
      </w:r>
      <w:r>
        <w:rPr/>
        <w:t> </w:t>
      </w:r>
      <w:r>
        <w:rPr>
          <w:spacing w:val="-5"/>
        </w:rPr>
        <w:t>结和工作计划安排，指导审计室开展各项工作，围绕定期报告审计开展各项工作，定期报告相关议案已提交公司董事会审议。</w:t>
      </w:r>
      <w:r>
        <w:rPr>
          <w:spacing w:val="-84"/>
        </w:rPr>
        <w:t> </w:t>
      </w:r>
      <w:r>
        <w:rPr>
          <w:spacing w:val="-84"/>
        </w:rPr>
      </w:r>
      <w:r>
        <w:rPr>
          <w:rFonts w:ascii="Times New Roman" w:hAnsi="Times New Roman" w:cs="Times New Roman" w:eastAsia="Times New Roman" w:hint="default"/>
          <w:spacing w:val="-2"/>
        </w:rPr>
        <w:t>3</w:t>
      </w:r>
      <w:r>
        <w:rPr>
          <w:spacing w:val="-2"/>
        </w:rPr>
        <w:t>、报告期内公司董事会薪酬与考核委员会召开了</w:t>
      </w:r>
      <w:r>
        <w:rPr>
          <w:rFonts w:ascii="Times New Roman" w:hAnsi="Times New Roman" w:cs="Times New Roman" w:eastAsia="Times New Roman" w:hint="default"/>
          <w:spacing w:val="-2"/>
        </w:rPr>
        <w:t>3</w:t>
      </w:r>
      <w:r>
        <w:rPr>
          <w:spacing w:val="-2"/>
        </w:rPr>
        <w:t>次会议，审议公司</w:t>
      </w:r>
      <w:r>
        <w:rPr>
          <w:rFonts w:ascii="Times New Roman" w:hAnsi="Times New Roman" w:cs="Times New Roman" w:eastAsia="Times New Roman" w:hint="default"/>
          <w:spacing w:val="-2"/>
        </w:rPr>
        <w:t>2017</w:t>
      </w:r>
      <w:r>
        <w:rPr>
          <w:spacing w:val="-2"/>
        </w:rPr>
        <w:t>年度绩效考核报告暨年度奖金分配方案、</w:t>
      </w:r>
      <w:r>
        <w:rPr>
          <w:rFonts w:ascii="Times New Roman" w:hAnsi="Times New Roman" w:cs="Times New Roman" w:eastAsia="Times New Roman" w:hint="default"/>
          <w:spacing w:val="-2"/>
        </w:rPr>
        <w:t>2015</w:t>
      </w:r>
      <w:r>
        <w:rPr>
          <w:rFonts w:ascii="Times New Roman" w:hAnsi="Times New Roman" w:cs="Times New Roman" w:eastAsia="Times New Roman" w:hint="default"/>
        </w:rPr>
        <w:t> </w:t>
      </w:r>
      <w:r>
        <w:rPr>
          <w:spacing w:val="-1"/>
        </w:rPr>
        <w:t>年两期股权激励计划首次授予的限制性股票</w:t>
      </w:r>
      <w:r>
        <w:rPr>
          <w:rFonts w:ascii="Times New Roman" w:hAnsi="Times New Roman" w:cs="Times New Roman" w:eastAsia="Times New Roman" w:hint="default"/>
          <w:spacing w:val="-1"/>
        </w:rPr>
        <w:t>/</w:t>
      </w:r>
      <w:r>
        <w:rPr>
          <w:spacing w:val="-1"/>
        </w:rPr>
        <w:t>股票期权第二次解锁</w:t>
      </w:r>
      <w:r>
        <w:rPr>
          <w:rFonts w:ascii="Times New Roman" w:hAnsi="Times New Roman" w:cs="Times New Roman" w:eastAsia="Times New Roman" w:hint="default"/>
          <w:spacing w:val="-1"/>
        </w:rPr>
        <w:t>/</w:t>
      </w:r>
      <w:r>
        <w:rPr>
          <w:spacing w:val="-1"/>
        </w:rPr>
        <w:t>行权、</w:t>
      </w:r>
      <w:r>
        <w:rPr>
          <w:rFonts w:ascii="Times New Roman" w:hAnsi="Times New Roman" w:cs="Times New Roman" w:eastAsia="Times New Roman" w:hint="default"/>
          <w:spacing w:val="-1"/>
        </w:rPr>
        <w:t>2016</w:t>
      </w:r>
      <w:r>
        <w:rPr>
          <w:spacing w:val="-1"/>
        </w:rPr>
        <w:t>年限制性股票激励计划授予的限制性股票第一</w:t>
      </w:r>
    </w:p>
    <w:p>
      <w:pPr>
        <w:pStyle w:val="BodyText"/>
        <w:spacing w:line="240" w:lineRule="auto" w:before="7"/>
        <w:ind w:right="1133"/>
        <w:jc w:val="left"/>
      </w:pPr>
      <w:r>
        <w:rPr/>
        <w:t>次和第二次解锁等事项，相关议案已提交公司董事会审议。</w:t>
      </w:r>
    </w:p>
    <w:p>
      <w:pPr>
        <w:pStyle w:val="BodyText"/>
        <w:spacing w:line="300" w:lineRule="auto" w:before="117"/>
        <w:ind w:right="1133" w:firstLine="288"/>
        <w:jc w:val="left"/>
      </w:pPr>
      <w:r>
        <w:rPr>
          <w:rFonts w:ascii="Times New Roman" w:hAnsi="Times New Roman" w:cs="Times New Roman" w:eastAsia="Times New Roman" w:hint="default"/>
          <w:spacing w:val="-1"/>
        </w:rPr>
        <w:t>4</w:t>
      </w:r>
      <w:r>
        <w:rPr>
          <w:spacing w:val="-1"/>
        </w:rPr>
        <w:t>、报告期内公司董事会提名委员会召开了</w:t>
      </w:r>
      <w:r>
        <w:rPr>
          <w:rFonts w:ascii="Times New Roman" w:hAnsi="Times New Roman" w:cs="Times New Roman" w:eastAsia="Times New Roman" w:hint="default"/>
          <w:spacing w:val="-1"/>
        </w:rPr>
        <w:t>2</w:t>
      </w:r>
      <w:r>
        <w:rPr>
          <w:spacing w:val="-1"/>
        </w:rPr>
        <w:t>次会议，审议公司聘任寇汉先生担任公司副总裁、变更财务总监的议案，相</w:t>
      </w:r>
      <w:r>
        <w:rPr/>
        <w:t> 关议案已提交公司董事会审议。</w:t>
      </w:r>
    </w:p>
    <w:p>
      <w:pPr>
        <w:spacing w:line="240" w:lineRule="auto" w:before="9"/>
        <w:rPr>
          <w:rFonts w:ascii="宋体" w:hAnsi="宋体" w:cs="宋体" w:eastAsia="宋体" w:hint="default"/>
          <w:sz w:val="21"/>
          <w:szCs w:val="21"/>
        </w:rPr>
      </w:pPr>
    </w:p>
    <w:p>
      <w:pPr>
        <w:pStyle w:val="Heading2"/>
        <w:spacing w:line="240" w:lineRule="auto"/>
        <w:ind w:right="1133"/>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38" w:lineRule="auto" w:before="117"/>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0" w:firstLine="360"/>
        <w:jc w:val="both"/>
      </w:pPr>
      <w:r>
        <w:rPr>
          <w:spacing w:val="-2"/>
        </w:rPr>
        <w:t>根据《董事、监事、高级管理人员薪酬制度》，对于公司引进高管人员或对公司有杰出贡献的人员，其个人报酬由董事</w:t>
      </w:r>
      <w:r>
        <w:rPr/>
        <w:t> </w:t>
      </w:r>
      <w:r>
        <w:rPr>
          <w:spacing w:val="-2"/>
        </w:rPr>
        <w:t>会或总裁决定，公司独立董事应对该薪酬方案发表意见。高管人员的个人绩效奖金与公司经营目标挂钩，董事会薪酬与考核</w:t>
      </w:r>
      <w:r>
        <w:rPr>
          <w:spacing w:val="-63"/>
        </w:rPr>
        <w:t> </w:t>
      </w:r>
      <w:r>
        <w:rPr>
          <w:spacing w:val="-63"/>
        </w:rPr>
      </w:r>
      <w:r>
        <w:rPr/>
        <w:t>委员会根据上年生产经营计划对公司高管人员进行考核，具体确定各高管人员的绩效奖金数额及发放方式。</w:t>
      </w:r>
    </w:p>
    <w:p>
      <w:pPr>
        <w:pStyle w:val="BodyText"/>
        <w:spacing w:line="240" w:lineRule="auto" w:before="17"/>
        <w:ind w:left="513" w:right="1133"/>
        <w:jc w:val="left"/>
      </w:pPr>
      <w:r>
        <w:rPr/>
        <w:t>（一）</w:t>
      </w:r>
      <w:r>
        <w:rPr>
          <w:rFonts w:ascii="Times New Roman" w:hAnsi="Times New Roman" w:cs="Times New Roman" w:eastAsia="Times New Roman" w:hint="default"/>
        </w:rPr>
        <w:t>2015</w:t>
      </w:r>
      <w:r>
        <w:rPr/>
        <w:t>年第一期股权激励计划</w:t>
      </w:r>
    </w:p>
    <w:p>
      <w:pPr>
        <w:pStyle w:val="BodyText"/>
        <w:spacing w:line="300" w:lineRule="auto" w:before="63"/>
        <w:ind w:right="1136"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日，根据公司</w:t>
      </w:r>
      <w:r>
        <w:rPr>
          <w:rFonts w:ascii="Times New Roman" w:hAnsi="Times New Roman" w:cs="Times New Roman" w:eastAsia="Times New Roman" w:hint="default"/>
        </w:rPr>
        <w:t>2015</w:t>
      </w:r>
      <w:r>
        <w:rPr/>
        <w:t>年第一期股权激励计划，公司授予纪晓文、杨富年等</w:t>
      </w:r>
      <w:r>
        <w:rPr>
          <w:rFonts w:ascii="Times New Roman" w:hAnsi="Times New Roman" w:cs="Times New Roman" w:eastAsia="Times New Roman" w:hint="default"/>
        </w:rPr>
        <w:t>6</w:t>
      </w:r>
      <w:r>
        <w:rPr/>
        <w:t>名时任和现任董事、高级管理人 员限制性股票共计</w:t>
      </w:r>
      <w:r>
        <w:rPr>
          <w:rFonts w:ascii="Times New Roman" w:hAnsi="Times New Roman" w:cs="Times New Roman" w:eastAsia="Times New Roman" w:hint="default"/>
        </w:rPr>
        <w:t>820</w:t>
      </w:r>
      <w:r>
        <w:rPr/>
        <w:t>万股，相关授予登记工作已于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日完成，授予的限制性股票已于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日上市。</w:t>
      </w:r>
    </w:p>
    <w:p>
      <w:pPr>
        <w:pStyle w:val="BodyText"/>
        <w:spacing w:line="240" w:lineRule="auto" w:before="13"/>
        <w:ind w:left="513" w:right="1133"/>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日，公司授予核心业务骨干预留限制性股票</w:t>
      </w:r>
      <w:r>
        <w:rPr>
          <w:rFonts w:ascii="Times New Roman" w:hAnsi="Times New Roman" w:cs="Times New Roman" w:eastAsia="Times New Roman" w:hint="default"/>
        </w:rPr>
        <w:t>160</w:t>
      </w:r>
      <w:r>
        <w:rPr/>
        <w:t>万股和预留股票期权</w:t>
      </w:r>
      <w:r>
        <w:rPr>
          <w:rFonts w:ascii="Times New Roman" w:hAnsi="Times New Roman" w:cs="Times New Roman" w:eastAsia="Times New Roman" w:hint="default"/>
        </w:rPr>
        <w:t>60</w:t>
      </w:r>
      <w:r>
        <w:rPr/>
        <w:t>万份，相关授予登记工作已于</w:t>
      </w:r>
      <w:r>
        <w:rPr>
          <w:rFonts w:ascii="Times New Roman" w:hAnsi="Times New Roman" w:cs="Times New Roman" w:eastAsia="Times New Roman" w:hint="default"/>
        </w:rPr>
        <w:t>2016</w:t>
      </w:r>
    </w:p>
    <w:p>
      <w:pPr>
        <w:pStyle w:val="BodyText"/>
        <w:spacing w:line="240" w:lineRule="auto" w:before="63"/>
        <w:ind w:right="1133"/>
        <w:jc w:val="left"/>
      </w:pP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日完成，授予的限制性股票已于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日上市。</w:t>
      </w:r>
    </w:p>
    <w:p>
      <w:pPr>
        <w:pStyle w:val="BodyText"/>
        <w:spacing w:line="300" w:lineRule="auto" w:before="63"/>
        <w:ind w:right="1132"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w:t>
      </w:r>
      <w:r>
        <w:rPr>
          <w:rFonts w:ascii="Times New Roman" w:hAnsi="Times New Roman" w:cs="Times New Roman" w:eastAsia="Times New Roman" w:hint="default"/>
          <w:spacing w:val="-2"/>
        </w:rPr>
        <w:t>2015</w:t>
      </w:r>
      <w:r>
        <w:rPr>
          <w:spacing w:val="-2"/>
        </w:rPr>
        <w:t>年第一期股权激励计划首次授予的限制性股票第一个解锁期符合解锁条件，相关激励对象可解锁</w:t>
      </w:r>
      <w:r>
        <w:rPr/>
        <w:t> 限制性股票共计</w:t>
      </w:r>
      <w:r>
        <w:rPr>
          <w:rFonts w:ascii="Times New Roman" w:hAnsi="Times New Roman" w:cs="Times New Roman" w:eastAsia="Times New Roman" w:hint="default"/>
        </w:rPr>
        <w:t>246</w:t>
      </w:r>
      <w:r>
        <w:rPr/>
        <w:t>万股已于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日解锁上市流通。</w:t>
      </w:r>
    </w:p>
    <w:p>
      <w:pPr>
        <w:pStyle w:val="BodyText"/>
        <w:spacing w:line="300" w:lineRule="auto" w:before="13"/>
        <w:ind w:right="1128" w:firstLine="36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18</w:t>
      </w:r>
      <w:r>
        <w:rPr>
          <w:spacing w:val="-1"/>
        </w:rPr>
        <w:t>日，公司董事会同意回购注销已离职激励对象纪晓文先生已获授未解锁的限制性股票</w:t>
      </w:r>
      <w:r>
        <w:rPr>
          <w:rFonts w:ascii="Times New Roman" w:hAnsi="Times New Roman" w:cs="Times New Roman" w:eastAsia="Times New Roman" w:hint="default"/>
          <w:spacing w:val="-1"/>
        </w:rPr>
        <w:t>227.5</w:t>
      </w:r>
      <w:r>
        <w:rPr>
          <w:spacing w:val="-1"/>
        </w:rPr>
        <w:t>万股，本次回购</w:t>
      </w:r>
      <w:r>
        <w:rPr/>
        <w:t> 注销事项已于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日完成。</w:t>
      </w:r>
    </w:p>
    <w:p>
      <w:pPr>
        <w:pStyle w:val="BodyText"/>
        <w:spacing w:line="300" w:lineRule="auto" w:before="13"/>
        <w:ind w:right="1024"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2015</w:t>
      </w:r>
      <w:r>
        <w:rPr/>
        <w:t>年第一期股权激励计划预留授予的限制性股票和股票期权第一个解锁</w:t>
      </w:r>
      <w:r>
        <w:rPr>
          <w:rFonts w:ascii="Times New Roman" w:hAnsi="Times New Roman" w:cs="Times New Roman" w:eastAsia="Times New Roman" w:hint="default"/>
        </w:rPr>
        <w:t>/</w:t>
      </w:r>
      <w:r>
        <w:rPr/>
        <w:t>行权期符合解锁</w:t>
      </w:r>
      <w:r>
        <w:rPr>
          <w:rFonts w:ascii="Times New Roman" w:hAnsi="Times New Roman" w:cs="Times New Roman" w:eastAsia="Times New Roman" w:hint="default"/>
        </w:rPr>
        <w:t>/</w:t>
      </w:r>
      <w:r>
        <w:rPr/>
        <w:t>行权条件， </w:t>
      </w:r>
      <w:r>
        <w:rPr>
          <w:spacing w:val="-2"/>
        </w:rPr>
        <w:t>相关激励对象可解锁限制性股票共计</w:t>
      </w:r>
      <w:r>
        <w:rPr>
          <w:rFonts w:ascii="Times New Roman" w:hAnsi="Times New Roman" w:cs="Times New Roman" w:eastAsia="Times New Roman" w:hint="default"/>
          <w:spacing w:val="-2"/>
        </w:rPr>
        <w:t>80</w:t>
      </w:r>
      <w:r>
        <w:rPr>
          <w:spacing w:val="-2"/>
        </w:rPr>
        <w:t>万股已于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日解锁上市流通；</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20</w:t>
      </w:r>
      <w:r>
        <w:rPr>
          <w:spacing w:val="-2"/>
        </w:rPr>
        <w:t>日，相关激励对象可行权股票期</w:t>
      </w:r>
      <w:r>
        <w:rPr>
          <w:spacing w:val="-55"/>
        </w:rPr>
        <w:t> </w:t>
      </w:r>
      <w:r>
        <w:rPr>
          <w:spacing w:val="-55"/>
        </w:rPr>
      </w:r>
      <w:r>
        <w:rPr/>
        <w:t>权</w:t>
      </w:r>
      <w:r>
        <w:rPr>
          <w:rFonts w:ascii="Times New Roman" w:hAnsi="Times New Roman" w:cs="Times New Roman" w:eastAsia="Times New Roman" w:hint="default"/>
        </w:rPr>
        <w:t>30</w:t>
      </w:r>
      <w:r>
        <w:rPr/>
        <w:t>万份到期未行权，董事会同意注销该批股票期权，本次注销事项已于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日完成。</w:t>
      </w:r>
    </w:p>
    <w:p>
      <w:pPr>
        <w:spacing w:after="0" w:line="30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12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2015</w:t>
      </w:r>
      <w:r>
        <w:rPr/>
        <w:t>年第一期股权激励计划首次授予部分第三个解锁期和预留部分第二个解锁</w:t>
      </w:r>
      <w:r>
        <w:rPr>
          <w:rFonts w:ascii="Times New Roman" w:hAnsi="Times New Roman" w:cs="Times New Roman" w:eastAsia="Times New Roman" w:hint="default"/>
        </w:rPr>
        <w:t>/</w:t>
      </w:r>
      <w:r>
        <w:rPr/>
        <w:t>行权期不符合解锁</w:t>
      </w:r>
      <w:r>
        <w:rPr>
          <w:rFonts w:ascii="Times New Roman" w:hAnsi="Times New Roman" w:cs="Times New Roman" w:eastAsia="Times New Roman" w:hint="default"/>
        </w:rPr>
        <w:t>/</w:t>
      </w:r>
      <w:r>
        <w:rPr/>
        <w:t>行 权条件，董事会同意回购注销激励对象相关已获授未解锁的限制性股票共计</w:t>
      </w:r>
      <w:r>
        <w:rPr>
          <w:rFonts w:ascii="Times New Roman" w:hAnsi="Times New Roman" w:cs="Times New Roman" w:eastAsia="Times New Roman" w:hint="default"/>
        </w:rPr>
        <w:t>278</w:t>
      </w:r>
      <w:r>
        <w:rPr/>
        <w:t>万股和相关已获授未行权股票期权</w:t>
      </w:r>
      <w:r>
        <w:rPr>
          <w:rFonts w:ascii="Times New Roman" w:hAnsi="Times New Roman" w:cs="Times New Roman" w:eastAsia="Times New Roman" w:hint="default"/>
        </w:rPr>
        <w:t>30</w:t>
      </w:r>
      <w:r>
        <w:rPr/>
        <w:t>万份， 本次回购注销事项已于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日完成。</w:t>
      </w:r>
    </w:p>
    <w:p>
      <w:pPr>
        <w:pStyle w:val="BodyText"/>
        <w:spacing w:line="300" w:lineRule="auto" w:before="13"/>
        <w:ind w:right="112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2015</w:t>
      </w:r>
      <w:r>
        <w:rPr/>
        <w:t>年第一期股权激励计划首次授予的限制性股票第二个解锁期符合解锁条件，相关激励对象可解锁 限制性股票共计</w:t>
      </w:r>
      <w:r>
        <w:rPr>
          <w:rFonts w:ascii="Times New Roman" w:hAnsi="Times New Roman" w:cs="Times New Roman" w:eastAsia="Times New Roman" w:hint="default"/>
        </w:rPr>
        <w:t>148.5</w:t>
      </w:r>
      <w:r>
        <w:rPr/>
        <w:t>万股已于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日解锁上市流通。</w:t>
      </w:r>
    </w:p>
    <w:p>
      <w:pPr>
        <w:pStyle w:val="BodyText"/>
        <w:spacing w:line="240" w:lineRule="auto" w:before="13"/>
        <w:ind w:left="513" w:right="1133"/>
        <w:jc w:val="left"/>
      </w:pPr>
      <w:r>
        <w:rPr/>
        <w:t>（二）</w:t>
      </w:r>
      <w:r>
        <w:rPr>
          <w:rFonts w:ascii="Times New Roman" w:hAnsi="Times New Roman" w:cs="Times New Roman" w:eastAsia="Times New Roman" w:hint="default"/>
        </w:rPr>
        <w:t>2015</w:t>
      </w:r>
      <w:r>
        <w:rPr/>
        <w:t>年第二期股权激励计划</w:t>
      </w:r>
    </w:p>
    <w:p>
      <w:pPr>
        <w:pStyle w:val="BodyText"/>
        <w:spacing w:line="300" w:lineRule="auto" w:before="63"/>
        <w:ind w:right="1131"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日，根据公司</w:t>
      </w:r>
      <w:r>
        <w:rPr>
          <w:rFonts w:ascii="Times New Roman" w:hAnsi="Times New Roman" w:cs="Times New Roman" w:eastAsia="Times New Roman" w:hint="default"/>
        </w:rPr>
        <w:t>2015</w:t>
      </w:r>
      <w:r>
        <w:rPr/>
        <w:t>年第二期股权激励计划，公司首次授予纪晓文、杨富年等</w:t>
      </w:r>
      <w:r>
        <w:rPr>
          <w:rFonts w:ascii="Times New Roman" w:hAnsi="Times New Roman" w:cs="Times New Roman" w:eastAsia="Times New Roman" w:hint="default"/>
        </w:rPr>
        <w:t>10</w:t>
      </w:r>
      <w:r>
        <w:rPr/>
        <w:t>名时任和现任董事、高级管 </w:t>
      </w:r>
      <w:r>
        <w:rPr>
          <w:spacing w:val="-1"/>
        </w:rPr>
        <w:t>理人员及核心管理人员限制性股票共计</w:t>
      </w:r>
      <w:r>
        <w:rPr>
          <w:rFonts w:ascii="Times New Roman" w:hAnsi="Times New Roman" w:cs="Times New Roman" w:eastAsia="Times New Roman" w:hint="default"/>
          <w:spacing w:val="-1"/>
        </w:rPr>
        <w:t>1,570</w:t>
      </w:r>
      <w:r>
        <w:rPr>
          <w:spacing w:val="-1"/>
        </w:rPr>
        <w:t>万股和股票期权共计</w:t>
      </w:r>
      <w:r>
        <w:rPr>
          <w:rFonts w:ascii="Times New Roman" w:hAnsi="Times New Roman" w:cs="Times New Roman" w:eastAsia="Times New Roman" w:hint="default"/>
          <w:spacing w:val="-1"/>
        </w:rPr>
        <w:t>650</w:t>
      </w:r>
      <w:r>
        <w:rPr>
          <w:spacing w:val="-1"/>
        </w:rPr>
        <w:t>万份，相关授予登记工作已于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23</w:t>
      </w:r>
      <w:r>
        <w:rPr>
          <w:spacing w:val="-1"/>
        </w:rPr>
        <w:t>日完成，授</w:t>
      </w:r>
      <w:r>
        <w:rPr>
          <w:spacing w:val="-72"/>
        </w:rPr>
        <w:t> </w:t>
      </w:r>
      <w:r>
        <w:rPr>
          <w:spacing w:val="-72"/>
        </w:rPr>
      </w:r>
      <w:r>
        <w:rPr/>
        <w:t>予的限制性股票已于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日上市。</w:t>
      </w:r>
    </w:p>
    <w:p>
      <w:pPr>
        <w:pStyle w:val="BodyText"/>
        <w:spacing w:line="240" w:lineRule="auto" w:before="13"/>
        <w:ind w:left="513" w:right="1133"/>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日，公司授予核心业务骨干预留限制性股票</w:t>
      </w:r>
      <w:r>
        <w:rPr>
          <w:rFonts w:ascii="Times New Roman" w:hAnsi="Times New Roman" w:cs="Times New Roman" w:eastAsia="Times New Roman" w:hint="default"/>
        </w:rPr>
        <w:t>160</w:t>
      </w:r>
      <w:r>
        <w:rPr/>
        <w:t>万股和预留股票期权</w:t>
      </w:r>
      <w:r>
        <w:rPr>
          <w:rFonts w:ascii="Times New Roman" w:hAnsi="Times New Roman" w:cs="Times New Roman" w:eastAsia="Times New Roman" w:hint="default"/>
        </w:rPr>
        <w:t>60</w:t>
      </w:r>
      <w:r>
        <w:rPr/>
        <w:t>万份，相关授予登记工作已于</w:t>
      </w:r>
      <w:r>
        <w:rPr>
          <w:rFonts w:ascii="Times New Roman" w:hAnsi="Times New Roman" w:cs="Times New Roman" w:eastAsia="Times New Roman" w:hint="default"/>
        </w:rPr>
        <w:t>2016</w:t>
      </w:r>
    </w:p>
    <w:p>
      <w:pPr>
        <w:pStyle w:val="BodyText"/>
        <w:spacing w:line="240" w:lineRule="auto" w:before="63"/>
        <w:ind w:right="1133"/>
        <w:jc w:val="left"/>
      </w:pP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日完成，授予的限制性股票已于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日上市。</w:t>
      </w:r>
    </w:p>
    <w:p>
      <w:pPr>
        <w:pStyle w:val="BodyText"/>
        <w:spacing w:line="300" w:lineRule="auto" w:before="63"/>
        <w:ind w:right="1024"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w:t>
      </w:r>
      <w:r>
        <w:rPr>
          <w:rFonts w:ascii="Times New Roman" w:hAnsi="Times New Roman" w:cs="Times New Roman" w:eastAsia="Times New Roman" w:hint="default"/>
        </w:rPr>
        <w:t>2015</w:t>
      </w:r>
      <w:r>
        <w:rPr/>
        <w:t>年第二期股权激励计划首次授予的限制性股票和股票期权第一个解锁</w:t>
      </w:r>
      <w:r>
        <w:rPr>
          <w:rFonts w:ascii="Times New Roman" w:hAnsi="Times New Roman" w:cs="Times New Roman" w:eastAsia="Times New Roman" w:hint="default"/>
        </w:rPr>
        <w:t>/</w:t>
      </w:r>
      <w:r>
        <w:rPr/>
        <w:t>行权期符合解锁</w:t>
      </w:r>
      <w:r>
        <w:rPr>
          <w:rFonts w:ascii="Times New Roman" w:hAnsi="Times New Roman" w:cs="Times New Roman" w:eastAsia="Times New Roman" w:hint="default"/>
        </w:rPr>
        <w:t>/</w:t>
      </w:r>
      <w:r>
        <w:rPr/>
        <w:t>行权条件， </w:t>
      </w:r>
      <w:r>
        <w:rPr>
          <w:spacing w:val="-2"/>
        </w:rPr>
        <w:t>相关激励对象可解锁限制性股票共计</w:t>
      </w:r>
      <w:r>
        <w:rPr>
          <w:rFonts w:ascii="Times New Roman" w:hAnsi="Times New Roman" w:cs="Times New Roman" w:eastAsia="Times New Roman" w:hint="default"/>
          <w:spacing w:val="-2"/>
        </w:rPr>
        <w:t>471</w:t>
      </w:r>
      <w:r>
        <w:rPr>
          <w:spacing w:val="-2"/>
        </w:rPr>
        <w:t>万股已于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日解锁上市流通，相关激励对象可行权股票期权共计</w:t>
      </w:r>
      <w:r>
        <w:rPr>
          <w:rFonts w:ascii="Times New Roman" w:hAnsi="Times New Roman" w:cs="Times New Roman" w:eastAsia="Times New Roman" w:hint="default"/>
          <w:spacing w:val="-2"/>
        </w:rPr>
        <w:t>195</w:t>
      </w:r>
      <w:r>
        <w:rPr>
          <w:spacing w:val="-2"/>
        </w:rPr>
        <w:t>万份</w:t>
      </w:r>
      <w:r>
        <w:rPr>
          <w:spacing w:val="-50"/>
        </w:rPr>
        <w:t> </w:t>
      </w:r>
      <w:r>
        <w:rPr/>
        <w:t>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日行权完毕。</w:t>
      </w:r>
    </w:p>
    <w:p>
      <w:pPr>
        <w:pStyle w:val="BodyText"/>
        <w:spacing w:line="300" w:lineRule="auto" w:before="13"/>
        <w:ind w:right="0"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日，公司董事会同意回购注销已离职激励对象纪晓文先生已获授未解锁的限制性股票</w:t>
      </w:r>
      <w:r>
        <w:rPr>
          <w:rFonts w:ascii="Times New Roman" w:hAnsi="Times New Roman" w:cs="Times New Roman" w:eastAsia="Times New Roman" w:hint="default"/>
          <w:spacing w:val="-2"/>
        </w:rPr>
        <w:t>399</w:t>
      </w:r>
      <w:r>
        <w:rPr>
          <w:spacing w:val="-2"/>
        </w:rPr>
        <w:t>万股和已获授未行</w:t>
      </w:r>
      <w:r>
        <w:rPr/>
        <w:t> 权的股票期权</w:t>
      </w:r>
      <w:r>
        <w:rPr>
          <w:rFonts w:ascii="Times New Roman" w:hAnsi="Times New Roman" w:cs="Times New Roman" w:eastAsia="Times New Roman" w:hint="default"/>
        </w:rPr>
        <w:t>129.5</w:t>
      </w:r>
      <w:r>
        <w:rPr/>
        <w:t>万份，本次回购注销事项已于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日完成。</w:t>
      </w:r>
    </w:p>
    <w:p>
      <w:pPr>
        <w:pStyle w:val="BodyText"/>
        <w:spacing w:line="300" w:lineRule="auto" w:before="13"/>
        <w:ind w:right="1024"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2015</w:t>
      </w:r>
      <w:r>
        <w:rPr/>
        <w:t>年第二期股权激励计划预留授予的限制性股票和股票期权第一个解锁</w:t>
      </w:r>
      <w:r>
        <w:rPr>
          <w:rFonts w:ascii="Times New Roman" w:hAnsi="Times New Roman" w:cs="Times New Roman" w:eastAsia="Times New Roman" w:hint="default"/>
        </w:rPr>
        <w:t>/</w:t>
      </w:r>
      <w:r>
        <w:rPr/>
        <w:t>行权期符合解锁</w:t>
      </w:r>
      <w:r>
        <w:rPr>
          <w:rFonts w:ascii="Times New Roman" w:hAnsi="Times New Roman" w:cs="Times New Roman" w:eastAsia="Times New Roman" w:hint="default"/>
        </w:rPr>
        <w:t>/</w:t>
      </w:r>
      <w:r>
        <w:rPr/>
        <w:t>行权条件， </w:t>
      </w:r>
      <w:r>
        <w:rPr>
          <w:spacing w:val="-2"/>
        </w:rPr>
        <w:t>相关激励对象可解锁限制性股票共计</w:t>
      </w:r>
      <w:r>
        <w:rPr>
          <w:rFonts w:ascii="Times New Roman" w:hAnsi="Times New Roman" w:cs="Times New Roman" w:eastAsia="Times New Roman" w:hint="default"/>
          <w:spacing w:val="-2"/>
        </w:rPr>
        <w:t>80</w:t>
      </w:r>
      <w:r>
        <w:rPr>
          <w:spacing w:val="-2"/>
        </w:rPr>
        <w:t>万股已于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日解锁上市流通；</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20</w:t>
      </w:r>
      <w:r>
        <w:rPr>
          <w:spacing w:val="-2"/>
        </w:rPr>
        <w:t>日，相关激励对象可行权股票期</w:t>
      </w:r>
      <w:r>
        <w:rPr>
          <w:spacing w:val="-55"/>
        </w:rPr>
        <w:t> </w:t>
      </w:r>
      <w:r>
        <w:rPr>
          <w:spacing w:val="-55"/>
        </w:rPr>
      </w:r>
      <w:r>
        <w:rPr/>
        <w:t>权</w:t>
      </w:r>
      <w:r>
        <w:rPr>
          <w:rFonts w:ascii="Times New Roman" w:hAnsi="Times New Roman" w:cs="Times New Roman" w:eastAsia="Times New Roman" w:hint="default"/>
        </w:rPr>
        <w:t>30</w:t>
      </w:r>
      <w:r>
        <w:rPr/>
        <w:t>万份到期未行权，董事会同意注销该批股票期权，本次注销事项已于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日完成。</w:t>
      </w:r>
    </w:p>
    <w:p>
      <w:pPr>
        <w:pStyle w:val="BodyText"/>
        <w:spacing w:line="300" w:lineRule="auto" w:before="13"/>
        <w:ind w:right="1174"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2015</w:t>
      </w:r>
      <w:r>
        <w:rPr/>
        <w:t>年第二期股权激励计划首次授予部分第三个解锁</w:t>
      </w:r>
      <w:r>
        <w:rPr>
          <w:rFonts w:ascii="Times New Roman" w:hAnsi="Times New Roman" w:cs="Times New Roman" w:eastAsia="Times New Roman" w:hint="default"/>
        </w:rPr>
        <w:t>/</w:t>
      </w:r>
      <w:r>
        <w:rPr/>
        <w:t>行权期和预留部分第二个解锁</w:t>
      </w:r>
      <w:r>
        <w:rPr>
          <w:rFonts w:ascii="Times New Roman" w:hAnsi="Times New Roman" w:cs="Times New Roman" w:eastAsia="Times New Roman" w:hint="default"/>
        </w:rPr>
        <w:t>/</w:t>
      </w:r>
      <w:r>
        <w:rPr/>
        <w:t>行权期不符合解 锁</w:t>
      </w:r>
      <w:r>
        <w:rPr>
          <w:rFonts w:ascii="Times New Roman" w:hAnsi="Times New Roman" w:cs="Times New Roman" w:eastAsia="Times New Roman" w:hint="default"/>
        </w:rPr>
        <w:t>/</w:t>
      </w:r>
      <w:r>
        <w:rPr/>
        <w:t>行权条件，董事会同意回购注销激励对象相关已获授未解锁的限制性股票共计</w:t>
      </w:r>
      <w:r>
        <w:rPr>
          <w:rFonts w:ascii="Times New Roman" w:hAnsi="Times New Roman" w:cs="Times New Roman" w:eastAsia="Times New Roman" w:hint="default"/>
        </w:rPr>
        <w:t>480</w:t>
      </w:r>
      <w:r>
        <w:rPr/>
        <w:t>万股和相关已获授未行权股票期权</w:t>
      </w:r>
      <w:r>
        <w:rPr>
          <w:rFonts w:ascii="Times New Roman" w:hAnsi="Times New Roman" w:cs="Times New Roman" w:eastAsia="Times New Roman" w:hint="default"/>
        </w:rPr>
        <w:t>216</w:t>
      </w:r>
      <w:r>
        <w:rPr>
          <w:rFonts w:ascii="Times New Roman" w:hAnsi="Times New Roman" w:cs="Times New Roman" w:eastAsia="Times New Roman" w:hint="default"/>
          <w:spacing w:val="-42"/>
        </w:rPr>
        <w:t> </w:t>
      </w:r>
      <w:r>
        <w:rPr/>
        <w:t>万份，本次回购注销事项已于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日完成。</w:t>
      </w:r>
    </w:p>
    <w:p>
      <w:pPr>
        <w:pStyle w:val="BodyText"/>
        <w:spacing w:line="300" w:lineRule="auto" w:before="13"/>
        <w:ind w:right="102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2015</w:t>
      </w:r>
      <w:r>
        <w:rPr/>
        <w:t>年第二期股权激励计划首次授予的限制性股票和股票期权第二个解锁</w:t>
      </w:r>
      <w:r>
        <w:rPr>
          <w:rFonts w:ascii="Times New Roman" w:hAnsi="Times New Roman" w:cs="Times New Roman" w:eastAsia="Times New Roman" w:hint="default"/>
        </w:rPr>
        <w:t>/</w:t>
      </w:r>
      <w:r>
        <w:rPr/>
        <w:t>行权期符合解锁</w:t>
      </w:r>
      <w:r>
        <w:rPr>
          <w:rFonts w:ascii="Times New Roman" w:hAnsi="Times New Roman" w:cs="Times New Roman" w:eastAsia="Times New Roman" w:hint="default"/>
        </w:rPr>
        <w:t>/</w:t>
      </w:r>
      <w:r>
        <w:rPr/>
        <w:t>行权条件， </w:t>
      </w:r>
      <w:r>
        <w:rPr>
          <w:spacing w:val="-2"/>
        </w:rPr>
        <w:t>相关激励对象可解锁限制性股票共计</w:t>
      </w:r>
      <w:r>
        <w:rPr>
          <w:rFonts w:ascii="Times New Roman" w:hAnsi="Times New Roman" w:cs="Times New Roman" w:eastAsia="Times New Roman" w:hint="default"/>
          <w:spacing w:val="-2"/>
        </w:rPr>
        <w:t>300</w:t>
      </w:r>
      <w:r>
        <w:rPr>
          <w:spacing w:val="-2"/>
        </w:rPr>
        <w:t>万股已于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日解锁上市流通；截止行权期限届满，相关激励对象可行权股</w:t>
      </w:r>
      <w:r>
        <w:rPr>
          <w:spacing w:val="-58"/>
        </w:rPr>
        <w:t> </w:t>
      </w:r>
      <w:r>
        <w:rPr>
          <w:spacing w:val="-58"/>
        </w:rPr>
      </w:r>
      <w:r>
        <w:rPr>
          <w:spacing w:val="-5"/>
        </w:rPr>
        <w:t>票期权共计行权</w:t>
      </w:r>
      <w:r>
        <w:rPr>
          <w:rFonts w:ascii="Times New Roman" w:hAnsi="Times New Roman" w:cs="Times New Roman" w:eastAsia="Times New Roman" w:hint="default"/>
          <w:spacing w:val="-5"/>
        </w:rPr>
        <w:t>112.98</w:t>
      </w:r>
      <w:r>
        <w:rPr>
          <w:spacing w:val="-5"/>
        </w:rPr>
        <w:t>万份，剩余</w:t>
      </w:r>
      <w:r>
        <w:rPr>
          <w:rFonts w:ascii="Times New Roman" w:hAnsi="Times New Roman" w:cs="Times New Roman" w:eastAsia="Times New Roman" w:hint="default"/>
          <w:spacing w:val="-5"/>
        </w:rPr>
        <w:t>26.52</w:t>
      </w:r>
      <w:r>
        <w:rPr>
          <w:spacing w:val="-5"/>
        </w:rPr>
        <w:t>万份股票期权到期未行权，</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8</w:t>
      </w:r>
      <w:r>
        <w:rPr>
          <w:spacing w:val="-5"/>
        </w:rPr>
        <w:t>日，董事会同意注销该批到期未行权股票期权，</w:t>
      </w:r>
      <w:r>
        <w:rPr>
          <w:spacing w:val="-43"/>
        </w:rPr>
        <w:t> </w:t>
      </w:r>
      <w:r>
        <w:rPr>
          <w:spacing w:val="-43"/>
        </w:rPr>
      </w:r>
      <w:r>
        <w:rPr/>
        <w:t>本次注销事项已于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日完成。</w:t>
      </w:r>
    </w:p>
    <w:p>
      <w:pPr>
        <w:pStyle w:val="BodyText"/>
        <w:spacing w:line="240" w:lineRule="auto" w:before="13"/>
        <w:ind w:left="513" w:right="1133"/>
        <w:jc w:val="left"/>
      </w:pPr>
      <w:r>
        <w:rPr/>
        <w:t>（三）</w:t>
      </w:r>
      <w:r>
        <w:rPr>
          <w:rFonts w:ascii="Times New Roman" w:hAnsi="Times New Roman" w:cs="Times New Roman" w:eastAsia="Times New Roman" w:hint="default"/>
        </w:rPr>
        <w:t>2016</w:t>
      </w:r>
      <w:r>
        <w:rPr/>
        <w:t>年股权激励计划</w:t>
      </w:r>
    </w:p>
    <w:p>
      <w:pPr>
        <w:pStyle w:val="BodyText"/>
        <w:spacing w:line="319" w:lineRule="auto" w:before="103"/>
        <w:ind w:right="1128" w:firstLine="432"/>
        <w:jc w:val="right"/>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日，根据公司</w:t>
      </w:r>
      <w:r>
        <w:rPr>
          <w:rFonts w:ascii="Times New Roman" w:hAnsi="Times New Roman" w:cs="Times New Roman" w:eastAsia="Times New Roman" w:hint="default"/>
          <w:spacing w:val="-2"/>
        </w:rPr>
        <w:t>2016</w:t>
      </w:r>
      <w:r>
        <w:rPr>
          <w:spacing w:val="-2"/>
        </w:rPr>
        <w:t>年股权激励计划，公司授予徐海啸、沈晓超等</w:t>
      </w:r>
      <w:r>
        <w:rPr>
          <w:rFonts w:ascii="Times New Roman" w:hAnsi="Times New Roman" w:cs="Times New Roman" w:eastAsia="Times New Roman" w:hint="default"/>
          <w:spacing w:val="-2"/>
        </w:rPr>
        <w:t>10</w:t>
      </w:r>
      <w:r>
        <w:rPr>
          <w:spacing w:val="-2"/>
        </w:rPr>
        <w:t>名现任董事、高级管理人员及核心管理</w:t>
      </w:r>
      <w:r>
        <w:rPr/>
        <w:t> </w:t>
      </w:r>
      <w:r>
        <w:rPr>
          <w:spacing w:val="-3"/>
        </w:rPr>
        <w:t>人员限制性股票共计</w:t>
      </w:r>
      <w:r>
        <w:rPr>
          <w:rFonts w:ascii="Times New Roman" w:hAnsi="Times New Roman" w:cs="Times New Roman" w:eastAsia="Times New Roman" w:hint="default"/>
          <w:spacing w:val="-3"/>
        </w:rPr>
        <w:t>4,070</w:t>
      </w:r>
      <w:r>
        <w:rPr>
          <w:spacing w:val="-3"/>
        </w:rPr>
        <w:t>万股，相关授予登记工作已于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18</w:t>
      </w:r>
      <w:r>
        <w:rPr>
          <w:spacing w:val="-3"/>
        </w:rPr>
        <w:t>日完成，授予的限制性股票已于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21</w:t>
      </w:r>
      <w:r>
        <w:rPr>
          <w:spacing w:val="-3"/>
        </w:rPr>
        <w:t>日上市。</w:t>
      </w:r>
      <w:r>
        <w:rPr>
          <w:spacing w:val="-50"/>
        </w:rPr>
        <w:t> </w:t>
      </w:r>
      <w:r>
        <w:rPr>
          <w:spacing w:val="-50"/>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2016</w:t>
      </w:r>
      <w:r>
        <w:rPr/>
        <w:t>年股权激励计划授予的限制性股票第一个解锁期符合解锁条件，相关激励对象可解锁限制性股票</w:t>
      </w:r>
    </w:p>
    <w:p>
      <w:pPr>
        <w:pStyle w:val="BodyText"/>
        <w:spacing w:line="246" w:lineRule="exact"/>
        <w:ind w:right="1133"/>
        <w:jc w:val="left"/>
      </w:pPr>
      <w:r>
        <w:rPr/>
        <w:t>共计</w:t>
      </w:r>
      <w:r>
        <w:rPr>
          <w:rFonts w:ascii="Times New Roman" w:hAnsi="Times New Roman" w:cs="Times New Roman" w:eastAsia="Times New Roman" w:hint="default"/>
        </w:rPr>
        <w:t>1,628</w:t>
      </w:r>
      <w:r>
        <w:rPr/>
        <w:t>万股已于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日解锁上市流通。</w:t>
      </w:r>
    </w:p>
    <w:p>
      <w:pPr>
        <w:pStyle w:val="BodyText"/>
        <w:spacing w:line="300" w:lineRule="auto" w:before="104"/>
        <w:ind w:right="1133" w:firstLine="288"/>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2016</w:t>
      </w:r>
      <w:r>
        <w:rPr/>
        <w:t>年股权激励计划授予的限制性股票第二个解锁期符合解锁条件，相关激励对象可解锁限制性股票 共计</w:t>
      </w:r>
      <w:r>
        <w:rPr>
          <w:rFonts w:ascii="Times New Roman" w:hAnsi="Times New Roman" w:cs="Times New Roman" w:eastAsia="Times New Roman" w:hint="default"/>
        </w:rPr>
        <w:t>1,221</w:t>
      </w:r>
      <w:r>
        <w:rPr/>
        <w:t>万股已于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日解锁上市流通。</w:t>
      </w:r>
    </w:p>
    <w:p>
      <w:pPr>
        <w:pStyle w:val="BodyText"/>
        <w:spacing w:line="300" w:lineRule="auto" w:before="53"/>
        <w:ind w:right="0" w:firstLine="36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w:t>
      </w:r>
      <w:r>
        <w:rPr>
          <w:spacing w:val="-2"/>
        </w:rPr>
        <w:t>日，</w:t>
      </w:r>
      <w:r>
        <w:rPr>
          <w:rFonts w:ascii="Times New Roman" w:hAnsi="Times New Roman" w:cs="Times New Roman" w:eastAsia="Times New Roman" w:hint="default"/>
          <w:spacing w:val="-2"/>
        </w:rPr>
        <w:t>2016</w:t>
      </w:r>
      <w:r>
        <w:rPr>
          <w:spacing w:val="-2"/>
        </w:rPr>
        <w:t>年股权激励计划授予的限制性股票第三个解锁期不符合解锁条件，股东大会同意董事会回购注销激</w:t>
      </w:r>
      <w:r>
        <w:rPr/>
        <w:t> 励对象相关已获授未解锁的限制性股票共计</w:t>
      </w:r>
      <w:r>
        <w:rPr>
          <w:rFonts w:ascii="Times New Roman" w:hAnsi="Times New Roman" w:cs="Times New Roman" w:eastAsia="Times New Roman" w:hint="default"/>
        </w:rPr>
        <w:t>1,221</w:t>
      </w:r>
      <w:r>
        <w:rPr/>
        <w:t>万股，截止本报告披露日本次回购注销事项尚未完成。</w:t>
      </w:r>
    </w:p>
    <w:p>
      <w:pPr>
        <w:spacing w:line="240" w:lineRule="auto" w:before="3"/>
        <w:rPr>
          <w:rFonts w:ascii="宋体" w:hAnsi="宋体" w:cs="宋体" w:eastAsia="宋体" w:hint="default"/>
          <w:sz w:val="20"/>
          <w:szCs w:val="20"/>
        </w:rPr>
      </w:pPr>
    </w:p>
    <w:p>
      <w:pPr>
        <w:pStyle w:val="Heading2"/>
        <w:spacing w:line="240" w:lineRule="auto"/>
        <w:ind w:right="1133"/>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6"/>
          <w:szCs w:val="26"/>
        </w:rPr>
      </w:pPr>
    </w:p>
    <w:p>
      <w:pPr>
        <w:pStyle w:val="BodyText"/>
        <w:tabs>
          <w:tab w:pos="5429" w:val="left" w:leader="none"/>
        </w:tabs>
        <w:spacing w:line="240" w:lineRule="auto" w:before="44"/>
        <w:ind w:left="181" w:right="1133"/>
        <w:jc w:val="left"/>
      </w:pPr>
      <w:r>
        <w:rPr/>
        <w:pict>
          <v:group style="position:absolute;margin-left:56.400002pt;margin-top:-.968296pt;width:479.05pt;height:642.25pt;mso-position-horizontal-relative:page;mso-position-vertical-relative:paragraph;z-index:-1196608" coordorigin="1128,-19" coordsize="9581,12845">
            <v:group style="position:absolute;left:1151;top:-5;width:2;height:392" coordorigin="1151,-5" coordsize="2,392">
              <v:shape style="position:absolute;left:1151;top:-5;width:2;height:392" coordorigin="1151,-5" coordsize="0,392" path="m1151,-5l1151,386e" filled="false" stroked="true" strokeweight="1.08pt" strokecolor="#d2d2d2">
                <v:path arrowok="t"/>
              </v:shape>
            </v:group>
            <v:group style="position:absolute;left:6364;top:-5;width:2;height:392" coordorigin="6364,-5" coordsize="2,392">
              <v:shape style="position:absolute;left:6364;top:-5;width:2;height:392" coordorigin="6364,-5" coordsize="0,392" path="m6364,-5l6364,386e" filled="false" stroked="true" strokeweight="1.2pt" strokecolor="#d2d2d2">
                <v:path arrowok="t"/>
              </v:shape>
            </v:group>
            <v:group style="position:absolute;left:1162;top:-5;width:5191;height:392" coordorigin="1162,-5" coordsize="5191,392">
              <v:shape style="position:absolute;left:1162;top:-5;width:5191;height:392" coordorigin="1162,-5" coordsize="5191,392" path="m1162,386l6352,386,6352,-5,1162,-5,1162,386xe" filled="true" fillcolor="#d2d2d2" stroked="false">
                <v:path arrowok="t"/>
                <v:fill type="solid"/>
              </v:shape>
            </v:group>
            <v:group style="position:absolute;left:1138;top:-10;width:5236;height:2" coordorigin="1138,-10" coordsize="5236,2">
              <v:shape style="position:absolute;left:1138;top:-10;width:5236;height:2" coordorigin="1138,-10" coordsize="5236,0" path="m1138,-10l6373,-10e" filled="false" stroked="true" strokeweight=".48pt" strokecolor="#000000">
                <v:path arrowok="t"/>
              </v:shape>
            </v:group>
            <v:group style="position:absolute;left:6383;top:-10;width:4316;height:2" coordorigin="6383,-10" coordsize="4316,2">
              <v:shape style="position:absolute;left:6383;top:-10;width:4316;height:2" coordorigin="6383,-10" coordsize="4316,0" path="m6383,-10l10699,-10e" filled="false" stroked="true" strokeweight=".48pt" strokecolor="#000000">
                <v:path arrowok="t"/>
              </v:shape>
            </v:group>
            <v:group style="position:absolute;left:1140;top:396;width:5236;height:156" coordorigin="1140,396" coordsize="5236,156">
              <v:shape style="position:absolute;left:1140;top:396;width:5236;height:156" coordorigin="1140,396" coordsize="5236,156" path="m1140,552l6376,552,6376,396,1140,396,1140,552xe" filled="true" fillcolor="#d2d2d2" stroked="false">
                <v:path arrowok="t"/>
                <v:fill type="solid"/>
              </v:shape>
            </v:group>
            <v:group style="position:absolute;left:1151;top:552;width:2;height:394" coordorigin="1151,552" coordsize="2,394">
              <v:shape style="position:absolute;left:1151;top:552;width:2;height:394" coordorigin="1151,552" coordsize="0,394" path="m1151,552l1151,945e" filled="false" stroked="true" strokeweight="1.08pt" strokecolor="#d2d2d2">
                <v:path arrowok="t"/>
              </v:shape>
            </v:group>
            <v:group style="position:absolute;left:6364;top:552;width:2;height:394" coordorigin="6364,552" coordsize="2,394">
              <v:shape style="position:absolute;left:6364;top:552;width:2;height:394" coordorigin="6364,552" coordsize="0,394" path="m6364,552l6364,945e" filled="false" stroked="true" strokeweight="1.2pt" strokecolor="#d2d2d2">
                <v:path arrowok="t"/>
              </v:shape>
            </v:group>
            <v:group style="position:absolute;left:1140;top:945;width:5236;height:156" coordorigin="1140,945" coordsize="5236,156">
              <v:shape style="position:absolute;left:1140;top:945;width:5236;height:156" coordorigin="1140,945" coordsize="5236,156" path="m1140,1101l6376,1101,6376,945,1140,945,1140,1101xe" filled="true" fillcolor="#d2d2d2" stroked="false">
                <v:path arrowok="t"/>
                <v:fill type="solid"/>
              </v:shape>
            </v:group>
            <v:group style="position:absolute;left:1162;top:552;width:5191;height:394" coordorigin="1162,552" coordsize="5191,394">
              <v:shape style="position:absolute;left:1162;top:552;width:5191;height:394" coordorigin="1162,552" coordsize="5191,394" path="m1162,945l6352,945,6352,552,1162,552,1162,945xe" filled="true" fillcolor="#d2d2d2" stroked="false">
                <v:path arrowok="t"/>
                <v:fill type="solid"/>
              </v:shape>
            </v:group>
            <v:group style="position:absolute;left:1138;top:391;width:5236;height:2" coordorigin="1138,391" coordsize="5236,2">
              <v:shape style="position:absolute;left:1138;top:391;width:5236;height:2" coordorigin="1138,391" coordsize="5236,0" path="m1138,391l6373,391e" filled="false" stroked="true" strokeweight=".48pt" strokecolor="#000000">
                <v:path arrowok="t"/>
              </v:shape>
            </v:group>
            <v:group style="position:absolute;left:6383;top:391;width:4316;height:2" coordorigin="6383,391" coordsize="4316,2">
              <v:shape style="position:absolute;left:6383;top:391;width:4316;height:2" coordorigin="6383,391" coordsize="4316,0" path="m6383,391l10699,391e" filled="false" stroked="true" strokeweight=".48pt" strokecolor="#000000">
                <v:path arrowok="t"/>
              </v:shape>
            </v:group>
            <v:group style="position:absolute;left:1151;top:1111;width:2;height:392" coordorigin="1151,1111" coordsize="2,392">
              <v:shape style="position:absolute;left:1151;top:1111;width:2;height:392" coordorigin="1151,1111" coordsize="0,392" path="m1151,1111l1151,1502e" filled="false" stroked="true" strokeweight="1.08pt" strokecolor="#d2d2d2">
                <v:path arrowok="t"/>
              </v:shape>
            </v:group>
            <v:group style="position:absolute;left:6364;top:1111;width:2;height:392" coordorigin="6364,1111" coordsize="2,392">
              <v:shape style="position:absolute;left:6364;top:1111;width:2;height:392" coordorigin="6364,1111" coordsize="0,392" path="m6364,1111l6364,1502e" filled="false" stroked="true" strokeweight="1.2pt" strokecolor="#d2d2d2">
                <v:path arrowok="t"/>
              </v:shape>
            </v:group>
            <v:group style="position:absolute;left:1162;top:1111;width:5191;height:392" coordorigin="1162,1111" coordsize="5191,392">
              <v:shape style="position:absolute;left:1162;top:1111;width:5191;height:392" coordorigin="1162,1111" coordsize="5191,392" path="m1162,1502l6352,1502,6352,1111,1162,1111,1162,1502xe" filled="true" fillcolor="#d2d2d2" stroked="false">
                <v:path arrowok="t"/>
                <v:fill type="solid"/>
              </v:shape>
            </v:group>
            <v:group style="position:absolute;left:1138;top:1106;width:5236;height:2" coordorigin="1138,1106" coordsize="5236,2">
              <v:shape style="position:absolute;left:1138;top:1106;width:5236;height:2" coordorigin="1138,1106" coordsize="5236,0" path="m1138,1106l6373,1106e" filled="false" stroked="true" strokeweight=".48pt" strokecolor="#000000">
                <v:path arrowok="t"/>
              </v:shape>
            </v:group>
            <v:group style="position:absolute;left:6383;top:1106;width:4316;height:2" coordorigin="6383,1106" coordsize="4316,2">
              <v:shape style="position:absolute;left:6383;top:1106;width:4316;height:2" coordorigin="6383,1106" coordsize="4316,0" path="m6383,1106l10699,1106e" filled="false" stroked="true" strokeweight=".48pt" strokecolor="#000000">
                <v:path arrowok="t"/>
              </v:shape>
            </v:group>
            <v:group style="position:absolute;left:1151;top:1512;width:2;height:394" coordorigin="1151,1512" coordsize="2,394">
              <v:shape style="position:absolute;left:1151;top:1512;width:2;height:394" coordorigin="1151,1512" coordsize="0,394" path="m1151,1512l1151,1905e" filled="false" stroked="true" strokeweight="1.08pt" strokecolor="#d2d2d2">
                <v:path arrowok="t"/>
              </v:shape>
            </v:group>
            <v:group style="position:absolute;left:6364;top:1512;width:2;height:394" coordorigin="6364,1512" coordsize="2,394">
              <v:shape style="position:absolute;left:6364;top:1512;width:2;height:394" coordorigin="6364,1512" coordsize="0,394" path="m6364,1512l6364,1905e" filled="false" stroked="true" strokeweight="1.2pt" strokecolor="#d2d2d2">
                <v:path arrowok="t"/>
              </v:shape>
            </v:group>
            <v:group style="position:absolute;left:1162;top:1512;width:5191;height:394" coordorigin="1162,1512" coordsize="5191,394">
              <v:shape style="position:absolute;left:1162;top:1512;width:5191;height:394" coordorigin="1162,1512" coordsize="5191,394" path="m1162,1905l6352,1905,6352,1512,1162,1512,1162,1905xe" filled="true" fillcolor="#d2d2d2" stroked="false">
                <v:path arrowok="t"/>
                <v:fill type="solid"/>
              </v:shape>
            </v:group>
            <v:group style="position:absolute;left:1138;top:1507;width:5236;height:2" coordorigin="1138,1507" coordsize="5236,2">
              <v:shape style="position:absolute;left:1138;top:1507;width:5236;height:2" coordorigin="1138,1507" coordsize="5236,0" path="m1138,1507l6373,1507e" filled="false" stroked="true" strokeweight=".48pt" strokecolor="#000000">
                <v:path arrowok="t"/>
              </v:shape>
            </v:group>
            <v:group style="position:absolute;left:6383;top:1507;width:4316;height:2" coordorigin="6383,1507" coordsize="4316,2">
              <v:shape style="position:absolute;left:6383;top:1507;width:4316;height:2" coordorigin="6383,1507" coordsize="4316,0" path="m6383,1507l10699,1507e" filled="false" stroked="true" strokeweight=".48pt" strokecolor="#000000">
                <v:path arrowok="t"/>
              </v:shape>
            </v:group>
            <v:group style="position:absolute;left:6378;top:-15;width:2;height:1930" coordorigin="6378,-15" coordsize="2,1930">
              <v:shape style="position:absolute;left:6378;top:-15;width:2;height:1930" coordorigin="6378,-15" coordsize="0,1930" path="m6378,-15l6378,1915e" filled="false" stroked="true" strokeweight=".48001pt" strokecolor="#000000">
                <v:path arrowok="t"/>
              </v:shape>
            </v:group>
            <v:group style="position:absolute;left:1151;top:1915;width:2;height:392" coordorigin="1151,1915" coordsize="2,392">
              <v:shape style="position:absolute;left:1151;top:1915;width:2;height:392" coordorigin="1151,1915" coordsize="0,392" path="m1151,1915l1151,2306e" filled="false" stroked="true" strokeweight="1.08pt" strokecolor="#d2d2d2">
                <v:path arrowok="t"/>
              </v:shape>
            </v:group>
            <v:group style="position:absolute;left:10687;top:1915;width:2;height:392" coordorigin="10687,1915" coordsize="2,392">
              <v:shape style="position:absolute;left:10687;top:1915;width:2;height:392" coordorigin="10687,1915" coordsize="0,392" path="m10687,1915l10687,2306e" filled="false" stroked="true" strokeweight="1.2pt" strokecolor="#d2d2d2">
                <v:path arrowok="t"/>
              </v:shape>
            </v:group>
            <v:group style="position:absolute;left:1162;top:1915;width:9514;height:392" coordorigin="1162,1915" coordsize="9514,392">
              <v:shape style="position:absolute;left:1162;top:1915;width:9514;height:392" coordorigin="1162,1915" coordsize="9514,392" path="m1162,2306l10675,2306,10675,1915,1162,1915,1162,2306xe" filled="true" fillcolor="#d2d2d2" stroked="false">
                <v:path arrowok="t"/>
                <v:fill type="solid"/>
              </v:shape>
            </v:group>
            <v:group style="position:absolute;left:1138;top:1910;width:5236;height:2" coordorigin="1138,1910" coordsize="5236,2">
              <v:shape style="position:absolute;left:1138;top:1910;width:5236;height:2" coordorigin="1138,1910" coordsize="5236,0" path="m1138,1910l6373,1910e" filled="false" stroked="true" strokeweight=".48pt" strokecolor="#000000">
                <v:path arrowok="t"/>
              </v:shape>
            </v:group>
            <v:group style="position:absolute;left:6383;top:1910;width:4316;height:2" coordorigin="6383,1910" coordsize="4316,2">
              <v:shape style="position:absolute;left:6383;top:1910;width:4316;height:2" coordorigin="6383,1910" coordsize="4316,0" path="m6383,1910l10699,1910e" filled="false" stroked="true" strokeweight=".48pt" strokecolor="#000000">
                <v:path arrowok="t"/>
              </v:shape>
            </v:group>
            <v:group style="position:absolute;left:1151;top:2316;width:2;height:394" coordorigin="1151,2316" coordsize="2,394">
              <v:shape style="position:absolute;left:1151;top:2316;width:2;height:394" coordorigin="1151,2316" coordsize="0,394" path="m1151,2316l1151,2709e" filled="false" stroked="true" strokeweight="1.08pt" strokecolor="#d2d2d2">
                <v:path arrowok="t"/>
              </v:shape>
            </v:group>
            <v:group style="position:absolute;left:3528;top:2316;width:2;height:394" coordorigin="3528,2316" coordsize="2,394">
              <v:shape style="position:absolute;left:3528;top:2316;width:2;height:394" coordorigin="3528,2316" coordsize="0,394" path="m3528,2316l3528,2709e" filled="false" stroked="true" strokeweight="1.2pt" strokecolor="#d2d2d2">
                <v:path arrowok="t"/>
              </v:shape>
            </v:group>
            <v:group style="position:absolute;left:1162;top:2316;width:2355;height:394" coordorigin="1162,2316" coordsize="2355,394">
              <v:shape style="position:absolute;left:1162;top:2316;width:2355;height:394" coordorigin="1162,2316" coordsize="2355,394" path="m1162,2709l3516,2709,3516,2316,1162,2316,1162,2709xe" filled="true" fillcolor="#d2d2d2" stroked="false">
                <v:path arrowok="t"/>
                <v:fill type="solid"/>
              </v:shape>
            </v:group>
            <v:group style="position:absolute;left:3561;top:2316;width:2;height:394" coordorigin="3561,2316" coordsize="2,394">
              <v:shape style="position:absolute;left:3561;top:2316;width:2;height:394" coordorigin="3561,2316" coordsize="0,394" path="m3561,2316l3561,2709e" filled="false" stroked="true" strokeweight="1.08pt" strokecolor="#d2d2d2">
                <v:path arrowok="t"/>
              </v:shape>
            </v:group>
            <v:group style="position:absolute;left:7636;top:2316;width:2;height:394" coordorigin="7636,2316" coordsize="2,394">
              <v:shape style="position:absolute;left:7636;top:2316;width:2;height:394" coordorigin="7636,2316" coordsize="0,394" path="m7636,2316l7636,2709e" filled="false" stroked="true" strokeweight="1.2pt" strokecolor="#d2d2d2">
                <v:path arrowok="t"/>
              </v:shape>
            </v:group>
            <v:group style="position:absolute;left:3572;top:2316;width:4053;height:394" coordorigin="3572,2316" coordsize="4053,394">
              <v:shape style="position:absolute;left:3572;top:2316;width:4053;height:394" coordorigin="3572,2316" coordsize="4053,394" path="m3572,2709l7624,2709,7624,2316,3572,2316,3572,2709xe" filled="true" fillcolor="#d2d2d2" stroked="false">
                <v:path arrowok="t"/>
                <v:fill type="solid"/>
              </v:shape>
            </v:group>
            <v:group style="position:absolute;left:7669;top:2316;width:2;height:394" coordorigin="7669,2316" coordsize="2,394">
              <v:shape style="position:absolute;left:7669;top:2316;width:2;height:394" coordorigin="7669,2316" coordsize="0,394" path="m7669,2316l7669,2709e" filled="false" stroked="true" strokeweight="1.2pt" strokecolor="#d2d2d2">
                <v:path arrowok="t"/>
              </v:shape>
            </v:group>
            <v:group style="position:absolute;left:10687;top:2316;width:2;height:394" coordorigin="10687,2316" coordsize="2,394">
              <v:shape style="position:absolute;left:10687;top:2316;width:2;height:394" coordorigin="10687,2316" coordsize="0,394" path="m10687,2316l10687,2709e" filled="false" stroked="true" strokeweight="1.2pt" strokecolor="#d2d2d2">
                <v:path arrowok="t"/>
              </v:shape>
            </v:group>
            <v:group style="position:absolute;left:7681;top:2316;width:2994;height:394" coordorigin="7681,2316" coordsize="2994,394">
              <v:shape style="position:absolute;left:7681;top:2316;width:2994;height:394" coordorigin="7681,2316" coordsize="2994,394" path="m7681,2709l10675,2709,10675,2316,7681,2316,7681,2709xe" filled="true" fillcolor="#d2d2d2" stroked="false">
                <v:path arrowok="t"/>
                <v:fill type="solid"/>
              </v:shape>
            </v:group>
            <v:group style="position:absolute;left:1138;top:2311;width:2401;height:2" coordorigin="1138,2311" coordsize="2401,2">
              <v:shape style="position:absolute;left:1138;top:2311;width:2401;height:2" coordorigin="1138,2311" coordsize="2401,0" path="m1138,2311l3538,2311e" filled="false" stroked="true" strokeweight=".48001pt" strokecolor="#000000">
                <v:path arrowok="t"/>
              </v:shape>
            </v:group>
            <v:group style="position:absolute;left:3548;top:2311;width:4098;height:2" coordorigin="3548,2311" coordsize="4098,2">
              <v:shape style="position:absolute;left:3548;top:2311;width:4098;height:2" coordorigin="3548,2311" coordsize="4098,0" path="m3548,2311l7645,2311e" filled="false" stroked="true" strokeweight=".48001pt" strokecolor="#000000">
                <v:path arrowok="t"/>
              </v:shape>
            </v:group>
            <v:group style="position:absolute;left:7655;top:2311;width:3044;height:2" coordorigin="7655,2311" coordsize="3044,2">
              <v:shape style="position:absolute;left:7655;top:2311;width:3044;height:2" coordorigin="7655,2311" coordsize="3044,0" path="m7655,2311l10699,2311e" filled="false" stroked="true" strokeweight=".48001pt" strokecolor="#000000">
                <v:path arrowok="t"/>
              </v:shape>
            </v:group>
            <v:group style="position:absolute;left:1140;top:2719;width:2401;height:1911" coordorigin="1140,2719" coordsize="2401,1911">
              <v:shape style="position:absolute;left:1140;top:2719;width:2401;height:1911" coordorigin="1140,2719" coordsize="2401,1911" path="m1140,4630l3540,4630,3540,2719,1140,2719,1140,4630xe" filled="true" fillcolor="#d2d2d2" stroked="false">
                <v:path arrowok="t"/>
                <v:fill type="solid"/>
              </v:shape>
            </v:group>
            <v:group style="position:absolute;left:1151;top:4630;width:2;height:394" coordorigin="1151,4630" coordsize="2,394">
              <v:shape style="position:absolute;left:1151;top:4630;width:2;height:394" coordorigin="1151,4630" coordsize="0,394" path="m1151,4630l1151,5024e" filled="false" stroked="true" strokeweight="1.08pt" strokecolor="#d2d2d2">
                <v:path arrowok="t"/>
              </v:shape>
            </v:group>
            <v:group style="position:absolute;left:3528;top:4630;width:2;height:394" coordorigin="3528,4630" coordsize="2,394">
              <v:shape style="position:absolute;left:3528;top:4630;width:2;height:394" coordorigin="3528,4630" coordsize="0,394" path="m3528,4630l3528,5024e" filled="false" stroked="true" strokeweight="1.2pt" strokecolor="#d2d2d2">
                <v:path arrowok="t"/>
              </v:shape>
            </v:group>
            <v:group style="position:absolute;left:1140;top:5024;width:2401;height:1911" coordorigin="1140,5024" coordsize="2401,1911">
              <v:shape style="position:absolute;left:1140;top:5024;width:2401;height:1911" coordorigin="1140,5024" coordsize="2401,1911" path="m1140,6934l3540,6934,3540,5024,1140,5024,1140,6934xe" filled="true" fillcolor="#d2d2d2" stroked="false">
                <v:path arrowok="t"/>
                <v:fill type="solid"/>
              </v:shape>
            </v:group>
            <v:group style="position:absolute;left:1162;top:4630;width:2355;height:394" coordorigin="1162,4630" coordsize="2355,394">
              <v:shape style="position:absolute;left:1162;top:4630;width:2355;height:394" coordorigin="1162,4630" coordsize="2355,394" path="m1162,5024l3516,5024,3516,4630,1162,4630,1162,5024xe" filled="true" fillcolor="#d2d2d2" stroked="false">
                <v:path arrowok="t"/>
                <v:fill type="solid"/>
              </v:shape>
            </v:group>
            <v:group style="position:absolute;left:7669;top:2719;width:2;height:4216" coordorigin="7669,2719" coordsize="2,4216">
              <v:shape style="position:absolute;left:7669;top:2719;width:2;height:4216" coordorigin="7669,2719" coordsize="0,4216" path="m7669,2719l7669,6934e" filled="false" stroked="true" strokeweight="1.2pt" strokecolor="#ffffff">
                <v:path arrowok="t"/>
              </v:shape>
            </v:group>
            <v:group style="position:absolute;left:7681;top:3070;width:2994;height:312" coordorigin="7681,3070" coordsize="2994,312">
              <v:shape style="position:absolute;left:7681;top:3070;width:2994;height:312" coordorigin="7681,3070" coordsize="2994,312" path="m7681,3382l10675,3382,10675,3070,7681,3070,7681,3382xe" filled="true" fillcolor="#ffffff" stroked="false">
                <v:path arrowok="t"/>
                <v:fill type="solid"/>
              </v:shape>
            </v:group>
            <v:group style="position:absolute;left:1138;top:2714;width:2401;height:2" coordorigin="1138,2714" coordsize="2401,2">
              <v:shape style="position:absolute;left:1138;top:2714;width:2401;height:2" coordorigin="1138,2714" coordsize="2401,0" path="m1138,2714l3538,2714e" filled="false" stroked="true" strokeweight=".48pt" strokecolor="#000000">
                <v:path arrowok="t"/>
              </v:shape>
            </v:group>
            <v:group style="position:absolute;left:3548;top:2714;width:4098;height:2" coordorigin="3548,2714" coordsize="4098,2">
              <v:shape style="position:absolute;left:3548;top:2714;width:4098;height:2" coordorigin="3548,2714" coordsize="4098,0" path="m3548,2714l7645,2714e" filled="false" stroked="true" strokeweight=".48pt" strokecolor="#000000">
                <v:path arrowok="t"/>
              </v:shape>
            </v:group>
            <v:group style="position:absolute;left:7655;top:2714;width:3044;height:2" coordorigin="7655,2714" coordsize="3044,2">
              <v:shape style="position:absolute;left:7655;top:2714;width:3044;height:2" coordorigin="7655,2714" coordsize="3044,0" path="m7655,2714l10699,2714e" filled="false" stroked="true" strokeweight=".48pt" strokecolor="#000000">
                <v:path arrowok="t"/>
              </v:shape>
            </v:group>
            <v:group style="position:absolute;left:1140;top:6946;width:2401;height:1932" coordorigin="1140,6946" coordsize="2401,1932">
              <v:shape style="position:absolute;left:1140;top:6946;width:2401;height:1932" coordorigin="1140,6946" coordsize="2401,1932" path="m1140,8878l3540,8878,3540,6946,1140,6946,1140,8878xe" filled="true" fillcolor="#d2d2d2" stroked="false">
                <v:path arrowok="t"/>
                <v:fill type="solid"/>
              </v:shape>
            </v:group>
            <v:group style="position:absolute;left:1151;top:8878;width:2;height:392" coordorigin="1151,8878" coordsize="2,392">
              <v:shape style="position:absolute;left:1151;top:8878;width:2;height:392" coordorigin="1151,8878" coordsize="0,392" path="m1151,8878l1151,9270e" filled="false" stroked="true" strokeweight="1.08pt" strokecolor="#d2d2d2">
                <v:path arrowok="t"/>
              </v:shape>
            </v:group>
            <v:group style="position:absolute;left:3528;top:8878;width:2;height:392" coordorigin="3528,8878" coordsize="2,392">
              <v:shape style="position:absolute;left:3528;top:8878;width:2;height:392" coordorigin="3528,8878" coordsize="0,392" path="m3528,8878l3528,9270e" filled="false" stroked="true" strokeweight="1.2pt" strokecolor="#d2d2d2">
                <v:path arrowok="t"/>
              </v:shape>
            </v:group>
            <v:group style="position:absolute;left:1140;top:9270;width:2401;height:1933" coordorigin="1140,9270" coordsize="2401,1933">
              <v:shape style="position:absolute;left:1140;top:9270;width:2401;height:1933" coordorigin="1140,9270" coordsize="2401,1933" path="m1140,11202l3540,11202,3540,9270,1140,9270,1140,11202xe" filled="true" fillcolor="#d2d2d2" stroked="false">
                <v:path arrowok="t"/>
                <v:fill type="solid"/>
              </v:shape>
            </v:group>
            <v:group style="position:absolute;left:1162;top:8878;width:2355;height:392" coordorigin="1162,8878" coordsize="2355,392">
              <v:shape style="position:absolute;left:1162;top:8878;width:2355;height:392" coordorigin="1162,8878" coordsize="2355,392" path="m1162,9270l3516,9270,3516,8878,1162,8878,1162,9270xe" filled="true" fillcolor="#d2d2d2" stroked="false">
                <v:path arrowok="t"/>
                <v:fill type="solid"/>
              </v:shape>
            </v:group>
            <v:group style="position:absolute;left:7669;top:7415;width:2;height:3320" coordorigin="7669,7415" coordsize="2,3320">
              <v:shape style="position:absolute;left:7669;top:7415;width:2;height:3320" coordorigin="7669,7415" coordsize="0,3320" path="m7669,7415l7669,10734e" filled="false" stroked="true" strokeweight="1.2pt" strokecolor="#ffffff">
                <v:path arrowok="t"/>
              </v:shape>
            </v:group>
            <v:group style="position:absolute;left:7681;top:10069;width:2994;height:312" coordorigin="7681,10069" coordsize="2994,312">
              <v:shape style="position:absolute;left:7681;top:10069;width:2994;height:312" coordorigin="7681,10069" coordsize="2994,312" path="m7681,10381l10675,10381,10675,10069,7681,10069,7681,10381xe" filled="true" fillcolor="#ffffff" stroked="false">
                <v:path arrowok="t"/>
                <v:fill type="solid"/>
              </v:shape>
            </v:group>
            <v:group style="position:absolute;left:7681;top:10381;width:2994;height:353" coordorigin="7681,10381" coordsize="2994,353">
              <v:shape style="position:absolute;left:7681;top:10381;width:2994;height:353" coordorigin="7681,10381" coordsize="2994,353" path="m7681,10734l10675,10734,10675,10381,7681,10381,7681,10734xe" filled="true" fillcolor="#ffffff" stroked="false">
                <v:path arrowok="t"/>
                <v:fill type="solid"/>
              </v:shape>
            </v:group>
            <v:group style="position:absolute;left:1138;top:6939;width:2401;height:2" coordorigin="1138,6939" coordsize="2401,2">
              <v:shape style="position:absolute;left:1138;top:6939;width:2401;height:2" coordorigin="1138,6939" coordsize="2401,0" path="m1138,6939l3538,6939e" filled="false" stroked="true" strokeweight=".47998pt" strokecolor="#000000">
                <v:path arrowok="t"/>
              </v:shape>
            </v:group>
            <v:group style="position:absolute;left:3548;top:6939;width:4098;height:2" coordorigin="3548,6939" coordsize="4098,2">
              <v:shape style="position:absolute;left:3548;top:6939;width:4098;height:2" coordorigin="3548,6939" coordsize="4098,0" path="m3548,6939l7645,6939e" filled="false" stroked="true" strokeweight=".47998pt" strokecolor="#000000">
                <v:path arrowok="t"/>
              </v:shape>
            </v:group>
            <v:group style="position:absolute;left:7655;top:6939;width:3044;height:2" coordorigin="7655,6939" coordsize="3044,2">
              <v:shape style="position:absolute;left:7655;top:6939;width:3044;height:2" coordorigin="7655,6939" coordsize="3044,0" path="m7655,6939l10699,6939e" filled="false" stroked="true" strokeweight=".47998pt" strokecolor="#000000">
                <v:path arrowok="t"/>
              </v:shape>
            </v:group>
            <v:group style="position:absolute;left:7650;top:2306;width:2;height:8906" coordorigin="7650,2306" coordsize="2,8906">
              <v:shape style="position:absolute;left:7650;top:2306;width:2;height:8906" coordorigin="7650,2306" coordsize="0,8906" path="m7650,2306l7650,11212e" filled="false" stroked="true" strokeweight=".48001pt" strokecolor="#000000">
                <v:path arrowok="t"/>
              </v:shape>
            </v:group>
            <v:group style="position:absolute;left:1151;top:11212;width:2;height:392" coordorigin="1151,11212" coordsize="2,392">
              <v:shape style="position:absolute;left:1151;top:11212;width:2;height:392" coordorigin="1151,11212" coordsize="0,392" path="m1151,11212l1151,11603e" filled="false" stroked="true" strokeweight="1.08pt" strokecolor="#d2d2d2">
                <v:path arrowok="t"/>
              </v:shape>
            </v:group>
            <v:group style="position:absolute;left:3528;top:11212;width:2;height:392" coordorigin="3528,11212" coordsize="2,392">
              <v:shape style="position:absolute;left:3528;top:11212;width:2;height:392" coordorigin="3528,11212" coordsize="0,392" path="m3528,11212l3528,11603e" filled="false" stroked="true" strokeweight="1.2pt" strokecolor="#d2d2d2">
                <v:path arrowok="t"/>
              </v:shape>
            </v:group>
            <v:group style="position:absolute;left:1162;top:11212;width:2355;height:392" coordorigin="1162,11212" coordsize="2355,392">
              <v:shape style="position:absolute;left:1162;top:11212;width:2355;height:392" coordorigin="1162,11212" coordsize="2355,392" path="m1162,11603l3516,11603,3516,11212,1162,11212,1162,11603xe" filled="true" fillcolor="#d2d2d2" stroked="false">
                <v:path arrowok="t"/>
                <v:fill type="solid"/>
              </v:shape>
            </v:group>
            <v:group style="position:absolute;left:1138;top:11207;width:2401;height:2" coordorigin="1138,11207" coordsize="2401,2">
              <v:shape style="position:absolute;left:1138;top:11207;width:2401;height:2" coordorigin="1138,11207" coordsize="2401,0" path="m1138,11207l3538,11207e" filled="false" stroked="true" strokeweight=".48004pt" strokecolor="#000000">
                <v:path arrowok="t"/>
              </v:shape>
            </v:group>
            <v:group style="position:absolute;left:3548;top:11207;width:4098;height:2" coordorigin="3548,11207" coordsize="4098,2">
              <v:shape style="position:absolute;left:3548;top:11207;width:4098;height:2" coordorigin="3548,11207" coordsize="4098,0" path="m3548,11207l7645,11207e" filled="false" stroked="true" strokeweight=".48004pt" strokecolor="#000000">
                <v:path arrowok="t"/>
              </v:shape>
            </v:group>
            <v:group style="position:absolute;left:7655;top:11207;width:3044;height:2" coordorigin="7655,11207" coordsize="3044,2">
              <v:shape style="position:absolute;left:7655;top:11207;width:3044;height:2" coordorigin="7655,11207" coordsize="3044,0" path="m7655,11207l10699,11207e" filled="false" stroked="true" strokeweight=".48004pt" strokecolor="#000000">
                <v:path arrowok="t"/>
              </v:shape>
            </v:group>
            <v:group style="position:absolute;left:1151;top:11613;width:2;height:394" coordorigin="1151,11613" coordsize="2,394">
              <v:shape style="position:absolute;left:1151;top:11613;width:2;height:394" coordorigin="1151,11613" coordsize="0,394" path="m1151,11613l1151,12006e" filled="false" stroked="true" strokeweight="1.08pt" strokecolor="#d2d2d2">
                <v:path arrowok="t"/>
              </v:shape>
            </v:group>
            <v:group style="position:absolute;left:3528;top:11613;width:2;height:394" coordorigin="3528,11613" coordsize="2,394">
              <v:shape style="position:absolute;left:3528;top:11613;width:2;height:394" coordorigin="3528,11613" coordsize="0,394" path="m3528,11613l3528,12006e" filled="false" stroked="true" strokeweight="1.2pt" strokecolor="#d2d2d2">
                <v:path arrowok="t"/>
              </v:shape>
            </v:group>
            <v:group style="position:absolute;left:1162;top:11613;width:2355;height:394" coordorigin="1162,11613" coordsize="2355,394">
              <v:shape style="position:absolute;left:1162;top:11613;width:2355;height:394" coordorigin="1162,11613" coordsize="2355,394" path="m1162,12006l3516,12006,3516,11613,1162,11613,1162,12006xe" filled="true" fillcolor="#d2d2d2" stroked="false">
                <v:path arrowok="t"/>
                <v:fill type="solid"/>
              </v:shape>
            </v:group>
            <v:group style="position:absolute;left:3561;top:11613;width:2;height:394" coordorigin="3561,11613" coordsize="2,394">
              <v:shape style="position:absolute;left:3561;top:11613;width:2;height:394" coordorigin="3561,11613" coordsize="0,394" path="m3561,11613l3561,12006e" filled="false" stroked="true" strokeweight="1.08pt" strokecolor="#ffffff">
                <v:path arrowok="t"/>
              </v:shape>
            </v:group>
            <v:group style="position:absolute;left:3572;top:11613;width:7103;height:394" coordorigin="3572,11613" coordsize="7103,394">
              <v:shape style="position:absolute;left:3572;top:11613;width:7103;height:394" coordorigin="3572,11613" coordsize="7103,394" path="m3572,12006l10675,12006,10675,11613,3572,11613,3572,12006xe" filled="true" fillcolor="#ffffff" stroked="false">
                <v:path arrowok="t"/>
                <v:fill type="solid"/>
              </v:shape>
            </v:group>
            <v:group style="position:absolute;left:1138;top:11608;width:2401;height:2" coordorigin="1138,11608" coordsize="2401,2">
              <v:shape style="position:absolute;left:1138;top:11608;width:2401;height:2" coordorigin="1138,11608" coordsize="2401,0" path="m1138,11608l3538,11608e" filled="false" stroked="true" strokeweight=".47998pt" strokecolor="#000000">
                <v:path arrowok="t"/>
              </v:shape>
            </v:group>
            <v:group style="position:absolute;left:3548;top:11608;width:7151;height:2" coordorigin="3548,11608" coordsize="7151,2">
              <v:shape style="position:absolute;left:3548;top:11608;width:7151;height:2" coordorigin="3548,11608" coordsize="7151,0" path="m3548,11608l10699,11608e" filled="false" stroked="true" strokeweight=".47998pt" strokecolor="#000000">
                <v:path arrowok="t"/>
              </v:shape>
            </v:group>
            <v:group style="position:absolute;left:1151;top:12016;width:2;height:392" coordorigin="1151,12016" coordsize="2,392">
              <v:shape style="position:absolute;left:1151;top:12016;width:2;height:392" coordorigin="1151,12016" coordsize="0,392" path="m1151,12016l1151,12407e" filled="false" stroked="true" strokeweight="1.08pt" strokecolor="#d2d2d2">
                <v:path arrowok="t"/>
              </v:shape>
            </v:group>
            <v:group style="position:absolute;left:3528;top:12016;width:2;height:392" coordorigin="3528,12016" coordsize="2,392">
              <v:shape style="position:absolute;left:3528;top:12016;width:2;height:392" coordorigin="3528,12016" coordsize="0,392" path="m3528,12016l3528,12407e" filled="false" stroked="true" strokeweight="1.2pt" strokecolor="#d2d2d2">
                <v:path arrowok="t"/>
              </v:shape>
            </v:group>
            <v:group style="position:absolute;left:1162;top:12016;width:2355;height:392" coordorigin="1162,12016" coordsize="2355,392">
              <v:shape style="position:absolute;left:1162;top:12016;width:2355;height:392" coordorigin="1162,12016" coordsize="2355,392" path="m1162,12407l3516,12407,3516,12016,1162,12016,1162,12407xe" filled="true" fillcolor="#d2d2d2" stroked="false">
                <v:path arrowok="t"/>
                <v:fill type="solid"/>
              </v:shape>
            </v:group>
            <v:group style="position:absolute;left:1138;top:12011;width:2401;height:2" coordorigin="1138,12011" coordsize="2401,2">
              <v:shape style="position:absolute;left:1138;top:12011;width:2401;height:2" coordorigin="1138,12011" coordsize="2401,0" path="m1138,12011l3538,12011e" filled="false" stroked="true" strokeweight=".47998pt" strokecolor="#000000">
                <v:path arrowok="t"/>
              </v:shape>
            </v:group>
            <v:group style="position:absolute;left:3548;top:12011;width:7151;height:2" coordorigin="3548,12011" coordsize="7151,2">
              <v:shape style="position:absolute;left:3548;top:12011;width:7151;height:2" coordorigin="3548,12011" coordsize="7151,0" path="m3548,12011l10699,12011e" filled="false" stroked="true" strokeweight=".47998pt" strokecolor="#000000">
                <v:path arrowok="t"/>
              </v:shape>
            </v:group>
            <v:group style="position:absolute;left:1151;top:12417;width:2;height:395" coordorigin="1151,12417" coordsize="2,395">
              <v:shape style="position:absolute;left:1151;top:12417;width:2;height:395" coordorigin="1151,12417" coordsize="0,395" path="m1151,12417l1151,12811e" filled="false" stroked="true" strokeweight="1.08pt" strokecolor="#d2d2d2">
                <v:path arrowok="t"/>
              </v:shape>
            </v:group>
            <v:group style="position:absolute;left:3528;top:12417;width:2;height:395" coordorigin="3528,12417" coordsize="2,395">
              <v:shape style="position:absolute;left:3528;top:12417;width:2;height:395" coordorigin="3528,12417" coordsize="0,395" path="m3528,12417l3528,12811e" filled="false" stroked="true" strokeweight="1.2pt" strokecolor="#d2d2d2">
                <v:path arrowok="t"/>
              </v:shape>
            </v:group>
            <v:group style="position:absolute;left:1162;top:12417;width:2355;height:395" coordorigin="1162,12417" coordsize="2355,395">
              <v:shape style="position:absolute;left:1162;top:12417;width:2355;height:395" coordorigin="1162,12417" coordsize="2355,395" path="m1162,12811l3516,12811,3516,12417,1162,12417,1162,12811xe" filled="true" fillcolor="#d2d2d2" stroked="false">
                <v:path arrowok="t"/>
                <v:fill type="solid"/>
              </v:shape>
            </v:group>
            <v:group style="position:absolute;left:3561;top:12417;width:2;height:395" coordorigin="3561,12417" coordsize="2,395">
              <v:shape style="position:absolute;left:3561;top:12417;width:2;height:395" coordorigin="3561,12417" coordsize="0,395" path="m3561,12417l3561,12811e" filled="false" stroked="true" strokeweight="1.08pt" strokecolor="#ffffff">
                <v:path arrowok="t"/>
              </v:shape>
            </v:group>
            <v:group style="position:absolute;left:3572;top:12417;width:7103;height:395" coordorigin="3572,12417" coordsize="7103,395">
              <v:shape style="position:absolute;left:3572;top:12417;width:7103;height:395" coordorigin="3572,12417" coordsize="7103,395" path="m3572,12811l10675,12811,10675,12417,3572,12417,3572,12811xe" filled="true" fillcolor="#ffffff" stroked="false">
                <v:path arrowok="t"/>
                <v:fill type="solid"/>
              </v:shape>
            </v:group>
            <v:group style="position:absolute;left:1138;top:12412;width:2401;height:2" coordorigin="1138,12412" coordsize="2401,2">
              <v:shape style="position:absolute;left:1138;top:12412;width:2401;height:2" coordorigin="1138,12412" coordsize="2401,0" path="m1138,12412l3538,12412e" filled="false" stroked="true" strokeweight=".48004pt" strokecolor="#000000">
                <v:path arrowok="t"/>
              </v:shape>
            </v:group>
            <v:group style="position:absolute;left:3548;top:12412;width:7151;height:2" coordorigin="3548,12412" coordsize="7151,2">
              <v:shape style="position:absolute;left:3548;top:12412;width:7151;height:2" coordorigin="3548,12412" coordsize="7151,0" path="m3548,12412l10699,12412e" filled="false" stroked="true" strokeweight=".48004pt" strokecolor="#000000">
                <v:path arrowok="t"/>
              </v:shape>
            </v:group>
            <v:group style="position:absolute;left:1133;top:-15;width:2;height:12835" coordorigin="1133,-15" coordsize="2,12835">
              <v:shape style="position:absolute;left:1133;top:-15;width:2;height:12835" coordorigin="1133,-15" coordsize="0,12835" path="m1133,-15l1133,12820e" filled="false" stroked="true" strokeweight=".48pt" strokecolor="#000000">
                <v:path arrowok="t"/>
              </v:shape>
            </v:group>
            <v:group style="position:absolute;left:1138;top:12815;width:2401;height:2" coordorigin="1138,12815" coordsize="2401,2">
              <v:shape style="position:absolute;left:1138;top:12815;width:2401;height:2" coordorigin="1138,12815" coordsize="2401,0" path="m1138,12815l3538,12815e" filled="false" stroked="true" strokeweight=".47998pt" strokecolor="#000000">
                <v:path arrowok="t"/>
              </v:shape>
            </v:group>
            <v:group style="position:absolute;left:3543;top:2306;width:2;height:10514" coordorigin="3543,2306" coordsize="2,10514">
              <v:shape style="position:absolute;left:3543;top:2306;width:2;height:10514" coordorigin="3543,2306" coordsize="0,10514" path="m3543,2306l3543,12820e" filled="false" stroked="true" strokeweight=".48pt" strokecolor="#000000">
                <v:path arrowok="t"/>
              </v:shape>
            </v:group>
            <v:group style="position:absolute;left:3548;top:12815;width:7151;height:2" coordorigin="3548,12815" coordsize="7151,2">
              <v:shape style="position:absolute;left:3548;top:12815;width:7151;height:2" coordorigin="3548,12815" coordsize="7151,0" path="m3548,12815l10699,12815e" filled="false" stroked="true" strokeweight=".47998pt" strokecolor="#000000">
                <v:path arrowok="t"/>
              </v:shape>
            </v:group>
            <v:group style="position:absolute;left:10704;top:-15;width:2;height:12835" coordorigin="10704,-15" coordsize="2,12835">
              <v:shape style="position:absolute;left:10704;top:-15;width:2;height:12835" coordorigin="10704,-15" coordsize="0,12835" path="m10704,-15l10704,12820e" filled="false" stroked="true" strokeweight=".47998pt" strokecolor="#000000">
                <v:path arrowok="t"/>
              </v:shape>
            </v:group>
            <w10:wrap type="none"/>
          </v:group>
        </w:pict>
      </w:r>
      <w:r>
        <w:rPr/>
        <w:t>内部控制评价报告全文披露日期</w:t>
        <w:tab/>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04 </w:t>
      </w:r>
      <w:r>
        <w:rPr/>
        <w:t>月</w:t>
      </w:r>
      <w:r>
        <w:rPr>
          <w:spacing w:val="-46"/>
        </w:rPr>
        <w:t> </w:t>
      </w:r>
      <w:r>
        <w:rPr>
          <w:rFonts w:ascii="Times New Roman" w:hAnsi="Times New Roman" w:cs="Times New Roman" w:eastAsia="Times New Roman" w:hint="default"/>
        </w:rPr>
        <w:t>23 </w:t>
      </w:r>
      <w:r>
        <w:rPr/>
        <w:t>日</w:t>
      </w:r>
    </w:p>
    <w:p>
      <w:pPr>
        <w:spacing w:line="240" w:lineRule="auto" w:before="2"/>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77" w:footer="979" w:top="1100" w:bottom="1160" w:left="980" w:right="0"/>
        </w:sectPr>
      </w:pPr>
    </w:p>
    <w:p>
      <w:pPr>
        <w:spacing w:line="240" w:lineRule="auto" w:before="4"/>
        <w:rPr>
          <w:rFonts w:ascii="宋体" w:hAnsi="宋体" w:cs="宋体" w:eastAsia="宋体" w:hint="default"/>
          <w:sz w:val="15"/>
          <w:szCs w:val="15"/>
        </w:rPr>
      </w:pPr>
    </w:p>
    <w:p>
      <w:pPr>
        <w:pStyle w:val="BodyText"/>
        <w:spacing w:line="240" w:lineRule="auto"/>
        <w:ind w:left="181" w:right="-20"/>
        <w:jc w:val="left"/>
      </w:pPr>
      <w:r>
        <w:rPr/>
        <w:t>内部控制评价报告全文披露索引</w:t>
      </w:r>
    </w:p>
    <w:p>
      <w:pPr>
        <w:pStyle w:val="BodyText"/>
        <w:spacing w:line="300" w:lineRule="auto" w:before="44"/>
        <w:ind w:left="181" w:right="1249"/>
        <w:jc w:val="left"/>
      </w:pPr>
      <w:r>
        <w:rPr>
          <w:spacing w:val="-4"/>
          <w:w w:val="99"/>
        </w:rPr>
        <w:br w:type="column"/>
      </w:r>
      <w:r>
        <w:rPr>
          <w:spacing w:val="-4"/>
          <w:w w:val="99"/>
        </w:rPr>
        <w:t>巨潮资讯网（</w:t>
      </w:r>
      <w:hyperlink r:id="rId13">
        <w:r>
          <w:rPr>
            <w:rFonts w:ascii="Times New Roman" w:hAnsi="Times New Roman" w:cs="Times New Roman" w:eastAsia="Times New Roman" w:hint="default"/>
            <w:spacing w:val="-4"/>
            <w:w w:val="99"/>
          </w:rPr>
          <w:t>www.cninfo.com.cn</w:t>
        </w:r>
      </w:hyperlink>
      <w:r>
        <w:rPr>
          <w:spacing w:val="-4"/>
          <w:w w:val="99"/>
        </w:rPr>
        <w:t>）《深圳市惠程信息科</w:t>
      </w:r>
      <w:r>
        <w:rPr>
          <w:spacing w:val="-65"/>
          <w:w w:val="99"/>
        </w:rPr>
        <w:t> </w:t>
      </w:r>
      <w:r>
        <w:rPr>
          <w:spacing w:val="-65"/>
          <w:w w:val="99"/>
        </w:rPr>
      </w:r>
      <w:r>
        <w:rPr/>
        <w:t>技股份有限公司</w:t>
      </w:r>
      <w:r>
        <w:rPr>
          <w:spacing w:val="-47"/>
        </w:rPr>
        <w:t> </w:t>
      </w:r>
      <w:r>
        <w:rPr>
          <w:rFonts w:ascii="Times New Roman" w:hAnsi="Times New Roman" w:cs="Times New Roman" w:eastAsia="Times New Roman" w:hint="default"/>
        </w:rPr>
        <w:t>2018 </w:t>
      </w:r>
      <w:r>
        <w:rPr/>
        <w:t>年度内部控制的自我评价报告》</w:t>
      </w:r>
    </w:p>
    <w:p>
      <w:pPr>
        <w:spacing w:after="0" w:line="300" w:lineRule="auto"/>
        <w:jc w:val="left"/>
        <w:sectPr>
          <w:type w:val="continuous"/>
          <w:pgSz w:w="11910" w:h="16840"/>
          <w:pgMar w:top="1060" w:bottom="1160" w:left="980" w:right="0"/>
          <w:cols w:num="2" w:equalWidth="0">
            <w:col w:w="2702" w:space="2546"/>
            <w:col w:w="5682"/>
          </w:cols>
        </w:sectPr>
      </w:pPr>
    </w:p>
    <w:p>
      <w:pPr>
        <w:pStyle w:val="BodyText"/>
        <w:tabs>
          <w:tab w:pos="9142" w:val="left" w:leader="none"/>
        </w:tabs>
        <w:spacing w:line="240" w:lineRule="auto" w:before="104"/>
        <w:ind w:left="181" w:right="1133"/>
        <w:jc w:val="left"/>
        <w:rPr>
          <w:rFonts w:ascii="Times New Roman" w:hAnsi="Times New Roman" w:cs="Times New Roman" w:eastAsia="Times New Roman" w:hint="default"/>
        </w:rPr>
      </w:pPr>
      <w:r>
        <w:rPr/>
        <w:t>纳入评价范围单位资产总额占公司合并财务报表资产总额的比例</w:t>
        <w:tab/>
      </w:r>
      <w:r>
        <w:rPr>
          <w:rFonts w:ascii="Times New Roman" w:hAnsi="Times New Roman" w:cs="Times New Roman" w:eastAsia="Times New Roman" w:hint="default"/>
        </w:rPr>
        <w:t>90.00%</w:t>
      </w:r>
    </w:p>
    <w:p>
      <w:pPr>
        <w:spacing w:line="240" w:lineRule="auto" w:before="4"/>
        <w:rPr>
          <w:rFonts w:ascii="Times New Roman" w:hAnsi="Times New Roman" w:cs="Times New Roman" w:eastAsia="Times New Roman" w:hint="default"/>
          <w:sz w:val="9"/>
          <w:szCs w:val="9"/>
        </w:rPr>
      </w:pPr>
    </w:p>
    <w:p>
      <w:pPr>
        <w:pStyle w:val="BodyText"/>
        <w:tabs>
          <w:tab w:pos="9051" w:val="left" w:leader="none"/>
        </w:tabs>
        <w:spacing w:line="240" w:lineRule="auto" w:before="44"/>
        <w:ind w:left="181" w:right="1133"/>
        <w:jc w:val="left"/>
        <w:rPr>
          <w:rFonts w:ascii="Times New Roman" w:hAnsi="Times New Roman" w:cs="Times New Roman" w:eastAsia="Times New Roman" w:hint="default"/>
        </w:rPr>
      </w:pPr>
      <w:r>
        <w:rPr/>
        <w:t>纳入评价范围单位营业收入占公司合并财务报表营业收入的比例</w:t>
        <w:tab/>
      </w:r>
      <w:r>
        <w:rPr>
          <w:rFonts w:ascii="Times New Roman" w:hAnsi="Times New Roman" w:cs="Times New Roman" w:eastAsia="Times New Roman" w:hint="default"/>
        </w:rPr>
        <w:t>100.00%</w:t>
      </w:r>
    </w:p>
    <w:p>
      <w:pPr>
        <w:spacing w:line="240" w:lineRule="auto" w:before="6"/>
        <w:rPr>
          <w:rFonts w:ascii="Times New Roman" w:hAnsi="Times New Roman" w:cs="Times New Roman" w:eastAsia="Times New Roman" w:hint="default"/>
          <w:sz w:val="9"/>
          <w:szCs w:val="9"/>
        </w:rPr>
      </w:pPr>
    </w:p>
    <w:p>
      <w:pPr>
        <w:pStyle w:val="BodyText"/>
        <w:spacing w:line="240" w:lineRule="auto" w:before="44"/>
        <w:ind w:left="2174" w:right="3224"/>
        <w:jc w:val="center"/>
      </w:pPr>
      <w:r>
        <w:rPr/>
        <w:t>缺陷认定标准</w:t>
      </w:r>
    </w:p>
    <w:p>
      <w:pPr>
        <w:spacing w:line="240" w:lineRule="auto" w:before="3"/>
        <w:rPr>
          <w:rFonts w:ascii="宋体" w:hAnsi="宋体" w:cs="宋体" w:eastAsia="宋体" w:hint="default"/>
          <w:sz w:val="9"/>
          <w:szCs w:val="9"/>
        </w:rPr>
      </w:pPr>
    </w:p>
    <w:p>
      <w:pPr>
        <w:pStyle w:val="BodyText"/>
        <w:tabs>
          <w:tab w:pos="4257" w:val="left" w:leader="none"/>
          <w:tab w:pos="7747" w:val="left" w:leader="none"/>
        </w:tabs>
        <w:spacing w:line="240" w:lineRule="auto" w:before="44"/>
        <w:ind w:left="1178" w:right="1133"/>
        <w:jc w:val="left"/>
      </w:pPr>
      <w:r>
        <w:rPr/>
        <w:t>类别</w:t>
        <w:tab/>
        <w:t>财务报告</w:t>
        <w:tab/>
        <w:t>非财务报告</w:t>
      </w:r>
    </w:p>
    <w:p>
      <w:pPr>
        <w:spacing w:line="240" w:lineRule="auto" w:before="6"/>
        <w:rPr>
          <w:rFonts w:ascii="宋体" w:hAnsi="宋体" w:cs="宋体" w:eastAsia="宋体" w:hint="default"/>
          <w:sz w:val="9"/>
          <w:szCs w:val="9"/>
        </w:rPr>
      </w:pPr>
    </w:p>
    <w:p>
      <w:pPr>
        <w:pStyle w:val="BodyText"/>
        <w:spacing w:line="240" w:lineRule="auto" w:before="44"/>
        <w:ind w:left="2591" w:right="1133"/>
        <w:jc w:val="left"/>
      </w:pPr>
      <w:r>
        <w:rPr/>
        <w:t>①  </w:t>
      </w:r>
      <w:r>
        <w:rPr>
          <w:spacing w:val="-5"/>
        </w:rPr>
        <w:t>重大缺陷：控制环境无效；公司审核委员会和内 </w:t>
      </w:r>
      <w:r>
        <w:rPr/>
        <w:t>①</w:t>
      </w:r>
      <w:r>
        <w:rPr>
          <w:spacing w:val="87"/>
        </w:rPr>
        <w:t> </w:t>
      </w:r>
      <w:r>
        <w:rPr>
          <w:spacing w:val="-5"/>
        </w:rPr>
        <w:t>重大缺陷：违反国家法律、法规或</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BodyText"/>
        <w:spacing w:line="240" w:lineRule="auto"/>
        <w:ind w:left="181" w:right="-20"/>
        <w:jc w:val="left"/>
      </w:pPr>
      <w:r>
        <w:rPr/>
        <w:t>定性标准</w:t>
      </w:r>
    </w:p>
    <w:p>
      <w:pPr>
        <w:pStyle w:val="BodyText"/>
        <w:spacing w:line="316" w:lineRule="auto" w:before="74"/>
        <w:ind w:left="181" w:right="-20"/>
        <w:jc w:val="left"/>
      </w:pPr>
      <w:r>
        <w:rPr/>
        <w:br w:type="column"/>
      </w:r>
      <w:r>
        <w:rPr/>
        <w:t>部审计机构对内部控制的监督无效；发现董事、 </w:t>
      </w:r>
      <w:r>
        <w:rPr>
          <w:spacing w:val="-5"/>
        </w:rPr>
        <w:t>监事和高级管理人员重大舞弊；公司对已经公布</w:t>
      </w:r>
      <w:r>
        <w:rPr>
          <w:spacing w:val="-74"/>
        </w:rPr>
        <w:t> </w:t>
      </w:r>
      <w:r>
        <w:rPr>
          <w:spacing w:val="-74"/>
        </w:rPr>
      </w:r>
      <w:r>
        <w:rPr>
          <w:spacing w:val="-5"/>
        </w:rPr>
        <w:t>的财务报表进行重大更正；外部审计发现当期财</w:t>
      </w:r>
      <w:r>
        <w:rPr>
          <w:spacing w:val="-74"/>
        </w:rPr>
        <w:t> </w:t>
      </w:r>
      <w:r>
        <w:rPr>
          <w:spacing w:val="-74"/>
        </w:rPr>
      </w:r>
      <w:r>
        <w:rPr>
          <w:spacing w:val="-5"/>
        </w:rPr>
        <w:t>务报表存在重大错报，而内部控制在运行过程中</w:t>
      </w:r>
      <w:r>
        <w:rPr>
          <w:spacing w:val="-74"/>
        </w:rPr>
        <w:t> </w:t>
      </w:r>
      <w:r>
        <w:rPr>
          <w:spacing w:val="-74"/>
        </w:rPr>
      </w:r>
      <w:r>
        <w:rPr>
          <w:spacing w:val="-5"/>
        </w:rPr>
        <w:t>未能发现该错报；已经发现并报告给管理层的重</w:t>
      </w:r>
      <w:r>
        <w:rPr>
          <w:spacing w:val="-74"/>
        </w:rPr>
        <w:t> </w:t>
      </w:r>
      <w:r>
        <w:rPr>
          <w:spacing w:val="-74"/>
        </w:rPr>
      </w:r>
      <w:r>
        <w:rPr>
          <w:spacing w:val="-5"/>
        </w:rPr>
        <w:t>大缺陷在合理的时间后未加以改正；其他可能影</w:t>
      </w:r>
    </w:p>
    <w:p>
      <w:pPr>
        <w:pStyle w:val="BodyText"/>
        <w:spacing w:line="316" w:lineRule="auto" w:before="74"/>
        <w:ind w:left="181" w:right="1220"/>
        <w:jc w:val="left"/>
      </w:pPr>
      <w:r>
        <w:rPr>
          <w:spacing w:val="-5"/>
        </w:rPr>
        <w:br w:type="column"/>
      </w:r>
      <w:r>
        <w:rPr>
          <w:spacing w:val="-5"/>
        </w:rPr>
        <w:t>规范性文件；缺乏决策程序或决策</w:t>
      </w:r>
      <w:r>
        <w:rPr>
          <w:spacing w:val="-80"/>
        </w:rPr>
        <w:t> </w:t>
      </w:r>
      <w:r>
        <w:rPr>
          <w:spacing w:val="-80"/>
        </w:rPr>
      </w:r>
      <w:r>
        <w:rPr>
          <w:spacing w:val="-5"/>
        </w:rPr>
        <w:t>程序不科学，导致重大失误；重要</w:t>
      </w:r>
      <w:r>
        <w:rPr>
          <w:spacing w:val="-81"/>
        </w:rPr>
        <w:t> </w:t>
      </w:r>
      <w:r>
        <w:rPr>
          <w:spacing w:val="-81"/>
        </w:rPr>
      </w:r>
      <w:r>
        <w:rPr/>
        <w:t>业务缺乏制度控制或制度系统性 </w:t>
      </w:r>
      <w:r>
        <w:rPr>
          <w:spacing w:val="-5"/>
        </w:rPr>
        <w:t>失败；内部控制评价的结果特别是</w:t>
      </w:r>
      <w:r>
        <w:rPr>
          <w:spacing w:val="-80"/>
        </w:rPr>
        <w:t> </w:t>
      </w:r>
      <w:r>
        <w:rPr>
          <w:spacing w:val="-80"/>
        </w:rPr>
      </w:r>
      <w:r>
        <w:rPr>
          <w:spacing w:val="-5"/>
        </w:rPr>
        <w:t>重大或重要缺陷未得到整改；其他</w:t>
      </w:r>
      <w:r>
        <w:rPr>
          <w:spacing w:val="-80"/>
        </w:rPr>
        <w:t> </w:t>
      </w:r>
      <w:r>
        <w:rPr>
          <w:spacing w:val="-80"/>
        </w:rPr>
      </w:r>
      <w:r>
        <w:rPr/>
        <w:t>对公司影响重大的情形。</w:t>
      </w:r>
    </w:p>
    <w:p>
      <w:pPr>
        <w:spacing w:after="0" w:line="316" w:lineRule="auto"/>
        <w:jc w:val="left"/>
        <w:sectPr>
          <w:type w:val="continuous"/>
          <w:pgSz w:w="11910" w:h="16840"/>
          <w:pgMar w:top="1060" w:bottom="1160" w:left="980" w:right="0"/>
          <w:cols w:num="3" w:equalWidth="0">
            <w:col w:w="902" w:space="1868"/>
            <w:col w:w="3962" w:space="147"/>
            <w:col w:w="4051"/>
          </w:cols>
        </w:sectPr>
      </w:pPr>
    </w:p>
    <w:p>
      <w:pPr>
        <w:pStyle w:val="BodyText"/>
        <w:spacing w:line="240" w:lineRule="auto" w:before="19"/>
        <w:ind w:left="2952" w:right="0"/>
        <w:jc w:val="left"/>
      </w:pPr>
      <w:r>
        <w:rPr/>
        <w:t>响报表使用者正确判断的缺陷。</w:t>
      </w:r>
    </w:p>
    <w:p>
      <w:pPr>
        <w:pStyle w:val="BodyText"/>
        <w:spacing w:line="319" w:lineRule="auto" w:before="117"/>
        <w:ind w:left="2952" w:right="0" w:hanging="361"/>
        <w:jc w:val="both"/>
      </w:pPr>
      <w:r>
        <w:rPr/>
        <w:t>②</w:t>
      </w:r>
      <w:r>
        <w:rPr>
          <w:spacing w:val="14"/>
        </w:rPr>
        <w:t> </w:t>
      </w:r>
      <w:r>
        <w:rPr>
          <w:spacing w:val="-5"/>
        </w:rPr>
        <w:t>重要缺陷：单独缺陷或连同其他缺陷组合，其严</w:t>
      </w:r>
      <w:r>
        <w:rPr/>
        <w:t> </w:t>
      </w:r>
      <w:r>
        <w:rPr>
          <w:spacing w:val="-5"/>
        </w:rPr>
        <w:t>重程度低于重大缺陷，但仍有可能导致公司偏离</w:t>
      </w:r>
      <w:r>
        <w:rPr/>
        <w:t> 控制目标。</w:t>
      </w:r>
    </w:p>
    <w:p>
      <w:pPr>
        <w:pStyle w:val="BodyText"/>
        <w:spacing w:line="319" w:lineRule="auto" w:before="59"/>
        <w:ind w:left="377" w:right="1220" w:hanging="360"/>
        <w:jc w:val="left"/>
      </w:pPr>
      <w:r>
        <w:rPr/>
        <w:br w:type="column"/>
      </w:r>
      <w:r>
        <w:rPr/>
        <w:t>②</w:t>
      </w:r>
      <w:r>
        <w:rPr>
          <w:spacing w:val="9"/>
        </w:rPr>
        <w:t> </w:t>
      </w:r>
      <w:r>
        <w:rPr>
          <w:spacing w:val="-5"/>
        </w:rPr>
        <w:t>重要缺陷：单独缺陷或连同其他缺</w:t>
      </w:r>
      <w:r>
        <w:rPr/>
        <w:t> 陷组合，其严重程度低于重大缺 </w:t>
      </w:r>
      <w:r>
        <w:rPr>
          <w:spacing w:val="-5"/>
        </w:rPr>
        <w:t>陷，但仍有可能导致公司偏离控制</w:t>
      </w:r>
      <w:r>
        <w:rPr/>
        <w:t> 目标。</w:t>
      </w:r>
    </w:p>
    <w:p>
      <w:pPr>
        <w:spacing w:after="0" w:line="319" w:lineRule="auto"/>
        <w:jc w:val="left"/>
        <w:sectPr>
          <w:type w:val="continuous"/>
          <w:pgSz w:w="11910" w:h="16840"/>
          <w:pgMar w:top="1060" w:bottom="1160" w:left="980" w:right="0"/>
          <w:cols w:num="2" w:equalWidth="0">
            <w:col w:w="6644" w:space="40"/>
            <w:col w:w="4246"/>
          </w:cols>
        </w:sectPr>
      </w:pPr>
    </w:p>
    <w:p>
      <w:pPr>
        <w:pStyle w:val="BodyText"/>
        <w:spacing w:line="240" w:lineRule="auto" w:before="58"/>
        <w:ind w:left="2591" w:right="1133"/>
        <w:jc w:val="left"/>
      </w:pPr>
      <w:r>
        <w:rPr/>
        <w:t>③  一般缺陷</w:t>
      </w:r>
      <w:r>
        <w:rPr>
          <w:spacing w:val="-89"/>
        </w:rPr>
        <w:t>：</w:t>
      </w:r>
      <w:r>
        <w:rPr/>
        <w:t>不构成重大缺陷或重要缺陷的其他内</w:t>
      </w:r>
      <w:r>
        <w:rPr>
          <w:spacing w:val="-33"/>
        </w:rPr>
        <w:t> </w:t>
      </w:r>
      <w:r>
        <w:rPr/>
        <w:t>③  一般缺陷</w:t>
      </w:r>
      <w:r>
        <w:rPr>
          <w:spacing w:val="-65"/>
        </w:rPr>
        <w:t>：</w:t>
      </w:r>
      <w:r>
        <w:rPr/>
        <w:t>不构成重大缺陷或重要</w:t>
      </w:r>
    </w:p>
    <w:p>
      <w:pPr>
        <w:pStyle w:val="BodyText"/>
        <w:tabs>
          <w:tab w:pos="7061" w:val="left" w:leader="none"/>
        </w:tabs>
        <w:spacing w:line="240" w:lineRule="auto" w:before="76"/>
        <w:ind w:left="2952" w:right="1133"/>
        <w:jc w:val="left"/>
      </w:pPr>
      <w:r>
        <w:rPr/>
        <w:t>部控制缺陷。</w:t>
        <w:tab/>
        <w:t>缺陷的其他内部控制缺陷。</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5"/>
          <w:szCs w:val="25"/>
        </w:rPr>
      </w:pPr>
    </w:p>
    <w:p>
      <w:pPr>
        <w:pStyle w:val="BodyText"/>
        <w:spacing w:line="240" w:lineRule="auto"/>
        <w:ind w:left="181" w:right="-20"/>
        <w:jc w:val="left"/>
      </w:pPr>
      <w:r>
        <w:rPr/>
        <w:t>定量标准</w:t>
      </w:r>
    </w:p>
    <w:p>
      <w:pPr>
        <w:pStyle w:val="BodyText"/>
        <w:spacing w:line="316" w:lineRule="auto" w:before="44"/>
        <w:ind w:left="181" w:right="-16"/>
        <w:jc w:val="left"/>
      </w:pPr>
      <w:r>
        <w:rPr/>
        <w:br w:type="column"/>
      </w:r>
      <w:r>
        <w:rPr/>
        <w:t>公司所采用标准直接取决于该内部控制缺陷造成财 </w:t>
      </w:r>
      <w:r>
        <w:rPr>
          <w:spacing w:val="-4"/>
        </w:rPr>
        <w:t>产损失大小，根据损失占公司上一年度合并报表的潜</w:t>
      </w:r>
      <w:r>
        <w:rPr>
          <w:spacing w:val="-87"/>
        </w:rPr>
        <w:t> </w:t>
      </w:r>
      <w:r>
        <w:rPr>
          <w:spacing w:val="-87"/>
        </w:rPr>
      </w:r>
      <w:r>
        <w:rPr/>
        <w:t>在错报项目总额的比率作为判断标准。</w:t>
      </w:r>
    </w:p>
    <w:p>
      <w:pPr>
        <w:pStyle w:val="BodyText"/>
        <w:spacing w:line="300" w:lineRule="auto" w:before="59"/>
        <w:ind w:left="181" w:right="28"/>
        <w:jc w:val="left"/>
      </w:pPr>
      <w:r>
        <w:rPr/>
        <w:t>①重大缺陷：潜在错报</w:t>
      </w:r>
      <w:r>
        <w:rPr>
          <w:rFonts w:ascii="Times New Roman" w:hAnsi="Times New Roman" w:cs="Times New Roman" w:eastAsia="Times New Roman" w:hint="default"/>
        </w:rPr>
        <w:t>≥</w:t>
      </w:r>
      <w:r>
        <w:rPr/>
        <w:t>营业收入总额的</w:t>
      </w:r>
      <w:r>
        <w:rPr>
          <w:spacing w:val="-46"/>
        </w:rPr>
        <w:t> </w:t>
      </w:r>
      <w:r>
        <w:rPr>
          <w:rFonts w:ascii="Times New Roman" w:hAnsi="Times New Roman" w:cs="Times New Roman" w:eastAsia="Times New Roman" w:hint="default"/>
        </w:rPr>
        <w:t>3%</w:t>
      </w:r>
      <w:r>
        <w:rPr/>
        <w:t>；潜在 错报</w:t>
      </w:r>
      <w:r>
        <w:rPr>
          <w:rFonts w:ascii="Times New Roman" w:hAnsi="Times New Roman" w:cs="Times New Roman" w:eastAsia="Times New Roman" w:hint="default"/>
        </w:rPr>
        <w:t>≥</w:t>
      </w:r>
      <w:r>
        <w:rPr/>
        <w:t>利润总额的</w:t>
      </w:r>
      <w:r>
        <w:rPr>
          <w:spacing w:val="-47"/>
        </w:rPr>
        <w:t> </w:t>
      </w:r>
      <w:r>
        <w:rPr>
          <w:rFonts w:ascii="Times New Roman" w:hAnsi="Times New Roman" w:cs="Times New Roman" w:eastAsia="Times New Roman" w:hint="default"/>
        </w:rPr>
        <w:t>3%</w:t>
      </w:r>
      <w:r>
        <w:rPr/>
        <w:t>；潜在错报</w:t>
      </w:r>
      <w:r>
        <w:rPr>
          <w:rFonts w:ascii="Times New Roman" w:hAnsi="Times New Roman" w:cs="Times New Roman" w:eastAsia="Times New Roman" w:hint="default"/>
        </w:rPr>
        <w:t>≥</w:t>
      </w:r>
      <w:r>
        <w:rPr/>
        <w:t>资产总额的</w:t>
      </w:r>
      <w:r>
        <w:rPr>
          <w:spacing w:val="-46"/>
        </w:rPr>
        <w:t> </w:t>
      </w:r>
      <w:r>
        <w:rPr>
          <w:rFonts w:ascii="Times New Roman" w:hAnsi="Times New Roman" w:cs="Times New Roman" w:eastAsia="Times New Roman" w:hint="default"/>
        </w:rPr>
        <w:t>2%</w:t>
      </w:r>
      <w:r>
        <w:rPr/>
        <w:t>。</w:t>
      </w:r>
    </w:p>
    <w:p>
      <w:pPr>
        <w:pStyle w:val="BodyText"/>
        <w:spacing w:line="300" w:lineRule="auto" w:before="53"/>
        <w:ind w:left="181" w:right="-11"/>
        <w:jc w:val="left"/>
      </w:pPr>
      <w:r>
        <w:rPr/>
        <w:t>②重要缺陷：营业收入总额的</w:t>
      </w:r>
      <w:r>
        <w:rPr>
          <w:spacing w:val="-45"/>
        </w:rPr>
        <w:t> </w:t>
      </w:r>
      <w:r>
        <w:rPr>
          <w:rFonts w:ascii="Times New Roman" w:hAnsi="Times New Roman" w:cs="Times New Roman" w:eastAsia="Times New Roman" w:hint="default"/>
        </w:rPr>
        <w:t>2%≤</w:t>
      </w:r>
      <w:r>
        <w:rPr/>
        <w:t>潜在错报＜营业 收入总额的</w:t>
      </w:r>
      <w:r>
        <w:rPr>
          <w:spacing w:val="-47"/>
        </w:rPr>
        <w:t> </w:t>
      </w:r>
      <w:r>
        <w:rPr>
          <w:rFonts w:ascii="Times New Roman" w:hAnsi="Times New Roman" w:cs="Times New Roman" w:eastAsia="Times New Roman" w:hint="default"/>
          <w:spacing w:val="-5"/>
        </w:rPr>
        <w:t>3%</w:t>
      </w:r>
      <w:r>
        <w:rPr>
          <w:spacing w:val="-5"/>
        </w:rPr>
        <w:t>；利润总额的</w:t>
      </w:r>
      <w:r>
        <w:rPr>
          <w:spacing w:val="-48"/>
        </w:rPr>
        <w:t> </w:t>
      </w:r>
      <w:r>
        <w:rPr>
          <w:rFonts w:ascii="Times New Roman" w:hAnsi="Times New Roman" w:cs="Times New Roman" w:eastAsia="Times New Roman" w:hint="default"/>
        </w:rPr>
        <w:t>2%≤</w:t>
      </w:r>
      <w:r>
        <w:rPr/>
        <w:t>潜在错报＜利润总 额的</w:t>
      </w:r>
      <w:r>
        <w:rPr>
          <w:spacing w:val="-45"/>
        </w:rPr>
        <w:t> </w:t>
      </w:r>
      <w:r>
        <w:rPr>
          <w:rFonts w:ascii="Times New Roman" w:hAnsi="Times New Roman" w:cs="Times New Roman" w:eastAsia="Times New Roman" w:hint="default"/>
        </w:rPr>
        <w:t>3%</w:t>
      </w:r>
      <w:r>
        <w:rPr/>
        <w:t>；资产总额的</w:t>
      </w:r>
      <w:r>
        <w:rPr>
          <w:spacing w:val="-46"/>
        </w:rPr>
        <w:t> </w:t>
      </w:r>
      <w:r>
        <w:rPr>
          <w:rFonts w:ascii="Times New Roman" w:hAnsi="Times New Roman" w:cs="Times New Roman" w:eastAsia="Times New Roman" w:hint="default"/>
        </w:rPr>
        <w:t>1%≤</w:t>
      </w:r>
      <w:r>
        <w:rPr/>
        <w:t>潜在错报＜资产总额的 </w:t>
      </w:r>
      <w:r>
        <w:rPr>
          <w:rFonts w:ascii="Times New Roman" w:hAnsi="Times New Roman" w:cs="Times New Roman" w:eastAsia="Times New Roman" w:hint="default"/>
        </w:rPr>
        <w:t>2%</w:t>
      </w:r>
      <w:r>
        <w:rPr/>
        <w:t>。</w:t>
      </w:r>
    </w:p>
    <w:p>
      <w:pPr>
        <w:pStyle w:val="BodyText"/>
        <w:spacing w:line="240" w:lineRule="auto" w:before="51"/>
        <w:ind w:left="181" w:right="-17"/>
        <w:jc w:val="left"/>
      </w:pPr>
      <w:r>
        <w:rPr/>
        <w:t>③一般缺陷：潜在错报＜营业收入总额的</w:t>
      </w:r>
      <w:r>
        <w:rPr>
          <w:spacing w:val="-61"/>
        </w:rPr>
        <w:t> </w:t>
      </w:r>
      <w:r>
        <w:rPr>
          <w:rFonts w:ascii="Times New Roman" w:hAnsi="Times New Roman" w:cs="Times New Roman" w:eastAsia="Times New Roman" w:hint="default"/>
        </w:rPr>
        <w:t>2%</w:t>
      </w:r>
      <w:r>
        <w:rPr/>
        <w:t>；潜在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316" w:lineRule="auto"/>
        <w:ind w:left="17" w:right="1213"/>
        <w:jc w:val="left"/>
      </w:pPr>
      <w:r>
        <w:rPr/>
        <w:t>公司所采用标准直接取决于该内部控 </w:t>
      </w:r>
      <w:r>
        <w:rPr>
          <w:spacing w:val="-4"/>
        </w:rPr>
        <w:t>制缺陷造成财产损失大小，根据损失占</w:t>
      </w:r>
      <w:r>
        <w:rPr>
          <w:spacing w:val="-87"/>
        </w:rPr>
        <w:t> </w:t>
      </w:r>
      <w:r>
        <w:rPr>
          <w:spacing w:val="-87"/>
        </w:rPr>
      </w:r>
      <w:r>
        <w:rPr/>
        <w:t>公司上一年度合并报表资产总额的比 率作为判断标准。</w:t>
      </w:r>
    </w:p>
    <w:p>
      <w:pPr>
        <w:pStyle w:val="BodyText"/>
        <w:spacing w:line="240" w:lineRule="auto" w:before="59"/>
        <w:ind w:left="17" w:right="0"/>
        <w:jc w:val="left"/>
      </w:pPr>
      <w:r>
        <w:rPr/>
        <w:t>①</w:t>
      </w:r>
      <w:r>
        <w:rPr>
          <w:spacing w:val="89"/>
        </w:rPr>
        <w:t> </w:t>
      </w:r>
      <w:r>
        <w:rPr/>
        <w:t>重大缺陷：损失金额</w:t>
      </w:r>
      <w:r>
        <w:rPr>
          <w:rFonts w:ascii="Times New Roman" w:hAnsi="Times New Roman" w:cs="Times New Roman" w:eastAsia="Times New Roman" w:hint="default"/>
        </w:rPr>
        <w:t>≥</w:t>
      </w:r>
      <w:r>
        <w:rPr/>
        <w:t>资产总额的</w:t>
      </w:r>
    </w:p>
    <w:p>
      <w:pPr>
        <w:pStyle w:val="BodyText"/>
        <w:spacing w:line="240" w:lineRule="auto" w:before="63"/>
        <w:ind w:left="377" w:right="1213"/>
        <w:jc w:val="left"/>
      </w:pPr>
      <w:r>
        <w:rPr>
          <w:rFonts w:ascii="Times New Roman" w:hAnsi="Times New Roman" w:cs="Times New Roman" w:eastAsia="Times New Roman" w:hint="default"/>
        </w:rPr>
        <w:t>2%</w:t>
      </w:r>
      <w:r>
        <w:rPr/>
        <w:t>。</w:t>
      </w:r>
    </w:p>
    <w:p>
      <w:pPr>
        <w:pStyle w:val="BodyText"/>
        <w:spacing w:line="300" w:lineRule="auto" w:before="104"/>
        <w:ind w:left="377" w:right="1213" w:hanging="360"/>
        <w:jc w:val="left"/>
      </w:pPr>
      <w:r>
        <w:rPr/>
        <w:t>② </w:t>
      </w:r>
      <w:r>
        <w:rPr>
          <w:spacing w:val="-9"/>
        </w:rPr>
        <w:t>重要缺陷：资产总额的</w:t>
      </w:r>
      <w:r>
        <w:rPr>
          <w:spacing w:val="-40"/>
        </w:rPr>
        <w:t> </w:t>
      </w:r>
      <w:r>
        <w:rPr>
          <w:rFonts w:ascii="Times New Roman" w:hAnsi="Times New Roman" w:cs="Times New Roman" w:eastAsia="Times New Roman" w:hint="default"/>
          <w:spacing w:val="-1"/>
          <w:w w:val="100"/>
        </w:rPr>
        <w:t>1%≤</w:t>
      </w:r>
      <w:r>
        <w:rPr>
          <w:spacing w:val="-1"/>
          <w:w w:val="100"/>
        </w:rPr>
        <w:t>损失金</w:t>
      </w:r>
      <w:r>
        <w:rPr/>
        <w:t> 额＜资产总额的</w:t>
      </w:r>
      <w:r>
        <w:rPr>
          <w:spacing w:val="-45"/>
        </w:rPr>
        <w:t> </w:t>
      </w:r>
      <w:r>
        <w:rPr>
          <w:rFonts w:ascii="Times New Roman" w:hAnsi="Times New Roman" w:cs="Times New Roman" w:eastAsia="Times New Roman" w:hint="default"/>
        </w:rPr>
        <w:t>2%</w:t>
      </w:r>
      <w:r>
        <w:rPr/>
        <w:t>。</w:t>
      </w:r>
    </w:p>
    <w:p>
      <w:pPr>
        <w:pStyle w:val="BodyText"/>
        <w:spacing w:line="212" w:lineRule="exact" w:before="51"/>
        <w:ind w:left="17" w:right="0"/>
        <w:jc w:val="left"/>
      </w:pPr>
      <w:r>
        <w:rPr/>
        <w:t>③ </w:t>
      </w:r>
      <w:r>
        <w:rPr>
          <w:spacing w:val="10"/>
        </w:rPr>
        <w:t> </w:t>
      </w:r>
      <w:r>
        <w:rPr>
          <w:spacing w:val="-5"/>
        </w:rPr>
        <w:t>一般缺陷：损失金额＜资产总额的</w:t>
      </w:r>
    </w:p>
    <w:p>
      <w:pPr>
        <w:spacing w:after="0" w:line="212" w:lineRule="exact"/>
        <w:jc w:val="left"/>
        <w:sectPr>
          <w:type w:val="continuous"/>
          <w:pgSz w:w="11910" w:h="16840"/>
          <w:pgMar w:top="1060" w:bottom="1160" w:left="980" w:right="0"/>
          <w:cols w:num="3" w:equalWidth="0">
            <w:col w:w="902" w:space="1508"/>
            <w:col w:w="4234" w:space="40"/>
            <w:col w:w="4246"/>
          </w:cols>
        </w:sectPr>
      </w:pPr>
    </w:p>
    <w:p>
      <w:pPr>
        <w:pStyle w:val="BodyText"/>
        <w:spacing w:line="194" w:lineRule="exact"/>
        <w:ind w:left="2591" w:right="-17"/>
        <w:jc w:val="left"/>
      </w:pPr>
      <w:r>
        <w:rPr/>
        <w:t>错报＜利润总额的</w:t>
      </w:r>
      <w:r>
        <w:rPr>
          <w:spacing w:val="-40"/>
        </w:rPr>
        <w:t> </w:t>
      </w:r>
      <w:r>
        <w:rPr>
          <w:rFonts w:ascii="Times New Roman" w:hAnsi="Times New Roman" w:cs="Times New Roman" w:eastAsia="Times New Roman" w:hint="default"/>
          <w:spacing w:val="-3"/>
        </w:rPr>
        <w:t>2%</w:t>
      </w:r>
      <w:r>
        <w:rPr>
          <w:spacing w:val="-3"/>
        </w:rPr>
        <w:t>；潜在错报＜资产总额的</w:t>
      </w:r>
      <w:r>
        <w:rPr>
          <w:spacing w:val="-40"/>
        </w:rPr>
        <w:t> </w:t>
      </w:r>
      <w:r>
        <w:rPr>
          <w:rFonts w:ascii="Times New Roman" w:hAnsi="Times New Roman" w:cs="Times New Roman" w:eastAsia="Times New Roman" w:hint="default"/>
        </w:rPr>
        <w:t>1%</w:t>
      </w:r>
      <w:r>
        <w:rPr/>
        <w:t>。</w:t>
      </w:r>
    </w:p>
    <w:p>
      <w:pPr>
        <w:pStyle w:val="BodyText"/>
        <w:spacing w:line="316" w:lineRule="auto" w:before="63"/>
        <w:ind w:left="2591" w:right="164"/>
        <w:jc w:val="left"/>
      </w:pPr>
      <w:r>
        <w:rPr/>
        <w:t>当某项内部控制缺陷导致的潜在错报影响多项指标 时，按孰低原则认定缺陷性质。</w:t>
      </w:r>
    </w:p>
    <w:p>
      <w:pPr>
        <w:spacing w:before="100"/>
        <w:ind w:left="286"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736" w:space="40"/>
            <w:col w:w="4154"/>
          </w:cols>
        </w:sectPr>
      </w:pPr>
    </w:p>
    <w:p>
      <w:pPr>
        <w:pStyle w:val="BodyText"/>
        <w:tabs>
          <w:tab w:pos="9603" w:val="left" w:leader="none"/>
        </w:tabs>
        <w:spacing w:line="240" w:lineRule="auto" w:before="110"/>
        <w:ind w:left="181" w:right="1133"/>
        <w:jc w:val="left"/>
        <w:rPr>
          <w:rFonts w:ascii="Times New Roman" w:hAnsi="Times New Roman" w:cs="Times New Roman" w:eastAsia="Times New Roman" w:hint="default"/>
        </w:rPr>
      </w:pPr>
      <w:r>
        <w:rPr/>
        <w:t>财务报告重大缺陷数量（个）</w:t>
      </w:r>
      <w:r>
        <w:rPr>
          <w:rFonts w:ascii="Times New Roman" w:hAnsi="Times New Roman" w:cs="Times New Roman" w:eastAsia="Times New Roman" w:hint="default"/>
        </w:rPr>
        <w:tab/>
        <w:t>0</w:t>
      </w:r>
    </w:p>
    <w:p>
      <w:pPr>
        <w:spacing w:line="240" w:lineRule="auto" w:before="4"/>
        <w:rPr>
          <w:rFonts w:ascii="Times New Roman" w:hAnsi="Times New Roman" w:cs="Times New Roman" w:eastAsia="Times New Roman" w:hint="default"/>
          <w:sz w:val="9"/>
          <w:szCs w:val="9"/>
        </w:rPr>
      </w:pPr>
    </w:p>
    <w:p>
      <w:pPr>
        <w:pStyle w:val="BodyText"/>
        <w:tabs>
          <w:tab w:pos="9603" w:val="left" w:leader="none"/>
        </w:tabs>
        <w:spacing w:line="240" w:lineRule="auto" w:before="44"/>
        <w:ind w:left="181" w:right="1133"/>
        <w:jc w:val="left"/>
        <w:rPr>
          <w:rFonts w:ascii="Times New Roman" w:hAnsi="Times New Roman" w:cs="Times New Roman" w:eastAsia="Times New Roman" w:hint="default"/>
        </w:rPr>
      </w:pPr>
      <w:r>
        <w:rPr/>
        <w:t>非财务报告重大缺陷数</w:t>
      </w:r>
      <w:r>
        <w:rPr>
          <w:spacing w:val="-77"/>
        </w:rPr>
        <w:t>量</w:t>
      </w:r>
      <w:r>
        <w:rPr/>
        <w:t>（个）</w:t>
      </w:r>
      <w:r>
        <w:rPr>
          <w:rFonts w:ascii="Times New Roman" w:hAnsi="Times New Roman" w:cs="Times New Roman" w:eastAsia="Times New Roman" w:hint="default"/>
        </w:rPr>
        <w:t> </w:t>
        <w:tab/>
        <w:t>0</w:t>
      </w:r>
    </w:p>
    <w:p>
      <w:pPr>
        <w:spacing w:line="240" w:lineRule="auto" w:before="6"/>
        <w:rPr>
          <w:rFonts w:ascii="Times New Roman" w:hAnsi="Times New Roman" w:cs="Times New Roman" w:eastAsia="Times New Roman" w:hint="default"/>
          <w:sz w:val="9"/>
          <w:szCs w:val="9"/>
        </w:rPr>
      </w:pPr>
    </w:p>
    <w:p>
      <w:pPr>
        <w:pStyle w:val="BodyText"/>
        <w:tabs>
          <w:tab w:pos="9603" w:val="left" w:leader="none"/>
        </w:tabs>
        <w:spacing w:line="240" w:lineRule="auto" w:before="44"/>
        <w:ind w:left="181" w:right="1133"/>
        <w:jc w:val="left"/>
        <w:rPr>
          <w:rFonts w:ascii="Times New Roman" w:hAnsi="Times New Roman" w:cs="Times New Roman" w:eastAsia="Times New Roman" w:hint="default"/>
        </w:rPr>
      </w:pPr>
      <w:r>
        <w:rPr/>
        <w:t>财务报告重要缺陷数量（个）</w:t>
      </w:r>
      <w:r>
        <w:rPr>
          <w:rFonts w:ascii="Times New Roman" w:hAnsi="Times New Roman" w:cs="Times New Roman" w:eastAsia="Times New Roman" w:hint="default"/>
        </w:rPr>
        <w:tab/>
        <w:t>0</w:t>
      </w:r>
    </w:p>
    <w:p>
      <w:pPr>
        <w:spacing w:line="240" w:lineRule="auto" w:before="4"/>
        <w:rPr>
          <w:rFonts w:ascii="Times New Roman" w:hAnsi="Times New Roman" w:cs="Times New Roman" w:eastAsia="Times New Roman" w:hint="default"/>
          <w:sz w:val="9"/>
          <w:szCs w:val="9"/>
        </w:rPr>
      </w:pPr>
    </w:p>
    <w:p>
      <w:pPr>
        <w:pStyle w:val="BodyText"/>
        <w:tabs>
          <w:tab w:pos="9603" w:val="left" w:leader="none"/>
        </w:tabs>
        <w:spacing w:line="240" w:lineRule="auto" w:before="44"/>
        <w:ind w:left="181" w:right="1133"/>
        <w:jc w:val="left"/>
        <w:rPr>
          <w:rFonts w:ascii="Times New Roman" w:hAnsi="Times New Roman" w:cs="Times New Roman" w:eastAsia="Times New Roman" w:hint="default"/>
        </w:rPr>
      </w:pPr>
      <w:r>
        <w:rPr/>
        <w:t>非财务报告重要缺陷数</w:t>
      </w:r>
      <w:r>
        <w:rPr>
          <w:spacing w:val="-77"/>
        </w:rPr>
        <w:t>量</w:t>
      </w:r>
      <w:r>
        <w:rPr/>
        <w:t>（个）</w:t>
      </w:r>
      <w:r>
        <w:rPr>
          <w:rFonts w:ascii="Times New Roman" w:hAnsi="Times New Roman" w:cs="Times New Roman" w:eastAsia="Times New Roman" w:hint="default"/>
        </w:rPr>
        <w:t> </w:t>
        <w:tab/>
        <w:t>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113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内部控制鉴证报告</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80"/>
              <w:jc w:val="left"/>
              <w:rPr>
                <w:rFonts w:ascii="宋体" w:hAnsi="宋体" w:cs="宋体" w:eastAsia="宋体" w:hint="default"/>
                <w:sz w:val="18"/>
                <w:szCs w:val="18"/>
              </w:rPr>
            </w:pPr>
            <w:r>
              <w:rPr>
                <w:rFonts w:ascii="宋体" w:hAnsi="宋体" w:cs="宋体" w:eastAsia="宋体" w:hint="default"/>
                <w:sz w:val="18"/>
                <w:szCs w:val="18"/>
              </w:rPr>
              <w:t>我们认为，惠程科技根据财政部颁发的《企业内部控制基本规范》及相关规定于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 了有效的与财务报告相关的内部控制。</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2"/>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《内部控制鉴证报告》</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会计师事务所是否出具非标准意见的内部控制鉴证报告</w:t>
      </w:r>
    </w:p>
    <w:p>
      <w:pPr>
        <w:pStyle w:val="BodyText"/>
        <w:spacing w:line="340" w:lineRule="auto" w:before="115"/>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125" w:right="1133"/>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607" w:right="1133"/>
        <w:jc w:val="left"/>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上会会计师事务所（特殊普通合伙）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张晓荣</w:t>
            </w:r>
            <w:r>
              <w:rPr>
                <w:rFonts w:ascii="宋体" w:hAnsi="宋体" w:cs="宋体" w:eastAsia="宋体" w:hint="default"/>
                <w:spacing w:val="1"/>
                <w:sz w:val="18"/>
                <w:szCs w:val="18"/>
              </w:rPr>
              <w:t> </w:t>
            </w:r>
            <w:r>
              <w:rPr>
                <w:rFonts w:ascii="宋体" w:hAnsi="宋体" w:cs="宋体" w:eastAsia="宋体" w:hint="default"/>
                <w:sz w:val="18"/>
                <w:szCs w:val="18"/>
              </w:rPr>
              <w:t>、唐慧珏</w:t>
            </w:r>
          </w:p>
        </w:tc>
      </w:tr>
    </w:tbl>
    <w:p>
      <w:pPr>
        <w:pStyle w:val="BodyText"/>
        <w:spacing w:line="240" w:lineRule="auto" w:before="49"/>
        <w:ind w:left="2241" w:right="3219"/>
        <w:jc w:val="center"/>
      </w:pPr>
      <w:r>
        <w:rPr/>
        <w:t>审计报告正文</w:t>
      </w:r>
    </w:p>
    <w:p>
      <w:pPr>
        <w:pStyle w:val="Heading4"/>
        <w:spacing w:line="240" w:lineRule="auto" w:before="115"/>
        <w:ind w:left="152" w:right="1133"/>
        <w:jc w:val="left"/>
        <w:rPr>
          <w:b w:val="0"/>
          <w:bCs w:val="0"/>
        </w:rPr>
      </w:pPr>
      <w:r>
        <w:rPr/>
        <w:t>深圳市惠程信息科技股份有限公司全体股东：</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44"/>
        <w:ind w:left="513" w:right="1133"/>
        <w:jc w:val="left"/>
      </w:pPr>
      <w:r>
        <w:rPr>
          <w:rFonts w:ascii="宋体" w:hAnsi="宋体" w:cs="宋体" w:eastAsia="宋体" w:hint="default"/>
          <w:b/>
          <w:bCs/>
        </w:rPr>
        <w:t>一、审计意见</w:t>
      </w:r>
      <w:r>
        <w:rPr>
          <w:rFonts w:ascii="宋体" w:hAnsi="宋体" w:cs="宋体" w:eastAsia="宋体" w:hint="default"/>
          <w:b/>
          <w:bCs/>
          <w:w w:val="99"/>
        </w:rPr>
        <w:t> </w:t>
      </w:r>
      <w:r>
        <w:rPr>
          <w:spacing w:val="-2"/>
        </w:rPr>
        <w:t>我们审计了深圳市惠程信息科技股份有限公司（以下简称</w:t>
      </w:r>
      <w:r>
        <w:rPr>
          <w:rFonts w:ascii="Times New Roman" w:hAnsi="Times New Roman" w:cs="Times New Roman" w:eastAsia="Times New Roman" w:hint="default"/>
          <w:spacing w:val="-2"/>
        </w:rPr>
        <w:t>“</w:t>
      </w:r>
      <w:r>
        <w:rPr>
          <w:spacing w:val="-2"/>
        </w:rPr>
        <w:t>惠程科技</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日的合并及公司资</w:t>
      </w:r>
    </w:p>
    <w:p>
      <w:pPr>
        <w:pStyle w:val="BodyText"/>
        <w:spacing w:line="300" w:lineRule="auto"/>
        <w:ind w:left="513" w:right="1034" w:hanging="361"/>
        <w:jc w:val="left"/>
      </w:pPr>
      <w:r>
        <w:rPr/>
        <w:t>产负债表，</w:t>
      </w:r>
      <w:r>
        <w:rPr>
          <w:rFonts w:ascii="Times New Roman" w:hAnsi="Times New Roman" w:cs="Times New Roman" w:eastAsia="Times New Roman" w:hint="default"/>
        </w:rPr>
        <w:t>2018</w:t>
      </w:r>
      <w:r>
        <w:rPr/>
        <w:t>年度的合并及公司利润表、合并及公司现金流量表、合并及公司所有者权益变动表以及相关财务报表附注。 </w:t>
      </w:r>
      <w:r>
        <w:rPr>
          <w:spacing w:val="-2"/>
        </w:rPr>
        <w:t>我们认为，后附的财务报表在所有重大方面按照企业会计准则的规定编制，公允反映了惠程科技</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p>
    <w:p>
      <w:pPr>
        <w:pStyle w:val="BodyText"/>
        <w:spacing w:line="240" w:lineRule="auto" w:before="13"/>
        <w:ind w:right="1133"/>
        <w:jc w:val="left"/>
      </w:pPr>
      <w:r>
        <w:rPr/>
        <w:t>及公司财务状况以及</w:t>
      </w:r>
      <w:r>
        <w:rPr>
          <w:rFonts w:ascii="Times New Roman" w:hAnsi="Times New Roman" w:cs="Times New Roman" w:eastAsia="Times New Roman" w:hint="default"/>
        </w:rPr>
        <w:t>2018</w:t>
      </w:r>
      <w:r>
        <w:rPr/>
        <w:t>年度合并及公司经营成果和现金流量。</w:t>
      </w:r>
    </w:p>
    <w:p>
      <w:pPr>
        <w:spacing w:line="240" w:lineRule="auto" w:before="0"/>
        <w:rPr>
          <w:rFonts w:ascii="宋体" w:hAnsi="宋体" w:cs="宋体" w:eastAsia="宋体" w:hint="default"/>
          <w:sz w:val="18"/>
          <w:szCs w:val="18"/>
        </w:rPr>
      </w:pPr>
    </w:p>
    <w:p>
      <w:pPr>
        <w:pStyle w:val="BodyText"/>
        <w:spacing w:line="316" w:lineRule="auto" w:before="139"/>
        <w:ind w:left="513" w:right="1133"/>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0"/>
        <w:jc w:val="left"/>
      </w:pPr>
      <w:r>
        <w:rPr>
          <w:spacing w:val="-2"/>
        </w:rPr>
        <w:t>阐述了我们在这些准则下的责任。按照中国注册会计师职业道德守则，我们独立于惠程科技，并履行了职业道德方面的其他</w:t>
      </w:r>
      <w:r>
        <w:rPr>
          <w:spacing w:val="-63"/>
        </w:rPr>
        <w:t> </w:t>
      </w:r>
      <w:r>
        <w:rPr>
          <w:spacing w:val="-63"/>
        </w:rPr>
      </w:r>
      <w:r>
        <w:rPr/>
        <w:t>责任。我们相信，我们获取的审计证据是充分、适当的，为发表审计意见提供了基础。</w:t>
      </w:r>
    </w:p>
    <w:p>
      <w:pPr>
        <w:spacing w:line="240" w:lineRule="auto" w:before="4"/>
        <w:rPr>
          <w:rFonts w:ascii="宋体" w:hAnsi="宋体" w:cs="宋体" w:eastAsia="宋体" w:hint="default"/>
          <w:sz w:val="25"/>
          <w:szCs w:val="25"/>
        </w:rPr>
      </w:pPr>
    </w:p>
    <w:p>
      <w:pPr>
        <w:pStyle w:val="BodyText"/>
        <w:spacing w:line="316" w:lineRule="auto"/>
        <w:ind w:left="513" w:right="0"/>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9"/>
        <w:ind w:right="1133"/>
        <w:jc w:val="left"/>
      </w:pPr>
      <w:r>
        <w:rPr/>
        <w:t>审计并形成审计意见为背景，我们不对这些事项单独发表意见。我们在审计中识别出的关键审计事项如下：</w:t>
      </w:r>
    </w:p>
    <w:p>
      <w:pPr>
        <w:pStyle w:val="BodyText"/>
        <w:spacing w:line="300" w:lineRule="auto" w:before="76"/>
        <w:ind w:left="513" w:right="8323"/>
        <w:jc w:val="left"/>
      </w:pPr>
      <w:r>
        <w:rPr>
          <w:rFonts w:ascii="Times New Roman" w:hAnsi="Times New Roman" w:cs="Times New Roman" w:eastAsia="Times New Roman" w:hint="default"/>
        </w:rPr>
        <w:t>1</w:t>
      </w:r>
      <w:r>
        <w:rPr/>
        <w:t>、转让合伙企业出资份额 </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关键审计事项</w:t>
      </w:r>
    </w:p>
    <w:p>
      <w:pPr>
        <w:pStyle w:val="BodyText"/>
        <w:spacing w:line="300" w:lineRule="auto" w:before="13"/>
        <w:ind w:right="1132" w:firstLine="360"/>
        <w:jc w:val="both"/>
      </w:pPr>
      <w:r>
        <w:rPr/>
        <w:t>如附注六</w:t>
      </w:r>
      <w:r>
        <w:rPr>
          <w:rFonts w:ascii="Times New Roman" w:hAnsi="Times New Roman" w:cs="Times New Roman" w:eastAsia="Times New Roman" w:hint="default"/>
        </w:rPr>
        <w:t>/5/</w:t>
      </w:r>
      <w:r>
        <w:rPr/>
        <w:t>注</w:t>
      </w:r>
      <w:r>
        <w:rPr>
          <w:rFonts w:ascii="Times New Roman" w:hAnsi="Times New Roman" w:cs="Times New Roman" w:eastAsia="Times New Roman" w:hint="default"/>
        </w:rPr>
        <w:t>1</w:t>
      </w:r>
      <w:r>
        <w:rPr/>
        <w:t>、六</w:t>
      </w:r>
      <w:r>
        <w:rPr>
          <w:rFonts w:ascii="Times New Roman" w:hAnsi="Times New Roman" w:cs="Times New Roman" w:eastAsia="Times New Roman" w:hint="default"/>
        </w:rPr>
        <w:t>/10/</w:t>
      </w:r>
      <w:r>
        <w:rPr/>
        <w:t>注</w:t>
      </w:r>
      <w:r>
        <w:rPr>
          <w:rFonts w:ascii="Times New Roman" w:hAnsi="Times New Roman" w:cs="Times New Roman" w:eastAsia="Times New Roman" w:hint="default"/>
        </w:rPr>
        <w:t>3</w:t>
      </w:r>
      <w:r>
        <w:rPr/>
        <w:t>、十四</w:t>
      </w:r>
      <w:r>
        <w:rPr>
          <w:rFonts w:ascii="Times New Roman" w:hAnsi="Times New Roman" w:cs="Times New Roman" w:eastAsia="Times New Roman" w:hint="default"/>
        </w:rPr>
        <w:t>/2/</w:t>
      </w:r>
      <w:r>
        <w:rPr/>
        <w:t>（</w:t>
      </w:r>
      <w:r>
        <w:rPr>
          <w:rFonts w:ascii="Times New Roman" w:hAnsi="Times New Roman" w:cs="Times New Roman" w:eastAsia="Times New Roman" w:hint="default"/>
        </w:rPr>
        <w:t>8</w:t>
      </w:r>
      <w:r>
        <w:rPr/>
        <w:t>）、十五</w:t>
      </w:r>
      <w:r>
        <w:rPr>
          <w:rFonts w:ascii="Times New Roman" w:hAnsi="Times New Roman" w:cs="Times New Roman" w:eastAsia="Times New Roman" w:hint="default"/>
        </w:rPr>
        <w:t>/1</w:t>
      </w:r>
      <w:r>
        <w:rPr/>
        <w:t>所述，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日公司第六届董事会第十八次会议、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spacing w:val="-2"/>
        </w:rPr>
        <w:t>日公司</w:t>
      </w:r>
      <w:r>
        <w:rPr>
          <w:rFonts w:ascii="Times New Roman" w:hAnsi="Times New Roman" w:cs="Times New Roman" w:eastAsia="Times New Roman" w:hint="default"/>
          <w:spacing w:val="-2"/>
        </w:rPr>
        <w:t>2018</w:t>
      </w:r>
      <w:r>
        <w:rPr>
          <w:spacing w:val="-2"/>
        </w:rPr>
        <w:t>年第四次临时股东大会审议批准，同意公司将在北京信中利赞信股权投资中心（有限合伙）（以下简称：信中利</w:t>
      </w:r>
      <w:r>
        <w:rPr>
          <w:spacing w:val="-63"/>
        </w:rPr>
        <w:t> </w:t>
      </w:r>
      <w:r>
        <w:rPr>
          <w:spacing w:val="-63"/>
        </w:rPr>
      </w:r>
      <w:r>
        <w:rPr/>
        <w:t>赞信）产业并购基金中的</w:t>
      </w:r>
      <w:r>
        <w:rPr>
          <w:rFonts w:ascii="Times New Roman" w:hAnsi="Times New Roman" w:cs="Times New Roman" w:eastAsia="Times New Roman" w:hint="default"/>
        </w:rPr>
        <w:t>29,000</w:t>
      </w:r>
      <w:r>
        <w:rPr/>
        <w:t>万元出资份额及对应的财产份额转让给非关联方宁波梅山保税港区元俊投资管理有限公司</w:t>
      </w:r>
    </w:p>
    <w:p>
      <w:pPr>
        <w:pStyle w:val="BodyText"/>
        <w:spacing w:line="300" w:lineRule="auto" w:before="13"/>
        <w:ind w:left="513" w:right="0" w:hanging="361"/>
        <w:jc w:val="left"/>
      </w:pPr>
      <w:r>
        <w:rPr/>
        <w:t>（以下简称</w:t>
      </w:r>
      <w:r>
        <w:rPr>
          <w:rFonts w:ascii="Times New Roman" w:hAnsi="Times New Roman" w:cs="Times New Roman" w:eastAsia="Times New Roman" w:hint="default"/>
        </w:rPr>
        <w:t>“</w:t>
      </w:r>
      <w:r>
        <w:rPr/>
        <w:t>元俊投资</w:t>
      </w:r>
      <w:r>
        <w:rPr>
          <w:rFonts w:ascii="Times New Roman" w:hAnsi="Times New Roman" w:cs="Times New Roman" w:eastAsia="Times New Roman" w:hint="default"/>
        </w:rPr>
        <w:t>”</w:t>
      </w:r>
      <w:r>
        <w:rPr/>
        <w:t>），转让金额为</w:t>
      </w:r>
      <w:r>
        <w:rPr>
          <w:rFonts w:ascii="Times New Roman" w:hAnsi="Times New Roman" w:cs="Times New Roman" w:eastAsia="Times New Roman" w:hint="default"/>
        </w:rPr>
        <w:t>45,500</w:t>
      </w:r>
      <w:r>
        <w:rPr/>
        <w:t>万元，该笔交易共计确认投资收益</w:t>
      </w:r>
      <w:r>
        <w:rPr>
          <w:rFonts w:ascii="Times New Roman" w:hAnsi="Times New Roman" w:cs="Times New Roman" w:eastAsia="Times New Roman" w:hint="default"/>
        </w:rPr>
        <w:t>83,964,228.06</w:t>
      </w:r>
      <w:r>
        <w:rPr/>
        <w:t>元。 </w:t>
      </w:r>
      <w:r>
        <w:rPr>
          <w:spacing w:val="-2"/>
        </w:rPr>
        <w:t>双方约定：自惠程科技股东大会审议批准本次份额转让之日起两日内，元俊投资向惠程科技支付第一笔目标份额转让价</w:t>
      </w:r>
    </w:p>
    <w:p>
      <w:pPr>
        <w:pStyle w:val="BodyText"/>
        <w:spacing w:line="300" w:lineRule="auto" w:before="31"/>
        <w:ind w:left="513" w:right="0" w:hanging="361"/>
        <w:jc w:val="left"/>
      </w:pPr>
      <w:r>
        <w:rPr/>
        <w:t>款即人民币</w:t>
      </w:r>
      <w:r>
        <w:rPr>
          <w:rFonts w:ascii="Times New Roman" w:hAnsi="Times New Roman" w:cs="Times New Roman" w:eastAsia="Times New Roman" w:hint="default"/>
        </w:rPr>
        <w:t>2.33</w:t>
      </w:r>
      <w:r>
        <w:rPr/>
        <w:t>亿元；于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日前元俊投资向惠程科技支付剩余的目标份额转让价款即人民币</w:t>
      </w:r>
      <w:r>
        <w:rPr>
          <w:rFonts w:ascii="Times New Roman" w:hAnsi="Times New Roman" w:cs="Times New Roman" w:eastAsia="Times New Roman" w:hint="default"/>
        </w:rPr>
        <w:t>2.22</w:t>
      </w:r>
      <w:r>
        <w:rPr/>
        <w:t>亿元。 </w:t>
      </w:r>
      <w:r>
        <w:rPr>
          <w:spacing w:val="-1"/>
        </w:rPr>
        <w:t>元俊投资于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26</w:t>
      </w:r>
      <w:r>
        <w:rPr>
          <w:spacing w:val="-1"/>
        </w:rPr>
        <w:t>日支付</w:t>
      </w:r>
      <w:r>
        <w:rPr>
          <w:rFonts w:ascii="Times New Roman" w:hAnsi="Times New Roman" w:cs="Times New Roman" w:eastAsia="Times New Roman" w:hint="default"/>
          <w:spacing w:val="-1"/>
        </w:rPr>
        <w:t>23,300</w:t>
      </w:r>
      <w:r>
        <w:rPr>
          <w:spacing w:val="-1"/>
        </w:rPr>
        <w:t>万元，于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26</w:t>
      </w:r>
      <w:r>
        <w:rPr>
          <w:spacing w:val="-1"/>
        </w:rPr>
        <w:t>日支付</w:t>
      </w:r>
      <w:r>
        <w:rPr>
          <w:rFonts w:ascii="Times New Roman" w:hAnsi="Times New Roman" w:cs="Times New Roman" w:eastAsia="Times New Roman" w:hint="default"/>
          <w:spacing w:val="-1"/>
        </w:rPr>
        <w:t>1,500</w:t>
      </w:r>
      <w:r>
        <w:rPr>
          <w:spacing w:val="-1"/>
        </w:rPr>
        <w:t>万元，于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25</w:t>
      </w:r>
      <w:r>
        <w:rPr>
          <w:spacing w:val="-1"/>
        </w:rPr>
        <w:t>日支付</w:t>
      </w:r>
      <w:r>
        <w:rPr>
          <w:rFonts w:ascii="Times New Roman" w:hAnsi="Times New Roman" w:cs="Times New Roman" w:eastAsia="Times New Roman" w:hint="default"/>
          <w:spacing w:val="-1"/>
        </w:rPr>
        <w:t>10,000</w:t>
      </w:r>
      <w:r>
        <w:rPr>
          <w:spacing w:val="-1"/>
        </w:rPr>
        <w:t>万元，截止</w:t>
      </w:r>
    </w:p>
    <w:p>
      <w:pPr>
        <w:pStyle w:val="BodyText"/>
        <w:spacing w:line="300" w:lineRule="auto" w:before="13"/>
        <w:ind w:left="513" w:right="1198" w:hanging="361"/>
        <w:jc w:val="left"/>
      </w:pPr>
      <w:r>
        <w:rPr/>
        <w:t>本报告日，尚有</w:t>
      </w:r>
      <w:r>
        <w:rPr>
          <w:rFonts w:ascii="Times New Roman" w:hAnsi="Times New Roman" w:cs="Times New Roman" w:eastAsia="Times New Roman" w:hint="default"/>
        </w:rPr>
        <w:t>10,700</w:t>
      </w:r>
      <w:r>
        <w:rPr/>
        <w:t>万元尚未支付。 我们认为该事项交易金额重大，且税后收益对本期归属于母公司净利润贡献达到</w:t>
      </w:r>
      <w:r>
        <w:rPr>
          <w:rFonts w:ascii="Times New Roman" w:hAnsi="Times New Roman" w:cs="Times New Roman" w:eastAsia="Times New Roman" w:hint="default"/>
        </w:rPr>
        <w:t>21.22%</w:t>
      </w:r>
      <w:r>
        <w:rPr/>
        <w:t>，而相关款项经双方协商后同</w:t>
      </w:r>
    </w:p>
    <w:p>
      <w:pPr>
        <w:pStyle w:val="BodyText"/>
        <w:spacing w:line="309" w:lineRule="auto" w:before="13"/>
        <w:ind w:left="513" w:right="6433" w:hanging="361"/>
        <w:jc w:val="left"/>
      </w:pPr>
      <w:r>
        <w:rPr/>
        <w:t>意延迟支付，因此将转让出资份额作为关键审计事项。 </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审计应对 我们对上述事项的确认实施的审计程序主要包括：</w:t>
      </w:r>
    </w:p>
    <w:p>
      <w:pPr>
        <w:spacing w:after="0" w:line="309"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633" w:right="1133"/>
        <w:jc w:val="left"/>
      </w:pPr>
      <w:r>
        <w:rPr/>
        <w:t>①  核查并取得上述出资份额转让的董事会决议与股东大会决议；</w:t>
      </w:r>
    </w:p>
    <w:p>
      <w:pPr>
        <w:pStyle w:val="BodyText"/>
        <w:tabs>
          <w:tab w:pos="1065" w:val="left" w:leader="none"/>
        </w:tabs>
        <w:spacing w:line="240" w:lineRule="auto" w:before="76"/>
        <w:ind w:left="633" w:right="1133"/>
        <w:jc w:val="left"/>
      </w:pPr>
      <w:r>
        <w:rPr/>
        <w:t>②</w:t>
        <w:tab/>
        <w:t>核查并取得上述出资份额转让的转让协议和补充协议，并对协议相关信息与股东大会决议进行核对确认；</w:t>
      </w:r>
    </w:p>
    <w:p>
      <w:pPr>
        <w:pStyle w:val="BodyText"/>
        <w:spacing w:line="240" w:lineRule="auto" w:before="76"/>
        <w:ind w:left="633" w:right="1133"/>
        <w:jc w:val="left"/>
      </w:pPr>
      <w:r>
        <w:rPr/>
        <w:t>③  对交易价格进行了了解和关注；</w:t>
      </w:r>
    </w:p>
    <w:p>
      <w:pPr>
        <w:pStyle w:val="BodyText"/>
        <w:spacing w:line="240" w:lineRule="auto" w:before="76"/>
        <w:ind w:left="633" w:right="1133"/>
        <w:jc w:val="left"/>
      </w:pPr>
      <w:r>
        <w:rPr/>
        <w:t>④  核查并取得上述出资份额转让收款的银行回单；</w:t>
      </w:r>
    </w:p>
    <w:p>
      <w:pPr>
        <w:pStyle w:val="BodyText"/>
        <w:tabs>
          <w:tab w:pos="1065" w:val="left" w:leader="none"/>
        </w:tabs>
        <w:spacing w:line="316" w:lineRule="auto" w:before="76"/>
        <w:ind w:left="993" w:right="1149" w:hanging="360"/>
        <w:jc w:val="left"/>
      </w:pPr>
      <w:r>
        <w:rPr/>
        <w:t>⑤</w:t>
        <w:tab/>
        <w:tab/>
        <w:t>了解交易的背景及交易的整体安排，检查交易合同等文件条款，分析交易合理性和必要性，从而综合判断交易</w:t>
      </w:r>
      <w:r>
        <w:rPr>
          <w:spacing w:val="-17"/>
        </w:rPr>
        <w:t> </w:t>
      </w:r>
      <w:r>
        <w:rPr>
          <w:spacing w:val="-17"/>
        </w:rPr>
      </w:r>
      <w:r>
        <w:rPr/>
        <w:t>是否具有商业实质；</w:t>
      </w:r>
    </w:p>
    <w:p>
      <w:pPr>
        <w:pStyle w:val="BodyText"/>
        <w:tabs>
          <w:tab w:pos="1065" w:val="left" w:leader="none"/>
        </w:tabs>
        <w:spacing w:line="240" w:lineRule="auto" w:before="19"/>
        <w:ind w:left="633" w:right="1133"/>
        <w:jc w:val="left"/>
      </w:pPr>
      <w:r>
        <w:rPr/>
        <w:t>⑥</w:t>
        <w:tab/>
        <w:t>核查并取得上述出资份额转让的工商变更登记信息；</w:t>
      </w:r>
    </w:p>
    <w:p>
      <w:pPr>
        <w:pStyle w:val="BodyText"/>
        <w:spacing w:line="240" w:lineRule="auto" w:before="76"/>
        <w:ind w:left="633" w:right="1133"/>
        <w:jc w:val="left"/>
      </w:pPr>
      <w:r>
        <w:rPr/>
        <w:t>⑦  对交易对手进行了走访和函证，进一步确认交易的真实性。</w:t>
      </w:r>
    </w:p>
    <w:p>
      <w:pPr>
        <w:pStyle w:val="BodyText"/>
        <w:spacing w:line="240" w:lineRule="auto" w:before="76"/>
        <w:ind w:left="633" w:right="1133"/>
        <w:jc w:val="left"/>
      </w:pPr>
      <w:r>
        <w:rPr/>
        <w:t>⑧  在期后持续关注相关款项回款情况。</w:t>
      </w:r>
    </w:p>
    <w:p>
      <w:pPr>
        <w:pStyle w:val="BodyText"/>
        <w:spacing w:line="300" w:lineRule="auto" w:before="76"/>
        <w:ind w:left="513" w:right="8863"/>
        <w:jc w:val="left"/>
      </w:pPr>
      <w:r>
        <w:rPr>
          <w:rFonts w:ascii="Times New Roman" w:hAnsi="Times New Roman" w:cs="Times New Roman" w:eastAsia="Times New Roman" w:hint="default"/>
        </w:rPr>
        <w:t>2</w:t>
      </w:r>
      <w:r>
        <w:rPr/>
        <w:t>、游戏收入的确认 </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关键审计事项</w:t>
      </w:r>
    </w:p>
    <w:p>
      <w:pPr>
        <w:pStyle w:val="BodyText"/>
        <w:spacing w:line="307" w:lineRule="auto" w:before="13"/>
        <w:ind w:right="1131" w:firstLine="360"/>
        <w:jc w:val="both"/>
      </w:pPr>
      <w:r>
        <w:rPr/>
        <w:t>惠程科技本年收入主要包括游戏收入、电气事业收入和房租收入。如财务报表附注六</w:t>
      </w:r>
      <w:r>
        <w:rPr>
          <w:rFonts w:ascii="Times New Roman" w:hAnsi="Times New Roman" w:cs="Times New Roman" w:eastAsia="Times New Roman" w:hint="default"/>
        </w:rPr>
        <w:t>/36</w:t>
      </w:r>
      <w:r>
        <w:rPr/>
        <w:t>所述，</w:t>
      </w:r>
      <w:r>
        <w:rPr>
          <w:rFonts w:ascii="Times New Roman" w:hAnsi="Times New Roman" w:cs="Times New Roman" w:eastAsia="Times New Roman" w:hint="default"/>
        </w:rPr>
        <w:t>2018</w:t>
      </w:r>
      <w:r>
        <w:rPr/>
        <w:t>年度惠程科技营业 收入人民币</w:t>
      </w:r>
      <w:r>
        <w:rPr>
          <w:rFonts w:ascii="Times New Roman" w:hAnsi="Times New Roman" w:cs="Times New Roman" w:eastAsia="Times New Roman" w:hint="default"/>
        </w:rPr>
        <w:t>1,898,158,382.53</w:t>
      </w:r>
      <w:r>
        <w:rPr/>
        <w:t>元，其中游戏收入人民币</w:t>
      </w:r>
      <w:r>
        <w:rPr>
          <w:rFonts w:ascii="Times New Roman" w:hAnsi="Times New Roman" w:cs="Times New Roman" w:eastAsia="Times New Roman" w:hint="default"/>
        </w:rPr>
        <w:t>1,572,809,999.93</w:t>
      </w:r>
      <w:r>
        <w:rPr/>
        <w:t>元，占营业收入的比例为</w:t>
      </w:r>
      <w:r>
        <w:rPr>
          <w:rFonts w:ascii="Times New Roman" w:hAnsi="Times New Roman" w:cs="Times New Roman" w:eastAsia="Times New Roman" w:hint="default"/>
        </w:rPr>
        <w:t>82.86%</w:t>
      </w:r>
      <w:r>
        <w:rPr/>
        <w:t>。由于游戏收入占比 </w:t>
      </w:r>
      <w:r>
        <w:rPr>
          <w:spacing w:val="-2"/>
        </w:rPr>
        <w:t>较高，且游戏收入主要来自于成都哆可梦网络科技有限公司（以下简称“哆可梦”），且哆可梦目前仍处于业绩承诺期。因</w:t>
      </w:r>
      <w:r>
        <w:rPr>
          <w:spacing w:val="-68"/>
        </w:rPr>
        <w:t> </w:t>
      </w:r>
      <w:r>
        <w:rPr>
          <w:spacing w:val="-68"/>
        </w:rPr>
      </w:r>
      <w:r>
        <w:rPr/>
        <w:t>此，我们将游戏收入的确认作为关键审计事项。</w:t>
      </w:r>
    </w:p>
    <w:p>
      <w:pPr>
        <w:pStyle w:val="BodyText"/>
        <w:spacing w:line="300" w:lineRule="auto" w:before="26"/>
        <w:ind w:left="513" w:right="6433" w:firstLine="7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审计应对</w:t>
      </w:r>
      <w:r>
        <w:rPr>
          <w:w w:val="99"/>
        </w:rPr>
        <w:t> </w:t>
      </w:r>
      <w:r>
        <w:rPr/>
        <w:t>我们对上述事项的确认实施的审计程序主要包括：</w:t>
      </w:r>
    </w:p>
    <w:p>
      <w:pPr>
        <w:pStyle w:val="BodyText"/>
        <w:tabs>
          <w:tab w:pos="1065" w:val="left" w:leader="none"/>
        </w:tabs>
        <w:spacing w:line="240" w:lineRule="auto" w:before="31"/>
        <w:ind w:left="633" w:right="1133"/>
        <w:jc w:val="left"/>
      </w:pPr>
      <w:r>
        <w:rPr/>
        <w:t>①</w:t>
        <w:tab/>
        <w:t>了解和评价管理层与游戏收入确认相关的关键内部控制的设计和运行有效性；</w:t>
      </w:r>
    </w:p>
    <w:p>
      <w:pPr>
        <w:pStyle w:val="BodyText"/>
        <w:tabs>
          <w:tab w:pos="1065" w:val="left" w:leader="none"/>
        </w:tabs>
        <w:spacing w:line="316" w:lineRule="auto" w:before="76"/>
        <w:ind w:left="993" w:right="1132" w:hanging="360"/>
        <w:jc w:val="left"/>
      </w:pPr>
      <w:r>
        <w:rPr/>
        <w:t>②</w:t>
        <w:tab/>
        <w:tab/>
      </w:r>
      <w:r>
        <w:rPr>
          <w:spacing w:val="-2"/>
        </w:rPr>
        <w:t>结合游戏的行业特征，区分自主运营、联合运营、授权运营、代理运营和著作权转让分别执行分析性复核程序，</w:t>
      </w:r>
      <w:r>
        <w:rPr>
          <w:spacing w:val="-86"/>
        </w:rPr>
        <w:t> </w:t>
      </w:r>
      <w:r>
        <w:rPr>
          <w:spacing w:val="-86"/>
        </w:rPr>
      </w:r>
      <w:r>
        <w:rPr/>
        <w:t>判断收入和毛利率变动的合理性；</w:t>
      </w:r>
    </w:p>
    <w:p>
      <w:pPr>
        <w:pStyle w:val="BodyText"/>
        <w:spacing w:line="319" w:lineRule="auto" w:before="19"/>
        <w:ind w:left="993" w:right="1116" w:hanging="360"/>
        <w:jc w:val="left"/>
      </w:pPr>
      <w:r>
        <w:rPr/>
        <w:t>③</w:t>
      </w:r>
      <w:r>
        <w:rPr>
          <w:spacing w:val="67"/>
        </w:rPr>
        <w:t> </w:t>
      </w:r>
      <w:r>
        <w:rPr/>
        <w:t>选取样本，对收入执行细节测试，包括：检查合同、游戏充值消耗流水、销售发票、银行回单以及经双方确认的</w:t>
      </w:r>
      <w:r>
        <w:rPr/>
        <w:t> 对账单与相关流水的匹配，游戏产品转让的验收合格单等，检查收入确认是否与披露的会计政策一致；</w:t>
      </w:r>
    </w:p>
    <w:p>
      <w:pPr>
        <w:pStyle w:val="BodyText"/>
        <w:spacing w:line="316" w:lineRule="auto" w:before="17"/>
        <w:ind w:left="993" w:right="1118" w:hanging="360"/>
        <w:jc w:val="left"/>
      </w:pPr>
      <w:r>
        <w:rPr/>
        <w:t>④</w:t>
      </w:r>
      <w:r>
        <w:rPr>
          <w:spacing w:val="65"/>
        </w:rPr>
        <w:t> </w:t>
      </w:r>
      <w:r>
        <w:rPr/>
        <w:t>对收入执行截止性测试，复核公司对已充值未消耗的金币确认递延收益的准确性，以评估收入是否确认在恰当的</w:t>
      </w:r>
      <w:r>
        <w:rPr/>
        <w:t> 会计期间；</w:t>
      </w:r>
    </w:p>
    <w:p>
      <w:pPr>
        <w:pStyle w:val="BodyText"/>
        <w:spacing w:line="240" w:lineRule="auto" w:before="19"/>
        <w:ind w:left="633" w:right="1133"/>
        <w:jc w:val="left"/>
      </w:pPr>
      <w:r>
        <w:rPr/>
        <w:t>⑤  根据不同业务模式客户交易的特点和性质，选取样本执行函证程序以确认应收账款余额和销售收入金额。</w:t>
      </w:r>
    </w:p>
    <w:p>
      <w:pPr>
        <w:pStyle w:val="BodyText"/>
        <w:spacing w:line="300" w:lineRule="auto" w:before="76"/>
        <w:ind w:left="993" w:right="1118" w:hanging="360"/>
        <w:jc w:val="left"/>
      </w:pPr>
      <w:r>
        <w:rPr/>
        <w:t>⑥</w:t>
      </w:r>
      <w:r>
        <w:rPr>
          <w:spacing w:val="75"/>
        </w:rPr>
        <w:t> </w:t>
      </w:r>
      <w:r>
        <w:rPr/>
        <w:t>聘请</w:t>
      </w:r>
      <w:r>
        <w:rPr>
          <w:rFonts w:ascii="Times New Roman" w:hAnsi="Times New Roman" w:cs="Times New Roman" w:eastAsia="Times New Roman" w:hint="default"/>
        </w:rPr>
        <w:t>IT</w:t>
      </w:r>
      <w:r>
        <w:rPr/>
        <w:t>审计专家进行计算机辅助审计，评估</w:t>
      </w:r>
      <w:r>
        <w:rPr>
          <w:rFonts w:ascii="宋体" w:hAnsi="宋体" w:cs="宋体" w:eastAsia="宋体" w:hint="default"/>
        </w:rPr>
        <w:t>IT</w:t>
      </w:r>
      <w:r>
        <w:rPr/>
        <w:t>信息系统的可靠性，取得异常用户清单，并对异常用户进行电话访 谈，留下访谈录音等资料；</w:t>
      </w:r>
    </w:p>
    <w:p>
      <w:pPr>
        <w:pStyle w:val="BodyText"/>
        <w:spacing w:line="300" w:lineRule="auto" w:before="31"/>
        <w:ind w:left="993" w:right="1116" w:hanging="360"/>
        <w:jc w:val="left"/>
      </w:pPr>
      <w:r>
        <w:rPr/>
        <w:t>⑦</w:t>
      </w:r>
      <w:r>
        <w:rPr>
          <w:spacing w:val="77"/>
        </w:rPr>
        <w:t> </w:t>
      </w:r>
      <w:r>
        <w:rPr/>
        <w:t>结合</w:t>
      </w:r>
      <w:r>
        <w:rPr>
          <w:rFonts w:ascii="Times New Roman" w:hAnsi="Times New Roman" w:cs="Times New Roman" w:eastAsia="Times New Roman" w:hint="default"/>
        </w:rPr>
        <w:t>IT</w:t>
      </w:r>
      <w:r>
        <w:rPr/>
        <w:t>审计的《信息系统审计报告》，对公司系统后台的游戏流水、推广费消耗数据和返点比例的准确性进行确 认。</w:t>
      </w:r>
    </w:p>
    <w:p>
      <w:pPr>
        <w:spacing w:line="240" w:lineRule="auto" w:before="3"/>
        <w:rPr>
          <w:rFonts w:ascii="宋体" w:hAnsi="宋体" w:cs="宋体" w:eastAsia="宋体" w:hint="default"/>
          <w:sz w:val="26"/>
          <w:szCs w:val="26"/>
        </w:rPr>
      </w:pPr>
    </w:p>
    <w:p>
      <w:pPr>
        <w:pStyle w:val="BodyText"/>
        <w:spacing w:line="316" w:lineRule="auto"/>
        <w:ind w:left="513" w:right="1133"/>
        <w:jc w:val="left"/>
      </w:pPr>
      <w:r>
        <w:rPr>
          <w:rFonts w:ascii="宋体" w:hAnsi="宋体" w:cs="宋体" w:eastAsia="宋体" w:hint="default"/>
          <w:b/>
          <w:bCs/>
        </w:rPr>
        <w:t>四、其他信息</w:t>
      </w:r>
      <w:r>
        <w:rPr>
          <w:rFonts w:ascii="宋体" w:hAnsi="宋体" w:cs="宋体" w:eastAsia="宋体" w:hint="default"/>
          <w:b/>
          <w:bCs/>
          <w:w w:val="99"/>
        </w:rPr>
        <w:t> </w:t>
      </w:r>
      <w:r>
        <w:rPr>
          <w:spacing w:val="-2"/>
        </w:rPr>
        <w:t>惠程科技管理层对其他信息负责。其他信息包括惠程科技</w:t>
      </w:r>
      <w:r>
        <w:rPr>
          <w:rFonts w:ascii="宋体" w:hAnsi="宋体" w:cs="宋体" w:eastAsia="宋体" w:hint="default"/>
          <w:spacing w:val="-2"/>
        </w:rPr>
        <w:t>2018</w:t>
      </w:r>
      <w:r>
        <w:rPr>
          <w:spacing w:val="-2"/>
        </w:rPr>
        <w:t>年度报告中涵盖的信息，但不包括财务报表和我们的审计</w:t>
      </w:r>
    </w:p>
    <w:p>
      <w:pPr>
        <w:pStyle w:val="BodyText"/>
        <w:spacing w:line="240" w:lineRule="auto" w:before="19"/>
        <w:ind w:right="1133"/>
        <w:jc w:val="left"/>
      </w:pPr>
      <w:r>
        <w:rPr/>
        <w:t>报告。</w:t>
      </w:r>
    </w:p>
    <w:p>
      <w:pPr>
        <w:pStyle w:val="BodyText"/>
        <w:spacing w:line="316" w:lineRule="auto" w:before="76"/>
        <w:ind w:left="513"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513" w:right="1132"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1133"/>
        <w:jc w:val="left"/>
      </w:pPr>
      <w:r>
        <w:rPr/>
        <w:t>报告。</w:t>
      </w:r>
    </w:p>
    <w:p>
      <w:pPr>
        <w:spacing w:line="240" w:lineRule="auto" w:before="0"/>
        <w:rPr>
          <w:rFonts w:ascii="宋体" w:hAnsi="宋体" w:cs="宋体" w:eastAsia="宋体" w:hint="default"/>
          <w:sz w:val="18"/>
          <w:szCs w:val="18"/>
        </w:rPr>
      </w:pPr>
    </w:p>
    <w:p>
      <w:pPr>
        <w:spacing w:line="316" w:lineRule="auto" w:before="153"/>
        <w:ind w:left="513" w:right="1118"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5"/>
          <w:sz w:val="18"/>
          <w:szCs w:val="18"/>
        </w:rPr>
        <w:t>惠程科技管理层负责按照企业会计准则的规定编制财务报表，使其实现公允反映，并设计、执行和维护必要的内部控制，</w:t>
      </w:r>
    </w:p>
    <w:p>
      <w:pPr>
        <w:pStyle w:val="BodyText"/>
        <w:spacing w:line="319" w:lineRule="auto" w:before="19"/>
        <w:ind w:left="513" w:right="0" w:hanging="361"/>
        <w:jc w:val="left"/>
      </w:pPr>
      <w:r>
        <w:rPr/>
        <w:t>以使财务报表不存在由于舞弊或错误导致的重大错报。 </w:t>
      </w:r>
      <w:r>
        <w:rPr>
          <w:spacing w:val="-1"/>
        </w:rPr>
        <w:t>在编制财务报表时，管理层负责评估惠程科技的持续经营能力，披露与持续经营相关的事项</w:t>
      </w:r>
      <w:r>
        <w:rPr>
          <w:rFonts w:ascii="Times New Roman" w:hAnsi="Times New Roman" w:cs="Times New Roman" w:eastAsia="Times New Roman" w:hint="default"/>
          <w:spacing w:val="-1"/>
        </w:rPr>
        <w:t>(</w:t>
      </w:r>
      <w:r>
        <w:rPr>
          <w:spacing w:val="-1"/>
        </w:rPr>
        <w:t>如适用</w:t>
      </w:r>
      <w:r>
        <w:rPr>
          <w:rFonts w:ascii="Times New Roman" w:hAnsi="Times New Roman" w:cs="Times New Roman" w:eastAsia="Times New Roman" w:hint="default"/>
          <w:spacing w:val="-1"/>
        </w:rPr>
        <w:t>)</w:t>
      </w:r>
      <w:r>
        <w:rPr>
          <w:spacing w:val="-1"/>
        </w:rPr>
        <w:t>并运用持续经营假</w:t>
      </w:r>
    </w:p>
    <w:p>
      <w:pPr>
        <w:pStyle w:val="BodyText"/>
        <w:spacing w:line="233" w:lineRule="exact"/>
        <w:ind w:right="1133"/>
        <w:jc w:val="left"/>
      </w:pPr>
      <w:r>
        <w:rPr/>
        <w:t>设，除非管理层计划清算惠程科技、终止运营或别无其他现实的选择。</w:t>
      </w:r>
    </w:p>
    <w:p>
      <w:pPr>
        <w:spacing w:after="0" w:line="233" w:lineRule="exact"/>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513" w:right="1133"/>
        <w:jc w:val="left"/>
      </w:pPr>
      <w:r>
        <w:rPr/>
        <w:t>治理层负责监督惠程科技的财务报告过程。</w:t>
      </w:r>
    </w:p>
    <w:p>
      <w:pPr>
        <w:spacing w:line="240" w:lineRule="auto" w:before="0"/>
        <w:rPr>
          <w:rFonts w:ascii="宋体" w:hAnsi="宋体" w:cs="宋体" w:eastAsia="宋体" w:hint="default"/>
          <w:sz w:val="18"/>
          <w:szCs w:val="18"/>
        </w:rPr>
      </w:pPr>
    </w:p>
    <w:p>
      <w:pPr>
        <w:spacing w:line="316" w:lineRule="auto" w:before="153"/>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316" w:lineRule="auto" w:before="19"/>
        <w:ind w:right="1130"/>
        <w:jc w:val="both"/>
      </w:pPr>
      <w:r>
        <w:rPr>
          <w:spacing w:val="-2"/>
        </w:rPr>
        <w:t>告。合理保证是高水平的保证，但并不能保证按照审计准则执行的审计程序在某一重大错报存在时总能发现。错报可能由于</w:t>
      </w:r>
      <w:r>
        <w:rPr>
          <w:spacing w:val="-62"/>
        </w:rPr>
        <w:t> </w:t>
      </w:r>
      <w:r>
        <w:rPr>
          <w:spacing w:val="-62"/>
        </w:rPr>
      </w:r>
      <w:r>
        <w:rPr>
          <w:spacing w:val="-2"/>
        </w:rPr>
        <w:t>舞弊或错误导致，如果合理预期错报单独或汇总起来可能影响财务报表使用者依据财务报表作出的经济决策，则通常认为错</w:t>
      </w:r>
      <w:r>
        <w:rPr>
          <w:spacing w:val="-64"/>
        </w:rPr>
        <w:t> </w:t>
      </w:r>
      <w:r>
        <w:rPr>
          <w:spacing w:val="-64"/>
        </w:rPr>
      </w:r>
      <w:r>
        <w:rPr/>
        <w:t>报是重大的。</w:t>
      </w:r>
    </w:p>
    <w:p>
      <w:pPr>
        <w:pStyle w:val="BodyText"/>
        <w:spacing w:line="240" w:lineRule="auto" w:before="19"/>
        <w:ind w:left="513" w:right="1133"/>
        <w:jc w:val="left"/>
      </w:pPr>
      <w:r>
        <w:rPr/>
        <w:t>在按照审计准则执行审计工作的过程中，我们运用职业判断，并保持职业怀疑。同时，我们也执行以下工作：</w:t>
      </w:r>
    </w:p>
    <w:p>
      <w:pPr>
        <w:pStyle w:val="BodyText"/>
        <w:spacing w:line="309" w:lineRule="auto" w:before="76"/>
        <w:ind w:right="1134" w:firstLine="360"/>
        <w:jc w:val="both"/>
      </w:pP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 </w:t>
      </w:r>
      <w:r>
        <w:rPr>
          <w:spacing w:val="-2"/>
        </w:rPr>
        <w:t>当的审计证据，作为发表审计意见的基础。由于舞弊可能涉及串通、伪造、故意遗漏、虚假陈述或凌驾于内部控制之上，未</w:t>
      </w:r>
      <w:r>
        <w:rPr>
          <w:spacing w:val="-69"/>
        </w:rPr>
        <w:t> </w:t>
      </w:r>
      <w:r>
        <w:rPr>
          <w:spacing w:val="-69"/>
        </w:rPr>
      </w:r>
      <w:r>
        <w:rPr/>
        <w:t>能发现由于舞弊导致的重大错报的风险高于未能发现由于错误导致的重大错报的风险。</w:t>
      </w:r>
    </w:p>
    <w:p>
      <w:pPr>
        <w:pStyle w:val="BodyText"/>
        <w:spacing w:line="240" w:lineRule="auto" w:before="25"/>
        <w:ind w:left="513" w:right="1133"/>
        <w:jc w:val="left"/>
      </w:pP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63"/>
        <w:ind w:left="513" w:right="1133"/>
        <w:jc w:val="left"/>
      </w:pP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29" w:firstLine="360"/>
        <w:jc w:val="both"/>
      </w:pPr>
      <w:r>
        <w:rPr>
          <w:rFonts w:ascii="Times New Roman" w:hAnsi="Times New Roman" w:cs="Times New Roman" w:eastAsia="Times New Roman" w:hint="default"/>
        </w:rPr>
        <w:t>4</w:t>
      </w:r>
      <w:r>
        <w:rPr/>
        <w:t>、对管理层使用持续经营假设的恰当性得出结论。同时，根据获取的审计证据，就可能导致对惠程科技持续经营能力 </w:t>
      </w:r>
      <w:r>
        <w:rPr>
          <w:spacing w:val="-2"/>
        </w:rPr>
        <w:t>产生重大疑虑的事项或情况是否存在重大不确定性得出结论。如果我们得出结论认为存在重大不确定性，审计准则要求我们</w:t>
      </w:r>
      <w:r>
        <w:rPr>
          <w:spacing w:val="-64"/>
        </w:rPr>
        <w:t> </w:t>
      </w:r>
      <w:r>
        <w:rPr>
          <w:spacing w:val="-64"/>
        </w:rPr>
      </w:r>
      <w:r>
        <w:rPr>
          <w:spacing w:val="-2"/>
        </w:rPr>
        <w:t>在审计报告中提请报表使用者注意财务报表中的相关披露；如果披露不充分，我们应当发表非无保留意见。我们的结论基于</w:t>
      </w:r>
      <w:r>
        <w:rPr>
          <w:spacing w:val="-62"/>
        </w:rPr>
        <w:t> </w:t>
      </w:r>
      <w:r>
        <w:rPr>
          <w:spacing w:val="-62"/>
        </w:rPr>
      </w:r>
      <w:r>
        <w:rPr/>
        <w:t>截至审计报告日可获得的信息。然而，未来的事项或情况可能导致惠程科技不能持续经营。</w:t>
      </w:r>
    </w:p>
    <w:p>
      <w:pPr>
        <w:pStyle w:val="BodyText"/>
        <w:spacing w:line="240" w:lineRule="auto" w:before="22"/>
        <w:ind w:left="513" w:right="1133"/>
        <w:jc w:val="left"/>
      </w:pPr>
      <w:r>
        <w:rPr>
          <w:rFonts w:ascii="Times New Roman" w:hAnsi="Times New Roman" w:cs="Times New Roman" w:eastAsia="Times New Roman" w:hint="default"/>
        </w:rPr>
        <w:t>5</w:t>
      </w:r>
      <w:r>
        <w:rPr/>
        <w:t>、评价财务报表的总体列报、结构和内容</w:t>
      </w:r>
      <w:r>
        <w:rPr>
          <w:rFonts w:ascii="Times New Roman" w:hAnsi="Times New Roman" w:cs="Times New Roman" w:eastAsia="Times New Roman" w:hint="default"/>
        </w:rPr>
        <w:t>(</w:t>
      </w:r>
      <w:r>
        <w:rPr/>
        <w:t>包括披露</w:t>
      </w:r>
      <w:r>
        <w:rPr>
          <w:rFonts w:ascii="Times New Roman" w:hAnsi="Times New Roman" w:cs="Times New Roman" w:eastAsia="Times New Roman" w:hint="default"/>
        </w:rPr>
        <w:t>)</w:t>
      </w:r>
      <w:r>
        <w:rPr/>
        <w:t>，并评价财务报表是否公允反映相关交易和事项。</w:t>
      </w:r>
    </w:p>
    <w:p>
      <w:pPr>
        <w:pStyle w:val="BodyText"/>
        <w:spacing w:line="300" w:lineRule="auto" w:before="63"/>
        <w:ind w:right="1139" w:firstLine="360"/>
        <w:jc w:val="both"/>
      </w:pPr>
      <w:r>
        <w:rPr>
          <w:rFonts w:ascii="Times New Roman" w:hAnsi="Times New Roman" w:cs="Times New Roman" w:eastAsia="Times New Roman" w:hint="default"/>
        </w:rPr>
        <w:t>6</w:t>
      </w:r>
      <w:r>
        <w:rPr/>
        <w:t>、就惠程科技中实体或业务活动的财务信息获取充分、适当的审计证据，以对合并财务报表发表审计意见。我们负责 指导、监督和执行集团审计，并对审计意见承担全部责任。</w:t>
      </w:r>
    </w:p>
    <w:p>
      <w:pPr>
        <w:pStyle w:val="BodyText"/>
        <w:spacing w:line="319" w:lineRule="auto" w:before="31"/>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7"/>
        <w:ind w:right="113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t>。</w:t>
      </w:r>
    </w:p>
    <w:p>
      <w:pPr>
        <w:pStyle w:val="BodyText"/>
        <w:spacing w:line="316" w:lineRule="auto"/>
        <w:ind w:right="113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4"/>
        <w:rPr>
          <w:rFonts w:ascii="宋体" w:hAnsi="宋体" w:cs="宋体" w:eastAsia="宋体" w:hint="default"/>
          <w:sz w:val="25"/>
          <w:szCs w:val="25"/>
        </w:rPr>
      </w:pPr>
    </w:p>
    <w:p>
      <w:pPr>
        <w:pStyle w:val="BodyText"/>
        <w:spacing w:line="240" w:lineRule="auto"/>
        <w:ind w:left="513" w:right="1133"/>
        <w:jc w:val="left"/>
      </w:pPr>
      <w:r>
        <w:rPr/>
        <w:t>上会会计师事务所（特殊普通合伙）</w:t>
      </w:r>
      <w:r>
        <w:rPr>
          <w:spacing w:val="30"/>
        </w:rPr>
        <w:t> </w:t>
      </w:r>
      <w:r>
        <w:rPr/>
        <w:t>中国注册会计师</w:t>
      </w:r>
    </w:p>
    <w:p>
      <w:pPr>
        <w:pStyle w:val="BodyText"/>
        <w:spacing w:line="316" w:lineRule="auto" w:before="76"/>
        <w:ind w:left="3636" w:right="6010" w:hanging="89"/>
        <w:jc w:val="left"/>
      </w:pPr>
      <w:r>
        <w:rPr/>
        <w:t>（项目合伙人） 中国注册会计师</w:t>
      </w:r>
    </w:p>
    <w:p>
      <w:pPr>
        <w:pStyle w:val="BodyText"/>
        <w:tabs>
          <w:tab w:pos="1833" w:val="left" w:leader="none"/>
        </w:tabs>
        <w:spacing w:line="240" w:lineRule="auto" w:before="19"/>
        <w:ind w:left="573" w:right="1133"/>
        <w:jc w:val="left"/>
      </w:pPr>
      <w:r>
        <w:rPr/>
        <w:t>中国</w:t>
      </w:r>
      <w:r>
        <w:rPr>
          <w:spacing w:val="53"/>
        </w:rPr>
        <w:t> </w:t>
      </w:r>
      <w:r>
        <w:rPr/>
        <w:t>上海</w:t>
        <w:tab/>
        <w:t>二〇一九年四月十九日</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2"/>
        <w:spacing w:line="240" w:lineRule="auto" w:before="26"/>
        <w:ind w:right="113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100" w:bottom="1160" w:left="980" w:right="0"/>
        </w:sectPr>
      </w:pPr>
    </w:p>
    <w:p>
      <w:pPr>
        <w:pStyle w:val="BodyText"/>
        <w:spacing w:line="240" w:lineRule="auto" w:before="44"/>
        <w:ind w:right="-20"/>
        <w:jc w:val="left"/>
      </w:pPr>
      <w:r>
        <w:rPr/>
        <w:t>编制单位：深圳市惠程信息科技股份有限公司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753" w:space="32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749,630,841.74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346,559,958.83</w:t>
            </w: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47,111,134.92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52,697,854.32</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404,200,072.52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176,850,436.86</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23,953,061.52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622,056.20</w:t>
            </w: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380,247,011.00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176,228,380.66</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131,852,766.57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75,875,899.06</w:t>
            </w: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274,033,329.43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40,244,841.26</w:t>
            </w: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592,372.09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370,327.85</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161,138.00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64,987,559.66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62,128,773.68</w:t>
            </w: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115,269,254.91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184,600,062.44</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1,787,084,959.75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938,957,826.45</w:t>
            </w: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73,370,462.26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67,518,000.00</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4,329,570.08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167,806,260.17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578,483,866.20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277,298,900.00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266,262,100.00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94,457,715.15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100,527,900.22</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7,085,519.87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1,315,533.32</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12,195,012.77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10,126,503.10</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4,393,658.90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1,220,600,461.98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1,220,600,461.98</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10,877,616.20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15,240,911.61</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21,755,502.84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26,077,497.42</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20,204,857.88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9,018,592.31</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1,914,375,538.10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2,295,171,366.16</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3,701,460,497.85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3,234,129,192.61</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113,871,471.84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66,481,627.61</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424,493,722.08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197,314,542.96</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1,566,855.00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2,250,466.47</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15,667,160.62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15,535,510.46</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57,545,263.30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20,548,789.11</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159,723,864.50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440,438,123.63</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20,007,928.85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94,929.22</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387,154,615.89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547,788,574.59</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1,160,022,953.23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1,290,357,634.83</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289,100,000.00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174,864,050.46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520,461,455.17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4,051,698.41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10,980,380.49</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15,007,550.32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14,255,705.33</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483,023,299.19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545,697,540.99</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1,643,046,252.42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1,836,055,175.82</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814,139,568.00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820,589,768.00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451,760,863.64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483,092,822.69</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96,610,892.40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407,519,462.80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41,658,286.69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56,911,858.59</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90,791,924.05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77,652,101.58</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642,160,050.94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318,910,068.88</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1,943,899,800.92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1,349,637,156.94</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114,514,444.51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48,436,859.85</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2,058,414,245.43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1,398,074,016.79</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3,701,460,497.85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3,234,129,192.61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4"/>
          <w:szCs w:val="24"/>
        </w:rPr>
      </w:pPr>
    </w:p>
    <w:p>
      <w:pPr>
        <w:pStyle w:val="BodyText"/>
        <w:tabs>
          <w:tab w:pos="3605" w:val="left" w:leader="none"/>
          <w:tab w:pos="7749" w:val="left" w:leader="none"/>
        </w:tabs>
        <w:spacing w:line="240" w:lineRule="auto" w:before="44"/>
        <w:ind w:left="0" w:right="1222"/>
        <w:jc w:val="right"/>
      </w:pPr>
      <w:r>
        <w:rPr/>
        <w:t>法定代表人：徐海啸</w:t>
        <w:tab/>
      </w:r>
      <w:r>
        <w:rPr>
          <w:spacing w:val="-1"/>
        </w:rPr>
        <w:t>主管会计工作负责人：刘扬</w:t>
        <w:tab/>
      </w:r>
      <w:r>
        <w:rPr/>
        <w:t>会计机构负责人：王烨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94"/>
        <w:gridCol w:w="2427"/>
        <w:gridCol w:w="2338"/>
      </w:tblGrid>
      <w:tr>
        <w:trPr>
          <w:trHeight w:val="403"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483,214,456.32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174,388,961.44</w:t>
            </w:r>
          </w:p>
        </w:tc>
      </w:tr>
      <w:tr>
        <w:trPr>
          <w:trHeight w:val="401"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152,013,509.80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131,436,224.81</w:t>
            </w:r>
          </w:p>
        </w:tc>
      </w:tr>
      <w:tr>
        <w:trPr>
          <w:trHeight w:val="403"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23,953,061.52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622,056.20</w:t>
            </w:r>
          </w:p>
        </w:tc>
      </w:tr>
      <w:tr>
        <w:trPr>
          <w:trHeight w:val="401"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128,060,448.28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130,814,168.61</w:t>
            </w:r>
          </w:p>
        </w:tc>
      </w:tr>
      <w:tr>
        <w:trPr>
          <w:trHeight w:val="403"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2,972,430.73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3,135,624.06</w:t>
            </w:r>
          </w:p>
        </w:tc>
      </w:tr>
      <w:tr>
        <w:trPr>
          <w:trHeight w:val="401"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576,825,964.51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238,863,705.83</w:t>
            </w:r>
          </w:p>
        </w:tc>
      </w:tr>
      <w:tr>
        <w:trPr>
          <w:trHeight w:val="403"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592,372.09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120,994.52</w:t>
            </w:r>
          </w:p>
        </w:tc>
      </w:tr>
      <w:tr>
        <w:trPr>
          <w:trHeight w:val="401"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64,987,559.66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62,128,773.68</w:t>
            </w:r>
          </w:p>
        </w:tc>
      </w:tr>
      <w:tr>
        <w:trPr>
          <w:trHeight w:val="401"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101,647,006.99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178,261,040.63</w:t>
            </w:r>
          </w:p>
        </w:tc>
      </w:tr>
      <w:tr>
        <w:trPr>
          <w:trHeight w:val="403"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1,381,660,928.01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788,214,330.45</w:t>
            </w:r>
          </w:p>
        </w:tc>
      </w:tr>
      <w:tr>
        <w:trPr>
          <w:trHeight w:val="401"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2,891,000.00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4,329,570.08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1,635,575,758.49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2,199,154,341.20</w:t>
            </w:r>
          </w:p>
        </w:tc>
      </w:tr>
      <w:tr>
        <w:trPr>
          <w:trHeight w:val="403"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56,030,800.00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42,808,800.00</w:t>
            </w:r>
          </w:p>
        </w:tc>
      </w:tr>
      <w:tr>
        <w:trPr>
          <w:trHeight w:val="401"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84,445,529.39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92,068,610.99</w:t>
            </w:r>
          </w:p>
        </w:tc>
      </w:tr>
      <w:tr>
        <w:trPr>
          <w:trHeight w:val="403"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568,764.66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11,085,388.47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8,184,877.11</w:t>
            </w:r>
          </w:p>
        </w:tc>
      </w:tr>
      <w:tr>
        <w:trPr>
          <w:trHeight w:val="403"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4,393,658.90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2,095,769.20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158,825.31</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12,977,589.24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24,117,801.12</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6,214,291.85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9,018,592.31</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1,820,608,120.28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2,375,511,848.04</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3,202,269,048.29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3,163,726,178.49</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113,871,471.84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66,481,627.61</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108,676,969.18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125,795,957.97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1,515,766.51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2,250,466.47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7,349,781.19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7,385,636.11</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8,726,315.33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8,131,487.63</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234,226,919.65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610,015,849.91</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20,581,887.18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94,929.22</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387,154,615.89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547,788,574.59</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1,061,521,839.59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1,367,849,600.29</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289,100,000.00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174,864,050.46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520,461,455.17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1,527,449.47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1,746,483.67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6,862,986.29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5,564,841.30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472,354,486.22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527,772,780.14</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1,533,876,325.81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1,895,622,380.43</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819"/>
        <w:gridCol w:w="2412"/>
        <w:gridCol w:w="2338"/>
      </w:tblGrid>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814,139,568.00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820,589,768.00</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451,875,806.61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483,207,765.66</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96,610,892.40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407,519,462.80</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15,693,285.34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19,928,996.93</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90,791,924.05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77,652,101.58</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392,503,030.88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274,244,628.69</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1,668,392,722.48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1,268,103,798.06</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3,202,269,048.29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3,163,726,178.49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40"/>
        <w:gridCol w:w="2280"/>
        <w:gridCol w:w="2338"/>
      </w:tblGrid>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1,898,158,382.53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373,172,726.25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1,898,158,382.53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373,172,726.25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1,621,045,983.80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450,292,489.08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543,648,748.84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235,681,884.16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8,198,514.59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5,155,815.95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894,903,570.23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81,308,181.79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87,886,909.20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111,092,724.38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53,861,967.62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14,706,548.62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963"/>
        <w:gridCol w:w="2268"/>
        <w:gridCol w:w="2338"/>
      </w:tblGrid>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15,739,434.72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1,409,550.45</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24,226,413.67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5,096,051.98</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8,047,674.05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4,091,984.94</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16,806,838.60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937,783.73</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2,114,659.71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192,246,298.77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-44,647,617.63</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109,207,520.91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-57,936,057.63</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-15,564,858.48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-100,772.17</w:t>
            </w:r>
          </w:p>
        </w:tc>
      </w:tr>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1,052,454.07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2,560,428.35</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456,960,952.80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-119,307,724.28</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1,867,494.58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1,351,681.23</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473,906.76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102,008.68</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458,354,540.62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-118,058,051.73</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55,887,151.43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-11,690,744.52</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402,467,389.19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-106,367,307.21</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402,467,389.19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-106,367,307.21</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336,389,804.53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-107,607,635.77</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66,077,584.66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1,240,328.56</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-15,253,571.90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28,625,927.72</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-15,253,571.90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28,625,927.72</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-15,253,571.90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28,625,927.72</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-10,799,355.00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-10,968,537.74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27,477,700.71</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-49,322.57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67,050.76</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6,563,643.41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1,081,176.25</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387,213,817.29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-77,741,379.49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940"/>
        <w:gridCol w:w="2280"/>
        <w:gridCol w:w="2338"/>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321,136,232.63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-78,981,708.05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66,077,584.66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1,240,328.56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-0.14</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-0.14</w:t>
            </w:r>
          </w:p>
        </w:tc>
      </w:tr>
    </w:tbl>
    <w:p>
      <w:pPr>
        <w:pStyle w:val="BodyText"/>
        <w:tabs>
          <w:tab w:pos="3758" w:val="left" w:leader="none"/>
          <w:tab w:pos="7901" w:val="left" w:leader="none"/>
        </w:tabs>
        <w:spacing w:line="595" w:lineRule="auto" w:before="49"/>
        <w:ind w:right="1222"/>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法定代表人：徐海啸</w:t>
        <w:tab/>
      </w:r>
      <w:r>
        <w:rPr>
          <w:spacing w:val="-1"/>
        </w:rPr>
        <w:t>主管会计工作负责人：刘扬</w:t>
        <w:tab/>
      </w:r>
      <w:r>
        <w:rPr/>
        <w:t>会计机构负责人：王烨</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40"/>
        <w:gridCol w:w="2280"/>
        <w:gridCol w:w="2338"/>
      </w:tblGrid>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324,468,382.46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325,082,276.40</w:t>
            </w: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222,108,357.09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228,596,916.42</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3,243,680.58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3,819,396.90</w:t>
            </w: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52,268,319.85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51,067,063.78</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52,786,791.31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88,995,982.67</w:t>
            </w: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7,955,659.62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11,402,209.15</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21,386,331.88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1,406,984.81</w:t>
            </w: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28,610,725.37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5,096,051.98</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7,175,332.56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4,022,727.73</w:t>
            </w: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10,876,132.83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625,269.26</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567,494.76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196,290,775.82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-39,247,559.81</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109,206,544.23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-57,936,057.63</w:t>
            </w: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2,005,700.00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-3,959,873.60</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1,052,454.07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2,560,428.35</w:t>
            </w: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153,759,533.95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-101,478,551.65</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1,741,526.04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1,037,466.86</w:t>
            </w: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456,314.24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102,008.68</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155,044,745.75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-100,543,093.47</w:t>
            </w: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23,646,521.09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-11,326,157.38</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131,398,224.66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-89,216,936.09</w:t>
            </w: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97"/>
              <w:jc w:val="right"/>
              <w:rPr>
                <w:rFonts w:ascii="宋体" w:hAnsi="宋体" w:cs="宋体" w:eastAsia="宋体" w:hint="default"/>
                <w:sz w:val="18"/>
                <w:szCs w:val="18"/>
              </w:rPr>
            </w:pPr>
            <w:r>
              <w:rPr>
                <w:rFonts w:ascii="宋体" w:hAnsi="宋体" w:cs="宋体" w:eastAsia="宋体" w:hint="default"/>
                <w:spacing w:val="-1"/>
                <w:sz w:val="18"/>
                <w:szCs w:val="18"/>
              </w:rPr>
              <w:t>（一）持续经营净利润（净亏损以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131,398,224.66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-89,216,936.09</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97"/>
              <w:jc w:val="right"/>
              <w:rPr>
                <w:rFonts w:ascii="宋体" w:hAnsi="宋体" w:cs="宋体" w:eastAsia="宋体" w:hint="default"/>
                <w:sz w:val="18"/>
                <w:szCs w:val="18"/>
              </w:rPr>
            </w:pPr>
            <w:r>
              <w:rPr>
                <w:rFonts w:ascii="宋体" w:hAnsi="宋体" w:cs="宋体" w:eastAsia="宋体" w:hint="default"/>
                <w:spacing w:val="-1"/>
                <w:sz w:val="18"/>
                <w:szCs w:val="18"/>
              </w:rPr>
              <w:t>（二）终止经营净利润（净亏损以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940"/>
        <w:gridCol w:w="2280"/>
        <w:gridCol w:w="2338"/>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-4,235,711.59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1,081,176.25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-4,235,711.59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1,081,176.25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-10,799,355.00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6,563,643.41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1,081,176.25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127,162,513.07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-88,135,759.84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649"/>
        <w:gridCol w:w="2139"/>
        <w:gridCol w:w="1771"/>
      </w:tblGrid>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1,771,039,131.37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408,683,971.42</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2,074,308.87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78,565,867.37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55,638,892.37</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1,851,679,307.61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464,322,863.79</w:t>
            </w:r>
          </w:p>
        </w:tc>
      </w:tr>
    </w:tbl>
    <w:p>
      <w:pPr>
        <w:spacing w:after="0" w:line="240" w:lineRule="auto"/>
        <w:jc w:val="right"/>
        <w:rPr>
          <w:rFonts w:ascii="Times New Roman" w:hAnsi="Times New Roman" w:cs="Times New Roman" w:eastAsia="Times New Roman" w:hint="default"/>
          <w:sz w:val="18"/>
          <w:szCs w:val="18"/>
        </w:rPr>
        <w:sectPr>
          <w:footerReference w:type="default" r:id="rId33"/>
          <w:pgSz w:w="11910" w:h="16840"/>
          <w:pgMar w:footer="979" w:header="8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649"/>
        <w:gridCol w:w="2139"/>
        <w:gridCol w:w="1771"/>
      </w:tblGrid>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515,145,407.43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232,245,802.65</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121,824,941.20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62,526,779.05</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60,304,705.96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23,303,013.32</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845,454,249.39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151,717,815.57</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1,542,729,303.98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469,793,410.59</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308,950,003.63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-5,470,546.80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1,527,828,455.30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3,964,311,988.50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19,724,625.30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72,155,520.93</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2,935,645.31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25,832,000.00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1,550,488,725.91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4,062,299,509.43</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40,267,415.54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5,488,596.19</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1,107,864,761.86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3,572,259,686.44</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231,304,532.10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1,198,132,177.40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3,809,052,814.73</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352,356,548.51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253,246,694.70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10,456,880.74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18,038,096.29</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452,971,471.84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66,481,627.61</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463,428,352.58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84,519,723.90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79,185,850.34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53,650,554.82</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4,381,550.21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5,069,527.72</w:t>
            </w:r>
          </w:p>
        </w:tc>
      </w:tr>
    </w:tbl>
    <w:p>
      <w:pPr>
        <w:spacing w:after="0" w:line="240" w:lineRule="auto"/>
        <w:jc w:val="right"/>
        <w:rPr>
          <w:rFonts w:ascii="Times New Roman" w:hAnsi="Times New Roman" w:cs="Times New Roman" w:eastAsia="Times New Roman" w:hint="default"/>
          <w:sz w:val="18"/>
          <w:szCs w:val="18"/>
        </w:rPr>
        <w:sectPr>
          <w:footerReference w:type="default" r:id="rId34"/>
          <w:pgSz w:w="11910" w:h="16840"/>
          <w:pgMar w:footer="979" w:header="877" w:top="1100" w:bottom="1160" w:left="980" w:right="0"/>
          <w:pgNumType w:start="101"/>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671"/>
        <w:gridCol w:w="2127"/>
        <w:gridCol w:w="1771"/>
      </w:tblGrid>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597,927,330.59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34,972,414.05</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681,494,731.14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93,692,496.59</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-218,066,378.56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-9,172,772.69</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750,668.27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116,626.45</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443,990,841.85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238,720,001.66</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289,312,815.48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50,592,813.82</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733,303,657.33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289,312,815.48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9"/>
        <w:rPr>
          <w:rFonts w:ascii="Times New Roman" w:hAnsi="Times New Roman" w:cs="Times New Roman" w:eastAsia="Times New Roman" w:hint="default"/>
          <w:sz w:val="23"/>
          <w:szCs w:val="23"/>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649"/>
        <w:gridCol w:w="2139"/>
        <w:gridCol w:w="1771"/>
      </w:tblGrid>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323,590,203.53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333,911,326.38</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567,494.76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71,333,874.92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26,777,687.74</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395,491,573.21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360,689,014.12</w:t>
            </w:r>
          </w:p>
        </w:tc>
      </w:tr>
      <w:tr>
        <w:trPr>
          <w:trHeight w:val="404"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227,855,625.14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205,340,496.39</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52,121,501.77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50,078,240.04</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21,645,215.55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21,078,570.92</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266,417,198.47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186,267,661.69</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568,039,540.93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462,764,969.04</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-172,547,967.72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-102,075,954.92</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1,304,450,500.00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3,793,156,047.95</w:t>
            </w:r>
          </w:p>
        </w:tc>
      </w:tr>
      <w:tr>
        <w:trPr>
          <w:trHeight w:val="404"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18,064,049.50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71,537,045.69</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2,935,645.31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25,832,000.00</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1,325,450,194.81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3,890,525,093.64</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17,589,362.97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2,862,428.80</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713,991,000.00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3,388,666,547.95</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319,210,920.24</w:t>
            </w:r>
          </w:p>
        </w:tc>
      </w:tr>
      <w:tr>
        <w:trPr>
          <w:trHeight w:val="404"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781,580,362.97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3,710,739,896.99</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543,869,831.84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179,785,196.65</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10,456,880.74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18,038,096.29</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452,971,471.84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66,481,627.61</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663,428,352.58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84,519,723.90</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79,185,850.34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53,650,554.82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671"/>
        <w:gridCol w:w="2127"/>
        <w:gridCol w:w="1771"/>
      </w:tblGrid>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8,191,903.58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5,069,527.72</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597,927,330.59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34,972,414.05</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685,305,084.51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93,692,496.59</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-21,876,731.93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-9,172,772.69</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300,321.63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-121,122.42</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349,745,453.82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68,415,346.62</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117,141,818.09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48,726,471.47</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466,887,271.91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117,141,818.09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152"/>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152"/>
        <w:jc w:val="left"/>
      </w:pPr>
      <w:r>
        <w:rPr/>
        <w:t>本期金额</w:t>
      </w:r>
    </w:p>
    <w:p>
      <w:pPr>
        <w:pStyle w:val="BodyText"/>
        <w:spacing w:line="240" w:lineRule="auto" w:before="117"/>
        <w:ind w:left="0" w:right="157"/>
        <w:jc w:val="right"/>
      </w:pPr>
      <w:r>
        <w:rPr/>
        <w:t>单位：元</w:t>
      </w:r>
    </w:p>
    <w:p>
      <w:pPr>
        <w:spacing w:line="240" w:lineRule="auto" w:before="3"/>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112"/>
        <w:gridCol w:w="1193"/>
        <w:gridCol w:w="418"/>
        <w:gridCol w:w="418"/>
        <w:gridCol w:w="326"/>
        <w:gridCol w:w="1181"/>
        <w:gridCol w:w="1241"/>
        <w:gridCol w:w="1152"/>
        <w:gridCol w:w="509"/>
        <w:gridCol w:w="1092"/>
        <w:gridCol w:w="692"/>
        <w:gridCol w:w="1181"/>
        <w:gridCol w:w="1174"/>
        <w:gridCol w:w="1318"/>
      </w:tblGrid>
      <w:tr>
        <w:trPr>
          <w:trHeight w:val="402" w:hRule="exact"/>
        </w:trPr>
        <w:tc>
          <w:tcPr>
            <w:tcW w:w="2112" w:type="dxa"/>
            <w:vMerge w:val="restart"/>
            <w:tcBorders>
              <w:top w:val="single" w:sz="4" w:space="0" w:color="000000"/>
              <w:left w:val="single" w:sz="4" w:space="0" w:color="000000"/>
              <w:right w:val="single" w:sz="4" w:space="0" w:color="000000"/>
            </w:tcBorders>
            <w:shd w:val="clear" w:color="auto" w:fill="D2D2D2"/>
          </w:tcPr>
          <w:p>
            <w:pPr/>
          </w:p>
        </w:tc>
        <w:tc>
          <w:tcPr>
            <w:tcW w:w="1189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2112" w:type="dxa"/>
            <w:vMerge/>
            <w:tcBorders>
              <w:left w:val="single" w:sz="4" w:space="0" w:color="000000"/>
              <w:bottom w:val="nil" w:sz="6" w:space="0" w:color="auto"/>
              <w:right w:val="single" w:sz="4" w:space="0" w:color="000000"/>
            </w:tcBorders>
            <w:shd w:val="clear" w:color="auto" w:fill="D2D2D2"/>
          </w:tcPr>
          <w:p>
            <w:pPr/>
          </w:p>
        </w:tc>
        <w:tc>
          <w:tcPr>
            <w:tcW w:w="940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74"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205" w:hRule="exact"/>
        </w:trPr>
        <w:tc>
          <w:tcPr>
            <w:tcW w:w="21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16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152" w:type="dxa"/>
            <w:vMerge w:val="restart"/>
            <w:tcBorders>
              <w:top w:val="single" w:sz="4" w:space="0" w:color="000000"/>
              <w:left w:val="single" w:sz="4" w:space="0" w:color="000000"/>
              <w:right w:val="single" w:sz="4" w:space="0" w:color="000000"/>
            </w:tcBorders>
            <w:shd w:val="clear" w:color="auto" w:fill="D2D2D2"/>
          </w:tcPr>
          <w:p>
            <w:pPr/>
          </w:p>
        </w:tc>
        <w:tc>
          <w:tcPr>
            <w:tcW w:w="5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6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75" w:hRule="exact"/>
        </w:trPr>
        <w:tc>
          <w:tcPr>
            <w:tcW w:w="2112" w:type="dxa"/>
            <w:vMerge/>
            <w:tcBorders>
              <w:left w:val="single" w:sz="4" w:space="0" w:color="000000"/>
              <w:bottom w:val="single" w:sz="4" w:space="0" w:color="FFFFFF"/>
              <w:right w:val="single" w:sz="4" w:space="0" w:color="000000"/>
            </w:tcBorders>
            <w:shd w:val="clear" w:color="auto" w:fill="D2D2D2"/>
          </w:tcPr>
          <w:p>
            <w:pPr/>
          </w:p>
        </w:tc>
        <w:tc>
          <w:tcPr>
            <w:tcW w:w="1193" w:type="dxa"/>
            <w:vMerge/>
            <w:tcBorders>
              <w:left w:val="single" w:sz="4" w:space="0" w:color="000000"/>
              <w:bottom w:val="single" w:sz="4" w:space="0" w:color="FFFFFF"/>
              <w:right w:val="single" w:sz="4" w:space="0" w:color="000000"/>
            </w:tcBorders>
            <w:shd w:val="clear" w:color="auto" w:fill="D2D2D2"/>
          </w:tcPr>
          <w:p>
            <w:pPr/>
          </w:p>
        </w:tc>
        <w:tc>
          <w:tcPr>
            <w:tcW w:w="1162" w:type="dxa"/>
            <w:gridSpan w:val="3"/>
            <w:vMerge/>
            <w:tcBorders>
              <w:left w:val="single" w:sz="4" w:space="0" w:color="000000"/>
              <w:bottom w:val="single" w:sz="4" w:space="0" w:color="FFFFFF"/>
              <w:right w:val="single" w:sz="4" w:space="0" w:color="000000"/>
            </w:tcBorders>
            <w:shd w:val="clear" w:color="auto" w:fill="D2D2D2"/>
          </w:tcPr>
          <w:p>
            <w:pPr/>
          </w:p>
        </w:tc>
        <w:tc>
          <w:tcPr>
            <w:tcW w:w="1181" w:type="dxa"/>
            <w:vMerge/>
            <w:tcBorders>
              <w:left w:val="single" w:sz="4" w:space="0" w:color="000000"/>
              <w:bottom w:val="single" w:sz="4" w:space="0" w:color="FFFFFF"/>
              <w:right w:val="single" w:sz="4" w:space="0" w:color="000000"/>
            </w:tcBorders>
            <w:shd w:val="clear" w:color="auto" w:fill="D2D2D2"/>
          </w:tcPr>
          <w:p>
            <w:pPr/>
          </w:p>
        </w:tc>
        <w:tc>
          <w:tcPr>
            <w:tcW w:w="1241" w:type="dxa"/>
            <w:vMerge/>
            <w:tcBorders>
              <w:left w:val="single" w:sz="4" w:space="0" w:color="000000"/>
              <w:bottom w:val="single" w:sz="4" w:space="0" w:color="FFFFFF"/>
              <w:right w:val="single" w:sz="4" w:space="0" w:color="000000"/>
            </w:tcBorders>
            <w:shd w:val="clear" w:color="auto" w:fill="D2D2D2"/>
          </w:tcPr>
          <w:p>
            <w:pPr/>
          </w:p>
        </w:tc>
        <w:tc>
          <w:tcPr>
            <w:tcW w:w="1152" w:type="dxa"/>
            <w:vMerge/>
            <w:tcBorders>
              <w:left w:val="single" w:sz="4" w:space="0" w:color="000000"/>
              <w:bottom w:val="single" w:sz="4" w:space="0" w:color="FFFFFF"/>
              <w:right w:val="single" w:sz="4" w:space="0" w:color="000000"/>
            </w:tcBorders>
            <w:shd w:val="clear" w:color="auto" w:fill="D2D2D2"/>
          </w:tcPr>
          <w:p>
            <w:pPr/>
          </w:p>
        </w:tc>
        <w:tc>
          <w:tcPr>
            <w:tcW w:w="50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2" w:type="dxa"/>
            <w:vMerge/>
            <w:tcBorders>
              <w:left w:val="single" w:sz="4" w:space="0" w:color="000000"/>
              <w:bottom w:val="nil" w:sz="6" w:space="0" w:color="auto"/>
              <w:right w:val="single" w:sz="4" w:space="0" w:color="000000"/>
            </w:tcBorders>
            <w:shd w:val="clear" w:color="auto" w:fill="D2D2D2"/>
          </w:tcPr>
          <w:p>
            <w:pPr/>
          </w:p>
        </w:tc>
        <w:tc>
          <w:tcPr>
            <w:tcW w:w="69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0"/>
              <w:ind w:left="69" w:right="70"/>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1" w:type="dxa"/>
            <w:vMerge/>
            <w:tcBorders>
              <w:left w:val="single" w:sz="4" w:space="0" w:color="000000"/>
              <w:bottom w:val="nil" w:sz="6" w:space="0" w:color="auto"/>
              <w:right w:val="single" w:sz="4" w:space="0" w:color="000000"/>
            </w:tcBorders>
            <w:shd w:val="clear" w:color="auto" w:fill="D2D2D2"/>
          </w:tcPr>
          <w:p>
            <w:pPr/>
          </w:p>
        </w:tc>
        <w:tc>
          <w:tcPr>
            <w:tcW w:w="11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4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4" w:hRule="exact"/>
        </w:trPr>
        <w:tc>
          <w:tcPr>
            <w:tcW w:w="2112" w:type="dxa"/>
            <w:vMerge w:val="restart"/>
            <w:tcBorders>
              <w:top w:val="single" w:sz="4" w:space="0" w:color="FFFFFF"/>
              <w:left w:val="single" w:sz="4" w:space="0" w:color="000000"/>
              <w:right w:val="single" w:sz="4" w:space="0" w:color="000000"/>
            </w:tcBorders>
            <w:shd w:val="clear" w:color="auto" w:fill="D2D2D2"/>
          </w:tcPr>
          <w:p>
            <w:pPr/>
          </w:p>
        </w:tc>
        <w:tc>
          <w:tcPr>
            <w:tcW w:w="119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1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12" w:right="2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1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12" w:right="24"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32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69" w:right="65"/>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4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3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09"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92"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74"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112"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418" w:type="dxa"/>
            <w:vMerge/>
            <w:tcBorders>
              <w:left w:val="single" w:sz="4" w:space="0" w:color="000000"/>
              <w:right w:val="single" w:sz="4" w:space="0" w:color="000000"/>
            </w:tcBorders>
            <w:shd w:val="clear" w:color="auto" w:fill="D2D2D2"/>
          </w:tcPr>
          <w:p>
            <w:pPr/>
          </w:p>
        </w:tc>
        <w:tc>
          <w:tcPr>
            <w:tcW w:w="418" w:type="dxa"/>
            <w:vMerge/>
            <w:tcBorders>
              <w:left w:val="single" w:sz="4" w:space="0" w:color="000000"/>
              <w:right w:val="single" w:sz="4" w:space="0" w:color="000000"/>
            </w:tcBorders>
            <w:shd w:val="clear" w:color="auto" w:fill="D2D2D2"/>
          </w:tcPr>
          <w:p>
            <w:pPr/>
          </w:p>
        </w:tc>
        <w:tc>
          <w:tcPr>
            <w:tcW w:w="326"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509"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69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74" w:type="dxa"/>
            <w:vMerge w:val="restart"/>
            <w:tcBorders>
              <w:top w:val="nil" w:sz="6" w:space="0" w:color="auto"/>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112"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418" w:type="dxa"/>
            <w:vMerge/>
            <w:tcBorders>
              <w:left w:val="single" w:sz="4" w:space="0" w:color="000000"/>
              <w:right w:val="single" w:sz="4" w:space="0" w:color="000000"/>
            </w:tcBorders>
            <w:shd w:val="clear" w:color="auto" w:fill="D2D2D2"/>
          </w:tcPr>
          <w:p>
            <w:pPr/>
          </w:p>
        </w:tc>
        <w:tc>
          <w:tcPr>
            <w:tcW w:w="418" w:type="dxa"/>
            <w:vMerge/>
            <w:tcBorders>
              <w:left w:val="single" w:sz="4" w:space="0" w:color="000000"/>
              <w:right w:val="single" w:sz="4" w:space="0" w:color="000000"/>
            </w:tcBorders>
            <w:shd w:val="clear" w:color="auto" w:fill="D2D2D2"/>
          </w:tcPr>
          <w:p>
            <w:pPr/>
          </w:p>
        </w:tc>
        <w:tc>
          <w:tcPr>
            <w:tcW w:w="326"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152" w:type="dxa"/>
            <w:vMerge w:val="restart"/>
            <w:tcBorders>
              <w:top w:val="nil" w:sz="6" w:space="0" w:color="auto"/>
              <w:left w:val="single" w:sz="4" w:space="0" w:color="000000"/>
              <w:right w:val="single" w:sz="4" w:space="0" w:color="000000"/>
            </w:tcBorders>
            <w:shd w:val="clear" w:color="auto" w:fill="D2D2D2"/>
          </w:tcPr>
          <w:p>
            <w:pPr/>
          </w:p>
        </w:tc>
        <w:tc>
          <w:tcPr>
            <w:tcW w:w="509" w:type="dxa"/>
            <w:vMerge/>
            <w:tcBorders>
              <w:left w:val="single" w:sz="4" w:space="0" w:color="000000"/>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692"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204" w:hRule="exact"/>
        </w:trPr>
        <w:tc>
          <w:tcPr>
            <w:tcW w:w="2112"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418" w:type="dxa"/>
            <w:vMerge/>
            <w:tcBorders>
              <w:left w:val="single" w:sz="4" w:space="0" w:color="000000"/>
              <w:bottom w:val="single" w:sz="4" w:space="0" w:color="000000"/>
              <w:right w:val="single" w:sz="4" w:space="0" w:color="000000"/>
            </w:tcBorders>
            <w:shd w:val="clear" w:color="auto" w:fill="D2D2D2"/>
          </w:tcPr>
          <w:p>
            <w:pPr/>
          </w:p>
        </w:tc>
        <w:tc>
          <w:tcPr>
            <w:tcW w:w="418" w:type="dxa"/>
            <w:vMerge/>
            <w:tcBorders>
              <w:left w:val="single" w:sz="4" w:space="0" w:color="000000"/>
              <w:bottom w:val="single" w:sz="4" w:space="0" w:color="000000"/>
              <w:right w:val="single" w:sz="4" w:space="0" w:color="000000"/>
            </w:tcBorders>
            <w:shd w:val="clear" w:color="auto" w:fill="D2D2D2"/>
          </w:tcPr>
          <w:p>
            <w:pPr/>
          </w:p>
        </w:tc>
        <w:tc>
          <w:tcPr>
            <w:tcW w:w="326"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5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6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820,589,768.00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483,092,822.69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407,519,462.80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center"/>
              <w:rPr>
                <w:rFonts w:ascii="Times New Roman" w:hAnsi="Times New Roman" w:cs="Times New Roman" w:eastAsia="Times New Roman" w:hint="default"/>
                <w:sz w:val="18"/>
                <w:szCs w:val="18"/>
              </w:rPr>
            </w:pPr>
            <w:r>
              <w:rPr>
                <w:rFonts w:ascii="Times New Roman"/>
                <w:sz w:val="18"/>
              </w:rPr>
              <w:t>56,911,858.59</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77,652,101.58</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318,910,068.88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center"/>
              <w:rPr>
                <w:rFonts w:ascii="Times New Roman" w:hAnsi="Times New Roman" w:cs="Times New Roman" w:eastAsia="Times New Roman" w:hint="default"/>
                <w:sz w:val="18"/>
                <w:szCs w:val="18"/>
              </w:rPr>
            </w:pPr>
            <w:r>
              <w:rPr>
                <w:rFonts w:ascii="Times New Roman"/>
                <w:sz w:val="18"/>
              </w:rPr>
              <w:t>48,436,859.85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1,398,074,016.79</w:t>
            </w:r>
          </w:p>
        </w:tc>
      </w:tr>
      <w:tr>
        <w:trPr>
          <w:trHeight w:val="401"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820,589,768.00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483,092,822.69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407,519,462.80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56,911,858.59</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77,652,101.58</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318,910,068.88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48,436,859.85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1,398,074,016.79</w:t>
            </w:r>
          </w:p>
        </w:tc>
      </w:tr>
      <w:tr>
        <w:trPr>
          <w:trHeight w:val="715"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-6,450,200.00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-31,331,959.05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-310,908,570.40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-15,253,571.90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13,139,822.47</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323,249,982.06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66,077,584.66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660,340,228.64</w:t>
            </w:r>
          </w:p>
        </w:tc>
      </w:tr>
      <w:tr>
        <w:trPr>
          <w:trHeight w:val="401"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-15,253,571.90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336,389,804.53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66,077,584.66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387,213,817.29</w:t>
            </w:r>
          </w:p>
        </w:tc>
      </w:tr>
      <w:tr>
        <w:trPr>
          <w:trHeight w:val="715"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-6,450,200.00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-23,052,403.05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-310,908,570.40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281,405,967.35</w:t>
            </w:r>
          </w:p>
        </w:tc>
      </w:tr>
      <w:tr>
        <w:trPr>
          <w:trHeight w:val="401"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1"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 入资本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1,129,800.00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14,372,825.77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15,502,625.77</w:t>
            </w:r>
          </w:p>
        </w:tc>
      </w:tr>
      <w:tr>
        <w:trPr>
          <w:trHeight w:val="715"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 益的金额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-7,580,000.00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-37,425,228.82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-310,908,570.40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265,903,341.58</w:t>
            </w:r>
          </w:p>
        </w:tc>
      </w:tr>
    </w:tbl>
    <w:p>
      <w:pPr>
        <w:spacing w:after="0" w:line="240" w:lineRule="auto"/>
        <w:jc w:val="right"/>
        <w:rPr>
          <w:rFonts w:ascii="Times New Roman" w:hAnsi="Times New Roman" w:cs="Times New Roman" w:eastAsia="Times New Roman" w:hint="default"/>
          <w:sz w:val="18"/>
          <w:szCs w:val="18"/>
        </w:rPr>
        <w:sectPr>
          <w:headerReference w:type="default" r:id="rId35"/>
          <w:footerReference w:type="default" r:id="rId36"/>
          <w:pgSz w:w="16840" w:h="11910" w:orient="landscape"/>
          <w:pgMar w:header="867" w:footer="980" w:top="1060" w:bottom="1160" w:left="1300" w:right="1280"/>
          <w:pgNumType w:start="105"/>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35"/>
        <w:gridCol w:w="1182"/>
        <w:gridCol w:w="418"/>
        <w:gridCol w:w="418"/>
        <w:gridCol w:w="326"/>
        <w:gridCol w:w="1181"/>
        <w:gridCol w:w="1241"/>
        <w:gridCol w:w="1152"/>
        <w:gridCol w:w="509"/>
        <w:gridCol w:w="1092"/>
        <w:gridCol w:w="692"/>
        <w:gridCol w:w="1181"/>
        <w:gridCol w:w="1174"/>
        <w:gridCol w:w="1318"/>
      </w:tblGrid>
      <w:tr>
        <w:trPr>
          <w:trHeight w:val="418" w:hRule="exact"/>
        </w:trPr>
        <w:tc>
          <w:tcPr>
            <w:tcW w:w="213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13,139,822.47</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-13,139,822.47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13,139,822.47</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center"/>
              <w:rPr>
                <w:rFonts w:ascii="Times New Roman" w:hAnsi="Times New Roman" w:cs="Times New Roman" w:eastAsia="Times New Roman" w:hint="default"/>
                <w:sz w:val="18"/>
                <w:szCs w:val="18"/>
              </w:rPr>
            </w:pPr>
            <w:r>
              <w:rPr>
                <w:rFonts w:ascii="Times New Roman"/>
                <w:sz w:val="18"/>
              </w:rPr>
              <w:t>-13,139,822.47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 分配</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2"/>
                <w:sz w:val="18"/>
                <w:szCs w:val="18"/>
              </w:rPr>
              <w:t>）</w:t>
            </w:r>
            <w:r>
              <w:rPr>
                <w:rFonts w:ascii="宋体" w:hAnsi="宋体" w:cs="宋体" w:eastAsia="宋体" w:hint="default"/>
                <w:sz w:val="18"/>
                <w:szCs w:val="18"/>
              </w:rPr>
              <w:t>所有者权益内部结转</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 股本）</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 股本）</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 转留存收益</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center"/>
              <w:rPr>
                <w:rFonts w:ascii="Times New Roman" w:hAnsi="Times New Roman" w:cs="Times New Roman" w:eastAsia="Times New Roman" w:hint="default"/>
                <w:sz w:val="18"/>
                <w:szCs w:val="18"/>
              </w:rPr>
            </w:pPr>
            <w:r>
              <w:rPr>
                <w:rFonts w:ascii="Times New Roman"/>
                <w:sz w:val="18"/>
              </w:rPr>
              <w:t>-8,279,556.00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-8,279,556.00</w:t>
            </w:r>
          </w:p>
        </w:tc>
      </w:tr>
      <w:tr>
        <w:trPr>
          <w:trHeight w:val="404" w:hRule="exact"/>
        </w:trPr>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814,139,568.00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451,760,863.64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75" w:right="0"/>
              <w:jc w:val="left"/>
              <w:rPr>
                <w:rFonts w:ascii="Times New Roman" w:hAnsi="Times New Roman" w:cs="Times New Roman" w:eastAsia="Times New Roman" w:hint="default"/>
                <w:sz w:val="18"/>
                <w:szCs w:val="18"/>
              </w:rPr>
            </w:pPr>
            <w:r>
              <w:rPr>
                <w:rFonts w:ascii="Times New Roman"/>
                <w:sz w:val="18"/>
              </w:rPr>
              <w:t>96,610,892.40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9" w:right="0"/>
              <w:jc w:val="center"/>
              <w:rPr>
                <w:rFonts w:ascii="Times New Roman" w:hAnsi="Times New Roman" w:cs="Times New Roman" w:eastAsia="Times New Roman" w:hint="default"/>
                <w:sz w:val="18"/>
                <w:szCs w:val="18"/>
              </w:rPr>
            </w:pPr>
            <w:r>
              <w:rPr>
                <w:rFonts w:ascii="Times New Roman"/>
                <w:sz w:val="18"/>
              </w:rPr>
              <w:t>41,658,286.69</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90,791,924.05</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642,160,050.94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114,514,444.51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2,058,414,245.43</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17"/>
        <w:ind w:left="140" w:right="152"/>
        <w:jc w:val="left"/>
      </w:pPr>
      <w:r>
        <w:rPr/>
        <w:t>上期金额</w:t>
      </w:r>
    </w:p>
    <w:p>
      <w:pPr>
        <w:pStyle w:val="BodyText"/>
        <w:spacing w:line="240" w:lineRule="auto" w:before="117"/>
        <w:ind w:left="0" w:right="157"/>
        <w:jc w:val="right"/>
      </w:pPr>
      <w:r>
        <w:rPr/>
        <w:t>单位：元</w:t>
      </w:r>
    </w:p>
    <w:p>
      <w:pPr>
        <w:spacing w:line="240" w:lineRule="auto" w:before="8"/>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165"/>
        <w:gridCol w:w="1193"/>
        <w:gridCol w:w="425"/>
        <w:gridCol w:w="425"/>
        <w:gridCol w:w="329"/>
        <w:gridCol w:w="1181"/>
        <w:gridCol w:w="1184"/>
        <w:gridCol w:w="1114"/>
        <w:gridCol w:w="518"/>
        <w:gridCol w:w="1092"/>
        <w:gridCol w:w="709"/>
        <w:gridCol w:w="1241"/>
        <w:gridCol w:w="1114"/>
        <w:gridCol w:w="1318"/>
      </w:tblGrid>
      <w:tr>
        <w:trPr>
          <w:trHeight w:val="401" w:hRule="exact"/>
        </w:trPr>
        <w:tc>
          <w:tcPr>
            <w:tcW w:w="2165" w:type="dxa"/>
            <w:vMerge w:val="restart"/>
            <w:tcBorders>
              <w:top w:val="single" w:sz="4" w:space="0" w:color="000000"/>
              <w:left w:val="single" w:sz="4" w:space="0" w:color="000000"/>
              <w:right w:val="single" w:sz="4" w:space="0" w:color="000000"/>
            </w:tcBorders>
            <w:shd w:val="clear" w:color="auto" w:fill="D2D2D2"/>
          </w:tcPr>
          <w:p>
            <w:pPr/>
          </w:p>
        </w:tc>
        <w:tc>
          <w:tcPr>
            <w:tcW w:w="1184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8" w:hRule="exact"/>
        </w:trPr>
        <w:tc>
          <w:tcPr>
            <w:tcW w:w="2165" w:type="dxa"/>
            <w:vMerge/>
            <w:tcBorders>
              <w:left w:val="single" w:sz="4" w:space="0" w:color="000000"/>
              <w:bottom w:val="nil" w:sz="6" w:space="0" w:color="auto"/>
              <w:right w:val="single" w:sz="4" w:space="0" w:color="000000"/>
            </w:tcBorders>
            <w:shd w:val="clear" w:color="auto" w:fill="D2D2D2"/>
          </w:tcPr>
          <w:p>
            <w:pPr/>
          </w:p>
        </w:tc>
        <w:tc>
          <w:tcPr>
            <w:tcW w:w="94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211" w:hRule="exact"/>
        </w:trPr>
        <w:tc>
          <w:tcPr>
            <w:tcW w:w="2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4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
        </w:tc>
        <w:tc>
          <w:tcPr>
            <w:tcW w:w="1114" w:type="dxa"/>
            <w:tcBorders>
              <w:top w:val="single" w:sz="4" w:space="0" w:color="000000"/>
              <w:left w:val="single" w:sz="4" w:space="0" w:color="000000"/>
              <w:bottom w:val="nil" w:sz="6" w:space="0" w:color="auto"/>
              <w:right w:val="single" w:sz="4" w:space="0" w:color="000000"/>
            </w:tcBorders>
            <w:shd w:val="clear" w:color="auto" w:fill="D2D2D2"/>
          </w:tcPr>
          <w:p>
            <w:pPr/>
          </w:p>
        </w:tc>
        <w:tc>
          <w:tcPr>
            <w:tcW w:w="5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FFFFFF"/>
            </w:tcBorders>
            <w:shd w:val="clear" w:color="auto" w:fill="D2D2D2"/>
          </w:tcPr>
          <w:p>
            <w:pPr/>
          </w:p>
        </w:tc>
        <w:tc>
          <w:tcPr>
            <w:tcW w:w="709" w:type="dxa"/>
            <w:tcBorders>
              <w:top w:val="single" w:sz="4" w:space="0" w:color="000000"/>
              <w:left w:val="single" w:sz="4" w:space="0" w:color="FFFFFF"/>
              <w:bottom w:val="nil" w:sz="6" w:space="0" w:color="auto"/>
              <w:right w:val="single" w:sz="4" w:space="0" w:color="000000"/>
            </w:tcBorders>
            <w:shd w:val="clear" w:color="auto" w:fill="D2D2D2"/>
          </w:tcPr>
          <w:p>
            <w:pP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11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8"/>
              <w:ind w:left="460" w:right="10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74" w:hRule="exact"/>
        </w:trPr>
        <w:tc>
          <w:tcPr>
            <w:tcW w:w="2165"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179"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11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8"/>
              <w:ind w:left="460" w:right="101"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1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8"/>
              <w:ind w:left="74" w:right="7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2" w:type="dxa"/>
            <w:vMerge/>
            <w:tcBorders>
              <w:left w:val="single" w:sz="4" w:space="0" w:color="000000"/>
              <w:bottom w:val="nil" w:sz="6" w:space="0" w:color="auto"/>
              <w:right w:val="single" w:sz="4" w:space="0" w:color="FFFFFF"/>
            </w:tcBorders>
            <w:shd w:val="clear" w:color="auto" w:fill="D2D2D2"/>
          </w:tcPr>
          <w:p>
            <w:pPr/>
          </w:p>
        </w:tc>
        <w:tc>
          <w:tcPr>
            <w:tcW w:w="709" w:type="dxa"/>
            <w:vMerge w:val="restart"/>
            <w:tcBorders>
              <w:top w:val="nil" w:sz="6" w:space="0" w:color="auto"/>
              <w:left w:val="single" w:sz="4" w:space="0" w:color="FFFFFF"/>
              <w:right w:val="single" w:sz="4" w:space="0" w:color="000000"/>
            </w:tcBorders>
            <w:shd w:val="clear" w:color="auto" w:fill="D2D2D2"/>
          </w:tcPr>
          <w:p>
            <w:pPr>
              <w:pStyle w:val="TableParagraph"/>
              <w:spacing w:line="314" w:lineRule="auto" w:before="81"/>
              <w:ind w:left="79" w:right="7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41" w:type="dxa"/>
            <w:vMerge/>
            <w:tcBorders>
              <w:left w:val="single" w:sz="4" w:space="0" w:color="000000"/>
              <w:bottom w:val="nil" w:sz="6" w:space="0" w:color="auto"/>
              <w:right w:val="single" w:sz="4" w:space="0" w:color="000000"/>
            </w:tcBorders>
            <w:shd w:val="clear" w:color="auto" w:fill="D2D2D2"/>
          </w:tcPr>
          <w:p>
            <w:pPr/>
          </w:p>
        </w:tc>
        <w:tc>
          <w:tcPr>
            <w:tcW w:w="1114"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2" w:hRule="exact"/>
        </w:trPr>
        <w:tc>
          <w:tcPr>
            <w:tcW w:w="2165"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3"/>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3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67" w:right="71"/>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3"/>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3"/>
              <w:ind w:left="13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14"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61"/>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9" w:type="dxa"/>
            <w:vMerge/>
            <w:tcBorders>
              <w:left w:val="single" w:sz="4" w:space="0" w:color="FFFFFF"/>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14"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90" w:hRule="exact"/>
        </w:trPr>
        <w:tc>
          <w:tcPr>
            <w:tcW w:w="2165"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329"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114"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FFFFFF"/>
            </w:tcBorders>
            <w:shd w:val="clear" w:color="auto" w:fill="D2D2D2"/>
          </w:tcPr>
          <w:p>
            <w:pPr/>
          </w:p>
        </w:tc>
        <w:tc>
          <w:tcPr>
            <w:tcW w:w="709" w:type="dxa"/>
            <w:vMerge/>
            <w:tcBorders>
              <w:left w:val="single" w:sz="4" w:space="0" w:color="FFFFFF"/>
              <w:right w:val="single" w:sz="4" w:space="0" w:color="000000"/>
            </w:tcBorders>
            <w:shd w:val="clear" w:color="auto" w:fill="D2D2D2"/>
          </w:tcPr>
          <w:p>
            <w:pPr/>
          </w:p>
        </w:tc>
        <w:tc>
          <w:tcPr>
            <w:tcW w:w="1241" w:type="dxa"/>
            <w:vMerge/>
            <w:tcBorders>
              <w:left w:val="single" w:sz="4" w:space="0" w:color="000000"/>
              <w:bottom w:val="single" w:sz="18" w:space="0" w:color="FFFFFF"/>
              <w:right w:val="single" w:sz="4" w:space="0" w:color="000000"/>
            </w:tcBorders>
            <w:shd w:val="clear" w:color="auto" w:fill="D2D2D2"/>
          </w:tcPr>
          <w:p>
            <w:pPr/>
          </w:p>
        </w:tc>
        <w:tc>
          <w:tcPr>
            <w:tcW w:w="1114" w:type="dxa"/>
            <w:vMerge/>
            <w:tcBorders>
              <w:left w:val="single" w:sz="4" w:space="0" w:color="000000"/>
              <w:bottom w:val="single" w:sz="18" w:space="0" w:color="FFFFFF"/>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59" w:hRule="exact"/>
        </w:trPr>
        <w:tc>
          <w:tcPr>
            <w:tcW w:w="2165"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329"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
        </w:tc>
        <w:tc>
          <w:tcPr>
            <w:tcW w:w="1114" w:type="dxa"/>
            <w:vMerge/>
            <w:tcBorders>
              <w:left w:val="single" w:sz="4" w:space="0" w:color="000000"/>
              <w:bottom w:val="nil" w:sz="6" w:space="0" w:color="auto"/>
              <w:right w:val="single" w:sz="4" w:space="0" w:color="000000"/>
            </w:tcBorders>
            <w:shd w:val="clear" w:color="auto" w:fill="D2D2D2"/>
          </w:tcPr>
          <w:p>
            <w:pPr/>
          </w:p>
        </w:tc>
        <w:tc>
          <w:tcPr>
            <w:tcW w:w="518" w:type="dxa"/>
            <w:vMerge/>
            <w:tcBorders>
              <w:left w:val="single" w:sz="4" w:space="0" w:color="000000"/>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FFFFFF"/>
            </w:tcBorders>
            <w:shd w:val="clear" w:color="auto" w:fill="D2D2D2"/>
          </w:tcPr>
          <w:p>
            <w:pPr/>
          </w:p>
        </w:tc>
        <w:tc>
          <w:tcPr>
            <w:tcW w:w="709" w:type="dxa"/>
            <w:vMerge/>
            <w:tcBorders>
              <w:left w:val="single" w:sz="4" w:space="0" w:color="FFFFFF"/>
              <w:bottom w:val="nil" w:sz="6" w:space="0" w:color="auto"/>
              <w:right w:val="single" w:sz="4" w:space="0" w:color="000000"/>
            </w:tcBorders>
            <w:shd w:val="clear" w:color="auto" w:fill="D2D2D2"/>
          </w:tcPr>
          <w:p>
            <w:pPr/>
          </w:p>
        </w:tc>
        <w:tc>
          <w:tcPr>
            <w:tcW w:w="1241" w:type="dxa"/>
            <w:vMerge w:val="restart"/>
            <w:tcBorders>
              <w:top w:val="single" w:sz="18" w:space="0" w:color="FFFFFF"/>
              <w:left w:val="single" w:sz="4" w:space="0" w:color="000000"/>
              <w:right w:val="single" w:sz="4" w:space="0" w:color="000000"/>
            </w:tcBorders>
            <w:shd w:val="clear" w:color="auto" w:fill="D2D2D2"/>
          </w:tcPr>
          <w:p>
            <w:pPr/>
          </w:p>
        </w:tc>
        <w:tc>
          <w:tcPr>
            <w:tcW w:w="1114" w:type="dxa"/>
            <w:vMerge w:val="restart"/>
            <w:tcBorders>
              <w:top w:val="single" w:sz="18" w:space="0" w:color="FFFFFF"/>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206" w:hRule="exact"/>
        </w:trPr>
        <w:tc>
          <w:tcPr>
            <w:tcW w:w="2165"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329"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14" w:type="dxa"/>
            <w:tcBorders>
              <w:top w:val="nil" w:sz="6" w:space="0" w:color="auto"/>
              <w:left w:val="single" w:sz="4" w:space="0" w:color="000000"/>
              <w:bottom w:val="single" w:sz="4" w:space="0" w:color="000000"/>
              <w:right w:val="single" w:sz="4" w:space="0" w:color="000000"/>
            </w:tcBorders>
            <w:shd w:val="clear" w:color="auto" w:fill="D2D2D2"/>
          </w:tcPr>
          <w:p>
            <w:pPr/>
          </w:p>
        </w:tc>
        <w:tc>
          <w:tcPr>
            <w:tcW w:w="5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FFFFFF"/>
            </w:tcBorders>
            <w:shd w:val="clear" w:color="auto" w:fill="D2D2D2"/>
          </w:tcPr>
          <w:p>
            <w:pPr/>
          </w:p>
        </w:tc>
        <w:tc>
          <w:tcPr>
            <w:tcW w:w="709" w:type="dxa"/>
            <w:tcBorders>
              <w:top w:val="nil" w:sz="6" w:space="0" w:color="auto"/>
              <w:left w:val="single" w:sz="4" w:space="0" w:color="FFFFFF"/>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114"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825,744,768.00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Times New Roman" w:hAnsi="Times New Roman" w:cs="Times New Roman" w:eastAsia="Times New Roman" w:hint="default"/>
                <w:sz w:val="18"/>
                <w:szCs w:val="18"/>
              </w:rPr>
            </w:pPr>
            <w:r>
              <w:rPr>
                <w:rFonts w:ascii="Times New Roman"/>
                <w:sz w:val="18"/>
              </w:rPr>
              <w:t>459,403,700.51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463,253,424.80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 w:right="0"/>
              <w:jc w:val="center"/>
              <w:rPr>
                <w:rFonts w:ascii="Times New Roman" w:hAnsi="Times New Roman" w:cs="Times New Roman" w:eastAsia="Times New Roman" w:hint="default"/>
                <w:sz w:val="18"/>
                <w:szCs w:val="18"/>
              </w:rPr>
            </w:pPr>
            <w:r>
              <w:rPr>
                <w:rFonts w:ascii="Times New Roman"/>
                <w:sz w:val="18"/>
              </w:rPr>
              <w:t>28,285,930.87</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77,652,101.58</w:t>
            </w:r>
          </w:p>
        </w:tc>
        <w:tc>
          <w:tcPr>
            <w:tcW w:w="70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7" w:right="0"/>
              <w:jc w:val="center"/>
              <w:rPr>
                <w:rFonts w:ascii="Times New Roman" w:hAnsi="Times New Roman" w:cs="Times New Roman" w:eastAsia="Times New Roman" w:hint="default"/>
                <w:sz w:val="18"/>
                <w:szCs w:val="18"/>
              </w:rPr>
            </w:pPr>
            <w:r>
              <w:rPr>
                <w:rFonts w:ascii="Times New Roman"/>
                <w:sz w:val="18"/>
              </w:rPr>
              <w:t>426,517,704.65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1,354,350,780.81</w:t>
            </w:r>
          </w:p>
        </w:tc>
      </w:tr>
      <w:tr>
        <w:trPr>
          <w:trHeight w:val="403"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28"/>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825,744,768.00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459,403,700.51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463,253,424.80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center"/>
              <w:rPr>
                <w:rFonts w:ascii="Times New Roman" w:hAnsi="Times New Roman" w:cs="Times New Roman" w:eastAsia="Times New Roman" w:hint="default"/>
                <w:sz w:val="18"/>
                <w:szCs w:val="18"/>
              </w:rPr>
            </w:pPr>
            <w:r>
              <w:rPr>
                <w:rFonts w:ascii="Times New Roman"/>
                <w:sz w:val="18"/>
              </w:rPr>
              <w:t>28,285,930.87</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77,652,101.58</w:t>
            </w:r>
          </w:p>
        </w:tc>
        <w:tc>
          <w:tcPr>
            <w:tcW w:w="70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center"/>
              <w:rPr>
                <w:rFonts w:ascii="Times New Roman" w:hAnsi="Times New Roman" w:cs="Times New Roman" w:eastAsia="Times New Roman" w:hint="default"/>
                <w:sz w:val="18"/>
                <w:szCs w:val="18"/>
              </w:rPr>
            </w:pPr>
            <w:r>
              <w:rPr>
                <w:rFonts w:ascii="Times New Roman"/>
                <w:sz w:val="18"/>
              </w:rPr>
              <w:t>426,517,704.65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1,354,350,780.81</w:t>
            </w:r>
          </w:p>
        </w:tc>
      </w:tr>
      <w:tr>
        <w:trPr>
          <w:trHeight w:val="713"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 w:right="1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-5,155,000.00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23,689,122.18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-55,733,962.00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28,625,927.72</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-107,607,635.77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48,436,859.85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43,723,235.98</w:t>
            </w:r>
          </w:p>
        </w:tc>
      </w:tr>
      <w:tr>
        <w:trPr>
          <w:trHeight w:val="403"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center"/>
              <w:rPr>
                <w:rFonts w:ascii="Times New Roman" w:hAnsi="Times New Roman" w:cs="Times New Roman" w:eastAsia="Times New Roman" w:hint="default"/>
                <w:sz w:val="18"/>
                <w:szCs w:val="18"/>
              </w:rPr>
            </w:pPr>
            <w:r>
              <w:rPr>
                <w:rFonts w:ascii="Times New Roman"/>
                <w:sz w:val="18"/>
              </w:rPr>
              <w:t>28,625,927.72</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-107,607,635.77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1,240,328.56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-77,741,379.49</w:t>
            </w:r>
          </w:p>
        </w:tc>
      </w:tr>
      <w:tr>
        <w:trPr>
          <w:trHeight w:val="713"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0"/>
              <w:jc w:val="left"/>
              <w:rPr>
                <w:rFonts w:ascii="宋体" w:hAnsi="宋体" w:cs="宋体" w:eastAsia="宋体" w:hint="default"/>
                <w:sz w:val="18"/>
                <w:szCs w:val="18"/>
              </w:rPr>
            </w:pPr>
            <w:r>
              <w:rPr>
                <w:rFonts w:ascii="宋体" w:hAnsi="宋体" w:cs="宋体" w:eastAsia="宋体" w:hint="default"/>
                <w:spacing w:val="-3"/>
                <w:sz w:val="18"/>
                <w:szCs w:val="18"/>
              </w:rPr>
              <w:t>（二）所有者投入和减少资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-5,155,000.00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26,989,336.23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-55,733,962.00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77,568,298.23</w:t>
            </w:r>
          </w:p>
        </w:tc>
      </w:tr>
      <w:tr>
        <w:trPr>
          <w:trHeight w:val="403"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 入资本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12,995,503.44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14,105,503.44</w:t>
            </w:r>
          </w:p>
        </w:tc>
      </w:tr>
      <w:tr>
        <w:trPr>
          <w:trHeight w:val="715"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 益的金额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-6,265,000.00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13,993,832.79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-55,733,962.00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63,462,794.79</w:t>
            </w:r>
          </w:p>
        </w:tc>
      </w:tr>
      <w:tr>
        <w:trPr>
          <w:trHeight w:val="401"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7" w:footer="980" w:top="1060" w:bottom="12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77"/>
        <w:gridCol w:w="1193"/>
        <w:gridCol w:w="425"/>
        <w:gridCol w:w="425"/>
        <w:gridCol w:w="329"/>
        <w:gridCol w:w="1181"/>
        <w:gridCol w:w="1184"/>
        <w:gridCol w:w="1114"/>
        <w:gridCol w:w="518"/>
        <w:gridCol w:w="1092"/>
        <w:gridCol w:w="709"/>
        <w:gridCol w:w="1241"/>
        <w:gridCol w:w="1114"/>
        <w:gridCol w:w="1318"/>
      </w:tblGrid>
      <w:tr>
        <w:trPr>
          <w:trHeight w:val="418" w:hRule="exact"/>
        </w:trPr>
        <w:tc>
          <w:tcPr>
            <w:tcW w:w="217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15" w:space="0" w:color="000000"/>
              <w:left w:val="single" w:sz="13" w:space="0" w:color="D2D2D2"/>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 分配</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3"/>
                <w:sz w:val="18"/>
                <w:szCs w:val="18"/>
              </w:rPr>
              <w:t>（四）所有者权益内部结转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 股本）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 股本）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 转留存收益</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-3,300,214.05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47,196,531.29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43,896,317.24</w:t>
            </w:r>
          </w:p>
        </w:tc>
      </w:tr>
      <w:tr>
        <w:trPr>
          <w:trHeight w:val="403"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820,589,768.00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483,092,822.69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407,519,462.80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center"/>
              <w:rPr>
                <w:rFonts w:ascii="Times New Roman" w:hAnsi="Times New Roman" w:cs="Times New Roman" w:eastAsia="Times New Roman" w:hint="default"/>
                <w:sz w:val="18"/>
                <w:szCs w:val="18"/>
              </w:rPr>
            </w:pPr>
            <w:r>
              <w:rPr>
                <w:rFonts w:ascii="Times New Roman"/>
                <w:sz w:val="18"/>
              </w:rPr>
              <w:t>56,911,858.59</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77,652,101.58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center"/>
              <w:rPr>
                <w:rFonts w:ascii="Times New Roman" w:hAnsi="Times New Roman" w:cs="Times New Roman" w:eastAsia="Times New Roman" w:hint="default"/>
                <w:sz w:val="18"/>
                <w:szCs w:val="18"/>
              </w:rPr>
            </w:pPr>
            <w:r>
              <w:rPr>
                <w:rFonts w:ascii="Times New Roman"/>
                <w:sz w:val="18"/>
              </w:rPr>
              <w:t>318,910,068.88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48,436,859.85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1,398,074,016.79</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group style="position:absolute;margin-left:241.460007pt;margin-top:299.026001pt;width:57.4pt;height:20.7pt;mso-position-horizontal-relative:page;mso-position-vertical-relative:page;z-index:-1196512" coordorigin="4829,5981" coordsize="1148,414">
            <v:group style="position:absolute;left:4840;top:5991;width:2;height:392" coordorigin="4840,5991" coordsize="2,392">
              <v:shape style="position:absolute;left:4840;top:5991;width:2;height:392" coordorigin="4840,5991" coordsize="0,392" path="m4840,5991l4840,6383e" filled="false" stroked="true" strokeweight="1.08pt" strokecolor="#ffffff">
                <v:path arrowok="t"/>
              </v:shape>
            </v:group>
            <v:group style="position:absolute;left:4851;top:5991;width:1127;height:392" coordorigin="4851,5991" coordsize="1127,392">
              <v:shape style="position:absolute;left:4851;top:5991;width:1127;height:392" coordorigin="4851,5991" coordsize="1127,392" path="m4851,6383l5977,6383,5977,5991,4851,5991,4851,6383xe" filled="true" fillcolor="#ffffff" stroked="false">
                <v:path arrowok="t"/>
                <v:fill type="solid"/>
              </v:shape>
            </v:group>
            <w10:wrap type="none"/>
          </v:group>
        </w:pict>
      </w: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152"/>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152"/>
        <w:jc w:val="left"/>
      </w:pPr>
      <w:r>
        <w:rPr/>
        <w:t>本期金额</w:t>
      </w:r>
    </w:p>
    <w:p>
      <w:pPr>
        <w:pStyle w:val="BodyText"/>
        <w:spacing w:line="240" w:lineRule="auto" w:before="117"/>
        <w:ind w:left="0" w:right="157"/>
        <w:jc w:val="right"/>
      </w:pPr>
      <w:r>
        <w:rPr/>
        <w:t>单位：元</w:t>
      </w:r>
    </w:p>
    <w:p>
      <w:pPr>
        <w:spacing w:line="240" w:lineRule="auto" w:before="3"/>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389"/>
        <w:gridCol w:w="1193"/>
        <w:gridCol w:w="569"/>
        <w:gridCol w:w="571"/>
        <w:gridCol w:w="403"/>
        <w:gridCol w:w="1181"/>
        <w:gridCol w:w="1241"/>
        <w:gridCol w:w="1133"/>
        <w:gridCol w:w="737"/>
        <w:gridCol w:w="1090"/>
        <w:gridCol w:w="1181"/>
        <w:gridCol w:w="1318"/>
      </w:tblGrid>
      <w:tr>
        <w:trPr>
          <w:trHeight w:val="397" w:hRule="exact"/>
        </w:trPr>
        <w:tc>
          <w:tcPr>
            <w:tcW w:w="3389" w:type="dxa"/>
            <w:vMerge w:val="restart"/>
            <w:tcBorders>
              <w:top w:val="single" w:sz="4" w:space="0" w:color="000000"/>
              <w:left w:val="single" w:sz="4" w:space="0" w:color="000000"/>
              <w:right w:val="single" w:sz="4" w:space="0" w:color="000000"/>
            </w:tcBorders>
            <w:shd w:val="clear" w:color="auto" w:fill="D2D2D2"/>
          </w:tcPr>
          <w:p>
            <w:pPr/>
          </w:p>
        </w:tc>
        <w:tc>
          <w:tcPr>
            <w:tcW w:w="1061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88" w:hRule="exact"/>
        </w:trPr>
        <w:tc>
          <w:tcPr>
            <w:tcW w:w="3389"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54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190" w:hRule="exact"/>
        </w:trPr>
        <w:tc>
          <w:tcPr>
            <w:tcW w:w="33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tcBorders>
              <w:left w:val="single" w:sz="4" w:space="0" w:color="000000"/>
              <w:bottom w:val="nil" w:sz="6" w:space="0" w:color="auto"/>
              <w:right w:val="single" w:sz="4" w:space="0" w:color="000000"/>
            </w:tcBorders>
            <w:shd w:val="clear" w:color="auto" w:fill="D2D2D2"/>
          </w:tcPr>
          <w:p>
            <w:pPr/>
          </w:p>
        </w:tc>
        <w:tc>
          <w:tcPr>
            <w:tcW w:w="1543"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470"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3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273" w:right="92"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0"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3389"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8"/>
              <w:ind w:left="187" w:right="98"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8"/>
              <w:ind w:left="189" w:right="98"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8"/>
              <w:ind w:left="105" w:right="107"/>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1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3"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3389"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571" w:type="dxa"/>
            <w:vMerge/>
            <w:tcBorders>
              <w:left w:val="single" w:sz="4" w:space="0" w:color="000000"/>
              <w:right w:val="single" w:sz="4" w:space="0" w:color="000000"/>
            </w:tcBorders>
            <w:shd w:val="clear" w:color="auto" w:fill="D2D2D2"/>
          </w:tcPr>
          <w:p>
            <w:pPr/>
          </w:p>
        </w:tc>
        <w:tc>
          <w:tcPr>
            <w:tcW w:w="403"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3389"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571" w:type="dxa"/>
            <w:vMerge/>
            <w:tcBorders>
              <w:left w:val="single" w:sz="4" w:space="0" w:color="000000"/>
              <w:right w:val="single" w:sz="4" w:space="0" w:color="000000"/>
            </w:tcBorders>
            <w:shd w:val="clear" w:color="auto" w:fill="D2D2D2"/>
          </w:tcPr>
          <w:p>
            <w:pPr/>
          </w:p>
        </w:tc>
        <w:tc>
          <w:tcPr>
            <w:tcW w:w="403"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737" w:type="dxa"/>
            <w:vMerge/>
            <w:tcBorders>
              <w:left w:val="single" w:sz="4" w:space="0" w:color="000000"/>
              <w:bottom w:val="nil" w:sz="6" w:space="0" w:color="auto"/>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207" w:hRule="exact"/>
        </w:trPr>
        <w:tc>
          <w:tcPr>
            <w:tcW w:w="3389"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571" w:type="dxa"/>
            <w:vMerge/>
            <w:tcBorders>
              <w:left w:val="single" w:sz="4" w:space="0" w:color="000000"/>
              <w:bottom w:val="single" w:sz="4" w:space="0" w:color="000000"/>
              <w:right w:val="single" w:sz="4" w:space="0" w:color="000000"/>
            </w:tcBorders>
            <w:shd w:val="clear" w:color="auto" w:fill="D2D2D2"/>
          </w:tcPr>
          <w:p>
            <w:pPr/>
          </w:p>
        </w:tc>
        <w:tc>
          <w:tcPr>
            <w:tcW w:w="403"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820,589,768.00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483,207,765.66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407,519,462.80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19,928,996.93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77,652,101.58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274,244,628.69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1,268,103,798.06</w:t>
            </w:r>
          </w:p>
        </w:tc>
      </w:tr>
      <w:tr>
        <w:trPr>
          <w:trHeight w:val="403" w:hRule="exact"/>
        </w:trPr>
        <w:tc>
          <w:tcPr>
            <w:tcW w:w="3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820,589,768.00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483,207,765.66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407,519,462.80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19,928,996.93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77,652,101.58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274,244,628.69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1,268,103,798.06</w:t>
            </w:r>
          </w:p>
        </w:tc>
      </w:tr>
      <w:tr>
        <w:trPr>
          <w:trHeight w:val="404" w:hRule="exact"/>
        </w:trPr>
        <w:tc>
          <w:tcPr>
            <w:tcW w:w="3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三、本期增减变动金额（减少以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号填列</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20"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-6,450,200.00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center"/>
              <w:rPr>
                <w:rFonts w:ascii="Times New Roman" w:hAnsi="Times New Roman" w:cs="Times New Roman" w:eastAsia="Times New Roman" w:hint="default"/>
                <w:sz w:val="18"/>
                <w:szCs w:val="18"/>
              </w:rPr>
            </w:pPr>
            <w:r>
              <w:rPr>
                <w:rFonts w:ascii="Times New Roman"/>
                <w:sz w:val="18"/>
              </w:rPr>
              <w:t>-31,331,959.05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-310,908,570.40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center"/>
              <w:rPr>
                <w:rFonts w:ascii="Times New Roman" w:hAnsi="Times New Roman" w:cs="Times New Roman" w:eastAsia="Times New Roman" w:hint="default"/>
                <w:sz w:val="18"/>
                <w:szCs w:val="18"/>
              </w:rPr>
            </w:pPr>
            <w:r>
              <w:rPr>
                <w:rFonts w:ascii="Times New Roman"/>
                <w:sz w:val="18"/>
              </w:rPr>
              <w:t>-4,235,711.59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13,139,822.47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Times New Roman" w:hAnsi="Times New Roman" w:cs="Times New Roman" w:eastAsia="Times New Roman" w:hint="default"/>
                <w:sz w:val="18"/>
                <w:szCs w:val="18"/>
              </w:rPr>
            </w:pPr>
            <w:r>
              <w:rPr>
                <w:rFonts w:ascii="Times New Roman"/>
                <w:sz w:val="18"/>
              </w:rPr>
              <w:t>118,258,402.19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400,288,924.42</w:t>
            </w:r>
          </w:p>
        </w:tc>
      </w:tr>
      <w:tr>
        <w:trPr>
          <w:trHeight w:val="401" w:hRule="exact"/>
        </w:trPr>
        <w:tc>
          <w:tcPr>
            <w:tcW w:w="3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-4,235,711.59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131,398,224.66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127,162,513.07</w:t>
            </w:r>
          </w:p>
        </w:tc>
      </w:tr>
      <w:tr>
        <w:trPr>
          <w:trHeight w:val="403" w:hRule="exact"/>
        </w:trPr>
        <w:tc>
          <w:tcPr>
            <w:tcW w:w="3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-6,450,200.00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center"/>
              <w:rPr>
                <w:rFonts w:ascii="Times New Roman" w:hAnsi="Times New Roman" w:cs="Times New Roman" w:eastAsia="Times New Roman" w:hint="default"/>
                <w:sz w:val="18"/>
                <w:szCs w:val="18"/>
              </w:rPr>
            </w:pPr>
            <w:r>
              <w:rPr>
                <w:rFonts w:ascii="Times New Roman"/>
                <w:sz w:val="18"/>
              </w:rPr>
              <w:t>-23,052,403.05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-310,908,570.40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281,405,967.35</w:t>
            </w:r>
          </w:p>
        </w:tc>
      </w:tr>
      <w:tr>
        <w:trPr>
          <w:trHeight w:val="401" w:hRule="exact"/>
        </w:trPr>
        <w:tc>
          <w:tcPr>
            <w:tcW w:w="3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1,129,800.00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center"/>
              <w:rPr>
                <w:rFonts w:ascii="Times New Roman" w:hAnsi="Times New Roman" w:cs="Times New Roman" w:eastAsia="Times New Roman" w:hint="default"/>
                <w:sz w:val="18"/>
                <w:szCs w:val="18"/>
              </w:rPr>
            </w:pPr>
            <w:r>
              <w:rPr>
                <w:rFonts w:ascii="Times New Roman"/>
                <w:sz w:val="18"/>
              </w:rPr>
              <w:t>14,372,825.77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15,502,625.77</w:t>
            </w:r>
          </w:p>
        </w:tc>
      </w:tr>
      <w:tr>
        <w:trPr>
          <w:trHeight w:val="401" w:hRule="exact"/>
        </w:trPr>
        <w:tc>
          <w:tcPr>
            <w:tcW w:w="3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-7,580,000.00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-37,425,228.82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-310,908,570.40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265,903,341.58</w:t>
            </w:r>
          </w:p>
        </w:tc>
      </w:tr>
      <w:tr>
        <w:trPr>
          <w:trHeight w:val="403" w:hRule="exact"/>
        </w:trPr>
        <w:tc>
          <w:tcPr>
            <w:tcW w:w="3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13,139,822.47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-13,139,822.47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13,139,822.47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-13,139,822.47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11"/>
        <w:rPr>
          <w:rFonts w:ascii="宋体" w:hAnsi="宋体" w:cs="宋体" w:eastAsia="宋体" w:hint="default"/>
          <w:sz w:val="2"/>
          <w:szCs w:val="2"/>
        </w:rPr>
      </w:pPr>
      <w:r>
        <w:rPr/>
        <w:pict>
          <v:group style="position:absolute;margin-left:243.619995pt;margin-top:491.916016pt;width:57.4pt;height:20.8pt;mso-position-horizontal-relative:page;mso-position-vertical-relative:page;z-index:-1196488" coordorigin="4872,9838" coordsize="1148,416">
            <v:group style="position:absolute;left:4883;top:9849;width:2;height:394" coordorigin="4883,9849" coordsize="2,394">
              <v:shape style="position:absolute;left:4883;top:9849;width:2;height:394" coordorigin="4883,9849" coordsize="0,394" path="m4883,9849l4883,10243e" filled="false" stroked="true" strokeweight="1.08pt" strokecolor="#ffffff">
                <v:path arrowok="t"/>
              </v:shape>
            </v:group>
            <v:group style="position:absolute;left:4894;top:9849;width:1127;height:394" coordorigin="4894,9849" coordsize="1127,394">
              <v:shape style="position:absolute;left:4894;top:9849;width:1127;height:394" coordorigin="4894,9849" coordsize="1127,394" path="m4894,10243l6020,10243,6020,9849,4894,9849,4894,10243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3413"/>
        <w:gridCol w:w="1181"/>
        <w:gridCol w:w="569"/>
        <w:gridCol w:w="571"/>
        <w:gridCol w:w="403"/>
        <w:gridCol w:w="1181"/>
        <w:gridCol w:w="1241"/>
        <w:gridCol w:w="1133"/>
        <w:gridCol w:w="737"/>
        <w:gridCol w:w="1090"/>
        <w:gridCol w:w="1181"/>
        <w:gridCol w:w="1318"/>
      </w:tblGrid>
      <w:tr>
        <w:trPr>
          <w:trHeight w:val="418" w:hRule="exact"/>
        </w:trPr>
        <w:tc>
          <w:tcPr>
            <w:tcW w:w="34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-8,279,556.00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-8,279,556.00</w:t>
            </w:r>
          </w:p>
        </w:tc>
      </w:tr>
      <w:tr>
        <w:trPr>
          <w:trHeight w:val="403" w:hRule="exact"/>
        </w:trPr>
        <w:tc>
          <w:tcPr>
            <w:tcW w:w="3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814,139,568.00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451,875,806.61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96,610,892.40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center"/>
              <w:rPr>
                <w:rFonts w:ascii="Times New Roman" w:hAnsi="Times New Roman" w:cs="Times New Roman" w:eastAsia="Times New Roman" w:hint="default"/>
                <w:sz w:val="18"/>
                <w:szCs w:val="18"/>
              </w:rPr>
            </w:pPr>
            <w:r>
              <w:rPr>
                <w:rFonts w:ascii="Times New Roman"/>
                <w:sz w:val="18"/>
              </w:rPr>
              <w:t>15,693,285.34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90,791,924.05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392,503,030.88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1,668,392,722.48</w:t>
            </w:r>
          </w:p>
        </w:tc>
      </w:tr>
    </w:tbl>
    <w:p>
      <w:pPr>
        <w:pStyle w:val="BodyText"/>
        <w:spacing w:line="240" w:lineRule="auto" w:before="49"/>
        <w:ind w:left="140" w:right="152"/>
        <w:jc w:val="left"/>
      </w:pPr>
      <w:r>
        <w:rPr/>
        <w:t>上期金额</w:t>
      </w:r>
    </w:p>
    <w:p>
      <w:pPr>
        <w:pStyle w:val="BodyText"/>
        <w:spacing w:line="240" w:lineRule="auto" w:before="115"/>
        <w:ind w:left="0" w:right="157"/>
        <w:jc w:val="right"/>
      </w:pPr>
      <w:r>
        <w:rPr/>
        <w:t>单位：元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432"/>
        <w:gridCol w:w="1193"/>
        <w:gridCol w:w="574"/>
        <w:gridCol w:w="574"/>
        <w:gridCol w:w="406"/>
        <w:gridCol w:w="1181"/>
        <w:gridCol w:w="1181"/>
        <w:gridCol w:w="1133"/>
        <w:gridCol w:w="745"/>
        <w:gridCol w:w="1090"/>
        <w:gridCol w:w="1181"/>
        <w:gridCol w:w="1318"/>
      </w:tblGrid>
      <w:tr>
        <w:trPr>
          <w:trHeight w:val="399" w:hRule="exact"/>
        </w:trPr>
        <w:tc>
          <w:tcPr>
            <w:tcW w:w="3432" w:type="dxa"/>
            <w:vMerge w:val="restart"/>
            <w:tcBorders>
              <w:top w:val="single" w:sz="4" w:space="0" w:color="000000"/>
              <w:left w:val="single" w:sz="4" w:space="0" w:color="000000"/>
              <w:right w:val="single" w:sz="4" w:space="0" w:color="000000"/>
            </w:tcBorders>
            <w:shd w:val="clear" w:color="auto" w:fill="D2D2D2"/>
          </w:tcPr>
          <w:p>
            <w:pPr/>
          </w:p>
        </w:tc>
        <w:tc>
          <w:tcPr>
            <w:tcW w:w="1057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88" w:hRule="exact"/>
        </w:trPr>
        <w:tc>
          <w:tcPr>
            <w:tcW w:w="3432"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5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7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187" w:hRule="exact"/>
        </w:trPr>
        <w:tc>
          <w:tcPr>
            <w:tcW w:w="34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tcBorders>
              <w:left w:val="single" w:sz="4" w:space="0" w:color="000000"/>
              <w:bottom w:val="single" w:sz="13" w:space="0" w:color="FFFFFF"/>
              <w:right w:val="single" w:sz="4" w:space="0" w:color="000000"/>
            </w:tcBorders>
            <w:shd w:val="clear" w:color="auto" w:fill="D2D2D2"/>
          </w:tcPr>
          <w:p>
            <w:pPr/>
          </w:p>
        </w:tc>
        <w:tc>
          <w:tcPr>
            <w:tcW w:w="1553" w:type="dxa"/>
            <w:gridSpan w:val="3"/>
            <w:vMerge/>
            <w:tcBorders>
              <w:left w:val="single" w:sz="4" w:space="0" w:color="000000"/>
              <w:bottom w:val="single" w:sz="13" w:space="0" w:color="FFFFFF"/>
              <w:right w:val="single" w:sz="4" w:space="0" w:color="000000"/>
            </w:tcBorders>
            <w:shd w:val="clear" w:color="auto" w:fill="D2D2D2"/>
          </w:tcPr>
          <w:p>
            <w:pPr/>
          </w:p>
        </w:tc>
        <w:tc>
          <w:tcPr>
            <w:tcW w:w="1181" w:type="dxa"/>
            <w:vMerge/>
            <w:tcBorders>
              <w:left w:val="single" w:sz="4" w:space="0" w:color="000000"/>
              <w:bottom w:val="single" w:sz="13" w:space="0" w:color="FFFFFF"/>
              <w:right w:val="single" w:sz="4" w:space="0" w:color="000000"/>
            </w:tcBorders>
            <w:shd w:val="clear" w:color="auto" w:fill="D2D2D2"/>
          </w:tcPr>
          <w:p>
            <w:pPr/>
          </w:p>
        </w:tc>
        <w:tc>
          <w:tcPr>
            <w:tcW w:w="1181" w:type="dxa"/>
            <w:vMerge/>
            <w:tcBorders>
              <w:left w:val="single" w:sz="4" w:space="0" w:color="000000"/>
              <w:bottom w:val="single" w:sz="13" w:space="0" w:color="FFFFFF"/>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472" w:right="108"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4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275" w:right="9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0"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3432"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23"/>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67"/>
              <w:ind w:left="189" w:right="101"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67"/>
              <w:ind w:left="189" w:right="101"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06"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67"/>
              <w:ind w:left="107" w:right="107"/>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23"/>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1"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23"/>
              <w:ind w:left="13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3" w:type="dxa"/>
            <w:vMerge/>
            <w:tcBorders>
              <w:left w:val="single" w:sz="4" w:space="0" w:color="000000"/>
              <w:right w:val="single" w:sz="4" w:space="0" w:color="000000"/>
            </w:tcBorders>
            <w:shd w:val="clear" w:color="auto" w:fill="D2D2D2"/>
          </w:tcPr>
          <w:p>
            <w:pPr/>
          </w:p>
        </w:tc>
        <w:tc>
          <w:tcPr>
            <w:tcW w:w="745"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3432"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406"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745"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3432"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406"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745" w:type="dxa"/>
            <w:vMerge/>
            <w:tcBorders>
              <w:left w:val="single" w:sz="4" w:space="0" w:color="000000"/>
              <w:bottom w:val="nil" w:sz="6" w:space="0" w:color="auto"/>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206" w:hRule="exact"/>
        </w:trPr>
        <w:tc>
          <w:tcPr>
            <w:tcW w:w="3432"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406"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825,744,768.00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459,518,643.48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463,253,424.80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18,847,820.68</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77,652,101.58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363,461,564.78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1,281,971,473.72</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825,744,768.00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459,518,643.48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463,253,424.80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18,847,820.68</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77,652,101.58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363,461,564.78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1,281,971,473.72</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25"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-5,155,000.00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23,689,122.18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-55,733,962.00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1,081,176.25</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-89,216,936.09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-13,867,675.66</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1,081,176.25</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-89,216,936.09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-88,135,759.84</w:t>
            </w:r>
          </w:p>
        </w:tc>
      </w:tr>
    </w:tbl>
    <w:p>
      <w:pPr>
        <w:spacing w:after="0" w:line="240" w:lineRule="auto"/>
        <w:jc w:val="right"/>
        <w:rPr>
          <w:rFonts w:ascii="Times New Roman" w:hAnsi="Times New Roman" w:cs="Times New Roman" w:eastAsia="Times New Roman" w:hint="default"/>
          <w:sz w:val="18"/>
          <w:szCs w:val="18"/>
        </w:rPr>
        <w:sectPr>
          <w:footerReference w:type="default" r:id="rId37"/>
          <w:pgSz w:w="16840" w:h="11910" w:orient="landscape"/>
          <w:pgMar w:footer="980" w:header="867" w:top="1060" w:bottom="1160" w:left="1300" w:right="1280"/>
          <w:pgNumType w:start="11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455"/>
        <w:gridCol w:w="1183"/>
        <w:gridCol w:w="574"/>
        <w:gridCol w:w="574"/>
        <w:gridCol w:w="406"/>
        <w:gridCol w:w="1181"/>
        <w:gridCol w:w="1181"/>
        <w:gridCol w:w="1133"/>
        <w:gridCol w:w="745"/>
        <w:gridCol w:w="1090"/>
        <w:gridCol w:w="1181"/>
        <w:gridCol w:w="1318"/>
      </w:tblGrid>
      <w:tr>
        <w:trPr>
          <w:trHeight w:val="418" w:hRule="exact"/>
        </w:trPr>
        <w:tc>
          <w:tcPr>
            <w:tcW w:w="345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-5,155,000.00</w:t>
            </w:r>
          </w:p>
        </w:tc>
        <w:tc>
          <w:tcPr>
            <w:tcW w:w="5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26,989,336.23</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8" w:right="0"/>
              <w:jc w:val="center"/>
              <w:rPr>
                <w:rFonts w:ascii="Times New Roman" w:hAnsi="Times New Roman" w:cs="Times New Roman" w:eastAsia="Times New Roman" w:hint="default"/>
                <w:sz w:val="18"/>
                <w:szCs w:val="18"/>
              </w:rPr>
            </w:pPr>
            <w:r>
              <w:rPr>
                <w:rFonts w:ascii="Times New Roman"/>
                <w:sz w:val="18"/>
              </w:rPr>
              <w:t>-55,733,962.00</w:t>
            </w:r>
          </w:p>
        </w:tc>
        <w:tc>
          <w:tcPr>
            <w:tcW w:w="113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77,568,298.23</w:t>
            </w:r>
          </w:p>
        </w:tc>
      </w:tr>
      <w:tr>
        <w:trPr>
          <w:trHeight w:val="401"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1,110,000.00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12,995,503.44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14,105,503.44</w:t>
            </w:r>
          </w:p>
        </w:tc>
      </w:tr>
      <w:tr>
        <w:trPr>
          <w:trHeight w:val="401"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-6,265,000.00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13,993,832.79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-55,733,962.00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63,462,794.79</w:t>
            </w:r>
          </w:p>
        </w:tc>
      </w:tr>
      <w:tr>
        <w:trPr>
          <w:trHeight w:val="403"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-3,300,214.05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-3,300,214.05</w:t>
            </w:r>
          </w:p>
        </w:tc>
      </w:tr>
      <w:tr>
        <w:trPr>
          <w:trHeight w:val="404"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820,589,768.00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483,207,765.66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407,519,462.80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19,928,996.93</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77,652,101.58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274,244,628.69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1,268,103,798.06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3" w:firstLine="288"/>
        <w:jc w:val="both"/>
      </w:pPr>
      <w:r>
        <w:rPr/>
        <w:t>深圳市惠程信息科技股份有限公司（以下简称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，原名</w:t>
      </w:r>
      <w:r>
        <w:rPr>
          <w:rFonts w:ascii="Times New Roman" w:hAnsi="Times New Roman" w:cs="Times New Roman" w:eastAsia="Times New Roman" w:hint="default"/>
        </w:rPr>
        <w:t>“</w:t>
      </w:r>
      <w:r>
        <w:rPr/>
        <w:t>深圳市惠程电气股份有限公司</w:t>
      </w:r>
      <w:r>
        <w:rPr>
          <w:rFonts w:ascii="Times New Roman" w:hAnsi="Times New Roman" w:cs="Times New Roman" w:eastAsia="Times New Roman" w:hint="default"/>
        </w:rPr>
        <w:t>”</w:t>
      </w:r>
      <w:r>
        <w:rPr/>
        <w:t>）前身为深圳市 惠程电气有限责任公司，系于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日经深圳市工商局核准，由吕晓义、邓树坚共同发起设立的有限责任公司。</w:t>
      </w:r>
      <w:r>
        <w:rPr>
          <w:rFonts w:ascii="Times New Roman" w:hAnsi="Times New Roman" w:cs="Times New Roman" w:eastAsia="Times New Roman" w:hint="default"/>
        </w:rPr>
        <w:t>2002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日，经深圳市人民政府深府股【</w:t>
      </w:r>
      <w:r>
        <w:rPr>
          <w:rFonts w:ascii="Times New Roman" w:hAnsi="Times New Roman" w:cs="Times New Roman" w:eastAsia="Times New Roman" w:hint="default"/>
          <w:spacing w:val="-2"/>
        </w:rPr>
        <w:t>2002</w:t>
      </w:r>
      <w:r>
        <w:rPr>
          <w:spacing w:val="-2"/>
        </w:rPr>
        <w:t>】</w:t>
      </w:r>
      <w:r>
        <w:rPr>
          <w:rFonts w:ascii="Times New Roman" w:hAnsi="Times New Roman" w:cs="Times New Roman" w:eastAsia="Times New Roman" w:hint="default"/>
          <w:spacing w:val="-2"/>
        </w:rPr>
        <w:t>44</w:t>
      </w:r>
      <w:r>
        <w:rPr>
          <w:spacing w:val="-2"/>
        </w:rPr>
        <w:t>号</w:t>
      </w:r>
      <w:r>
        <w:rPr>
          <w:rFonts w:ascii="Times New Roman" w:hAnsi="Times New Roman" w:cs="Times New Roman" w:eastAsia="Times New Roman" w:hint="default"/>
          <w:spacing w:val="-2"/>
        </w:rPr>
        <w:t>“</w:t>
      </w:r>
      <w:r>
        <w:rPr>
          <w:spacing w:val="-2"/>
        </w:rPr>
        <w:t>关于以发起方式改组设立深圳市惠程电气股份有限公司的批复</w:t>
      </w:r>
      <w:r>
        <w:rPr>
          <w:rFonts w:ascii="Times New Roman" w:hAnsi="Times New Roman" w:cs="Times New Roman" w:eastAsia="Times New Roman" w:hint="default"/>
          <w:spacing w:val="-2"/>
        </w:rPr>
        <w:t>”</w:t>
      </w:r>
      <w:r>
        <w:rPr>
          <w:spacing w:val="-2"/>
        </w:rPr>
        <w:t>文件批</w:t>
      </w:r>
      <w:r>
        <w:rPr>
          <w:spacing w:val="-40"/>
        </w:rPr>
        <w:t> </w:t>
      </w:r>
      <w:r>
        <w:rPr/>
        <w:t>准，并经本公司股东会决议，整体变更为股份有限公司。公司统一社会信用代码：</w:t>
      </w:r>
      <w:r>
        <w:rPr>
          <w:rFonts w:ascii="Times New Roman" w:hAnsi="Times New Roman" w:cs="Times New Roman" w:eastAsia="Times New Roman" w:hint="default"/>
        </w:rPr>
        <w:t>914403007152119019</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月在深圳 证券交易所上市。所属行业为输配电及控制设备制造业、互联网和相关服务业。</w:t>
      </w:r>
    </w:p>
    <w:p>
      <w:pPr>
        <w:pStyle w:val="BodyText"/>
        <w:spacing w:line="312" w:lineRule="auto" w:before="31"/>
        <w:ind w:right="1034" w:firstLine="288"/>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日，本公司股本总数为</w:t>
      </w:r>
      <w:r>
        <w:rPr>
          <w:rFonts w:ascii="Times New Roman" w:hAnsi="Times New Roman" w:cs="Times New Roman" w:eastAsia="Times New Roman" w:hint="default"/>
        </w:rPr>
        <w:t>814,139,568.00</w:t>
      </w:r>
      <w:r>
        <w:rPr/>
        <w:t>股，注册资本为</w:t>
      </w:r>
      <w:r>
        <w:rPr>
          <w:rFonts w:ascii="Times New Roman" w:hAnsi="Times New Roman" w:cs="Times New Roman" w:eastAsia="Times New Roman" w:hint="default"/>
        </w:rPr>
        <w:t>814,139,568.00</w:t>
      </w:r>
      <w:r>
        <w:rPr/>
        <w:t>元，注册地：深圳市坪山新区大 工业区兰景路以东、锦绣路以南惠程科技工业厂区。本公司主要经营活动为电气设备的生产销售；证券、股权等相关投资；</w:t>
      </w:r>
      <w:r>
        <w:rPr>
          <w:spacing w:val="-86"/>
        </w:rPr>
        <w:t> </w:t>
      </w:r>
      <w:r>
        <w:rPr>
          <w:spacing w:val="-86"/>
        </w:rPr>
      </w:r>
      <w:r>
        <w:rPr>
          <w:spacing w:val="-2"/>
        </w:rPr>
        <w:t>网络技术服务、电脑游戏软件开发、计算机、软件及辅助设备销售、第二类增值电信业务中的信息服务业务（不含固定网电</w:t>
      </w:r>
      <w:r>
        <w:rPr>
          <w:spacing w:val="-67"/>
        </w:rPr>
        <w:t> </w:t>
      </w:r>
      <w:r>
        <w:rPr>
          <w:spacing w:val="-67"/>
        </w:rPr>
      </w:r>
      <w:r>
        <w:rPr/>
        <w:t>话信息服务和互联网信息服务）。本公司的实际控制人为汪超涌先生及李亦非女士。</w:t>
      </w:r>
    </w:p>
    <w:p>
      <w:pPr>
        <w:pStyle w:val="BodyText"/>
        <w:spacing w:line="300" w:lineRule="auto" w:before="23"/>
        <w:ind w:left="441" w:right="1125"/>
        <w:jc w:val="left"/>
      </w:pPr>
      <w:r>
        <w:rPr/>
        <w:t>本财务报表业经公司第六届董事会第三十一次会议于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04</w:t>
      </w:r>
      <w:r>
        <w:rPr/>
        <w:t>月</w:t>
      </w:r>
      <w:r>
        <w:rPr>
          <w:rFonts w:ascii="Times New Roman" w:hAnsi="Times New Roman" w:cs="Times New Roman" w:eastAsia="Times New Roman" w:hint="default"/>
        </w:rPr>
        <w:t>19</w:t>
      </w:r>
      <w:r>
        <w:rPr/>
        <w:t>日批准报出。 本公司合并财务报表范围包括本公司及喀什中汇联银创业投资有限公司（以下简称</w:t>
      </w:r>
      <w:r>
        <w:rPr>
          <w:rFonts w:ascii="Times New Roman" w:hAnsi="Times New Roman" w:cs="Times New Roman" w:eastAsia="Times New Roman" w:hint="default"/>
        </w:rPr>
        <w:t>“</w:t>
      </w:r>
      <w:r>
        <w:rPr/>
        <w:t>喀什中汇联银</w:t>
      </w:r>
      <w:r>
        <w:rPr>
          <w:rFonts w:ascii="Times New Roman" w:hAnsi="Times New Roman" w:cs="Times New Roman" w:eastAsia="Times New Roman" w:hint="default"/>
        </w:rPr>
        <w:t>”</w:t>
      </w:r>
      <w:r>
        <w:rPr/>
        <w:t>）、深圳市惠程智能</w:t>
      </w:r>
    </w:p>
    <w:p>
      <w:pPr>
        <w:pStyle w:val="BodyText"/>
        <w:spacing w:line="300" w:lineRule="auto" w:before="13"/>
        <w:ind w:right="1129"/>
        <w:jc w:val="both"/>
      </w:pPr>
      <w:r>
        <w:rPr>
          <w:spacing w:val="-1"/>
        </w:rPr>
        <w:t>电力设备有限公司（以下简称</w:t>
      </w:r>
      <w:r>
        <w:rPr>
          <w:rFonts w:ascii="Times New Roman" w:hAnsi="Times New Roman" w:cs="Times New Roman" w:eastAsia="Times New Roman" w:hint="default"/>
          <w:spacing w:val="-1"/>
        </w:rPr>
        <w:t>“</w:t>
      </w:r>
      <w:r>
        <w:rPr>
          <w:spacing w:val="-1"/>
        </w:rPr>
        <w:t>惠程智能</w:t>
      </w:r>
      <w:r>
        <w:rPr>
          <w:rFonts w:ascii="Times New Roman" w:hAnsi="Times New Roman" w:cs="Times New Roman" w:eastAsia="Times New Roman" w:hint="default"/>
          <w:spacing w:val="-1"/>
        </w:rPr>
        <w:t>”</w:t>
      </w:r>
      <w:r>
        <w:rPr>
          <w:spacing w:val="-1"/>
        </w:rPr>
        <w:t>）、香港惠程有限公司（以下简称</w:t>
      </w:r>
      <w:r>
        <w:rPr>
          <w:rFonts w:ascii="Times New Roman" w:hAnsi="Times New Roman" w:cs="Times New Roman" w:eastAsia="Times New Roman" w:hint="default"/>
          <w:spacing w:val="-1"/>
        </w:rPr>
        <w:t>“</w:t>
      </w:r>
      <w:r>
        <w:rPr>
          <w:spacing w:val="-1"/>
        </w:rPr>
        <w:t>香港惠程</w:t>
      </w:r>
      <w:r>
        <w:rPr>
          <w:rFonts w:ascii="Times New Roman" w:hAnsi="Times New Roman" w:cs="Times New Roman" w:eastAsia="Times New Roman" w:hint="default"/>
          <w:spacing w:val="-1"/>
        </w:rPr>
        <w:t>”</w:t>
      </w:r>
      <w:r>
        <w:rPr>
          <w:spacing w:val="-1"/>
        </w:rPr>
        <w:t>）、中汇联银投资管理（北京）有限</w:t>
      </w:r>
      <w:r>
        <w:rPr>
          <w:spacing w:val="-78"/>
        </w:rPr>
        <w:t> </w:t>
      </w:r>
      <w:r>
        <w:rPr>
          <w:spacing w:val="-78"/>
        </w:rPr>
      </w:r>
      <w:r>
        <w:rPr>
          <w:spacing w:val="-1"/>
        </w:rPr>
        <w:t>公司（以下简称</w:t>
      </w:r>
      <w:r>
        <w:rPr>
          <w:rFonts w:ascii="Times New Roman" w:hAnsi="Times New Roman" w:cs="Times New Roman" w:eastAsia="Times New Roman" w:hint="default"/>
          <w:spacing w:val="-1"/>
        </w:rPr>
        <w:t>“</w:t>
      </w:r>
      <w:r>
        <w:rPr>
          <w:spacing w:val="-1"/>
        </w:rPr>
        <w:t>北京中汇联银</w:t>
      </w:r>
      <w:r>
        <w:rPr>
          <w:rFonts w:ascii="Times New Roman" w:hAnsi="Times New Roman" w:cs="Times New Roman" w:eastAsia="Times New Roman" w:hint="default"/>
          <w:spacing w:val="-1"/>
        </w:rPr>
        <w:t>”</w:t>
      </w:r>
      <w:r>
        <w:rPr>
          <w:spacing w:val="-1"/>
        </w:rPr>
        <w:t>）、中行置盛投资（北京）有限公司（以下简称</w:t>
      </w:r>
      <w:r>
        <w:rPr>
          <w:rFonts w:ascii="Times New Roman" w:hAnsi="Times New Roman" w:cs="Times New Roman" w:eastAsia="Times New Roman" w:hint="default"/>
          <w:spacing w:val="-1"/>
        </w:rPr>
        <w:t>“</w:t>
      </w:r>
      <w:r>
        <w:rPr>
          <w:spacing w:val="-1"/>
        </w:rPr>
        <w:t>中行置盛</w:t>
      </w:r>
      <w:r>
        <w:rPr>
          <w:rFonts w:ascii="Times New Roman" w:hAnsi="Times New Roman" w:cs="Times New Roman" w:eastAsia="Times New Roman" w:hint="default"/>
          <w:spacing w:val="-1"/>
        </w:rPr>
        <w:t>”</w:t>
      </w:r>
      <w:r>
        <w:rPr>
          <w:spacing w:val="-1"/>
        </w:rPr>
        <w:t>）、中融建银投资（北京）有限</w:t>
      </w:r>
      <w:r>
        <w:rPr>
          <w:spacing w:val="-79"/>
        </w:rPr>
        <w:t> </w:t>
      </w:r>
      <w:r>
        <w:rPr>
          <w:spacing w:val="-79"/>
        </w:rPr>
      </w:r>
      <w:r>
        <w:rPr>
          <w:spacing w:val="-1"/>
        </w:rPr>
        <w:t>公司（以下简称</w:t>
      </w:r>
      <w:r>
        <w:rPr>
          <w:rFonts w:ascii="Times New Roman" w:hAnsi="Times New Roman" w:cs="Times New Roman" w:eastAsia="Times New Roman" w:hint="default"/>
          <w:spacing w:val="-1"/>
        </w:rPr>
        <w:t>“</w:t>
      </w:r>
      <w:r>
        <w:rPr>
          <w:spacing w:val="-1"/>
        </w:rPr>
        <w:t>中融建银</w:t>
      </w:r>
      <w:r>
        <w:rPr>
          <w:rFonts w:ascii="Times New Roman" w:hAnsi="Times New Roman" w:cs="Times New Roman" w:eastAsia="Times New Roman" w:hint="default"/>
          <w:spacing w:val="-1"/>
        </w:rPr>
        <w:t>”</w:t>
      </w:r>
      <w:r>
        <w:rPr>
          <w:spacing w:val="-1"/>
        </w:rPr>
        <w:t>）、中汇联鑫股权投资管理（深圳）合伙企业（有限合伙）（以下简称</w:t>
      </w:r>
      <w:r>
        <w:rPr>
          <w:rFonts w:ascii="Times New Roman" w:hAnsi="Times New Roman" w:cs="Times New Roman" w:eastAsia="Times New Roman" w:hint="default"/>
          <w:spacing w:val="-1"/>
        </w:rPr>
        <w:t>“</w:t>
      </w:r>
      <w:r>
        <w:rPr>
          <w:spacing w:val="-1"/>
        </w:rPr>
        <w:t>中汇联鑫</w:t>
      </w:r>
      <w:r>
        <w:rPr>
          <w:rFonts w:ascii="Times New Roman" w:hAnsi="Times New Roman" w:cs="Times New Roman" w:eastAsia="Times New Roman" w:hint="default"/>
          <w:spacing w:val="-1"/>
        </w:rPr>
        <w:t>”</w:t>
      </w:r>
      <w:r>
        <w:rPr>
          <w:spacing w:val="-1"/>
        </w:rPr>
        <w:t>）、豪琛投资</w:t>
      </w:r>
      <w:r>
        <w:rPr>
          <w:spacing w:val="-79"/>
        </w:rPr>
        <w:t> </w:t>
      </w:r>
      <w:r>
        <w:rPr>
          <w:spacing w:val="-79"/>
        </w:rPr>
      </w:r>
      <w:r>
        <w:rPr>
          <w:spacing w:val="-1"/>
        </w:rPr>
        <w:t>管理（上海）有限公司（以下简称</w:t>
      </w:r>
      <w:r>
        <w:rPr>
          <w:rFonts w:ascii="Times New Roman" w:hAnsi="Times New Roman" w:cs="Times New Roman" w:eastAsia="Times New Roman" w:hint="default"/>
          <w:spacing w:val="-1"/>
        </w:rPr>
        <w:t>“</w:t>
      </w:r>
      <w:r>
        <w:rPr>
          <w:spacing w:val="-1"/>
        </w:rPr>
        <w:t>豪琛投资</w:t>
      </w:r>
      <w:r>
        <w:rPr>
          <w:rFonts w:ascii="Times New Roman" w:hAnsi="Times New Roman" w:cs="Times New Roman" w:eastAsia="Times New Roman" w:hint="default"/>
          <w:spacing w:val="-1"/>
        </w:rPr>
        <w:t>”</w:t>
      </w:r>
      <w:r>
        <w:rPr>
          <w:spacing w:val="-1"/>
        </w:rPr>
        <w:t>）、鹏胤投资管理（上海）有限公司（以下简称</w:t>
      </w:r>
      <w:r>
        <w:rPr>
          <w:rFonts w:ascii="Times New Roman" w:hAnsi="Times New Roman" w:cs="Times New Roman" w:eastAsia="Times New Roman" w:hint="default"/>
          <w:spacing w:val="-1"/>
        </w:rPr>
        <w:t>“</w:t>
      </w:r>
      <w:r>
        <w:rPr>
          <w:spacing w:val="-1"/>
        </w:rPr>
        <w:t>鹏胤投资</w:t>
      </w:r>
      <w:r>
        <w:rPr>
          <w:rFonts w:ascii="Times New Roman" w:hAnsi="Times New Roman" w:cs="Times New Roman" w:eastAsia="Times New Roman" w:hint="default"/>
          <w:spacing w:val="-1"/>
        </w:rPr>
        <w:t>”</w:t>
      </w:r>
      <w:r>
        <w:rPr>
          <w:spacing w:val="-1"/>
        </w:rPr>
        <w:t>）、北京中汇同盈</w:t>
      </w:r>
      <w:r>
        <w:rPr>
          <w:spacing w:val="-78"/>
        </w:rPr>
        <w:t> </w:t>
      </w:r>
      <w:r>
        <w:rPr>
          <w:spacing w:val="-78"/>
        </w:rPr>
      </w:r>
      <w:r>
        <w:rPr>
          <w:spacing w:val="-1"/>
        </w:rPr>
        <w:t>咨询服务有限公司（以下简称</w:t>
      </w:r>
      <w:r>
        <w:rPr>
          <w:rFonts w:ascii="Times New Roman" w:hAnsi="Times New Roman" w:cs="Times New Roman" w:eastAsia="Times New Roman" w:hint="default"/>
          <w:spacing w:val="-1"/>
        </w:rPr>
        <w:t>“</w:t>
      </w:r>
      <w:r>
        <w:rPr>
          <w:spacing w:val="-1"/>
        </w:rPr>
        <w:t>中汇同盈</w:t>
      </w:r>
      <w:r>
        <w:rPr>
          <w:rFonts w:ascii="Times New Roman" w:hAnsi="Times New Roman" w:cs="Times New Roman" w:eastAsia="Times New Roman" w:hint="default"/>
          <w:spacing w:val="-1"/>
        </w:rPr>
        <w:t>”</w:t>
      </w:r>
      <w:r>
        <w:rPr>
          <w:spacing w:val="-1"/>
        </w:rPr>
        <w:t>）、成都哆可梦网络科技有限公司（以下简称</w:t>
      </w:r>
      <w:r>
        <w:rPr>
          <w:rFonts w:ascii="Times New Roman" w:hAnsi="Times New Roman" w:cs="Times New Roman" w:eastAsia="Times New Roman" w:hint="default"/>
          <w:spacing w:val="-1"/>
        </w:rPr>
        <w:t>“</w:t>
      </w:r>
      <w:r>
        <w:rPr>
          <w:spacing w:val="-1"/>
        </w:rPr>
        <w:t>哆可梦</w:t>
      </w:r>
      <w:r>
        <w:rPr>
          <w:rFonts w:ascii="Times New Roman" w:hAnsi="Times New Roman" w:cs="Times New Roman" w:eastAsia="Times New Roman" w:hint="default"/>
          <w:spacing w:val="-1"/>
        </w:rPr>
        <w:t>”</w:t>
      </w:r>
      <w:r>
        <w:rPr>
          <w:spacing w:val="-1"/>
        </w:rPr>
        <w:t>）、成都吉乾网络科技有限</w:t>
      </w:r>
      <w:r>
        <w:rPr>
          <w:spacing w:val="-84"/>
        </w:rPr>
        <w:t> </w:t>
      </w:r>
      <w:r>
        <w:rPr>
          <w:spacing w:val="-84"/>
        </w:rPr>
      </w:r>
      <w:r>
        <w:rPr>
          <w:spacing w:val="-1"/>
        </w:rPr>
        <w:t>公司（以下简称</w:t>
      </w:r>
      <w:r>
        <w:rPr>
          <w:rFonts w:ascii="Times New Roman" w:hAnsi="Times New Roman" w:cs="Times New Roman" w:eastAsia="Times New Roman" w:hint="default"/>
          <w:spacing w:val="-1"/>
        </w:rPr>
        <w:t>“</w:t>
      </w:r>
      <w:r>
        <w:rPr>
          <w:spacing w:val="-1"/>
        </w:rPr>
        <w:t>吉乾科技</w:t>
      </w:r>
      <w:r>
        <w:rPr>
          <w:rFonts w:ascii="Times New Roman" w:hAnsi="Times New Roman" w:cs="Times New Roman" w:eastAsia="Times New Roman" w:hint="default"/>
          <w:spacing w:val="-1"/>
        </w:rPr>
        <w:t>”</w:t>
      </w:r>
      <w:r>
        <w:rPr>
          <w:spacing w:val="-1"/>
        </w:rPr>
        <w:t>）、上海旭梅网络科技有限公司（以下简称</w:t>
      </w:r>
      <w:r>
        <w:rPr>
          <w:rFonts w:ascii="Times New Roman" w:hAnsi="Times New Roman" w:cs="Times New Roman" w:eastAsia="Times New Roman" w:hint="default"/>
          <w:spacing w:val="-1"/>
        </w:rPr>
        <w:t>“</w:t>
      </w:r>
      <w:r>
        <w:rPr>
          <w:spacing w:val="-1"/>
        </w:rPr>
        <w:t>旭梅网络</w:t>
      </w:r>
      <w:r>
        <w:rPr>
          <w:rFonts w:ascii="Times New Roman" w:hAnsi="Times New Roman" w:cs="Times New Roman" w:eastAsia="Times New Roman" w:hint="default"/>
          <w:spacing w:val="-1"/>
        </w:rPr>
        <w:t>”</w:t>
      </w:r>
      <w:r>
        <w:rPr>
          <w:spacing w:val="-1"/>
        </w:rPr>
        <w:t>）、上海游湛网络科技有限公司（以下简</w:t>
      </w:r>
      <w:r>
        <w:rPr>
          <w:spacing w:val="-75"/>
        </w:rPr>
        <w:t> </w:t>
      </w:r>
      <w:r>
        <w:rPr>
          <w:spacing w:val="-75"/>
        </w:rPr>
      </w:r>
      <w:r>
        <w:rPr/>
        <w:t>称</w:t>
      </w:r>
      <w:r>
        <w:rPr>
          <w:rFonts w:ascii="Times New Roman" w:hAnsi="Times New Roman" w:cs="Times New Roman" w:eastAsia="Times New Roman" w:hint="default"/>
        </w:rPr>
        <w:t>“</w:t>
      </w:r>
      <w:r>
        <w:rPr/>
        <w:t>游湛网络</w:t>
      </w:r>
      <w:r>
        <w:rPr>
          <w:rFonts w:ascii="Times New Roman" w:hAnsi="Times New Roman" w:cs="Times New Roman" w:eastAsia="Times New Roman" w:hint="default"/>
        </w:rPr>
        <w:t>”</w:t>
      </w:r>
      <w:r>
        <w:rPr/>
        <w:t>）、上海华向文化传播有限公司（以下简称</w:t>
      </w:r>
      <w:r>
        <w:rPr>
          <w:rFonts w:ascii="Times New Roman" w:hAnsi="Times New Roman" w:cs="Times New Roman" w:eastAsia="Times New Roman" w:hint="default"/>
        </w:rPr>
        <w:t>“</w:t>
      </w:r>
      <w:r>
        <w:rPr/>
        <w:t>华向文化</w:t>
      </w:r>
      <w:r>
        <w:rPr>
          <w:rFonts w:ascii="Times New Roman" w:hAnsi="Times New Roman" w:cs="Times New Roman" w:eastAsia="Times New Roman" w:hint="default"/>
        </w:rPr>
        <w:t>”</w:t>
      </w:r>
      <w:r>
        <w:rPr/>
        <w:t>）、霍尔果斯乐珩网络科技有限公司（以下简称</w:t>
      </w:r>
      <w:r>
        <w:rPr>
          <w:rFonts w:ascii="Times New Roman" w:hAnsi="Times New Roman" w:cs="Times New Roman" w:eastAsia="Times New Roman" w:hint="default"/>
        </w:rPr>
        <w:t>“</w:t>
      </w:r>
      <w:r>
        <w:rPr/>
        <w:t>乐珩 </w:t>
      </w:r>
      <w:r>
        <w:rPr>
          <w:spacing w:val="-3"/>
        </w:rPr>
        <w:t>网络</w:t>
      </w:r>
      <w:r>
        <w:rPr>
          <w:rFonts w:ascii="Times New Roman" w:hAnsi="Times New Roman" w:cs="Times New Roman" w:eastAsia="Times New Roman" w:hint="default"/>
          <w:spacing w:val="-3"/>
        </w:rPr>
        <w:t>”</w:t>
      </w:r>
      <w:r>
        <w:rPr>
          <w:spacing w:val="-3"/>
        </w:rPr>
        <w:t>）、霍尔果斯璿游网络科技有限公司（以下简称</w:t>
      </w:r>
      <w:r>
        <w:rPr>
          <w:rFonts w:ascii="Times New Roman" w:hAnsi="Times New Roman" w:cs="Times New Roman" w:eastAsia="Times New Roman" w:hint="default"/>
          <w:spacing w:val="-3"/>
        </w:rPr>
        <w:t>“</w:t>
      </w:r>
      <w:r>
        <w:rPr>
          <w:spacing w:val="-3"/>
        </w:rPr>
        <w:t>璿游网络</w:t>
      </w:r>
      <w:r>
        <w:rPr>
          <w:rFonts w:ascii="Times New Roman" w:hAnsi="Times New Roman" w:cs="Times New Roman" w:eastAsia="Times New Roman" w:hint="default"/>
          <w:spacing w:val="-3"/>
        </w:rPr>
        <w:t>”</w:t>
      </w:r>
      <w:r>
        <w:rPr>
          <w:spacing w:val="-3"/>
        </w:rPr>
        <w:t>）、上海季娱网络科技有限公司（以下简称</w:t>
      </w:r>
      <w:r>
        <w:rPr>
          <w:rFonts w:ascii="Times New Roman" w:hAnsi="Times New Roman" w:cs="Times New Roman" w:eastAsia="Times New Roman" w:hint="default"/>
          <w:spacing w:val="-3"/>
        </w:rPr>
        <w:t>“</w:t>
      </w:r>
      <w:r>
        <w:rPr>
          <w:spacing w:val="-3"/>
        </w:rPr>
        <w:t>上海季娱</w:t>
      </w:r>
      <w:r>
        <w:rPr>
          <w:rFonts w:ascii="Times New Roman" w:hAnsi="Times New Roman" w:cs="Times New Roman" w:eastAsia="Times New Roman" w:hint="default"/>
          <w:spacing w:val="-3"/>
        </w:rPr>
        <w:t>”</w:t>
      </w:r>
      <w:r>
        <w:rPr>
          <w:spacing w:val="-3"/>
        </w:rPr>
        <w:t>）、</w:t>
      </w:r>
      <w:r>
        <w:rPr>
          <w:spacing w:val="-60"/>
        </w:rPr>
        <w:t> </w:t>
      </w:r>
      <w:r>
        <w:rPr>
          <w:spacing w:val="-2"/>
        </w:rPr>
        <w:t>成都珂星网络科技有限公司（以下简称</w:t>
      </w:r>
      <w:r>
        <w:rPr>
          <w:rFonts w:ascii="Times New Roman" w:hAnsi="Times New Roman" w:cs="Times New Roman" w:eastAsia="Times New Roman" w:hint="default"/>
          <w:spacing w:val="-2"/>
        </w:rPr>
        <w:t>“</w:t>
      </w:r>
      <w:r>
        <w:rPr>
          <w:spacing w:val="-2"/>
        </w:rPr>
        <w:t>珂星网络</w:t>
      </w:r>
      <w:r>
        <w:rPr>
          <w:rFonts w:ascii="Times New Roman" w:hAnsi="Times New Roman" w:cs="Times New Roman" w:eastAsia="Times New Roman" w:hint="default"/>
          <w:spacing w:val="-2"/>
        </w:rPr>
        <w:t>”</w:t>
      </w:r>
      <w:r>
        <w:rPr>
          <w:spacing w:val="-2"/>
        </w:rPr>
        <w:t>）、葫芦岛共创网络科技有限公司（以下简称“共创网络”）、翔瑞科技</w:t>
      </w:r>
      <w:r>
        <w:rPr>
          <w:spacing w:val="-47"/>
        </w:rPr>
        <w:t> </w:t>
      </w:r>
      <w:r>
        <w:rPr>
          <w:spacing w:val="-47"/>
        </w:rPr>
      </w:r>
      <w:r>
        <w:rPr/>
        <w:t>有限公司（以下简称“翔瑞科技”）。</w:t>
      </w:r>
    </w:p>
    <w:p>
      <w:pPr>
        <w:pStyle w:val="BodyText"/>
        <w:spacing w:line="300" w:lineRule="auto" w:before="31"/>
        <w:ind w:right="1196" w:firstLine="288"/>
        <w:jc w:val="left"/>
      </w:pPr>
      <w:r>
        <w:rPr>
          <w:rFonts w:ascii="Times New Roman" w:hAnsi="Times New Roman" w:cs="Times New Roman" w:eastAsia="Times New Roman" w:hint="default"/>
        </w:rPr>
        <w:t>2018</w:t>
      </w:r>
      <w:r>
        <w:rPr/>
        <w:t>年合并范围相比上年，增加</w:t>
      </w:r>
      <w:r>
        <w:rPr>
          <w:rFonts w:ascii="Times New Roman" w:hAnsi="Times New Roman" w:cs="Times New Roman" w:eastAsia="Times New Roman" w:hint="default"/>
        </w:rPr>
        <w:t>1</w:t>
      </w:r>
      <w:r>
        <w:rPr/>
        <w:t>家控股子公司上海季娱及其下属</w:t>
      </w:r>
      <w:r>
        <w:rPr>
          <w:rFonts w:ascii="Times New Roman" w:hAnsi="Times New Roman" w:cs="Times New Roman" w:eastAsia="Times New Roman" w:hint="default"/>
        </w:rPr>
        <w:t>1</w:t>
      </w:r>
      <w:r>
        <w:rPr/>
        <w:t>家子公司珂星网络，以及哆可梦下属</w:t>
      </w:r>
      <w:r>
        <w:rPr>
          <w:rFonts w:ascii="Times New Roman" w:hAnsi="Times New Roman" w:cs="Times New Roman" w:eastAsia="Times New Roman" w:hint="default"/>
        </w:rPr>
        <w:t>2</w:t>
      </w:r>
      <w:r>
        <w:rPr/>
        <w:t>家子公司共创 网络、翔瑞科技。</w:t>
      </w:r>
    </w:p>
    <w:p>
      <w:pPr>
        <w:pStyle w:val="BodyText"/>
        <w:spacing w:line="240" w:lineRule="auto" w:before="31"/>
        <w:ind w:left="441" w:right="1133"/>
        <w:jc w:val="left"/>
      </w:pPr>
      <w:r>
        <w:rPr/>
        <w:t>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及本附注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相关内容。</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19" w:firstLine="360"/>
        <w:jc w:val="left"/>
      </w:pPr>
      <w:r>
        <w:rPr>
          <w:spacing w:val="-5"/>
        </w:rPr>
        <w:t>公司以持续经营为财务报表的编制基础，以权责发生制为记账基础。根据实际发生的交易和事项，按照财政部颁布的《企</w:t>
      </w:r>
      <w:r>
        <w:rPr/>
        <w:t> 业会计准则》及相关规定，并基于本附注</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所述会计政策和会计估计编制。</w:t>
      </w:r>
    </w:p>
    <w:p>
      <w:pPr>
        <w:spacing w:line="240" w:lineRule="auto" w:before="2"/>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23" w:firstLine="271"/>
        <w:jc w:val="left"/>
      </w:pPr>
      <w:r>
        <w:rPr/>
        <w:t>本公司对自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日起</w:t>
      </w:r>
      <w:r>
        <w:rPr>
          <w:rFonts w:ascii="Times New Roman" w:hAnsi="Times New Roman" w:cs="Times New Roman" w:eastAsia="Times New Roman" w:hint="default"/>
        </w:rPr>
        <w:t>12</w:t>
      </w:r>
      <w:r>
        <w:rPr/>
        <w:t>个月的持续经营能力进行了评价，未发现对持续经营能力产生重大怀疑的事项和情况。 因此，本财务报表系在持续经营假设的基础上编制。</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240" w:lineRule="auto" w:before="29"/>
        <w:ind w:right="0"/>
        <w:jc w:val="both"/>
      </w:pPr>
      <w:r>
        <w:rPr/>
        <w:t>软件与信息技术服务业</w:t>
      </w:r>
    </w:p>
    <w:p>
      <w:pPr>
        <w:spacing w:after="0" w:line="240" w:lineRule="auto"/>
        <w:jc w:val="both"/>
        <w:sectPr>
          <w:headerReference w:type="default" r:id="rId38"/>
          <w:footerReference w:type="default" r:id="rId39"/>
          <w:pgSz w:w="11910" w:h="16840"/>
          <w:pgMar w:header="877" w:footer="979" w:top="1100" w:bottom="1160" w:left="980" w:right="0"/>
          <w:pgNumType w:start="112"/>
        </w:sectPr>
      </w:pPr>
    </w:p>
    <w:p>
      <w:pPr>
        <w:spacing w:line="240" w:lineRule="auto" w:before="11"/>
        <w:rPr>
          <w:rFonts w:ascii="宋体" w:hAnsi="宋体" w:cs="宋体" w:eastAsia="宋体" w:hint="default"/>
          <w:sz w:val="21"/>
          <w:szCs w:val="21"/>
        </w:rPr>
      </w:pPr>
    </w:p>
    <w:p>
      <w:pPr>
        <w:pStyle w:val="BodyText"/>
        <w:spacing w:line="360" w:lineRule="auto" w:before="44"/>
        <w:ind w:right="7694"/>
        <w:jc w:val="left"/>
      </w:pPr>
      <w:r>
        <w:rPr/>
        <w:t>具体会计政策和会计估计提示： 详见以下内容。</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0" w:firstLine="288"/>
        <w:jc w:val="left"/>
      </w:pPr>
      <w:r>
        <w:rPr/>
        <w:t>公司财务报表及附注系按财政部颁布的《企业会计准则》、应用指南、企业会计准则解释、中国证券监督管理委员会发 布的《公开发行证券的公司信息披露编报规则第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》以及相关补充规定的要求编制，</w:t>
      </w:r>
      <w:r>
        <w:rPr>
          <w:spacing w:val="-31"/>
        </w:rPr>
        <w:t> </w:t>
      </w:r>
      <w:r>
        <w:rPr>
          <w:spacing w:val="-31"/>
        </w:rPr>
      </w:r>
      <w:r>
        <w:rPr/>
        <w:t>真实、完整地反映了公司的财务状况、经营成果和现金流量等有关信息。</w:t>
      </w:r>
    </w:p>
    <w:p>
      <w:pPr>
        <w:spacing w:line="240" w:lineRule="auto" w:before="3"/>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133"/>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41" w:right="1133"/>
        <w:jc w:val="left"/>
      </w:pPr>
      <w:r>
        <w:rPr/>
        <w:t>本公司以</w:t>
      </w:r>
      <w:r>
        <w:rPr>
          <w:rFonts w:ascii="Times New Roman" w:hAnsi="Times New Roman" w:cs="Times New Roman" w:eastAsia="Times New Roman" w:hint="default"/>
        </w:rPr>
        <w:t>12</w:t>
      </w:r>
      <w:r>
        <w:rPr/>
        <w:t>个月作为一个营业周期，并以其作为资产和负债的流动性划分标准。</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本公司以人民币为记账本位币。</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1" w:firstLine="360"/>
        <w:jc w:val="both"/>
      </w:pPr>
      <w:r>
        <w:rPr>
          <w:rFonts w:ascii="Times New Roman" w:hAnsi="Times New Roman" w:cs="Times New Roman" w:eastAsia="Times New Roman" w:hint="default"/>
        </w:rPr>
        <w:t>(1)</w:t>
      </w:r>
      <w:r>
        <w:rPr/>
        <w:t>在同一控制下的企业合并中，公司作为购买方取得对其他参与合并企业的控制权，如以支付现金、转让非现金资产</w:t>
      </w:r>
      <w:r>
        <w:rPr>
          <w:w w:val="99"/>
        </w:rPr>
        <w:t> </w:t>
      </w:r>
      <w:r>
        <w:rPr>
          <w:spacing w:val="-2"/>
          <w:w w:val="99"/>
        </w:rPr>
        <w:t>或承担债务方式作为合并对价的，在合并日按照被合并方所有者权益在最终控制方合并财务报表中的账面价值的份额作为长</w:t>
      </w:r>
      <w:r>
        <w:rPr>
          <w:spacing w:val="-64"/>
          <w:w w:val="99"/>
        </w:rPr>
        <w:t> </w:t>
      </w:r>
      <w:r>
        <w:rPr>
          <w:spacing w:val="-64"/>
          <w:w w:val="99"/>
        </w:rPr>
      </w:r>
      <w:r>
        <w:rPr>
          <w:spacing w:val="-2"/>
        </w:rPr>
        <w:t>期股权投资的初始投资成本，长期股权投资初始投资成本与支付的现金、转让的非现金资产以及所承担债务账面价值之间的</w:t>
      </w:r>
      <w:r>
        <w:rPr>
          <w:spacing w:val="-65"/>
        </w:rPr>
        <w:t> </w:t>
      </w:r>
      <w:r>
        <w:rPr>
          <w:spacing w:val="-65"/>
        </w:rPr>
      </w:r>
      <w:r>
        <w:rPr>
          <w:spacing w:val="-2"/>
        </w:rPr>
        <w:t>差额，调整资本公积；资本公积不足冲减的，调整留存收益；如以发行权益性证券作为合并对价的，在合并日按照被合并方</w:t>
      </w:r>
      <w:r>
        <w:rPr>
          <w:spacing w:val="-68"/>
        </w:rPr>
        <w:t> </w:t>
      </w:r>
      <w:r>
        <w:rPr>
          <w:spacing w:val="-68"/>
        </w:rPr>
      </w:r>
      <w:r>
        <w:rPr>
          <w:spacing w:val="-2"/>
          <w:w w:val="99"/>
        </w:rPr>
        <w:t>所有者权益在最终控制方合并财务报表中的账面价值的份额作为长期股权投资的初始投资成本，按照发行股份的面值总额作</w:t>
      </w:r>
      <w:r>
        <w:rPr>
          <w:spacing w:val="-63"/>
          <w:w w:val="99"/>
        </w:rPr>
        <w:t> </w:t>
      </w:r>
      <w:r>
        <w:rPr>
          <w:spacing w:val="-63"/>
          <w:w w:val="99"/>
        </w:rPr>
      </w:r>
      <w:r>
        <w:rPr>
          <w:spacing w:val="-2"/>
        </w:rPr>
        <w:t>为股本，长期股权投资初始投资成本与所发行股份面值总额之间的差额，调整资本公积，资本公积不足冲减的，调整留存收</w:t>
      </w:r>
      <w:r>
        <w:rPr>
          <w:spacing w:val="-65"/>
        </w:rPr>
        <w:t> </w:t>
      </w:r>
      <w:r>
        <w:rPr>
          <w:spacing w:val="-65"/>
        </w:rPr>
      </w:r>
      <w:r>
        <w:rPr>
          <w:spacing w:val="-2"/>
        </w:rPr>
        <w:t>益。为进行企业合并发生的审计、法律服务、评估咨询等中介费用以及其他相关管理费用，于发生时计入当期损益。为企业</w:t>
      </w:r>
      <w:r>
        <w:rPr>
          <w:spacing w:val="-68"/>
        </w:rPr>
        <w:t> </w:t>
      </w:r>
      <w:r>
        <w:rPr>
          <w:spacing w:val="-68"/>
        </w:rPr>
      </w:r>
      <w:r>
        <w:rPr>
          <w:spacing w:val="-2"/>
        </w:rPr>
        <w:t>合并发行的债券或承担其他债务支付的手续费、佣金等，应当计入所发行债券及其他债务的初始计量金额。企业合并中发行</w:t>
      </w:r>
      <w:r>
        <w:rPr>
          <w:spacing w:val="-67"/>
        </w:rPr>
        <w:t> </w:t>
      </w:r>
      <w:r>
        <w:rPr>
          <w:spacing w:val="-67"/>
        </w:rPr>
      </w:r>
      <w:r>
        <w:rPr/>
        <w:t>权益性证券发生的手续费、佣金等费用，应当抵减权益性证券溢价收入，溢价收入不足冲减的，冲减留存收益。</w:t>
      </w:r>
    </w:p>
    <w:p>
      <w:pPr>
        <w:pStyle w:val="BodyText"/>
        <w:spacing w:line="240" w:lineRule="auto" w:before="19"/>
        <w:ind w:left="513" w:right="1133"/>
        <w:jc w:val="left"/>
      </w:pPr>
      <w:r>
        <w:rPr>
          <w:rFonts w:ascii="Times New Roman" w:hAnsi="Times New Roman" w:cs="Times New Roman" w:eastAsia="Times New Roman" w:hint="default"/>
        </w:rPr>
        <w:t>(2)</w:t>
      </w:r>
      <w:r>
        <w:rPr/>
        <w:t>公司对外合并如属非同一控制下的企业合并，按下列情况确定长期股权投资的初始投资成本：</w:t>
      </w:r>
    </w:p>
    <w:p>
      <w:pPr>
        <w:pStyle w:val="BodyText"/>
        <w:spacing w:line="316" w:lineRule="auto" w:before="63"/>
        <w:ind w:right="0" w:firstLine="360"/>
        <w:jc w:val="left"/>
      </w:pPr>
      <w:r>
        <w:rPr>
          <w:spacing w:val="-2"/>
        </w:rPr>
        <w:t>①一次交换交易实现的企业合并，长期股权投资的初始投资成本为购买方在购买日为取得对被购买方的控制权而付出的</w:t>
      </w:r>
      <w:r>
        <w:rPr/>
        <w:t> 资产、发生或承担的负债以及发行的权益性证券的公允价值；</w:t>
      </w:r>
    </w:p>
    <w:p>
      <w:pPr>
        <w:pStyle w:val="BodyText"/>
        <w:spacing w:line="240" w:lineRule="auto" w:before="19"/>
        <w:ind w:left="513" w:right="1133"/>
        <w:jc w:val="left"/>
      </w:pPr>
      <w:r>
        <w:rPr/>
        <w:t>②通过多次交换交易分步实现的企业合并，长期股权投资的初始投资成本为每一单项交易成本之和；</w:t>
      </w:r>
    </w:p>
    <w:p>
      <w:pPr>
        <w:pStyle w:val="BodyText"/>
        <w:spacing w:line="316" w:lineRule="auto" w:before="76"/>
        <w:ind w:right="1132" w:firstLine="360"/>
        <w:jc w:val="left"/>
      </w:pPr>
      <w:r>
        <w:rPr>
          <w:spacing w:val="-2"/>
        </w:rPr>
        <w:t>③为进行企业合并发生的审计、法律服务、评估咨询等中介费用以及其他相关管理费用，于发生时计入当期损益；作为</w:t>
      </w:r>
      <w:r>
        <w:rPr/>
        <w:t> 合并对价发行的权益性证券或债务性证券的交易费用，计入权益性证券或债务性证券的初始确认金额；</w:t>
      </w:r>
    </w:p>
    <w:p>
      <w:pPr>
        <w:pStyle w:val="BodyText"/>
        <w:spacing w:line="316" w:lineRule="auto" w:before="19"/>
        <w:ind w:right="0" w:firstLine="360"/>
        <w:jc w:val="left"/>
      </w:pPr>
      <w:r>
        <w:rPr>
          <w:spacing w:val="-2"/>
        </w:rPr>
        <w:t>④在合并合同或协议中对可能影响合并成本的未来事项作出约定的，在购买日如果估计未来事项很可能发生并且对合并</w:t>
      </w:r>
      <w:r>
        <w:rPr/>
        <w:t> 成本的影响金额能够可靠计量的，将其计入长期股权投资的初始投资成本。</w:t>
      </w:r>
    </w:p>
    <w:p>
      <w:pPr>
        <w:pStyle w:val="BodyText"/>
        <w:spacing w:line="300" w:lineRule="auto" w:before="19"/>
        <w:ind w:right="1133" w:firstLine="360"/>
        <w:jc w:val="left"/>
      </w:pPr>
      <w:r>
        <w:rPr>
          <w:rFonts w:ascii="Times New Roman" w:hAnsi="Times New Roman" w:cs="Times New Roman" w:eastAsia="Times New Roman" w:hint="default"/>
        </w:rPr>
        <w:t>(3)</w:t>
      </w:r>
      <w:r>
        <w:rPr/>
        <w:t>公司对外合并如属非同一控制下的企业合并，对长期股权投资的初始投资成本大于合并中取得的被购买方可辨认净</w:t>
      </w:r>
      <w:r>
        <w:rPr>
          <w:w w:val="99"/>
        </w:rPr>
        <w:t> </w:t>
      </w:r>
      <w:r>
        <w:rPr/>
        <w:t>资产公允价值份额的差额，确认为商誉。</w:t>
      </w:r>
    </w:p>
    <w:p>
      <w:pPr>
        <w:pStyle w:val="BodyText"/>
        <w:spacing w:line="240" w:lineRule="auto" w:before="31"/>
        <w:ind w:left="513" w:right="1133"/>
        <w:jc w:val="left"/>
      </w:pPr>
      <w:r>
        <w:rPr/>
        <w:t>对长期股权投资的初始投资成本小于合并中取得的被购买方可辨认净资产公允价值份额的差额，按照下列方法处理：</w:t>
      </w:r>
    </w:p>
    <w:p>
      <w:pPr>
        <w:pStyle w:val="BodyText"/>
        <w:spacing w:line="240" w:lineRule="auto" w:before="77"/>
        <w:ind w:left="513" w:right="1133"/>
        <w:jc w:val="left"/>
      </w:pPr>
      <w:r>
        <w:rPr/>
        <w:t>①对取得的被购买方各项可辨认资产、负债及或有负债的公允价值以及合并成本的计量进行复核；</w:t>
      </w:r>
    </w:p>
    <w:p>
      <w:pPr>
        <w:pStyle w:val="BodyText"/>
        <w:spacing w:line="240" w:lineRule="auto" w:before="76"/>
        <w:ind w:left="513" w:right="1133"/>
        <w:jc w:val="left"/>
      </w:pPr>
      <w:r>
        <w:rPr/>
        <w:t>②经复核后合并成本仍小于合并中取得的被购买方可辨认净资产公允价值份额的，其差额应当计入当期损益。</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1" w:firstLine="288"/>
        <w:jc w:val="both"/>
      </w:pPr>
      <w:r>
        <w:rPr>
          <w:spacing w:val="-2"/>
        </w:rPr>
        <w:t>合并财务报表的合并范围以控制为基础予以确定。控制，是指投资方拥有对被投资方的权力</w:t>
      </w:r>
      <w:r>
        <w:rPr>
          <w:rFonts w:ascii="Times New Roman" w:hAnsi="Times New Roman" w:cs="Times New Roman" w:eastAsia="Times New Roman" w:hint="default"/>
          <w:spacing w:val="-2"/>
        </w:rPr>
        <w:t>,</w:t>
      </w:r>
      <w:r>
        <w:rPr>
          <w:spacing w:val="-2"/>
        </w:rPr>
        <w:t>通过参与被投资方的相关活</w:t>
      </w:r>
      <w:r>
        <w:rPr/>
        <w:t> 动而享有可变回报，并且有能力运用对被投资方的权力影响其回报金额。</w:t>
      </w:r>
    </w:p>
    <w:p>
      <w:pPr>
        <w:pStyle w:val="BodyText"/>
        <w:spacing w:line="300" w:lineRule="auto" w:before="31"/>
        <w:ind w:right="1134" w:firstLine="288"/>
        <w:jc w:val="both"/>
      </w:pPr>
      <w:r>
        <w:rPr>
          <w:spacing w:val="-2"/>
        </w:rPr>
        <w:t>母公司应当将其全部子公司纳入合并财务报表的合并范围。子公司，是指被公司控制的主体</w:t>
      </w:r>
      <w:r>
        <w:rPr>
          <w:rFonts w:ascii="Times New Roman" w:hAnsi="Times New Roman" w:cs="Times New Roman" w:eastAsia="Times New Roman" w:hint="default"/>
          <w:spacing w:val="-2"/>
        </w:rPr>
        <w:t>(</w:t>
      </w:r>
      <w:r>
        <w:rPr>
          <w:spacing w:val="-2"/>
        </w:rPr>
        <w:t>含企业、被投资单位中可分</w:t>
      </w:r>
      <w:r>
        <w:rPr/>
        <w:t> 割的部分，以及企业所控制的结构化主体等</w:t>
      </w:r>
      <w:r>
        <w:rPr>
          <w:rFonts w:ascii="Times New Roman" w:hAnsi="Times New Roman" w:cs="Times New Roman" w:eastAsia="Times New Roman" w:hint="default"/>
        </w:rPr>
        <w:t>)</w:t>
      </w:r>
      <w:r>
        <w:rPr/>
        <w:t>。</w:t>
      </w:r>
    </w:p>
    <w:p>
      <w:pPr>
        <w:pStyle w:val="BodyText"/>
        <w:spacing w:line="309" w:lineRule="auto" w:before="13"/>
        <w:ind w:right="1130" w:firstLine="288"/>
        <w:jc w:val="both"/>
      </w:pPr>
      <w:r>
        <w:rPr/>
        <w:t>如果母公司是投资性主体，则母公司应当仅将为其投资活动提供相关服务的子公司</w:t>
      </w:r>
      <w:r>
        <w:rPr>
          <w:rFonts w:ascii="Times New Roman" w:hAnsi="Times New Roman" w:cs="Times New Roman" w:eastAsia="Times New Roman" w:hint="default"/>
        </w:rPr>
        <w:t>(</w:t>
      </w:r>
      <w:r>
        <w:rPr/>
        <w:t>如有</w:t>
      </w:r>
      <w:r>
        <w:rPr>
          <w:rFonts w:ascii="Times New Roman" w:hAnsi="Times New Roman" w:cs="Times New Roman" w:eastAsia="Times New Roman" w:hint="default"/>
        </w:rPr>
        <w:t>)</w:t>
      </w:r>
      <w:r>
        <w:rPr/>
        <w:t>纳入合并范围并编制合并财务 </w:t>
      </w:r>
      <w:r>
        <w:rPr>
          <w:spacing w:val="-2"/>
        </w:rPr>
        <w:t>报表；其他子公司不应当予以合并，母公司对其他子公司的投资应当按照公允价值计量且其变动计入当期损益。当母公司同</w:t>
      </w:r>
      <w:r>
        <w:rPr>
          <w:spacing w:val="-63"/>
        </w:rPr>
        <w:t> </w:t>
      </w:r>
      <w:r>
        <w:rPr>
          <w:spacing w:val="-63"/>
        </w:rPr>
      </w:r>
      <w:r>
        <w:rPr/>
        <w:t>时满足下列条件时，该母公司属于投资性主体：</w:t>
      </w:r>
    </w:p>
    <w:p>
      <w:pPr>
        <w:pStyle w:val="BodyText"/>
        <w:spacing w:line="300" w:lineRule="auto" w:before="24"/>
        <w:ind w:left="441" w:right="0" w:firstLine="72"/>
        <w:jc w:val="left"/>
      </w:pPr>
      <w:r>
        <w:rPr>
          <w:rFonts w:ascii="Times New Roman" w:hAnsi="Times New Roman" w:cs="Times New Roman" w:eastAsia="Times New Roman" w:hint="default"/>
        </w:rPr>
        <w:t>(1)</w:t>
      </w:r>
      <w:r>
        <w:rPr/>
        <w:t>该母公司是以向投资者提供投资管理服务为目的，从一个或多个投资者处获取资金；</w:t>
      </w:r>
      <w:r>
        <w:rPr>
          <w:w w:val="99"/>
        </w:rPr>
        <w:t> </w:t>
      </w:r>
      <w:r>
        <w:rPr>
          <w:rFonts w:ascii="Times New Roman" w:hAnsi="Times New Roman" w:cs="Times New Roman" w:eastAsia="Times New Roman" w:hint="default"/>
        </w:rPr>
        <w:t>(2)</w:t>
      </w:r>
      <w:r>
        <w:rPr/>
        <w:t>该母公司的唯一经营目的，是通过资本增值、投资收益或两者兼有而让投资者获得回报；</w:t>
      </w:r>
      <w:r>
        <w:rPr>
          <w:w w:val="99"/>
        </w:rPr>
        <w:t> </w:t>
      </w:r>
      <w:r>
        <w:rPr>
          <w:rFonts w:ascii="Times New Roman" w:hAnsi="Times New Roman" w:cs="Times New Roman" w:eastAsia="Times New Roman" w:hint="default"/>
        </w:rPr>
        <w:t>(3)</w:t>
      </w:r>
      <w:r>
        <w:rPr/>
        <w:t>该母公司按照公允价值对几乎所有投资的业绩进行考量和评价。</w:t>
      </w:r>
      <w:r>
        <w:rPr>
          <w:w w:val="99"/>
        </w:rPr>
        <w:t> </w:t>
      </w:r>
      <w:r>
        <w:rPr/>
        <w:t>编制合并报表时，公司与被合并子公司采用统一的会计政策和期间。合并财务报表以公司和子公司的财务报表为基础，</w:t>
      </w:r>
    </w:p>
    <w:p>
      <w:pPr>
        <w:pStyle w:val="BodyText"/>
        <w:spacing w:line="316" w:lineRule="auto" w:before="31"/>
        <w:ind w:right="1130"/>
        <w:jc w:val="both"/>
      </w:pPr>
      <w:r>
        <w:rPr>
          <w:spacing w:val="-2"/>
        </w:rPr>
        <w:t>在抵销公司与子公司、子公司相互之间发生的内部交易对合并财务报表的影响后，由公司合并编制。公司在报告期内因同一</w:t>
      </w:r>
      <w:r>
        <w:rPr>
          <w:spacing w:val="-63"/>
        </w:rPr>
        <w:t> </w:t>
      </w:r>
      <w:r>
        <w:rPr>
          <w:spacing w:val="-63"/>
        </w:rPr>
      </w:r>
      <w:r>
        <w:rPr>
          <w:spacing w:val="-2"/>
        </w:rPr>
        <w:t>控制下企业合并增加的子公司，编制合并资产负债表时，调整合并资产负债表的年初数。因非同一控制下企业合并增加的子</w:t>
      </w:r>
      <w:r>
        <w:rPr>
          <w:spacing w:val="-66"/>
        </w:rPr>
        <w:t> </w:t>
      </w:r>
      <w:r>
        <w:rPr>
          <w:spacing w:val="-66"/>
        </w:rPr>
      </w:r>
      <w:r>
        <w:rPr>
          <w:spacing w:val="-2"/>
        </w:rPr>
        <w:t>公司，编制合并资产负债表时，不调整合并资产负债表的年初数。公司在报告期内因同一控制下企业合并增加的子公司，将</w:t>
      </w:r>
      <w:r>
        <w:rPr>
          <w:spacing w:val="-64"/>
        </w:rPr>
        <w:t> </w:t>
      </w:r>
      <w:r>
        <w:rPr>
          <w:spacing w:val="-64"/>
        </w:rPr>
      </w:r>
      <w:r>
        <w:rPr>
          <w:spacing w:val="-2"/>
        </w:rPr>
        <w:t>该子公司合并当期年初至报告期末的收入、费用、利润及现金流量纳入合并利润表及现金流量表。因非同一控制下企业合并</w:t>
      </w:r>
      <w:r>
        <w:rPr>
          <w:spacing w:val="-66"/>
        </w:rPr>
        <w:t> </w:t>
      </w:r>
      <w:r>
        <w:rPr>
          <w:spacing w:val="-66"/>
        </w:rPr>
      </w:r>
      <w:r>
        <w:rPr>
          <w:spacing w:val="-2"/>
        </w:rPr>
        <w:t>增加的子公司，将该子公司购买日至报告期末的收入、费用、利润及现金流量纳入合并利润表及现金流量表。公司在报告期</w:t>
      </w:r>
      <w:r>
        <w:rPr>
          <w:spacing w:val="-65"/>
        </w:rPr>
        <w:t> </w:t>
      </w:r>
      <w:r>
        <w:rPr>
          <w:spacing w:val="-65"/>
        </w:rPr>
      </w:r>
      <w:r>
        <w:rPr/>
        <w:t>内处置子公司，将该子公司年初至处置日的收入、费用、利润及现金流量纳入合并利润表及现金流量表。</w:t>
      </w:r>
    </w:p>
    <w:p>
      <w:pPr>
        <w:pStyle w:val="BodyText"/>
        <w:spacing w:line="307" w:lineRule="auto" w:before="19"/>
        <w:ind w:right="0" w:firstLine="288"/>
        <w:jc w:val="left"/>
      </w:pPr>
      <w:r>
        <w:rPr>
          <w:spacing w:val="-1"/>
        </w:rPr>
        <w:t>母公司购买子公司少数股东拥有的子公司股权，在合并财务报表中，因购买少数股权新取得的长期股权投资与按照新增</w:t>
      </w:r>
      <w:r>
        <w:rPr/>
        <w:t> 持股比例计算应享有子公司自购买日或合并日开始持续计算的净资产份额之间的差额，应当调整资本公积</w:t>
      </w:r>
      <w:r>
        <w:rPr>
          <w:rFonts w:ascii="Times New Roman" w:hAnsi="Times New Roman" w:cs="Times New Roman" w:eastAsia="Times New Roman" w:hint="default"/>
        </w:rPr>
        <w:t>(</w:t>
      </w:r>
      <w:r>
        <w:rPr/>
        <w:t>资本溢价或股本</w:t>
      </w:r>
      <w:r>
        <w:rPr>
          <w:spacing w:val="-54"/>
        </w:rPr>
        <w:t> </w:t>
      </w:r>
      <w:r>
        <w:rPr>
          <w:spacing w:val="-54"/>
        </w:rPr>
      </w:r>
      <w:r>
        <w:rPr/>
        <w:t>溢价</w:t>
      </w:r>
      <w:r>
        <w:rPr>
          <w:rFonts w:ascii="Times New Roman" w:hAnsi="Times New Roman" w:cs="Times New Roman" w:eastAsia="Times New Roman" w:hint="default"/>
        </w:rPr>
        <w:t>)</w:t>
      </w:r>
      <w:r>
        <w:rPr/>
        <w:t>，资本公积不足冲减的，调整留存收益。 </w:t>
      </w:r>
      <w:r>
        <w:rPr>
          <w:spacing w:val="-2"/>
        </w:rPr>
        <w:t>母公司在不丧失控制权的情况下部分处置对子公司的长期股权投资，在合并财务报表中，处置价款与处置长期股权投资相对</w:t>
      </w:r>
      <w:r>
        <w:rPr>
          <w:spacing w:val="-63"/>
        </w:rPr>
        <w:t> </w:t>
      </w:r>
      <w:r>
        <w:rPr>
          <w:spacing w:val="-63"/>
        </w:rPr>
      </w:r>
      <w:r>
        <w:rPr>
          <w:spacing w:val="-1"/>
        </w:rPr>
        <w:t>应享有子公司自购买日或合并日开始持续计算的净资产份额之间的差额，应当调整资本公积</w:t>
      </w:r>
      <w:r>
        <w:rPr>
          <w:rFonts w:ascii="Times New Roman" w:hAnsi="Times New Roman" w:cs="Times New Roman" w:eastAsia="Times New Roman" w:hint="default"/>
          <w:spacing w:val="-1"/>
        </w:rPr>
        <w:t>(</w:t>
      </w:r>
      <w:r>
        <w:rPr>
          <w:spacing w:val="-1"/>
        </w:rPr>
        <w:t>资本溢价或股本溢价</w:t>
      </w:r>
      <w:r>
        <w:rPr>
          <w:rFonts w:ascii="Times New Roman" w:hAnsi="Times New Roman" w:cs="Times New Roman" w:eastAsia="Times New Roman" w:hint="default"/>
          <w:spacing w:val="-1"/>
        </w:rPr>
        <w:t>)</w:t>
      </w:r>
      <w:r>
        <w:rPr>
          <w:spacing w:val="-1"/>
        </w:rPr>
        <w:t>，资本公</w:t>
      </w:r>
      <w:r>
        <w:rPr>
          <w:spacing w:val="-58"/>
        </w:rPr>
        <w:t> </w:t>
      </w:r>
      <w:r>
        <w:rPr>
          <w:spacing w:val="-58"/>
        </w:rPr>
      </w:r>
      <w:r>
        <w:rPr/>
        <w:t>积不足冲减的，调整留存收益。</w:t>
      </w:r>
    </w:p>
    <w:p>
      <w:pPr>
        <w:pStyle w:val="BodyText"/>
        <w:spacing w:line="316" w:lineRule="auto" w:before="26"/>
        <w:ind w:right="1131" w:firstLine="288"/>
        <w:jc w:val="both"/>
      </w:pPr>
      <w:r>
        <w:rPr>
          <w:spacing w:val="-1"/>
        </w:rPr>
        <w:t>企业因处置部分股权投资等原因丧失了对被投资方的控制权的，在编制合并财务报表时，对于剩余股权，应当按照其在</w:t>
      </w:r>
      <w:r>
        <w:rPr/>
        <w:t> </w:t>
      </w:r>
      <w:r>
        <w:rPr>
          <w:spacing w:val="-2"/>
        </w:rPr>
        <w:t>丧失控制权日的公允价值进行重新计量。处置股权取得的对价与剩余股权公允价值之和，减去按原持股比例计算应享有原有</w:t>
      </w:r>
      <w:r>
        <w:rPr>
          <w:spacing w:val="-64"/>
        </w:rPr>
        <w:t> </w:t>
      </w:r>
      <w:r>
        <w:rPr>
          <w:spacing w:val="-64"/>
        </w:rPr>
      </w:r>
      <w:r>
        <w:rPr>
          <w:spacing w:val="-2"/>
        </w:rPr>
        <w:t>子公司自购买日或合并日开始持续计算的净资产的份额之间的差额，计入丧失控制权当期的投资收益，同时冲减商誉。与原</w:t>
      </w:r>
      <w:r>
        <w:rPr>
          <w:spacing w:val="-63"/>
        </w:rPr>
        <w:t> </w:t>
      </w:r>
      <w:r>
        <w:rPr>
          <w:spacing w:val="-63"/>
        </w:rPr>
      </w:r>
      <w:r>
        <w:rPr>
          <w:spacing w:val="-2"/>
        </w:rPr>
        <w:t>有子公司股权投资相关的其他综合收益等，应当在丧失控制权时转为当期投资收益，由于被投资方重新计量设定受益计划净</w:t>
      </w:r>
      <w:r>
        <w:rPr>
          <w:spacing w:val="-64"/>
        </w:rPr>
        <w:t> </w:t>
      </w:r>
      <w:r>
        <w:rPr>
          <w:spacing w:val="-64"/>
        </w:rPr>
      </w:r>
      <w:r>
        <w:rPr/>
        <w:t>负债或净资产变动而产生的其他综合收益除外。</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0"/>
        <w:jc w:val="left"/>
      </w:pPr>
      <w:r>
        <w:rPr/>
        <w:t>合营安排分为共同经营和合营企业。 </w:t>
      </w:r>
      <w:r>
        <w:rPr>
          <w:spacing w:val="-2"/>
        </w:rPr>
        <w:t>共同经营，是指合营方享有该安排相关资产且承担该安排相关负债的合营安排。公司确认其与共同经营中利益份额相关</w:t>
      </w:r>
    </w:p>
    <w:p>
      <w:pPr>
        <w:pStyle w:val="BodyText"/>
        <w:spacing w:line="304" w:lineRule="auto" w:before="19"/>
        <w:ind w:left="513" w:right="4963" w:hanging="361"/>
        <w:jc w:val="left"/>
      </w:pPr>
      <w:r>
        <w:rPr/>
        <w:t>的下列项目，并按照相关企业会计准则的规定进行会计处理： </w:t>
      </w:r>
      <w:r>
        <w:rPr>
          <w:rFonts w:ascii="Times New Roman" w:hAnsi="Times New Roman" w:cs="Times New Roman" w:eastAsia="Times New Roman" w:hint="default"/>
        </w:rPr>
        <w:t>(1)</w:t>
      </w:r>
      <w:r>
        <w:rPr/>
        <w:t>确认单独所持有的资产，以及按其份额确认共同持有的资产； </w:t>
      </w:r>
      <w:r>
        <w:rPr>
          <w:rFonts w:ascii="Times New Roman" w:hAnsi="Times New Roman" w:cs="Times New Roman" w:eastAsia="Times New Roman" w:hint="default"/>
        </w:rPr>
        <w:t>(2)</w:t>
      </w:r>
      <w:r>
        <w:rPr/>
        <w:t>确认单独所承担的负债，以及按其份额确认共同承担的负债； </w:t>
      </w:r>
      <w:r>
        <w:rPr>
          <w:rFonts w:ascii="Times New Roman" w:hAnsi="Times New Roman" w:cs="Times New Roman" w:eastAsia="Times New Roman" w:hint="default"/>
        </w:rPr>
        <w:t>(3)</w:t>
      </w:r>
      <w:r>
        <w:rPr/>
        <w:t>确认出售其享有的共同经营产出份额所产生的收入； </w:t>
      </w:r>
      <w:r>
        <w:rPr>
          <w:rFonts w:ascii="Times New Roman" w:hAnsi="Times New Roman" w:cs="Times New Roman" w:eastAsia="Times New Roman" w:hint="default"/>
        </w:rPr>
        <w:t>(4)</w:t>
      </w:r>
      <w:r>
        <w:rPr/>
        <w:t>按其份额确认共同经营因出售产出所产生的收入； </w:t>
      </w:r>
      <w:r>
        <w:rPr>
          <w:rFonts w:ascii="Times New Roman" w:hAnsi="Times New Roman" w:cs="Times New Roman" w:eastAsia="Times New Roman" w:hint="default"/>
        </w:rPr>
        <w:t>(5)</w:t>
      </w:r>
      <w:r>
        <w:rPr/>
        <w:t>确认单独所发生的费用，以及按其份额确认共同经营发生的费用。</w:t>
      </w:r>
    </w:p>
    <w:p>
      <w:pPr>
        <w:pStyle w:val="BodyText"/>
        <w:spacing w:line="240" w:lineRule="auto" w:before="9"/>
        <w:ind w:left="513" w:right="1133"/>
        <w:jc w:val="left"/>
      </w:pPr>
      <w:r>
        <w:rPr/>
        <w:t>合营企业，是指合营方仅对该安排的净资产享有权利的合营安排。公司按照权益法对合营企业的投资进行会计处理。</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现金是指库存现金以及可以随时用于支付的存款。现金等价物是指公司持有的期限短、流动性强、易于转换为已知金额</w:t>
      </w:r>
      <w:r>
        <w:rPr/>
        <w:t> 现金、价值变动风险很小的投资。</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513" w:right="1133"/>
        <w:jc w:val="left"/>
      </w:pPr>
      <w:r>
        <w:rPr>
          <w:rFonts w:ascii="Times New Roman" w:hAnsi="Times New Roman" w:cs="Times New Roman" w:eastAsia="Times New Roman" w:hint="default"/>
        </w:rPr>
        <w:t>(1)</w:t>
      </w:r>
      <w:r>
        <w:rPr/>
        <w:t>外币交易在初始确认时，采用交易发生当日中国人民银行公布的人民币外汇牌价中间价将外币金额折算为人民币金</w:t>
      </w:r>
    </w:p>
    <w:p>
      <w:pPr>
        <w:pStyle w:val="BodyText"/>
        <w:spacing w:line="240" w:lineRule="auto" w:before="63"/>
        <w:ind w:right="1133"/>
        <w:jc w:val="left"/>
      </w:pPr>
      <w:r>
        <w:rPr/>
        <w:t>额。</w:t>
      </w:r>
    </w:p>
    <w:p>
      <w:pPr>
        <w:pStyle w:val="BodyText"/>
        <w:spacing w:line="240" w:lineRule="auto" w:before="76"/>
        <w:ind w:left="513" w:right="1133"/>
        <w:jc w:val="left"/>
      </w:pPr>
      <w:r>
        <w:rPr>
          <w:rFonts w:ascii="Times New Roman" w:hAnsi="Times New Roman" w:cs="Times New Roman" w:eastAsia="Times New Roman" w:hint="default"/>
        </w:rPr>
        <w:t>(2)</w:t>
      </w:r>
      <w:r>
        <w:rPr/>
        <w:t>于资产负债表日，按照下列方法对外币货币性项目和外币非货币性项目进行处理：</w:t>
      </w:r>
    </w:p>
    <w:p>
      <w:pPr>
        <w:pStyle w:val="BodyText"/>
        <w:spacing w:line="240" w:lineRule="auto" w:before="63"/>
        <w:ind w:left="513" w:right="0"/>
        <w:jc w:val="left"/>
      </w:pPr>
      <w:r>
        <w:rPr/>
        <w:t>①外币货币性项目，采用资产负债表日中国人民银行公布的人民币外汇牌价中间价折算。因资产负债表日即期汇率与初</w:t>
      </w:r>
    </w:p>
    <w:p>
      <w:pPr>
        <w:pStyle w:val="BodyText"/>
        <w:spacing w:line="240" w:lineRule="auto" w:before="77"/>
        <w:ind w:right="1133"/>
        <w:jc w:val="left"/>
      </w:pPr>
      <w:r>
        <w:rPr/>
        <w:t>始确认时或者前一资产负债表日即期汇率不同而产生的汇兑差额，计入当期损益。</w:t>
      </w:r>
    </w:p>
    <w:p>
      <w:pPr>
        <w:pStyle w:val="BodyText"/>
        <w:spacing w:line="316" w:lineRule="auto" w:before="76"/>
        <w:ind w:right="1129" w:firstLine="360"/>
        <w:jc w:val="both"/>
      </w:pPr>
      <w:r>
        <w:rPr>
          <w:spacing w:val="-2"/>
        </w:rPr>
        <w:t>②以历史成本计量的外币非货币性项目，仍采用交易发生日的即期汇率折算，不改变其记账本位币金额；以公允价值计</w:t>
      </w:r>
      <w:r>
        <w:rPr/>
        <w:t> </w:t>
      </w:r>
      <w:r>
        <w:rPr>
          <w:spacing w:val="-2"/>
        </w:rPr>
        <w:t>量的外币非货币性项目，采用公允价值确定日的即期汇率折算，折算后的记账本位币金额与原记账本位币金额的差额，作为</w:t>
      </w:r>
      <w:r>
        <w:rPr>
          <w:spacing w:val="-62"/>
        </w:rPr>
        <w:t> </w:t>
      </w:r>
      <w:r>
        <w:rPr>
          <w:spacing w:val="-62"/>
        </w:rPr>
      </w:r>
      <w:r>
        <w:rPr/>
        <w:t>公允价值变动</w:t>
      </w:r>
      <w:r>
        <w:rPr>
          <w:rFonts w:ascii="Times New Roman" w:hAnsi="Times New Roman" w:cs="Times New Roman" w:eastAsia="Times New Roman" w:hint="default"/>
        </w:rPr>
        <w:t>(</w:t>
      </w:r>
      <w:r>
        <w:rPr/>
        <w:t>含汇率变动</w:t>
      </w:r>
      <w:r>
        <w:rPr>
          <w:rFonts w:ascii="Times New Roman" w:hAnsi="Times New Roman" w:cs="Times New Roman" w:eastAsia="Times New Roman" w:hint="default"/>
        </w:rPr>
        <w:t>)</w:t>
      </w:r>
      <w:r>
        <w:rPr/>
        <w:t>处理，</w:t>
      </w:r>
      <w:r>
        <w:rPr>
          <w:spacing w:val="-18"/>
        </w:rPr>
        <w:t> </w:t>
      </w:r>
      <w:r>
        <w:rPr/>
        <w:t>并根据非货币性项目的性质计入当期损益或其他综合收益。</w:t>
      </w:r>
    </w:p>
    <w:p>
      <w:pPr>
        <w:pStyle w:val="BodyText"/>
        <w:spacing w:line="316" w:lineRule="auto"/>
        <w:ind w:left="513" w:right="2833"/>
        <w:jc w:val="left"/>
      </w:pPr>
      <w:r>
        <w:rPr/>
        <w:t>货币性项目，是指公司持有的货币资金和将以固定或可确定的金额收取的资产或者偿付的负债。 非货币性项目，是指货币性项目以外的项目。</w:t>
      </w:r>
    </w:p>
    <w:p>
      <w:pPr>
        <w:pStyle w:val="BodyText"/>
        <w:spacing w:line="240" w:lineRule="auto" w:before="19"/>
        <w:ind w:left="513" w:right="1133"/>
        <w:jc w:val="left"/>
      </w:pPr>
      <w:r>
        <w:rPr>
          <w:rFonts w:ascii="Times New Roman" w:hAnsi="Times New Roman" w:cs="Times New Roman" w:eastAsia="Times New Roman" w:hint="default"/>
        </w:rPr>
        <w:t>(3)</w:t>
      </w:r>
      <w:r>
        <w:rPr/>
        <w:t>境外经营实体的外币财务报表的折算方法：</w:t>
      </w:r>
    </w:p>
    <w:p>
      <w:pPr>
        <w:pStyle w:val="BodyText"/>
        <w:spacing w:line="300" w:lineRule="auto" w:before="63"/>
        <w:ind w:right="1133" w:firstLine="360"/>
        <w:jc w:val="left"/>
      </w:pPr>
      <w:r>
        <w:rPr>
          <w:spacing w:val="-2"/>
        </w:rPr>
        <w:t>①资产负债表中的资产和负债项目，采用资产负债表日的即期汇率折算，所有者权益项目除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w:t>
      </w:r>
      <w:r>
        <w:rPr/>
        <w:t> 项目采用发生时的即期汇率折算；</w:t>
      </w:r>
    </w:p>
    <w:p>
      <w:pPr>
        <w:pStyle w:val="BodyText"/>
        <w:spacing w:line="300" w:lineRule="auto" w:before="31"/>
        <w:ind w:right="1133" w:firstLine="360"/>
        <w:jc w:val="left"/>
      </w:pPr>
      <w:r>
        <w:rPr/>
        <w:t>②利润表中的收入和费用项目，采用交易发生日的即期汇率折算</w:t>
      </w:r>
      <w:r>
        <w:rPr>
          <w:rFonts w:ascii="Times New Roman" w:hAnsi="Times New Roman" w:cs="Times New Roman" w:eastAsia="Times New Roman" w:hint="default"/>
        </w:rPr>
        <w:t>(</w:t>
      </w:r>
      <w:r>
        <w:rPr/>
        <w:t>或采用按照系统合理的方法确定的、与交易发生日即 期汇率近似的汇率折算</w:t>
      </w:r>
      <w:r>
        <w:rPr>
          <w:rFonts w:ascii="Times New Roman" w:hAnsi="Times New Roman" w:cs="Times New Roman" w:eastAsia="Times New Roman" w:hint="default"/>
        </w:rPr>
        <w:t>)</w:t>
      </w:r>
      <w:r>
        <w:rPr/>
        <w:t>；</w:t>
      </w:r>
    </w:p>
    <w:p>
      <w:pPr>
        <w:pStyle w:val="BodyText"/>
        <w:spacing w:line="309" w:lineRule="auto" w:before="13"/>
        <w:ind w:left="513" w:right="0"/>
        <w:jc w:val="left"/>
      </w:pPr>
      <w:r>
        <w:rPr/>
        <w:t>③按照上述①、②折算产生的外币财务报表折算差额，在资产负债表中所有者权益项目下单独列示。 </w:t>
      </w:r>
      <w:r>
        <w:rPr>
          <w:rFonts w:ascii="Times New Roman" w:hAnsi="Times New Roman" w:cs="Times New Roman" w:eastAsia="Times New Roman" w:hint="default"/>
        </w:rPr>
        <w:t>(4)</w:t>
      </w:r>
      <w:r>
        <w:rPr/>
        <w:t>公司对处于恶性通货膨胀经济中的境外经营的财务报表，按照下列方法进行折算： </w:t>
      </w:r>
      <w:r>
        <w:rPr>
          <w:spacing w:val="-2"/>
        </w:rPr>
        <w:t>对资产负债表项目运用一般物价指数予以重述，对利润表项目运用一般物价指数变动予以重述，再按照最近资产负债表</w:t>
      </w:r>
    </w:p>
    <w:p>
      <w:pPr>
        <w:pStyle w:val="BodyText"/>
        <w:spacing w:line="338" w:lineRule="auto" w:before="24"/>
        <w:ind w:left="513" w:right="1133" w:hanging="361"/>
        <w:jc w:val="left"/>
      </w:pPr>
      <w:r>
        <w:rPr/>
        <w:t>日的即期汇率进行折算。 在境外经营不再处于恶性通货膨胀经济中时，停止重述，按照停止之日的价格水平重述的财务报表进行折算。 </w:t>
      </w:r>
      <w:r>
        <w:rPr>
          <w:rFonts w:ascii="Times New Roman" w:hAnsi="Times New Roman" w:cs="Times New Roman" w:eastAsia="Times New Roman" w:hint="default"/>
        </w:rPr>
        <w:t>(5)</w:t>
      </w:r>
      <w:r>
        <w:rPr/>
        <w:t>公司在处置境外经营时，将资产负债表中所有者权益项目下列示的、与该境外经营相关的外币财务报表折算差额，</w:t>
      </w:r>
    </w:p>
    <w:p>
      <w:pPr>
        <w:pStyle w:val="BodyText"/>
        <w:spacing w:line="217" w:lineRule="exact"/>
        <w:ind w:right="0"/>
        <w:jc w:val="left"/>
      </w:pPr>
      <w:r>
        <w:rPr/>
        <w:t>自所有者权益项目转入处置当期损益；部分处置境外经营的，按处置的比例计算处置部分的外币财务报表折算差额，转入处</w:t>
      </w:r>
    </w:p>
    <w:p>
      <w:pPr>
        <w:pStyle w:val="BodyText"/>
        <w:spacing w:line="240" w:lineRule="auto" w:before="76"/>
        <w:ind w:right="1133"/>
        <w:jc w:val="left"/>
      </w:pPr>
      <w:r>
        <w:rPr/>
        <w:t>置当期损益。</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133"/>
        <w:jc w:val="left"/>
      </w:pPr>
      <w:r>
        <w:rPr>
          <w:rFonts w:ascii="Times New Roman" w:hAnsi="Times New Roman" w:cs="Times New Roman" w:eastAsia="Times New Roman" w:hint="default"/>
        </w:rPr>
        <w:t>(1)</w:t>
      </w:r>
      <w:r>
        <w:rPr/>
        <w:t>金融工具的分类、确认依据和计量方法</w:t>
      </w:r>
    </w:p>
    <w:p>
      <w:pPr>
        <w:pStyle w:val="BodyText"/>
        <w:spacing w:line="240" w:lineRule="auto" w:before="63"/>
        <w:ind w:left="513" w:right="1133"/>
        <w:jc w:val="left"/>
      </w:pPr>
      <w:r>
        <w:rPr/>
        <w:t>①金融资产在初始确认时划分为下列四类：</w:t>
      </w:r>
    </w:p>
    <w:p>
      <w:pPr>
        <w:pStyle w:val="BodyText"/>
        <w:spacing w:line="300" w:lineRule="auto" w:before="76"/>
        <w:ind w:right="1133"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以公允价值计量且其变动计入当期损益的金融资产，包括交易性金融资产和指定为以公允价值计量且其变动计入当 期损益的金融资产；</w:t>
      </w:r>
    </w:p>
    <w:p>
      <w:pPr>
        <w:pStyle w:val="BodyText"/>
        <w:spacing w:line="240" w:lineRule="auto" w:before="31"/>
        <w:ind w:left="51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持有至到期投资；</w:t>
      </w:r>
    </w:p>
    <w:p>
      <w:pPr>
        <w:pStyle w:val="BodyText"/>
        <w:spacing w:line="240" w:lineRule="auto" w:before="63"/>
        <w:ind w:left="513" w:right="113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应收款项；</w:t>
      </w:r>
    </w:p>
    <w:p>
      <w:pPr>
        <w:pStyle w:val="BodyText"/>
        <w:spacing w:line="240" w:lineRule="auto" w:before="63"/>
        <w:ind w:left="513" w:right="1133"/>
        <w:jc w:val="left"/>
      </w:pPr>
      <w:r>
        <w:rPr>
          <w:rFonts w:ascii="Times New Roman" w:hAnsi="Times New Roman" w:cs="Times New Roman" w:eastAsia="Times New Roman" w:hint="default"/>
        </w:rPr>
        <w:t>4)</w:t>
      </w:r>
      <w:r>
        <w:rPr/>
        <w:t>可供出售金融资产。</w:t>
      </w:r>
    </w:p>
    <w:p>
      <w:pPr>
        <w:pStyle w:val="BodyText"/>
        <w:spacing w:line="240" w:lineRule="auto" w:before="63"/>
        <w:ind w:left="513" w:right="1133"/>
        <w:jc w:val="left"/>
      </w:pPr>
      <w:r>
        <w:rPr/>
        <w:t>②金融负债在初始确认时划分为下列两类：</w:t>
      </w:r>
    </w:p>
    <w:p>
      <w:pPr>
        <w:pStyle w:val="BodyText"/>
        <w:spacing w:line="300" w:lineRule="auto" w:before="76"/>
        <w:ind w:right="1117" w:firstLine="360"/>
        <w:jc w:val="left"/>
      </w:pPr>
      <w:r>
        <w:rPr>
          <w:rFonts w:ascii="Times New Roman" w:hAnsi="Times New Roman" w:cs="Times New Roman" w:eastAsia="Times New Roman" w:hint="default"/>
          <w:spacing w:val="-1"/>
        </w:rPr>
        <w:t>1)</w:t>
      </w:r>
      <w:r>
        <w:rPr>
          <w:spacing w:val="-1"/>
        </w:rPr>
        <w:t>以公允价值计量且其变动计入当期损益的金融负债，包括交易性金融负债和指定为以公允价值计量且其变动计入当期</w:t>
      </w:r>
      <w:r>
        <w:rPr>
          <w:w w:val="99"/>
        </w:rPr>
        <w:t> </w:t>
      </w:r>
      <w:r>
        <w:rPr/>
        <w:t>损益的金融负债；</w:t>
      </w:r>
    </w:p>
    <w:p>
      <w:pPr>
        <w:pStyle w:val="BodyText"/>
        <w:spacing w:line="240" w:lineRule="auto" w:before="31"/>
        <w:ind w:left="513" w:right="1133"/>
        <w:jc w:val="left"/>
      </w:pPr>
      <w:r>
        <w:rPr>
          <w:rFonts w:ascii="Times New Roman" w:hAnsi="Times New Roman" w:cs="Times New Roman" w:eastAsia="Times New Roman" w:hint="default"/>
        </w:rPr>
        <w:t>2)</w:t>
      </w:r>
      <w:r>
        <w:rPr/>
        <w:t>其他金融负债。</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left="513" w:right="1133"/>
        <w:jc w:val="left"/>
      </w:pPr>
      <w:r>
        <w:rPr/>
        <w:t>③以公允价值计量且其变动计入当期损益的金融资产或金融负债 此类金融资产或金融负债进一步分为交易性金融资产或金融负债和直接指定为以公允价值计量且其变动计入当期损益</w:t>
      </w:r>
    </w:p>
    <w:p>
      <w:pPr>
        <w:pStyle w:val="BodyText"/>
        <w:spacing w:line="316" w:lineRule="auto" w:before="19"/>
        <w:ind w:left="513" w:right="0" w:hanging="361"/>
        <w:jc w:val="left"/>
      </w:pPr>
      <w:r>
        <w:rPr/>
        <w:t>的金融资产或金融负债。 交易性金融资产或金融负债，主要是指公司为了近期内出售而持有的金融资产或近期内回购而承担的金融负债。 </w:t>
      </w:r>
      <w:r>
        <w:rPr>
          <w:spacing w:val="-2"/>
        </w:rPr>
        <w:t>直接指定为以公允价值计量且其变动计入当期损益的金融资产或金融负债，主要是指公司基于风险管理、战略投资需要</w:t>
      </w:r>
    </w:p>
    <w:p>
      <w:pPr>
        <w:pStyle w:val="BodyText"/>
        <w:spacing w:line="316" w:lineRule="auto" w:before="19"/>
        <w:ind w:left="513" w:right="1119" w:hanging="361"/>
        <w:jc w:val="left"/>
      </w:pPr>
      <w:r>
        <w:rPr/>
        <w:t>等所作的指定。 </w:t>
      </w:r>
      <w:r>
        <w:rPr>
          <w:spacing w:val="-2"/>
        </w:rPr>
        <w:t>以公允价值计量且其变动计入当期损益的金融资产按照取得时的公允价值作为初始确认金额，相关的交易费用在发生时</w:t>
      </w:r>
    </w:p>
    <w:p>
      <w:pPr>
        <w:pStyle w:val="BodyText"/>
        <w:spacing w:line="316" w:lineRule="auto" w:before="19"/>
        <w:ind w:left="513" w:right="1027" w:hanging="361"/>
        <w:jc w:val="left"/>
      </w:pPr>
      <w:r>
        <w:rPr/>
        <w:t>计入当期损益</w:t>
      </w:r>
      <w:r>
        <w:rPr>
          <w:spacing w:val="-87"/>
        </w:rPr>
        <w:t>。</w:t>
      </w:r>
      <w:r>
        <w:rPr/>
        <w:t>支付的价款中包含已宣告但尚未发放的现金股利或已到付息期但尚未领取的债券利息</w:t>
      </w:r>
      <w:r>
        <w:rPr>
          <w:spacing w:val="-87"/>
        </w:rPr>
        <w:t>，</w:t>
      </w:r>
      <w:r>
        <w:rPr/>
        <w:t>单独确认为应收项目。</w:t>
      </w:r>
      <w:r>
        <w:rPr/>
        <w:t> 在持有以公允价值计量且其变动计入当期损益的金融资产期间取得的利息或现金股利</w:t>
      </w:r>
      <w:r>
        <w:rPr>
          <w:spacing w:val="-87"/>
        </w:rPr>
        <w:t>，</w:t>
      </w:r>
      <w:r>
        <w:rPr/>
        <w:t>确认为投资收益</w:t>
      </w:r>
      <w:r>
        <w:rPr>
          <w:spacing w:val="-87"/>
        </w:rPr>
        <w:t>。</w:t>
      </w:r>
      <w:r>
        <w:rPr/>
        <w:t>资产负债表日，</w:t>
      </w:r>
    </w:p>
    <w:p>
      <w:pPr>
        <w:pStyle w:val="BodyText"/>
        <w:spacing w:line="316" w:lineRule="auto" w:before="19"/>
        <w:ind w:left="513" w:right="0" w:hanging="361"/>
        <w:jc w:val="left"/>
      </w:pPr>
      <w:r>
        <w:rPr/>
        <w:t>将以公允价值计量且其变动计入当期损益的金融资产或金融负债的公允价值变动计入当期损益。 </w:t>
      </w:r>
      <w:r>
        <w:rPr>
          <w:spacing w:val="-2"/>
        </w:rPr>
        <w:t>处置以公允价值计量且其变动计入当期损益的金融资产或金融负债时，其公允价值与初始入账金额之间的差额确认为投</w:t>
      </w:r>
    </w:p>
    <w:p>
      <w:pPr>
        <w:pStyle w:val="BodyText"/>
        <w:spacing w:line="240" w:lineRule="auto" w:before="19"/>
        <w:ind w:right="1133"/>
        <w:jc w:val="left"/>
      </w:pPr>
      <w:r>
        <w:rPr/>
        <w:t>资收益，同时调整公允价值变动损益。</w:t>
      </w:r>
    </w:p>
    <w:p>
      <w:pPr>
        <w:pStyle w:val="BodyText"/>
        <w:spacing w:line="316" w:lineRule="auto" w:before="76"/>
        <w:ind w:left="513" w:right="1119"/>
        <w:jc w:val="left"/>
      </w:pPr>
      <w:r>
        <w:rPr/>
        <w:t>④持有至到期投资 此类金融资产是指到期日固定、回收金额固定或可确定，且公司有明确意图和能力持有至到期的非衍生金融资产 </w:t>
      </w:r>
      <w:r>
        <w:rPr>
          <w:spacing w:val="-2"/>
        </w:rPr>
        <w:t>持有至到期投资按取得时的公允价值和相关交易费用之和作为初始确认金额。支付的价款中包含的已到付息期但尚未领</w:t>
      </w:r>
    </w:p>
    <w:p>
      <w:pPr>
        <w:pStyle w:val="BodyText"/>
        <w:spacing w:line="316" w:lineRule="auto" w:before="19"/>
        <w:ind w:left="513" w:right="0" w:hanging="361"/>
        <w:jc w:val="left"/>
      </w:pPr>
      <w:r>
        <w:rPr/>
        <w:t>取的债券利息，应单独确认为应收项目。 </w:t>
      </w:r>
      <w:r>
        <w:rPr>
          <w:spacing w:val="-2"/>
        </w:rPr>
        <w:t>持有至到期投资在持有期间按照摊余成本和实际利率计算确认利息收入，计入投资收益。实际利率应当在取得持有至到</w:t>
      </w:r>
    </w:p>
    <w:p>
      <w:pPr>
        <w:pStyle w:val="BodyText"/>
        <w:spacing w:line="300" w:lineRule="auto" w:before="19"/>
        <w:ind w:right="1133"/>
        <w:jc w:val="left"/>
        <w:rPr>
          <w:rFonts w:ascii="Times New Roman" w:hAnsi="Times New Roman" w:cs="Times New Roman" w:eastAsia="Times New Roman" w:hint="default"/>
        </w:rPr>
      </w:pPr>
      <w:r>
        <w:rPr/>
        <w:t>期投资时确定，在该持有至到期投资预期存续期间或适用的更短期间内保持不变。</w:t>
      </w:r>
      <w:r>
        <w:rPr>
          <w:rFonts w:ascii="Times New Roman" w:hAnsi="Times New Roman" w:cs="Times New Roman" w:eastAsia="Times New Roman" w:hint="default"/>
        </w:rPr>
        <w:t>(</w:t>
      </w:r>
      <w:r>
        <w:rPr/>
        <w:t>实际利率与票面利率差别较小的，也可</w:t>
      </w:r>
      <w:r>
        <w:rPr>
          <w:spacing w:val="-56"/>
        </w:rPr>
        <w:t> </w:t>
      </w:r>
      <w:r>
        <w:rPr>
          <w:spacing w:val="-56"/>
        </w:rPr>
      </w:r>
      <w:r>
        <w:rPr/>
        <w:t>按票面利率计算利息收入，计入投资收益。</w:t>
      </w:r>
      <w:r>
        <w:rPr>
          <w:rFonts w:ascii="Times New Roman" w:hAnsi="Times New Roman" w:cs="Times New Roman" w:eastAsia="Times New Roman" w:hint="default"/>
        </w:rPr>
        <w:t>)</w:t>
      </w:r>
    </w:p>
    <w:p>
      <w:pPr>
        <w:pStyle w:val="BodyText"/>
        <w:spacing w:line="240" w:lineRule="auto" w:before="13"/>
        <w:ind w:left="513" w:right="1133"/>
        <w:jc w:val="left"/>
      </w:pPr>
      <w:r>
        <w:rPr/>
        <w:t>处置持有至到期投资时，应将所取得价款与该投资账面价值之间的差额计入投资收益。</w:t>
      </w:r>
    </w:p>
    <w:p>
      <w:pPr>
        <w:pStyle w:val="BodyText"/>
        <w:spacing w:line="319" w:lineRule="auto" w:before="76"/>
        <w:ind w:left="513" w:right="1119"/>
        <w:jc w:val="left"/>
      </w:pPr>
      <w:r>
        <w:rPr/>
        <w:t>⑤应收款项 </w:t>
      </w:r>
      <w:r>
        <w:rPr>
          <w:spacing w:val="-2"/>
        </w:rPr>
        <w:t>应收款项主要是指公司销售商品或提供劳务形成的应收款项等债权，通常应按从购货方应收的合同或协议价款作为初始</w:t>
      </w:r>
    </w:p>
    <w:p>
      <w:pPr>
        <w:pStyle w:val="BodyText"/>
        <w:spacing w:line="240" w:lineRule="auto" w:before="17"/>
        <w:ind w:right="1133"/>
        <w:jc w:val="left"/>
      </w:pPr>
      <w:r>
        <w:rPr/>
        <w:t>确认金额。收回或处置贷款和应收款项时，应将取得的价款与该贷款和应收款项账面价值之间的差额计入当期损益。</w:t>
      </w:r>
    </w:p>
    <w:p>
      <w:pPr>
        <w:pStyle w:val="BodyText"/>
        <w:spacing w:line="316" w:lineRule="auto" w:before="76"/>
        <w:ind w:left="513" w:right="0"/>
        <w:jc w:val="left"/>
      </w:pPr>
      <w:r>
        <w:rPr/>
        <w:t>⑥可供出售金融资产 </w:t>
      </w:r>
      <w:r>
        <w:rPr>
          <w:spacing w:val="-2"/>
        </w:rPr>
        <w:t>可供出售金融资产通常是指企业没有划分为以公允价值计量且其变动计入当期损益的金融资产、持有至到期投资、贷款</w:t>
      </w:r>
    </w:p>
    <w:p>
      <w:pPr>
        <w:pStyle w:val="BodyText"/>
        <w:spacing w:line="316" w:lineRule="auto" w:before="19"/>
        <w:ind w:left="513" w:right="0" w:hanging="361"/>
        <w:jc w:val="left"/>
      </w:pPr>
      <w:r>
        <w:rPr/>
        <w:t>和应收款项的金融资产。 </w:t>
      </w:r>
      <w:r>
        <w:rPr>
          <w:spacing w:val="-2"/>
        </w:rPr>
        <w:t>可供出售金融资产按取得该金融资产的公允价值和相关交易费用之和作为初始确认金额。支付的价款中包含的已到付息</w:t>
      </w:r>
    </w:p>
    <w:p>
      <w:pPr>
        <w:pStyle w:val="BodyText"/>
        <w:spacing w:line="316" w:lineRule="auto" w:before="19"/>
        <w:ind w:left="513" w:right="0" w:hanging="361"/>
        <w:jc w:val="left"/>
      </w:pPr>
      <w:r>
        <w:rPr/>
        <w:t>期但尚未领取的债券利息或已宣告但尚未发放的现金股利，应单独确认为应收项目。 </w:t>
      </w:r>
      <w:r>
        <w:rPr>
          <w:spacing w:val="-2"/>
        </w:rPr>
        <w:t>可供出售金融资产持有期间取得的利息或现金股利，应当计入投资收益。资产负债表日，可供出售金融资产应当以公允</w:t>
      </w:r>
    </w:p>
    <w:p>
      <w:pPr>
        <w:pStyle w:val="BodyText"/>
        <w:spacing w:line="316" w:lineRule="auto" w:before="19"/>
        <w:ind w:left="513" w:right="1132" w:hanging="361"/>
        <w:jc w:val="left"/>
      </w:pPr>
      <w:r>
        <w:rPr/>
        <w:t>价值计量，且公允价值变动计入其他综合收益。 </w:t>
      </w:r>
      <w:r>
        <w:rPr>
          <w:spacing w:val="-2"/>
        </w:rPr>
        <w:t>处置可供出售金融资产时，应将取得的价款与该金融资产账面价值之间的差额，计入投资损益；同时，将原直接计入所</w:t>
      </w:r>
    </w:p>
    <w:p>
      <w:pPr>
        <w:pStyle w:val="BodyText"/>
        <w:spacing w:line="240" w:lineRule="auto" w:before="19"/>
        <w:ind w:right="1133"/>
        <w:jc w:val="left"/>
      </w:pPr>
      <w:r>
        <w:rPr/>
        <w:t>有者权益的公允价值变动累计额对应处置部分的金额转出，计入投资损益。</w:t>
      </w:r>
    </w:p>
    <w:p>
      <w:pPr>
        <w:pStyle w:val="BodyText"/>
        <w:spacing w:line="316" w:lineRule="auto" w:before="77"/>
        <w:ind w:left="513" w:right="0"/>
        <w:jc w:val="left"/>
      </w:pPr>
      <w:r>
        <w:rPr/>
        <w:t>⑦其他金融负债 </w:t>
      </w:r>
      <w:r>
        <w:rPr>
          <w:spacing w:val="-4"/>
        </w:rPr>
        <w:t>其他金融负债是指除以公允价值计量且其变动计入当期损益的金融负债以外的金融负债。通常情况下，公司发行的债券、</w:t>
      </w:r>
    </w:p>
    <w:p>
      <w:pPr>
        <w:pStyle w:val="BodyText"/>
        <w:spacing w:line="312" w:lineRule="auto" w:before="19"/>
        <w:ind w:left="513" w:right="0" w:hanging="361"/>
        <w:jc w:val="left"/>
      </w:pPr>
      <w:r>
        <w:rPr/>
        <w:t>因购买商品产生的应付账款、长期应付款等，应当划分为其他金融负债。 </w:t>
      </w:r>
      <w:r>
        <w:rPr>
          <w:spacing w:val="-2"/>
        </w:rPr>
        <w:t>其他金融负债应当按其公允价值和相关交易费用之和作为初始确认金额。其他金融负债通常采用摊余成本进行后续计量。</w:t>
      </w:r>
      <w:r>
        <w:rPr/>
        <w:t> </w:t>
      </w:r>
      <w:r>
        <w:rPr>
          <w:rFonts w:ascii="Times New Roman" w:hAnsi="Times New Roman" w:cs="Times New Roman" w:eastAsia="Times New Roman" w:hint="default"/>
        </w:rPr>
        <w:t>(2)</w:t>
      </w:r>
      <w:r>
        <w:rPr/>
        <w:t>金融资产转移的确认依据和计量方法 公司已将金融资产所有权上几乎所有的风险和报酬转移给转入方的，终止确认该金融资产；保留了金融资产所有权上几</w:t>
      </w:r>
    </w:p>
    <w:p>
      <w:pPr>
        <w:pStyle w:val="BodyText"/>
        <w:spacing w:line="316" w:lineRule="auto" w:before="22"/>
        <w:ind w:right="1119"/>
        <w:jc w:val="left"/>
      </w:pPr>
      <w:r>
        <w:rPr/>
        <w:t>乎所有的风险和报酬的，不终止确认该金融资产。</w:t>
      </w:r>
      <w:r>
        <w:rPr>
          <w:spacing w:val="5"/>
        </w:rPr>
        <w:t> </w:t>
      </w:r>
      <w:r>
        <w:rPr/>
        <w:t>终止确认，是指将金融资产或金融负债从公司的账户和资产负债表内予</w:t>
      </w:r>
      <w:r>
        <w:rPr>
          <w:spacing w:val="-88"/>
        </w:rPr>
        <w:t> </w:t>
      </w:r>
      <w:r>
        <w:rPr>
          <w:spacing w:val="-88"/>
        </w:rPr>
      </w:r>
      <w:r>
        <w:rPr/>
        <w:t>以转销。金融资产整体转移满足终止确认条件的，应当将下列两项金额的差额计入当期损益：</w:t>
      </w:r>
    </w:p>
    <w:p>
      <w:pPr>
        <w:pStyle w:val="BodyText"/>
        <w:spacing w:line="240" w:lineRule="auto" w:before="19"/>
        <w:ind w:left="513" w:right="1133"/>
        <w:jc w:val="left"/>
      </w:pPr>
      <w:r>
        <w:rPr/>
        <w:t>①所转移金融资产的账面价值；</w:t>
      </w:r>
    </w:p>
    <w:p>
      <w:pPr>
        <w:pStyle w:val="BodyText"/>
        <w:spacing w:line="300" w:lineRule="auto" w:before="76"/>
        <w:ind w:right="1133" w:firstLine="360"/>
        <w:jc w:val="left"/>
      </w:pPr>
      <w:r>
        <w:rPr/>
        <w:t>②因转移而收到的对价，与原直接计入所有者权益的公允价值变动累计额</w:t>
      </w:r>
      <w:r>
        <w:rPr>
          <w:rFonts w:ascii="Times New Roman" w:hAnsi="Times New Roman" w:cs="Times New Roman" w:eastAsia="Times New Roman" w:hint="default"/>
        </w:rPr>
        <w:t>(</w:t>
      </w:r>
      <w:r>
        <w:rPr/>
        <w:t>涉及转移的金融资产为可供出售金融资产的 情形</w:t>
      </w:r>
      <w:r>
        <w:rPr>
          <w:rFonts w:ascii="Times New Roman" w:hAnsi="Times New Roman" w:cs="Times New Roman" w:eastAsia="Times New Roman" w:hint="default"/>
        </w:rPr>
        <w:t>)</w:t>
      </w:r>
      <w:r>
        <w:rPr/>
        <w:t>之和。</w:t>
      </w:r>
    </w:p>
    <w:p>
      <w:pPr>
        <w:pStyle w:val="BodyText"/>
        <w:spacing w:line="240" w:lineRule="auto" w:before="13"/>
        <w:ind w:left="513" w:right="1133"/>
        <w:jc w:val="left"/>
      </w:pPr>
      <w:r>
        <w:rPr/>
        <w:t>金融资产部分转移满足终止确认条件的，将所转移金融资产整体的账面价值，在终止确认部分和未终止确认部分</w:t>
      </w:r>
      <w:r>
        <w:rPr>
          <w:rFonts w:ascii="Times New Roman" w:hAnsi="Times New Roman" w:cs="Times New Roman" w:eastAsia="Times New Roman" w:hint="default"/>
        </w:rPr>
        <w:t>(</w:t>
      </w:r>
      <w:r>
        <w:rPr/>
        <w:t>在此</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133"/>
        <w:jc w:val="left"/>
      </w:pPr>
      <w:r>
        <w:rPr/>
        <w:t>种情况下，所保留的服务资产应当视同未终止确认金融资产的一部分</w:t>
      </w:r>
      <w:r>
        <w:rPr>
          <w:rFonts w:ascii="Times New Roman" w:hAnsi="Times New Roman" w:cs="Times New Roman" w:eastAsia="Times New Roman" w:hint="default"/>
        </w:rPr>
        <w:t>)</w:t>
      </w:r>
      <w:r>
        <w:rPr/>
        <w:t>之间，按照各自的相对公允价值进行分摊，并将下列</w:t>
      </w:r>
      <w:r>
        <w:rPr>
          <w:spacing w:val="-56"/>
        </w:rPr>
        <w:t> </w:t>
      </w:r>
      <w:r>
        <w:rPr>
          <w:spacing w:val="-56"/>
        </w:rPr>
      </w:r>
      <w:r>
        <w:rPr/>
        <w:t>两项金额的差额计入当期损益：</w:t>
      </w:r>
    </w:p>
    <w:p>
      <w:pPr>
        <w:pStyle w:val="BodyText"/>
        <w:spacing w:line="240" w:lineRule="auto" w:before="31"/>
        <w:ind w:left="513" w:right="1133"/>
        <w:jc w:val="left"/>
      </w:pPr>
      <w:r>
        <w:rPr>
          <w:rFonts w:ascii="Times New Roman" w:hAnsi="Times New Roman" w:cs="Times New Roman" w:eastAsia="Times New Roman" w:hint="default"/>
        </w:rPr>
        <w:t>1)</w:t>
      </w:r>
      <w:r>
        <w:rPr/>
        <w:t>终止确认部分的账面价值；</w:t>
      </w:r>
    </w:p>
    <w:p>
      <w:pPr>
        <w:pStyle w:val="BodyText"/>
        <w:spacing w:line="300" w:lineRule="auto" w:before="63"/>
        <w:ind w:right="1129" w:firstLine="360"/>
        <w:jc w:val="both"/>
      </w:pPr>
      <w:r>
        <w:rPr>
          <w:rFonts w:ascii="Times New Roman" w:hAnsi="Times New Roman" w:cs="Times New Roman" w:eastAsia="Times New Roman" w:hint="default"/>
        </w:rPr>
        <w:t>2)</w:t>
      </w:r>
      <w:r>
        <w:rPr/>
        <w:t>终止确认部分的对价，与原直接计入所有者权益的公允价值变动累计额中对应终止确认部分的金额</w:t>
      </w:r>
      <w:r>
        <w:rPr>
          <w:rFonts w:ascii="Times New Roman" w:hAnsi="Times New Roman" w:cs="Times New Roman" w:eastAsia="Times New Roman" w:hint="default"/>
        </w:rPr>
        <w:t>(</w:t>
      </w:r>
      <w:r>
        <w:rPr/>
        <w:t>涉及转移的金融</w:t>
      </w:r>
      <w:r>
        <w:rPr>
          <w:w w:val="99"/>
        </w:rPr>
        <w:t> </w:t>
      </w:r>
      <w:r>
        <w:rPr/>
        <w:t>资产为可供出售金融资产的情形</w:t>
      </w:r>
      <w:r>
        <w:rPr>
          <w:rFonts w:ascii="Times New Roman" w:hAnsi="Times New Roman" w:cs="Times New Roman" w:eastAsia="Times New Roman" w:hint="default"/>
        </w:rPr>
        <w:t>)</w:t>
      </w:r>
      <w:r>
        <w:rPr/>
        <w:t>之和。</w:t>
      </w:r>
    </w:p>
    <w:p>
      <w:pPr>
        <w:pStyle w:val="BodyText"/>
        <w:spacing w:line="316" w:lineRule="auto" w:before="13"/>
        <w:ind w:right="1132" w:firstLine="360"/>
        <w:jc w:val="both"/>
      </w:pPr>
      <w:r>
        <w:rPr>
          <w:spacing w:val="-2"/>
        </w:rPr>
        <w:t>公司仍保留与所转移金融资产所有权上几乎所有的风险和报酬的，则继续确认所转移金融资产整体，并将收到的对价确</w:t>
      </w:r>
      <w:r>
        <w:rPr/>
        <w:t> 认为一项金融负债。</w:t>
      </w:r>
    </w:p>
    <w:p>
      <w:pPr>
        <w:pStyle w:val="BodyText"/>
        <w:spacing w:line="309" w:lineRule="auto" w:before="19"/>
        <w:ind w:left="513" w:right="3733" w:firstLine="72"/>
        <w:jc w:val="left"/>
      </w:pPr>
      <w:r>
        <w:rPr>
          <w:rFonts w:ascii="Times New Roman" w:hAnsi="Times New Roman" w:cs="Times New Roman" w:eastAsia="Times New Roman" w:hint="default"/>
        </w:rPr>
        <w:t>(3)</w:t>
      </w:r>
      <w:r>
        <w:rPr/>
        <w:t>金融负债终止确认条件</w:t>
      </w:r>
      <w:r>
        <w:rPr>
          <w:w w:val="99"/>
        </w:rPr>
        <w:t> </w:t>
      </w:r>
      <w:r>
        <w:rPr/>
        <w:t>金融负债的现时义务全部或部分已经解除的，则应终止确认该金融负债或其一部分。</w:t>
      </w:r>
      <w:r>
        <w:rPr>
          <w:w w:val="99"/>
        </w:rPr>
        <w:t> </w:t>
      </w: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金融资产和金融负债的公允价值确定方法</w:t>
      </w:r>
    </w:p>
    <w:p>
      <w:pPr>
        <w:pStyle w:val="BodyText"/>
        <w:spacing w:line="319" w:lineRule="auto" w:before="5"/>
        <w:ind w:right="1129" w:firstLine="360"/>
        <w:jc w:val="both"/>
      </w:pPr>
      <w:r>
        <w:rPr>
          <w:spacing w:val="-2"/>
        </w:rPr>
        <w:t>公允价值，是指市场参与者在计量日发生的有序交易中，出售一项资产所能收到或者转移一项负债所需支付的价格。公</w:t>
      </w:r>
      <w:r>
        <w:rPr/>
        <w:t> </w:t>
      </w:r>
      <w:r>
        <w:rPr>
          <w:spacing w:val="-2"/>
        </w:rPr>
        <w:t>司将公允价值计量所使用的输入值划分为三个层次，并首先使用第一层次输入值，其次使用第二层次输入值，最后使用第三</w:t>
      </w:r>
      <w:r>
        <w:rPr>
          <w:spacing w:val="-63"/>
        </w:rPr>
        <w:t> </w:t>
      </w:r>
      <w:r>
        <w:rPr>
          <w:spacing w:val="-63"/>
        </w:rPr>
      </w:r>
      <w:r>
        <w:rPr/>
        <w:t>层次输入值。</w:t>
      </w:r>
    </w:p>
    <w:p>
      <w:pPr>
        <w:pStyle w:val="BodyText"/>
        <w:spacing w:line="316" w:lineRule="auto" w:before="17"/>
        <w:ind w:right="1132" w:firstLine="360"/>
        <w:jc w:val="both"/>
      </w:pPr>
      <w:r>
        <w:rPr>
          <w:spacing w:val="-2"/>
        </w:rPr>
        <w:t>第一层次输入值是在计量日能够取得的相同资产或负债在活跃市场上未经调整的报价。活跃市场，是指相关资产或负债</w:t>
      </w:r>
      <w:r>
        <w:rPr/>
        <w:t> 的交易量和交易频率足以持续提供定价信息的市场。</w:t>
      </w:r>
    </w:p>
    <w:p>
      <w:pPr>
        <w:pStyle w:val="BodyText"/>
        <w:spacing w:line="316" w:lineRule="auto" w:before="19"/>
        <w:ind w:left="513" w:right="3733"/>
        <w:jc w:val="left"/>
      </w:pPr>
      <w:r>
        <w:rPr/>
        <w:t>第二层次输入值是除第一层次输入值外相关资产或负债直接或间接可观察的输入值。 第三层次输入值是相关资产或负债的不可观察输入值。 </w:t>
      </w:r>
      <w:r>
        <w:rPr>
          <w:rFonts w:ascii="Times New Roman" w:hAnsi="Times New Roman" w:cs="Times New Roman" w:eastAsia="Times New Roman" w:hint="default"/>
        </w:rPr>
        <w:t>(5)</w:t>
      </w:r>
      <w:r>
        <w:rPr/>
        <w:t>金融资产</w:t>
      </w:r>
      <w:r>
        <w:rPr>
          <w:rFonts w:ascii="Times New Roman" w:hAnsi="Times New Roman" w:cs="Times New Roman" w:eastAsia="Times New Roman" w:hint="default"/>
        </w:rPr>
        <w:t>(</w:t>
      </w:r>
      <w:r>
        <w:rPr/>
        <w:t>此处不含应收款项</w:t>
      </w:r>
      <w:r>
        <w:rPr>
          <w:rFonts w:ascii="Times New Roman" w:hAnsi="Times New Roman" w:cs="Times New Roman" w:eastAsia="Times New Roman" w:hint="default"/>
        </w:rPr>
        <w:t>)</w:t>
      </w:r>
      <w:r>
        <w:rPr/>
        <w:t>减值测试方法、减值准备计提方法</w:t>
      </w:r>
    </w:p>
    <w:p>
      <w:pPr>
        <w:pStyle w:val="BodyText"/>
        <w:spacing w:line="316" w:lineRule="auto"/>
        <w:ind w:right="1132" w:firstLine="360"/>
        <w:jc w:val="both"/>
      </w:pPr>
      <w:r>
        <w:rPr>
          <w:spacing w:val="-2"/>
        </w:rPr>
        <w:t>①对于持有至到期投资和贷款，有客观证据表明其发生了减值的，应当根据其账面价值与预计未来现金流量现值之间的</w:t>
      </w:r>
      <w:r>
        <w:rPr/>
        <w:t> 差额计算确认减值损失。</w:t>
      </w:r>
    </w:p>
    <w:p>
      <w:pPr>
        <w:pStyle w:val="BodyText"/>
        <w:spacing w:line="319" w:lineRule="auto" w:before="19"/>
        <w:ind w:right="1130" w:firstLine="360"/>
        <w:jc w:val="both"/>
      </w:pPr>
      <w:r>
        <w:rPr>
          <w:spacing w:val="-2"/>
        </w:rPr>
        <w:t>②通常情况下，如果可供出售金融资产的公允价值发生较大幅度下降，或在综合考虑各种相关因素后，预期这种下降趋</w:t>
      </w:r>
      <w:r>
        <w:rPr/>
        <w:t> </w:t>
      </w:r>
      <w:r>
        <w:rPr>
          <w:spacing w:val="-2"/>
        </w:rPr>
        <w:t>势属于非暂时性的，可以认定该可供出售金融资产已发生减值，应当确认减值损失。可供出售金融资产发生减值的，在确认</w:t>
      </w:r>
      <w:r>
        <w:rPr>
          <w:spacing w:val="-64"/>
        </w:rPr>
        <w:t> </w:t>
      </w:r>
      <w:r>
        <w:rPr>
          <w:spacing w:val="-64"/>
        </w:rPr>
      </w:r>
      <w:r>
        <w:rPr/>
        <w:t>减值损失时，将原直接计入所有者权益的公允价值下降形成的累计损失一并转出，计入减值损失。</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应收款项包括应收票据、应收账款、应收利息、应收股利、其他应收款等。</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，其他应收款余额</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835"/>
        <w:gridCol w:w="6735"/>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未逾期的应收票据组合</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结合承兑人、背书人、出票人以及其他债务人的信用风险，银行承兑汇票不计提坏账 准备；商业承兑汇票则根据其未来现金流量现值低于其账面价值的差额计提坏账准备</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835"/>
        <w:gridCol w:w="6735"/>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业务费组合</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广告费保证金</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1133"/>
        <w:jc w:val="left"/>
      </w:pPr>
      <w:r>
        <w:rPr/>
        <w:t>组合中，采用账龄分析法计提坏账准备的：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1917"/>
        <w:gridCol w:w="1951"/>
        <w:gridCol w:w="1940"/>
        <w:gridCol w:w="1939"/>
        <w:gridCol w:w="1940"/>
      </w:tblGrid>
      <w:tr>
        <w:trPr>
          <w:trHeight w:val="40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5"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8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5"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609" w:right="0"/>
              <w:jc w:val="left"/>
              <w:rPr>
                <w:rFonts w:ascii="宋体" w:hAnsi="宋体" w:cs="宋体" w:eastAsia="宋体" w:hint="default"/>
                <w:sz w:val="18"/>
                <w:szCs w:val="18"/>
              </w:rPr>
            </w:pPr>
            <w:r>
              <w:rPr>
                <w:rFonts w:ascii="宋体" w:hAnsi="宋体" w:cs="宋体" w:eastAsia="宋体" w:hint="default"/>
                <w:sz w:val="18"/>
                <w:szCs w:val="18"/>
              </w:rPr>
              <w:t>游戏行业</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5" w:right="0"/>
              <w:jc w:val="left"/>
              <w:rPr>
                <w:rFonts w:ascii="宋体" w:hAnsi="宋体" w:cs="宋体" w:eastAsia="宋体" w:hint="default"/>
                <w:sz w:val="18"/>
                <w:szCs w:val="18"/>
              </w:rPr>
            </w:pPr>
            <w:r>
              <w:rPr>
                <w:rFonts w:ascii="宋体" w:hAnsi="宋体" w:cs="宋体" w:eastAsia="宋体" w:hint="default"/>
                <w:sz w:val="18"/>
                <w:szCs w:val="18"/>
              </w:rPr>
              <w:t>电气及其他</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游戏行业</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6" w:right="0"/>
              <w:jc w:val="left"/>
              <w:rPr>
                <w:rFonts w:ascii="宋体" w:hAnsi="宋体" w:cs="宋体" w:eastAsia="宋体" w:hint="default"/>
                <w:sz w:val="18"/>
                <w:szCs w:val="18"/>
              </w:rPr>
            </w:pPr>
            <w:r>
              <w:rPr>
                <w:rFonts w:ascii="宋体" w:hAnsi="宋体" w:cs="宋体" w:eastAsia="宋体" w:hint="default"/>
                <w:sz w:val="18"/>
                <w:szCs w:val="18"/>
              </w:rPr>
              <w:t>电气及其他</w:t>
            </w: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9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940"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1939"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1940"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19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1940" w:type="dxa"/>
            <w:vMerge/>
            <w:tcBorders>
              <w:left w:val="single" w:sz="4" w:space="0" w:color="000000"/>
              <w:bottom w:val="single" w:sz="4" w:space="0" w:color="000000"/>
              <w:right w:val="single" w:sz="4" w:space="0" w:color="000000"/>
            </w:tcBorders>
          </w:tcPr>
          <w:p>
            <w:pPr/>
          </w:p>
        </w:tc>
        <w:tc>
          <w:tcPr>
            <w:tcW w:w="1939" w:type="dxa"/>
            <w:vMerge/>
            <w:tcBorders>
              <w:left w:val="single" w:sz="4" w:space="0" w:color="000000"/>
              <w:bottom w:val="single" w:sz="4" w:space="0" w:color="000000"/>
              <w:right w:val="single" w:sz="4" w:space="0" w:color="000000"/>
            </w:tcBorders>
          </w:tcPr>
          <w:p>
            <w:pPr/>
          </w:p>
        </w:tc>
        <w:tc>
          <w:tcPr>
            <w:tcW w:w="1940" w:type="dxa"/>
            <w:vMerge/>
            <w:tcBorders>
              <w:left w:val="single" w:sz="4" w:space="0" w:color="000000"/>
              <w:bottom w:val="single" w:sz="4" w:space="0" w:color="000000"/>
              <w:right w:val="single" w:sz="4" w:space="0" w:color="000000"/>
            </w:tcBorders>
          </w:tcPr>
          <w:p>
            <w:pPr/>
          </w:p>
        </w:tc>
      </w:tr>
      <w:tr>
        <w:trPr>
          <w:trHeight w:val="401"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w:t>
            </w:r>
          </w:p>
        </w:tc>
      </w:tr>
      <w:tr>
        <w:trPr>
          <w:trHeight w:val="401"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1133"/>
        <w:jc w:val="left"/>
      </w:pPr>
      <w:r>
        <w:rPr/>
        <w:t>组合中，采用余额百分比法计提坏账准备的：</w:t>
      </w:r>
    </w:p>
    <w:p>
      <w:pPr>
        <w:pStyle w:val="BodyText"/>
        <w:spacing w:line="338" w:lineRule="auto" w:before="117"/>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pStyle w:val="BodyText"/>
        <w:spacing w:line="240" w:lineRule="auto" w:before="44"/>
        <w:ind w:left="0" w:right="1139"/>
        <w:jc w:val="right"/>
      </w:pPr>
      <w:r>
        <w:rPr/>
        <w:pict>
          <v:shape style="position:absolute;margin-left:56.459999pt;margin-top:-52.118263pt;width:479.2pt;height:72.0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09"/>
                    <w:gridCol w:w="7161"/>
                  </w:tblGrid>
                  <w:tr>
                    <w:trPr>
                      <w:trHeight w:val="716"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5"/>
                          <w:jc w:val="left"/>
                          <w:rPr>
                            <w:rFonts w:ascii="宋体" w:hAnsi="宋体" w:cs="宋体" w:eastAsia="宋体" w:hint="default"/>
                            <w:sz w:val="18"/>
                            <w:szCs w:val="18"/>
                          </w:rPr>
                        </w:pPr>
                        <w:r>
                          <w:rPr>
                            <w:rFonts w:ascii="宋体" w:hAnsi="宋体" w:cs="宋体" w:eastAsia="宋体" w:hint="default"/>
                            <w:sz w:val="18"/>
                            <w:szCs w:val="18"/>
                          </w:rPr>
                          <w:t>有客观证据表明可能发生减值，如债务人出现撤销、破产或死亡，以其破产财产或遗产清 偿后仍不能收回，现金流量严重不足等情况的。</w:t>
                        </w:r>
                      </w:p>
                    </w:tc>
                  </w:tr>
                  <w:tr>
                    <w:trPr>
                      <w:trHeight w:val="715"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对有客观证据表明可能发生了减值的应收款项，将其从相关组合中分离出来，单独进行减 值测试，根据其未来现金流量现值低于其账面价值的差额，确认减值损失，计提坏账准备</w:t>
                        </w:r>
                      </w:p>
                    </w:tc>
                  </w:tr>
                </w:tbl>
                <w:p>
                  <w:pPr/>
                </w:p>
              </w:txbxContent>
            </v:textbox>
            <w10:wrap type="none"/>
          </v:shape>
        </w:pict>
      </w:r>
      <w:r>
        <w:rPr/>
        <w:t>。</w:t>
      </w:r>
    </w:p>
    <w:p>
      <w:pPr>
        <w:spacing w:line="240" w:lineRule="auto" w:before="4"/>
        <w:rPr>
          <w:rFonts w:ascii="宋体" w:hAnsi="宋体" w:cs="宋体" w:eastAsia="宋体" w:hint="default"/>
          <w:sz w:val="28"/>
          <w:szCs w:val="28"/>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 对于其他应收款项的坏账准备计提方法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firstLine="360"/>
        <w:jc w:val="left"/>
      </w:pPr>
      <w:r>
        <w:rPr>
          <w:spacing w:val="-2"/>
        </w:rPr>
        <w:t>对于应收票据、预付款项、应收利息、应收股利、长期应收款应当按个别认定法进行减值测试。有客观证据表明其发生</w:t>
      </w:r>
      <w:r>
        <w:rPr/>
        <w:t> 了减值的，根据其未来现金流量现值低于其账面价值的差额，确认减值损失，计提坏账准备。</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公司是否需要遵守特殊行业的披露要求</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60" w:lineRule="auto" w:before="44"/>
        <w:ind w:right="8954"/>
        <w:jc w:val="left"/>
      </w:pPr>
      <w:r>
        <w:rPr/>
        <w:t>是 软件与信息技术服务业</w:t>
      </w:r>
    </w:p>
    <w:p>
      <w:pPr>
        <w:pStyle w:val="BodyText"/>
        <w:spacing w:line="309" w:lineRule="auto" w:before="25"/>
        <w:ind w:left="513" w:right="3193" w:firstLine="7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存货的分类</w:t>
      </w:r>
      <w:r>
        <w:rPr>
          <w:w w:val="99"/>
        </w:rPr>
        <w:t> </w:t>
      </w:r>
      <w:r>
        <w:rPr/>
        <w:t>存货包括原材料、低值易耗品、在产品、自制半成品、库存商品、包装物以及发出商品等。</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发出存货的计价方法</w:t>
      </w:r>
    </w:p>
    <w:p>
      <w:pPr>
        <w:pStyle w:val="BodyText"/>
        <w:spacing w:line="240" w:lineRule="auto" w:before="5"/>
        <w:ind w:left="513" w:right="1133"/>
        <w:jc w:val="left"/>
      </w:pPr>
      <w:r>
        <w:rPr/>
        <w:t>发出存货时按加权平均法计价。</w:t>
      </w:r>
    </w:p>
    <w:p>
      <w:pPr>
        <w:pStyle w:val="BodyText"/>
        <w:spacing w:line="300" w:lineRule="auto" w:before="76"/>
        <w:ind w:left="513" w:right="0" w:firstLine="72"/>
        <w:jc w:val="left"/>
      </w:pPr>
      <w:r>
        <w:rPr>
          <w:rFonts w:ascii="Times New Roman" w:hAnsi="Times New Roman" w:cs="Times New Roman" w:eastAsia="Times New Roman" w:hint="default"/>
        </w:rPr>
        <w:t>(3)</w:t>
      </w:r>
      <w:r>
        <w:rPr/>
        <w:t>存货可变现净值的确定依据及存货跌价准备的计提方法</w:t>
      </w:r>
      <w:r>
        <w:rPr>
          <w:w w:val="99"/>
        </w:rPr>
        <w:t> </w:t>
      </w:r>
      <w:r>
        <w:rPr>
          <w:spacing w:val="-2"/>
        </w:rPr>
        <w:t>于资产负债表日，存货按照成本与可变现净值孰低计量，存货成本高于其可变现净值的，应当计提存货跌价准备，计入</w:t>
      </w:r>
    </w:p>
    <w:p>
      <w:pPr>
        <w:pStyle w:val="BodyText"/>
        <w:spacing w:line="316" w:lineRule="auto" w:before="31"/>
        <w:ind w:right="0"/>
        <w:jc w:val="left"/>
      </w:pPr>
      <w:r>
        <w:rPr>
          <w:spacing w:val="-2"/>
        </w:rPr>
        <w:t>当期损益。可变现净值，是指在日常活动中，存货的估计售价减去至完工时估计将要发生的成本、估计的销售费用以及相关</w:t>
      </w:r>
      <w:r>
        <w:rPr>
          <w:spacing w:val="-64"/>
        </w:rPr>
        <w:t> </w:t>
      </w:r>
      <w:r>
        <w:rPr>
          <w:spacing w:val="-64"/>
        </w:rPr>
      </w:r>
      <w:r>
        <w:rPr/>
        <w:t>税费后的金额。</w:t>
      </w:r>
    </w:p>
    <w:p>
      <w:pPr>
        <w:pStyle w:val="BodyText"/>
        <w:spacing w:line="240" w:lineRule="auto" w:before="19"/>
        <w:ind w:left="513" w:right="1133"/>
        <w:jc w:val="left"/>
      </w:pPr>
      <w:r>
        <w:rPr/>
        <w:t>各类存货可变现净值的确定依据如下：</w:t>
      </w:r>
    </w:p>
    <w:p>
      <w:pPr>
        <w:pStyle w:val="BodyText"/>
        <w:spacing w:line="316" w:lineRule="auto" w:before="77"/>
        <w:ind w:right="0" w:firstLine="360"/>
        <w:jc w:val="left"/>
      </w:pPr>
      <w:r>
        <w:rPr>
          <w:spacing w:val="-2"/>
        </w:rPr>
        <w:t>①产成品、商品和用于出售的材料等直接用于出售的商品存货，在正常生产经营过程中，以该存货的估计售价减去估计</w:t>
      </w:r>
      <w:r>
        <w:rPr/>
        <w:t> 的销售费用和相关税费后的金额，确定其可变现净值。</w:t>
      </w:r>
    </w:p>
    <w:p>
      <w:pPr>
        <w:pStyle w:val="BodyText"/>
        <w:spacing w:line="316" w:lineRule="auto" w:before="19"/>
        <w:ind w:right="0" w:firstLine="360"/>
        <w:jc w:val="left"/>
      </w:pPr>
      <w:r>
        <w:rPr>
          <w:spacing w:val="-4"/>
        </w:rPr>
        <w:t>②需要经过加工的材料存货，在正常生产经营过程中，以所生产的产成品的估计售价减去至完工时估计将要发生的成本、</w:t>
      </w:r>
      <w:r>
        <w:rPr/>
        <w:t> 估计的销售费用和相关税费后的金额，确定其可变现净值。</w:t>
      </w:r>
    </w:p>
    <w:p>
      <w:pPr>
        <w:pStyle w:val="BodyText"/>
        <w:spacing w:line="316" w:lineRule="auto" w:before="19"/>
        <w:ind w:right="1132" w:firstLine="360"/>
        <w:jc w:val="left"/>
      </w:pPr>
      <w:r>
        <w:rPr>
          <w:spacing w:val="-2"/>
        </w:rPr>
        <w:t>③资产负债表日，同一项存货中一部分有合同价格约定、其他部分不存在合同价格的，应当分别确定其可变现净值，并</w:t>
      </w:r>
      <w:r>
        <w:rPr/>
        <w:t> 与其相对应的成本进行比较，分别确定存货跌价准备的计提或转回的金额。</w:t>
      </w:r>
    </w:p>
    <w:p>
      <w:pPr>
        <w:pStyle w:val="BodyText"/>
        <w:spacing w:line="300" w:lineRule="auto" w:before="19"/>
        <w:ind w:right="1133" w:firstLine="360"/>
        <w:jc w:val="left"/>
      </w:pPr>
      <w:r>
        <w:rPr>
          <w:spacing w:val="-1"/>
        </w:rPr>
        <w:t>存货跌价准备按单个存货项目</w:t>
      </w:r>
      <w:r>
        <w:rPr>
          <w:rFonts w:ascii="Times New Roman" w:hAnsi="Times New Roman" w:cs="Times New Roman" w:eastAsia="Times New Roman" w:hint="default"/>
          <w:spacing w:val="-1"/>
        </w:rPr>
        <w:t>(</w:t>
      </w:r>
      <w:r>
        <w:rPr>
          <w:spacing w:val="-1"/>
        </w:rPr>
        <w:t>或存货类别</w:t>
      </w:r>
      <w:r>
        <w:rPr>
          <w:rFonts w:ascii="Times New Roman" w:hAnsi="Times New Roman" w:cs="Times New Roman" w:eastAsia="Times New Roman" w:hint="default"/>
          <w:spacing w:val="-1"/>
        </w:rPr>
        <w:t>)</w:t>
      </w:r>
      <w:r>
        <w:rPr>
          <w:spacing w:val="-1"/>
        </w:rPr>
        <w:t>计提，与在同一地区生产和销售的产品系列相关、具有相同或类似最终用途</w:t>
      </w:r>
      <w:r>
        <w:rPr/>
        <w:t> 或目的，且难以与其他项目分开计量的存货，合并计提存货跌价准备。</w:t>
      </w:r>
    </w:p>
    <w:p>
      <w:pPr>
        <w:pStyle w:val="BodyText"/>
        <w:spacing w:line="309" w:lineRule="auto" w:before="31"/>
        <w:ind w:left="513" w:right="7153" w:firstLine="72"/>
        <w:jc w:val="left"/>
      </w:pPr>
      <w:r>
        <w:rPr>
          <w:rFonts w:ascii="Times New Roman" w:hAnsi="Times New Roman" w:cs="Times New Roman" w:eastAsia="Times New Roman" w:hint="default"/>
        </w:rPr>
        <w:t>(4)</w:t>
      </w:r>
      <w:r>
        <w:rPr/>
        <w:t>存货的盘存制度</w:t>
      </w:r>
      <w:r>
        <w:rPr>
          <w:w w:val="99"/>
        </w:rPr>
        <w:t> </w:t>
      </w:r>
      <w:r>
        <w:rPr/>
        <w:t>存货的盘存制度采用永续盘存制。</w:t>
      </w:r>
      <w:r>
        <w:rPr>
          <w:w w:val="99"/>
        </w:rPr>
        <w:t> </w:t>
      </w:r>
      <w:r>
        <w:rPr>
          <w:rFonts w:ascii="Times New Roman" w:hAnsi="Times New Roman" w:cs="Times New Roman" w:eastAsia="Times New Roman" w:hint="default"/>
        </w:rPr>
        <w:t>(5)</w:t>
      </w:r>
      <w:r>
        <w:rPr/>
        <w:t>低值易耗品和包装物的摊销方法</w:t>
      </w:r>
      <w:r>
        <w:rPr>
          <w:w w:val="99"/>
        </w:rPr>
        <w:t> </w:t>
      </w:r>
      <w:r>
        <w:rPr/>
        <w:t>对低值易耗品采用分次转销法进行摊销。</w:t>
      </w:r>
      <w:r>
        <w:rPr>
          <w:w w:val="99"/>
        </w:rPr>
        <w:t> </w:t>
      </w:r>
      <w:r>
        <w:rPr/>
        <w:t>对包装物采用一次转销法。</w:t>
      </w:r>
    </w:p>
    <w:p>
      <w:pPr>
        <w:spacing w:line="240" w:lineRule="auto" w:before="3"/>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）持有待售资产确认标准 </w:t>
      </w:r>
      <w:r>
        <w:rPr>
          <w:spacing w:val="-2"/>
        </w:rPr>
        <w:t>公司若主要通过出售（包括具有商业实质的非货币性资产交换，下同）而非持续使用一项非流动资产或处置组收回其账</w:t>
      </w:r>
    </w:p>
    <w:p>
      <w:pPr>
        <w:pStyle w:val="BodyText"/>
        <w:spacing w:line="240" w:lineRule="auto" w:before="31"/>
        <w:ind w:right="0"/>
        <w:jc w:val="both"/>
      </w:pPr>
      <w:r>
        <w:rPr/>
        <w:t>面价值的，则将其划分为持有待售类别。具体标准为同时满足以下条件：</w:t>
      </w:r>
    </w:p>
    <w:p>
      <w:pPr>
        <w:pStyle w:val="BodyText"/>
        <w:spacing w:line="240" w:lineRule="auto" w:before="76"/>
        <w:ind w:left="513" w:right="1133"/>
        <w:jc w:val="left"/>
      </w:pPr>
      <w:r>
        <w:rPr/>
        <w:t>①根据类似交易中出售此类资产或处置组的惯例，在当前状况下即可立即出售；</w:t>
      </w:r>
    </w:p>
    <w:p>
      <w:pPr>
        <w:pStyle w:val="BodyText"/>
        <w:spacing w:line="319" w:lineRule="auto" w:before="76"/>
        <w:ind w:left="513" w:right="0"/>
        <w:jc w:val="left"/>
      </w:pPr>
      <w:r>
        <w:rPr/>
        <w:t>②出售极可能发生，即企业已经就一项出售计划作出决议且获得确定的购买承诺，预计出售将在一年内完成。 </w:t>
      </w:r>
      <w:r>
        <w:rPr>
          <w:spacing w:val="-2"/>
        </w:rPr>
        <w:t>其中，处置组是指在一项交易中作为整体通过出售或其他方式一并处置的一组资产，以及在该交易中转让的与这些资产</w:t>
      </w:r>
    </w:p>
    <w:p>
      <w:pPr>
        <w:pStyle w:val="BodyText"/>
        <w:spacing w:line="300" w:lineRule="auto" w:before="17"/>
        <w:ind w:right="1124"/>
        <w:jc w:val="left"/>
      </w:pPr>
      <w:r>
        <w:rPr/>
        <w:t>直接相关的负债。处置组所属的资产组或资产组组合按照《企业会计准则第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资产减值》分摊了企业合并中取得的商</w:t>
      </w:r>
      <w:r>
        <w:rPr>
          <w:spacing w:val="-83"/>
        </w:rPr>
        <w:t> </w:t>
      </w:r>
      <w:r>
        <w:rPr>
          <w:spacing w:val="-83"/>
        </w:rPr>
      </w:r>
      <w:r>
        <w:rPr/>
        <w:t>誉的，该处置组应当包含分摊至处置组的商誉。</w:t>
      </w:r>
    </w:p>
    <w:p>
      <w:pPr>
        <w:pStyle w:val="BodyText"/>
        <w:spacing w:line="300" w:lineRule="auto" w:before="31"/>
        <w:ind w:left="513" w:right="0"/>
        <w:jc w:val="left"/>
      </w:pPr>
      <w:r>
        <w:rPr/>
        <w:t>（</w:t>
      </w:r>
      <w:r>
        <w:rPr>
          <w:rFonts w:ascii="Times New Roman" w:hAnsi="Times New Roman" w:cs="Times New Roman" w:eastAsia="Times New Roman" w:hint="default"/>
        </w:rPr>
        <w:t>2</w:t>
      </w:r>
      <w:r>
        <w:rPr/>
        <w:t>）持有待售资产的会计处理方法 </w:t>
      </w:r>
      <w:r>
        <w:rPr>
          <w:spacing w:val="-2"/>
        </w:rPr>
        <w:t>初始计量或在资产负债表日重新计量划分为持有待售的非流动资产和处置组时，其账面价值高于公允价值减去出售费用</w:t>
      </w:r>
    </w:p>
    <w:p>
      <w:pPr>
        <w:pStyle w:val="BodyText"/>
        <w:spacing w:line="314" w:lineRule="auto" w:before="31"/>
        <w:ind w:right="1130"/>
        <w:jc w:val="both"/>
      </w:pPr>
      <w:r>
        <w:rPr>
          <w:spacing w:val="-2"/>
        </w:rPr>
        <w:t>后的净额的，将账面价值减记至公允价值减去出售费用后的净额，减记的金额确认为资产减值损失，计入当期损益，同时计</w:t>
      </w:r>
      <w:r>
        <w:rPr>
          <w:spacing w:val="-63"/>
        </w:rPr>
        <w:t> </w:t>
      </w:r>
      <w:r>
        <w:rPr>
          <w:spacing w:val="-63"/>
        </w:rPr>
      </w:r>
      <w:r>
        <w:rPr>
          <w:spacing w:val="-2"/>
        </w:rPr>
        <w:t>提持有待售资产减值准备。对于处置组，所确认的资产减值损失先抵减处置组中商誉的账面价值，再按比例抵减该处置组内</w:t>
      </w:r>
      <w:r>
        <w:rPr>
          <w:spacing w:val="-63"/>
        </w:rPr>
        <w:t> </w:t>
      </w:r>
      <w:r>
        <w:rPr>
          <w:spacing w:val="-63"/>
        </w:rPr>
      </w:r>
      <w:r>
        <w:rPr>
          <w:spacing w:val="-2"/>
        </w:rPr>
        <w:t>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持有待售的非流动资产、处置组和终止经营》（以下简称</w:t>
      </w:r>
      <w:r>
        <w:rPr>
          <w:rFonts w:ascii="Times New Roman" w:hAnsi="Times New Roman" w:cs="Times New Roman" w:eastAsia="Times New Roman" w:hint="default"/>
          <w:spacing w:val="-2"/>
        </w:rPr>
        <w:t>“</w:t>
      </w:r>
      <w:r>
        <w:rPr>
          <w:spacing w:val="-2"/>
        </w:rPr>
        <w:t>持有待售准则</w:t>
      </w:r>
      <w:r>
        <w:rPr>
          <w:rFonts w:ascii="Times New Roman" w:hAnsi="Times New Roman" w:cs="Times New Roman" w:eastAsia="Times New Roman" w:hint="default"/>
          <w:spacing w:val="-2"/>
        </w:rPr>
        <w:t>”</w:t>
      </w:r>
      <w:r>
        <w:rPr>
          <w:spacing w:val="-2"/>
        </w:rPr>
        <w:t>）的计量规定的各</w:t>
      </w:r>
      <w:r>
        <w:rPr>
          <w:spacing w:val="-43"/>
        </w:rPr>
        <w:t> </w:t>
      </w:r>
      <w:r>
        <w:rPr>
          <w:spacing w:val="-43"/>
        </w:rPr>
      </w:r>
      <w:r>
        <w:rPr>
          <w:spacing w:val="-2"/>
        </w:rPr>
        <w:t>项非流动资产的账面价值。后续资产负债表日持有待售的处置组公允价值减去出售费用后的净额增加的，以前减记的金额应</w:t>
      </w:r>
      <w:r>
        <w:rPr>
          <w:spacing w:val="-64"/>
        </w:rPr>
        <w:t> </w:t>
      </w:r>
      <w:r>
        <w:rPr>
          <w:spacing w:val="-64"/>
        </w:rPr>
      </w:r>
      <w:r>
        <w:rPr>
          <w:spacing w:val="-2"/>
        </w:rPr>
        <w:t>当予以恢复，并在划分为持有待售类别后适用持有待售准则计量规定的非流动资产确认的资产减值损失金额内转回，转回金</w:t>
      </w:r>
      <w:r>
        <w:rPr>
          <w:spacing w:val="-64"/>
        </w:rPr>
        <w:t> </w:t>
      </w:r>
      <w:r>
        <w:rPr>
          <w:spacing w:val="-64"/>
        </w:rPr>
      </w:r>
      <w:r>
        <w:rPr>
          <w:spacing w:val="-2"/>
        </w:rPr>
        <w:t>额计入当期损益，并根据处置组中除商誉外适用持有待售准则计量规定的各项非流动资产账面价值所占比重按比例增加其账</w:t>
      </w:r>
      <w:r>
        <w:rPr>
          <w:spacing w:val="-64"/>
        </w:rPr>
        <w:t> </w:t>
      </w:r>
      <w:r>
        <w:rPr>
          <w:spacing w:val="-64"/>
        </w:rPr>
      </w:r>
      <w:r>
        <w:rPr>
          <w:spacing w:val="-2"/>
        </w:rPr>
        <w:t>面价值；已抵减的商誉账面价值，以及适用持有待售准则计量规定的非流动资产在划分为持有待售类别前确认的资产减值损</w:t>
      </w:r>
    </w:p>
    <w:p>
      <w:pPr>
        <w:spacing w:after="0" w:line="314"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失不得转回。</w:t>
      </w:r>
    </w:p>
    <w:p>
      <w:pPr>
        <w:pStyle w:val="BodyText"/>
        <w:spacing w:line="316" w:lineRule="auto" w:before="76"/>
        <w:ind w:right="1132" w:firstLine="360"/>
        <w:jc w:val="both"/>
      </w:pPr>
      <w:r>
        <w:rPr>
          <w:spacing w:val="-2"/>
        </w:rPr>
        <w:t>持有待售的非流动资产或处置组中的非流动资产不计提折旧或摊销，持有待售的处置组中负债的利息和其他费用继续予</w:t>
      </w:r>
      <w:r>
        <w:rPr/>
        <w:t> 以确认。</w:t>
      </w:r>
    </w:p>
    <w:p>
      <w:pPr>
        <w:pStyle w:val="BodyText"/>
        <w:spacing w:line="316" w:lineRule="auto" w:before="19"/>
        <w:ind w:right="1132" w:firstLine="360"/>
        <w:jc w:val="both"/>
      </w:pPr>
      <w:r>
        <w:rPr>
          <w:spacing w:val="-2"/>
        </w:rPr>
        <w:t>非流动资产或处置组不再满足持有待售类别的划分条件时，不再将其继续划分为持有待售类别或将非流动资产从持有待</w:t>
      </w:r>
      <w:r>
        <w:rPr/>
        <w:t> 售的处置组中移除，并按照以下两者孰低计量：</w:t>
      </w:r>
    </w:p>
    <w:p>
      <w:pPr>
        <w:pStyle w:val="BodyText"/>
        <w:spacing w:line="316" w:lineRule="auto" w:before="19"/>
        <w:ind w:right="1132" w:firstLine="360"/>
        <w:jc w:val="both"/>
      </w:pPr>
      <w:r>
        <w:rPr>
          <w:spacing w:val="-2"/>
        </w:rPr>
        <w:t>①划分为持有待售类别前的账面价值，按照假定不划分为持有待售类别情况下本应确认的折旧、摊销或减值等进行调整</w:t>
      </w:r>
      <w:r>
        <w:rPr/>
        <w:t> 后的金额；</w:t>
      </w:r>
    </w:p>
    <w:p>
      <w:pPr>
        <w:pStyle w:val="BodyText"/>
        <w:spacing w:line="240" w:lineRule="auto" w:before="19"/>
        <w:ind w:left="513" w:right="1133"/>
        <w:jc w:val="left"/>
      </w:pPr>
      <w:r>
        <w:rPr/>
        <w:t>②可收回金额。</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133"/>
        <w:jc w:val="left"/>
      </w:pPr>
      <w:r>
        <w:rPr/>
        <w:t>长期股权投资是指公司对被投资单位实施控制、重大影响的权益性投资，以及对其合营企业的投资。</w:t>
      </w:r>
    </w:p>
    <w:p>
      <w:pPr>
        <w:pStyle w:val="BodyText"/>
        <w:spacing w:line="300" w:lineRule="auto" w:before="76"/>
        <w:ind w:left="513" w:right="1933"/>
        <w:jc w:val="left"/>
      </w:pPr>
      <w:r>
        <w:rPr/>
        <w:t>（</w:t>
      </w:r>
      <w:r>
        <w:rPr>
          <w:rFonts w:ascii="Times New Roman" w:hAnsi="Times New Roman" w:cs="Times New Roman" w:eastAsia="Times New Roman" w:hint="default"/>
        </w:rPr>
        <w:t>1</w:t>
      </w:r>
      <w:r>
        <w:rPr/>
        <w:t>）投资成本确定 除对外合并形成的长期股权投资以外，其他方式取得的长期股权投资，按照下列规定确定其初始投资成本：</w:t>
      </w:r>
    </w:p>
    <w:p>
      <w:pPr>
        <w:pStyle w:val="BodyText"/>
        <w:spacing w:line="316" w:lineRule="auto" w:before="31"/>
        <w:ind w:right="1132" w:firstLine="360"/>
        <w:jc w:val="both"/>
      </w:pPr>
      <w:r>
        <w:rPr>
          <w:spacing w:val="-2"/>
        </w:rPr>
        <w:t>①以支付现金取得的长期股权投资，按照实际支付的购买价款作为初始投资成本。初始投资成本包括与取得长期股权投</w:t>
      </w:r>
      <w:r>
        <w:rPr/>
        <w:t> 资直接相关的费用、税金及其他必要支出；</w:t>
      </w:r>
    </w:p>
    <w:p>
      <w:pPr>
        <w:pStyle w:val="BodyText"/>
        <w:spacing w:line="240" w:lineRule="auto" w:before="19"/>
        <w:ind w:left="513" w:right="1133"/>
        <w:jc w:val="left"/>
      </w:pPr>
      <w:r>
        <w:rPr/>
        <w:t>②以发行权益性证券取得的长期股权投资，按照发行权益性证券的公允价值作为初始投资成本；</w:t>
      </w:r>
    </w:p>
    <w:p>
      <w:pPr>
        <w:pStyle w:val="BodyText"/>
        <w:spacing w:line="300" w:lineRule="auto" w:before="76"/>
        <w:ind w:right="1131" w:firstLine="360"/>
        <w:jc w:val="both"/>
      </w:pPr>
      <w:r>
        <w:rPr/>
        <w:t>③通过非货币性资产交换取得的长期股权投资，其初始投资成本应当按照《企业会计准则第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 确定；</w:t>
      </w:r>
    </w:p>
    <w:p>
      <w:pPr>
        <w:pStyle w:val="BodyText"/>
        <w:spacing w:line="240" w:lineRule="auto" w:before="31"/>
        <w:ind w:left="513" w:right="1133"/>
        <w:jc w:val="left"/>
      </w:pPr>
      <w:r>
        <w:rPr/>
        <w:t>④通过债务重组取得的长期股权投资，其初始投资成本应当按照《企业会计准则第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债务重组》确定。</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）后续计量及损益确认方法</w:t>
      </w:r>
    </w:p>
    <w:p>
      <w:pPr>
        <w:pStyle w:val="BodyText"/>
        <w:spacing w:line="316" w:lineRule="auto" w:before="63"/>
        <w:ind w:left="513" w:right="6433"/>
        <w:jc w:val="left"/>
      </w:pPr>
      <w:r>
        <w:rPr/>
        <w:t>①下列长期股权投资采用成本法核算： 公司能够对被投资单位实施控制的长期股权投资。</w:t>
      </w:r>
    </w:p>
    <w:p>
      <w:pPr>
        <w:pStyle w:val="BodyText"/>
        <w:spacing w:line="316" w:lineRule="auto" w:before="19"/>
        <w:ind w:right="1132" w:firstLine="360"/>
        <w:jc w:val="both"/>
      </w:pPr>
      <w:r>
        <w:rPr>
          <w:spacing w:val="-2"/>
        </w:rPr>
        <w:t>采用成本法核算的长期股权投资按照初始投资成本计价。追加或收回投资应当调整长期股权投资的成本。被投资单位宣</w:t>
      </w:r>
      <w:r>
        <w:rPr/>
        <w:t> 告分派的现金股利或利润，确认为当期投资收益。</w:t>
      </w:r>
    </w:p>
    <w:p>
      <w:pPr>
        <w:pStyle w:val="BodyText"/>
        <w:spacing w:line="300" w:lineRule="auto" w:before="19"/>
        <w:ind w:left="513" w:right="0"/>
        <w:jc w:val="left"/>
      </w:pPr>
      <w:r>
        <w:rPr/>
        <w:t>②对被投资单位具有共同控制</w:t>
      </w:r>
      <w:r>
        <w:rPr>
          <w:rFonts w:ascii="Times New Roman" w:hAnsi="Times New Roman" w:cs="Times New Roman" w:eastAsia="Times New Roman" w:hint="default"/>
        </w:rPr>
        <w:t>(</w:t>
      </w:r>
      <w:r>
        <w:rPr/>
        <w:t>指合营企业</w:t>
      </w:r>
      <w:r>
        <w:rPr>
          <w:rFonts w:ascii="Times New Roman" w:hAnsi="Times New Roman" w:cs="Times New Roman" w:eastAsia="Times New Roman" w:hint="default"/>
        </w:rPr>
        <w:t>)</w:t>
      </w:r>
      <w:r>
        <w:rPr/>
        <w:t>或重大影响的长期股权投资，按照采用权益法核算。 </w:t>
      </w:r>
      <w:r>
        <w:rPr>
          <w:spacing w:val="-2"/>
        </w:rPr>
        <w:t>长期股权投资采用权益法核算时，对长期股权投资的投资成本大于投资时应享有被投资单位可辨认净资产公允价值份额</w:t>
      </w:r>
    </w:p>
    <w:p>
      <w:pPr>
        <w:pStyle w:val="BodyText"/>
        <w:spacing w:line="316" w:lineRule="auto" w:before="31"/>
        <w:ind w:right="1132"/>
        <w:jc w:val="left"/>
      </w:pPr>
      <w:r>
        <w:rPr>
          <w:spacing w:val="-2"/>
        </w:rPr>
        <w:t>的，不调整长期股权投资的投资成本；对长期股权投资的投资成本小于投资时应享有被投资单位可辨认净资产公允价值份额</w:t>
      </w:r>
      <w:r>
        <w:rPr>
          <w:spacing w:val="-64"/>
        </w:rPr>
        <w:t> </w:t>
      </w:r>
      <w:r>
        <w:rPr>
          <w:spacing w:val="-64"/>
        </w:rPr>
      </w:r>
      <w:r>
        <w:rPr/>
        <w:t>的，对长期股权投资的账面价值进行调整，差额计入投资当期的损益。</w:t>
      </w:r>
    </w:p>
    <w:p>
      <w:pPr>
        <w:pStyle w:val="BodyText"/>
        <w:spacing w:line="319" w:lineRule="auto" w:before="19"/>
        <w:ind w:right="1128" w:firstLine="360"/>
        <w:jc w:val="both"/>
      </w:pPr>
      <w:r>
        <w:rPr>
          <w:spacing w:val="-2"/>
        </w:rPr>
        <w:t>在权益法核算时，当取得长期股权投资后，按照应享有或应分担的被投资单位实现的净损益和其他综合收益的份额，分</w:t>
      </w:r>
      <w:r>
        <w:rPr/>
        <w:t> </w:t>
      </w:r>
      <w:r>
        <w:rPr>
          <w:spacing w:val="-2"/>
        </w:rPr>
        <w:t>别确认投资损益和其他综合收益，并调整长期股权投资的账面价值。投资企业按照被投资单位宣告分派的利润或现金股利计</w:t>
      </w:r>
      <w:r>
        <w:rPr>
          <w:spacing w:val="-64"/>
        </w:rPr>
        <w:t> </w:t>
      </w:r>
      <w:r>
        <w:rPr>
          <w:spacing w:val="-64"/>
        </w:rPr>
      </w:r>
      <w:r>
        <w:rPr>
          <w:spacing w:val="-2"/>
        </w:rPr>
        <w:t>算应分得的部分，相应减少长期股权投资的账面价值。投资方对于被投资单位除净损益、其他综合收益和利润分配以外所有</w:t>
      </w:r>
      <w:r>
        <w:rPr>
          <w:spacing w:val="-61"/>
        </w:rPr>
        <w:t> </w:t>
      </w:r>
      <w:r>
        <w:rPr>
          <w:spacing w:val="-61"/>
        </w:rPr>
      </w:r>
      <w:r>
        <w:rPr/>
        <w:t>者权益的其他变动，应当调整长期股权投资的账面价值并计入所有者权益。</w:t>
      </w:r>
    </w:p>
    <w:p>
      <w:pPr>
        <w:pStyle w:val="BodyText"/>
        <w:spacing w:line="316" w:lineRule="auto" w:before="17"/>
        <w:ind w:right="1130" w:firstLine="360"/>
        <w:jc w:val="both"/>
      </w:pPr>
      <w:r>
        <w:rPr>
          <w:spacing w:val="-2"/>
        </w:rPr>
        <w:t>确认被投资单位发生的净亏损，以长期股权投资的账面价值以及其他实质上构成对被投资单位净投资的长期权益减记至</w:t>
      </w:r>
      <w:r>
        <w:rPr/>
        <w:t> </w:t>
      </w:r>
      <w:r>
        <w:rPr>
          <w:spacing w:val="-2"/>
        </w:rPr>
        <w:t>零为限，公司对被投资企业负有承担额外损失义务的除外。被投资单位以后实现净利润的，投资企业在其收益分享额弥补未</w:t>
      </w:r>
      <w:r>
        <w:rPr>
          <w:spacing w:val="-63"/>
        </w:rPr>
        <w:t> </w:t>
      </w:r>
      <w:r>
        <w:rPr>
          <w:spacing w:val="-63"/>
        </w:rPr>
      </w:r>
      <w:r>
        <w:rPr/>
        <w:t>确认的亏损分担额后，恢复确认收益分享额。</w:t>
      </w:r>
    </w:p>
    <w:p>
      <w:pPr>
        <w:pStyle w:val="BodyText"/>
        <w:spacing w:line="316" w:lineRule="auto" w:before="16"/>
        <w:ind w:right="1132" w:firstLine="360"/>
        <w:jc w:val="both"/>
      </w:pPr>
      <w:r>
        <w:rPr>
          <w:spacing w:val="-2"/>
        </w:rPr>
        <w:t>对于被投资单位除净损益、其他综合收益和利润分配以外所有者权益的其他变动，调整长期股权投资的账面价值并计入</w:t>
      </w:r>
      <w:r>
        <w:rPr/>
        <w:t> 所有者权益。</w:t>
      </w:r>
    </w:p>
    <w:p>
      <w:pPr>
        <w:pStyle w:val="BodyText"/>
        <w:spacing w:line="316" w:lineRule="auto" w:before="19"/>
        <w:ind w:right="1132" w:firstLine="360"/>
        <w:jc w:val="both"/>
      </w:pPr>
      <w:r>
        <w:rPr>
          <w:spacing w:val="-2"/>
        </w:rPr>
        <w:t>长期股权投资按照权益法核算在确认投资损益时，先对被投资单位的净利润进行取得投资时被投资单位各项可辨认资产</w:t>
      </w:r>
      <w:r>
        <w:rPr/>
        <w:t> 等的公允价值、会计政策和会计期间方面的调整，再按应享有或应分担的被投资单位的净损益份额确认当期投资损益。</w:t>
      </w:r>
    </w:p>
    <w:p>
      <w:pPr>
        <w:pStyle w:val="BodyText"/>
        <w:spacing w:line="316" w:lineRule="auto" w:before="19"/>
        <w:ind w:right="1132" w:firstLine="360"/>
        <w:jc w:val="both"/>
      </w:pPr>
      <w:r>
        <w:rPr>
          <w:spacing w:val="-2"/>
        </w:rPr>
        <w:t>与联营企业及合营企业之间发生的未实现内部交易损益按照持股比例计算归属于本公司的部分，在抵销基础上确认投资</w:t>
      </w:r>
      <w:r>
        <w:rPr/>
        <w:t> 损益。</w:t>
      </w:r>
    </w:p>
    <w:p>
      <w:pPr>
        <w:pStyle w:val="BodyText"/>
        <w:spacing w:line="300" w:lineRule="auto" w:before="19"/>
        <w:ind w:left="513" w:right="0"/>
        <w:jc w:val="left"/>
      </w:pPr>
      <w:r>
        <w:rPr/>
        <w:t>（</w:t>
      </w:r>
      <w:r>
        <w:rPr>
          <w:rFonts w:ascii="Times New Roman" w:hAnsi="Times New Roman" w:cs="Times New Roman" w:eastAsia="Times New Roman" w:hint="default"/>
        </w:rPr>
        <w:t>3</w:t>
      </w:r>
      <w:r>
        <w:rPr/>
        <w:t>）确定对被投资单位具有共同控制、重大影响的依据 </w:t>
      </w:r>
      <w:r>
        <w:rPr>
          <w:spacing w:val="-2"/>
        </w:rPr>
        <w:t>共同控制，是指按照相关约定对某项安排所共有的控制，并且该安排的相关活动必须经过分享控制权的参与方一致同意</w:t>
      </w:r>
    </w:p>
    <w:p>
      <w:pPr>
        <w:spacing w:after="0" w:line="300" w:lineRule="auto"/>
        <w:jc w:val="left"/>
        <w:sectPr>
          <w:footerReference w:type="default" r:id="rId40"/>
          <w:pgSz w:w="11910" w:h="16840"/>
          <w:pgMar w:footer="979" w:header="877" w:top="1100" w:bottom="1160" w:left="980" w:right="0"/>
          <w:pgNumType w:start="120"/>
        </w:sectPr>
      </w:pPr>
    </w:p>
    <w:p>
      <w:pPr>
        <w:spacing w:line="240" w:lineRule="auto" w:before="11"/>
        <w:rPr>
          <w:rFonts w:ascii="宋体" w:hAnsi="宋体" w:cs="宋体" w:eastAsia="宋体" w:hint="default"/>
          <w:sz w:val="21"/>
          <w:szCs w:val="21"/>
        </w:rPr>
      </w:pPr>
    </w:p>
    <w:p>
      <w:pPr>
        <w:pStyle w:val="BodyText"/>
        <w:spacing w:line="316" w:lineRule="auto" w:before="44"/>
        <w:ind w:right="1129"/>
        <w:jc w:val="both"/>
      </w:pPr>
      <w:r>
        <w:rPr>
          <w:spacing w:val="-2"/>
        </w:rPr>
        <w:t>后才能决策。在判断是否存在共同控制时，首先判断所有参与方或参与方组合是否集体控制该安排，如果所有参与方或一组</w:t>
      </w:r>
      <w:r>
        <w:rPr>
          <w:spacing w:val="-62"/>
        </w:rPr>
        <w:t> </w:t>
      </w:r>
      <w:r>
        <w:rPr>
          <w:spacing w:val="-62"/>
        </w:rPr>
      </w:r>
      <w:r>
        <w:rPr>
          <w:spacing w:val="-2"/>
        </w:rPr>
        <w:t>参与方必须一致行动才能决定某项安排的相关活动，则认为所有参与方或一组参与方集体控制该安排。其次再判断该安排相</w:t>
      </w:r>
      <w:r>
        <w:rPr>
          <w:spacing w:val="-64"/>
        </w:rPr>
        <w:t> </w:t>
      </w:r>
      <w:r>
        <w:rPr>
          <w:spacing w:val="-64"/>
        </w:rPr>
      </w:r>
      <w:r>
        <w:rPr>
          <w:spacing w:val="-2"/>
        </w:rPr>
        <w:t>关活动的决策是否必须经过这些集体控制该安排的参与方一致同意。如果存在两个或两个以上的参与方组合能够集体控制某</w:t>
      </w:r>
      <w:r>
        <w:rPr>
          <w:spacing w:val="-64"/>
        </w:rPr>
        <w:t> </w:t>
      </w:r>
      <w:r>
        <w:rPr>
          <w:spacing w:val="-64"/>
        </w:rPr>
      </w:r>
      <w:r>
        <w:rPr/>
        <w:t>项安排的，不构成共同控制。判断是否存在共同控制时，不考虑享有的保护性权利。</w:t>
      </w:r>
    </w:p>
    <w:p>
      <w:pPr>
        <w:pStyle w:val="BodyText"/>
        <w:spacing w:line="316" w:lineRule="auto" w:before="19"/>
        <w:ind w:right="1131" w:firstLine="360"/>
        <w:jc w:val="both"/>
      </w:pPr>
      <w:r>
        <w:rPr>
          <w:spacing w:val="-2"/>
        </w:rPr>
        <w:t>重大影响，是指对一个企业的财务和经营政策有参与决策的权力，但并不能够控制或者与其他方一起共同控制这些政策</w:t>
      </w:r>
      <w:r>
        <w:rPr/>
        <w:t> </w:t>
      </w:r>
      <w:r>
        <w:rPr>
          <w:spacing w:val="-2"/>
        </w:rPr>
        <w:t>的制定。在确定能否对被投资单位施加重大影响时，考虑投资方直接或间接持有被投资单位的表决权股份以及投资方及其他</w:t>
      </w:r>
      <w:r>
        <w:rPr>
          <w:spacing w:val="-62"/>
        </w:rPr>
        <w:t> </w:t>
      </w:r>
      <w:r>
        <w:rPr>
          <w:spacing w:val="-62"/>
        </w:rPr>
      </w:r>
      <w:r>
        <w:rPr>
          <w:spacing w:val="-2"/>
        </w:rPr>
        <w:t>方持有的当期可执行潜在表决权在假定转换为对被投资方单位的股权后产生的影响，包括被投资单位发行的当期可转换的认</w:t>
      </w:r>
      <w:r>
        <w:rPr>
          <w:spacing w:val="-64"/>
        </w:rPr>
        <w:t> </w:t>
      </w:r>
      <w:r>
        <w:rPr>
          <w:spacing w:val="-64"/>
        </w:rPr>
      </w:r>
      <w:r>
        <w:rPr/>
        <w:t>股权证、股份期权及可转换公司债券等的影响。</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8954"/>
        <w:jc w:val="left"/>
      </w:pPr>
      <w:r>
        <w:rPr/>
        <w:t>投资性房地产计量模式 公允价值计量</w:t>
      </w:r>
    </w:p>
    <w:p>
      <w:pPr>
        <w:pStyle w:val="BodyText"/>
        <w:spacing w:line="316" w:lineRule="auto" w:before="29"/>
        <w:ind w:right="1130"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转让的土地使用权、已出租的建筑物。投资性房地产应当按照成本进行初始计量，公司在资产负债表日采用公允价值模式进</w:t>
      </w:r>
      <w:r>
        <w:rPr>
          <w:spacing w:val="-63"/>
        </w:rPr>
        <w:t> </w:t>
      </w:r>
      <w:r>
        <w:rPr>
          <w:spacing w:val="-63"/>
        </w:rPr>
      </w:r>
      <w:r>
        <w:rPr/>
        <w:t>行后续计量。</w:t>
      </w:r>
    </w:p>
    <w:p>
      <w:pPr>
        <w:pStyle w:val="BodyText"/>
        <w:spacing w:line="240" w:lineRule="auto" w:before="19"/>
        <w:ind w:left="513" w:right="1133"/>
        <w:jc w:val="left"/>
      </w:pPr>
      <w:r>
        <w:rPr/>
        <w:t>本公司采用公允价值模式对投资性房地产进行后续计量，会计政策选择的依据为：</w:t>
      </w:r>
    </w:p>
    <w:p>
      <w:pPr>
        <w:pStyle w:val="BodyText"/>
        <w:spacing w:line="240" w:lineRule="auto" w:before="76"/>
        <w:ind w:left="513" w:right="1133"/>
        <w:jc w:val="left"/>
      </w:pPr>
      <w:r>
        <w:rPr/>
        <w:t>（</w:t>
      </w:r>
      <w:r>
        <w:rPr>
          <w:rFonts w:ascii="宋体" w:hAnsi="宋体" w:cs="宋体" w:eastAsia="宋体" w:hint="default"/>
        </w:rPr>
        <w:t>1</w:t>
      </w:r>
      <w:r>
        <w:rPr/>
        <w:t>）</w:t>
      </w:r>
      <w:r>
        <w:rPr>
          <w:spacing w:val="-18"/>
        </w:rPr>
        <w:t> </w:t>
      </w:r>
      <w:r>
        <w:rPr/>
        <w:t>投资性房地产所在地有活跃的房地产交易市场。</w:t>
      </w:r>
    </w:p>
    <w:p>
      <w:pPr>
        <w:pStyle w:val="BodyText"/>
        <w:spacing w:line="316" w:lineRule="auto" w:before="76"/>
        <w:ind w:right="1133" w:firstLine="360"/>
        <w:jc w:val="both"/>
      </w:pPr>
      <w:r>
        <w:rPr/>
        <w:t>（</w:t>
      </w:r>
      <w:r>
        <w:rPr>
          <w:rFonts w:ascii="宋体" w:hAnsi="宋体" w:cs="宋体" w:eastAsia="宋体" w:hint="default"/>
        </w:rPr>
        <w:t>2</w:t>
      </w:r>
      <w:r>
        <w:rPr/>
        <w:t>）本公司能够从房地产交易市场上取得同类或类似房地产的市场价格及其他相关信息，从而对投资性房地产的公允 价值作出合理的估计。</w:t>
      </w:r>
    </w:p>
    <w:p>
      <w:pPr>
        <w:pStyle w:val="BodyText"/>
        <w:spacing w:line="319" w:lineRule="auto" w:before="19"/>
        <w:ind w:right="1132" w:firstLine="360"/>
        <w:jc w:val="both"/>
      </w:pPr>
      <w:r>
        <w:rPr>
          <w:spacing w:val="-2"/>
        </w:rPr>
        <w:t>本公司不对投资性房地产计提折旧或进行摊销，以资产负债表日投资性房地产的公允价值为基础调整其账面价值，公允</w:t>
      </w:r>
      <w:r>
        <w:rPr/>
        <w:t> 价值与原账面价值之间的差额计入当期损益。</w:t>
      </w:r>
    </w:p>
    <w:p>
      <w:pPr>
        <w:pStyle w:val="BodyText"/>
        <w:spacing w:line="316" w:lineRule="auto" w:before="17"/>
        <w:ind w:right="1132" w:firstLine="360"/>
        <w:jc w:val="both"/>
      </w:pPr>
      <w:r>
        <w:rPr>
          <w:spacing w:val="-2"/>
        </w:rPr>
        <w:t>确定投资性房地产的公允价值时，参照活跃市场上同类或类似房地产的现行市场价格；无法取得同类或类似房地产的现</w:t>
      </w:r>
      <w:r>
        <w:rPr/>
        <w:t> </w:t>
      </w:r>
      <w:r>
        <w:rPr>
          <w:spacing w:val="-2"/>
        </w:rPr>
        <w:t>行市场价格的，参照活跃市场上同类或类似房地产的最近交易价格，并考虑交易情况、交易日期、所在区域等因素，从而对</w:t>
      </w:r>
      <w:r>
        <w:rPr>
          <w:spacing w:val="-66"/>
        </w:rPr>
        <w:t> </w:t>
      </w:r>
      <w:r>
        <w:rPr>
          <w:spacing w:val="-66"/>
        </w:rPr>
      </w:r>
      <w:r>
        <w:rPr/>
        <w:t>投资性房地产的公允价值作出合理的估计；或基于预计未来获得的租金收益和有关现金流量的现值确定其公允价值。</w:t>
      </w:r>
    </w:p>
    <w:p>
      <w:pPr>
        <w:pStyle w:val="BodyText"/>
        <w:spacing w:line="316" w:lineRule="auto" w:before="19"/>
        <w:ind w:right="1130" w:firstLine="360"/>
        <w:jc w:val="both"/>
      </w:pPr>
      <w:r>
        <w:rPr>
          <w:spacing w:val="-2"/>
        </w:rPr>
        <w:t>自用房地产或存货转换为投资性房地产时，按照转换当日的公允价值计价，转换当日的公允价值小于原账面价值的，其</w:t>
      </w:r>
      <w:r>
        <w:rPr/>
        <w:t> </w:t>
      </w:r>
      <w:r>
        <w:rPr>
          <w:spacing w:val="-2"/>
        </w:rPr>
        <w:t>差额计入当期损益；转换当日的公允价值大于原账面价值的，其差额确认为其他综合收益。投资性房地产转换为自用房地产</w:t>
      </w:r>
      <w:r>
        <w:rPr>
          <w:spacing w:val="-63"/>
        </w:rPr>
        <w:t> </w:t>
      </w:r>
      <w:r>
        <w:rPr>
          <w:spacing w:val="-63"/>
        </w:rPr>
      </w:r>
      <w:r>
        <w:rPr/>
        <w:t>时，以转换当日的公允价值作为自用房地产的账面价值，公允价值与原账面价值的差额计入当期损益。</w:t>
      </w:r>
    </w:p>
    <w:p>
      <w:pPr>
        <w:pStyle w:val="BodyText"/>
        <w:spacing w:line="316" w:lineRule="auto" w:before="19"/>
        <w:ind w:right="1132" w:firstLine="360"/>
        <w:jc w:val="both"/>
      </w:pPr>
      <w:r>
        <w:rPr>
          <w:spacing w:val="-2"/>
        </w:rPr>
        <w:t>投资性房地产的用途改变为自用时，自改变之日起，将该投资性房地产转换为固定资产或无形资产。自用房地产的用途</w:t>
      </w:r>
      <w:r>
        <w:rPr/>
        <w:t> </w:t>
      </w:r>
      <w:r>
        <w:rPr>
          <w:spacing w:val="-2"/>
        </w:rPr>
        <w:t>改变为赚取租金或资本增值时，自改变之日起，将固定资产或无形资产转换为投资性房地产。发生转换时，以转换日的公允</w:t>
      </w:r>
      <w:r>
        <w:rPr>
          <w:spacing w:val="-66"/>
        </w:rPr>
        <w:t> </w:t>
      </w:r>
      <w:r>
        <w:rPr>
          <w:spacing w:val="-66"/>
        </w:rPr>
      </w:r>
      <w:r>
        <w:rPr/>
        <w:t>价值作为转换后的入账价值。</w:t>
      </w:r>
    </w:p>
    <w:p>
      <w:pPr>
        <w:pStyle w:val="BodyText"/>
        <w:spacing w:line="319" w:lineRule="auto" w:before="19"/>
        <w:ind w:right="1130"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542"/>
        <w:jc w:val="left"/>
      </w:pPr>
      <w:r>
        <w:rPr>
          <w:spacing w:val="-2"/>
        </w:rPr>
        <w:t>固定资产指为生产商品、提供劳务、出租或经营管理而持有，并且使用寿命超过一个会计年度的有形资产。固定资产</w:t>
      </w:r>
      <w:r>
        <w:rPr/>
        <w:t> 同时满足下列条件的，才能予以确认：</w:t>
      </w:r>
    </w:p>
    <w:p>
      <w:pPr>
        <w:pStyle w:val="BodyText"/>
        <w:spacing w:line="240" w:lineRule="auto" w:before="59"/>
        <w:ind w:right="0"/>
        <w:jc w:val="both"/>
      </w:pPr>
      <w:r>
        <w:rPr/>
        <w:t>①与该固定资产有关的经济利益很可能流入企业；</w:t>
      </w:r>
    </w:p>
    <w:p>
      <w:pPr>
        <w:pStyle w:val="BodyText"/>
        <w:spacing w:line="240" w:lineRule="auto" w:before="115"/>
        <w:ind w:right="0"/>
        <w:jc w:val="both"/>
      </w:pPr>
      <w:r>
        <w:rPr/>
        <w:t>②该固定资产的成本能够可靠地计量。</w:t>
      </w:r>
    </w:p>
    <w:p>
      <w:pPr>
        <w:spacing w:after="0" w:line="240"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5.00%</w:t>
            </w:r>
            <w:r>
              <w:rPr>
                <w:rFonts w:ascii="宋体" w:hAnsi="宋体" w:cs="宋体" w:eastAsia="宋体" w:hint="default"/>
                <w:sz w:val="18"/>
                <w:szCs w:val="18"/>
              </w:rPr>
              <w:t>、</w:t>
            </w:r>
            <w:r>
              <w:rPr>
                <w:rFonts w:ascii="Times New Roman" w:hAnsi="Times New Roman" w:cs="Times New Roman" w:eastAsia="Times New Roman" w:hint="default"/>
                <w:sz w:val="18"/>
                <w:szCs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4.50%</w:t>
            </w:r>
            <w:r>
              <w:rPr>
                <w:rFonts w:ascii="宋体" w:hAnsi="宋体" w:cs="宋体" w:eastAsia="宋体" w:hint="default"/>
                <w:sz w:val="18"/>
                <w:szCs w:val="18"/>
              </w:rPr>
              <w:t>、</w:t>
            </w:r>
            <w:r>
              <w:rPr>
                <w:rFonts w:ascii="Times New Roman" w:hAnsi="Times New Roman" w:cs="Times New Roman" w:eastAsia="Times New Roman" w:hint="default"/>
                <w:sz w:val="18"/>
                <w:szCs w:val="18"/>
              </w:rPr>
              <w:t>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5.00%</w:t>
            </w:r>
            <w:r>
              <w:rPr>
                <w:rFonts w:ascii="宋体" w:hAnsi="宋体" w:cs="宋体" w:eastAsia="宋体" w:hint="default"/>
                <w:sz w:val="18"/>
                <w:szCs w:val="18"/>
              </w:rPr>
              <w:t>、</w:t>
            </w:r>
            <w:r>
              <w:rPr>
                <w:rFonts w:ascii="Times New Roman" w:hAnsi="Times New Roman" w:cs="Times New Roman" w:eastAsia="Times New Roman" w:hint="default"/>
                <w:sz w:val="18"/>
                <w:szCs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18.00%</w:t>
            </w:r>
            <w:r>
              <w:rPr>
                <w:rFonts w:ascii="宋体" w:hAnsi="宋体" w:cs="宋体" w:eastAsia="宋体" w:hint="default"/>
                <w:sz w:val="18"/>
                <w:szCs w:val="18"/>
              </w:rPr>
              <w:t>、</w:t>
            </w:r>
            <w:r>
              <w:rPr>
                <w:rFonts w:ascii="Times New Roman" w:hAnsi="Times New Roman" w:cs="Times New Roman" w:eastAsia="Times New Roman" w:hint="default"/>
                <w:sz w:val="18"/>
                <w:szCs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5.00%</w:t>
            </w:r>
            <w:r>
              <w:rPr>
                <w:rFonts w:ascii="宋体" w:hAnsi="宋体" w:cs="宋体" w:eastAsia="宋体" w:hint="default"/>
                <w:sz w:val="18"/>
                <w:szCs w:val="18"/>
              </w:rPr>
              <w:t>、</w:t>
            </w:r>
            <w:r>
              <w:rPr>
                <w:rFonts w:ascii="Times New Roman" w:hAnsi="Times New Roman" w:cs="Times New Roman" w:eastAsia="Times New Roman" w:hint="default"/>
                <w:sz w:val="18"/>
                <w:szCs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19.00%-31.66%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319" w:lineRule="auto" w:before="8"/>
        <w:ind w:right="0" w:firstLine="360"/>
        <w:jc w:val="left"/>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2"/>
        <w:jc w:val="left"/>
      </w:pPr>
      <w:r>
        <w:rPr>
          <w:spacing w:val="-2"/>
        </w:rPr>
        <w:t>融资租入固定资产的认定依据：实质上转移了与资产所有权有关的全部风险和报酬的租赁。具体认定依据为符合下列一</w:t>
      </w:r>
      <w:r>
        <w:rPr/>
        <w:t> 项或数项条件的：</w:t>
      </w:r>
    </w:p>
    <w:p>
      <w:pPr>
        <w:pStyle w:val="BodyText"/>
        <w:spacing w:line="240" w:lineRule="auto" w:before="59"/>
        <w:ind w:left="436" w:right="1133"/>
        <w:jc w:val="left"/>
      </w:pPr>
      <w:r>
        <w:rPr/>
        <w:t>①在租赁期届满时，租赁资产的所有权转移给承租人；</w:t>
      </w:r>
    </w:p>
    <w:p>
      <w:pPr>
        <w:pStyle w:val="BodyText"/>
        <w:spacing w:line="316" w:lineRule="auto" w:before="117"/>
        <w:ind w:right="1133" w:firstLine="283"/>
        <w:jc w:val="left"/>
      </w:pPr>
      <w:r>
        <w:rPr/>
        <w:t>②承租人有购买租赁资产的选择权，所订立的购买价款预计将远低于行使选择权时租赁资产的公允价值，因而在租赁开 始日就可以合理确定承租人会行使这种选择权；</w:t>
      </w:r>
    </w:p>
    <w:p>
      <w:pPr>
        <w:pStyle w:val="BodyText"/>
        <w:spacing w:line="240" w:lineRule="auto" w:before="57"/>
        <w:ind w:left="436" w:right="1133"/>
        <w:jc w:val="left"/>
      </w:pPr>
      <w:r>
        <w:rPr/>
        <w:t>③即使资产的所有权不转移，但租赁期占租赁资产使用寿命的大部分；</w:t>
      </w:r>
    </w:p>
    <w:p>
      <w:pPr>
        <w:pStyle w:val="BodyText"/>
        <w:spacing w:line="240" w:lineRule="auto" w:before="117"/>
        <w:ind w:left="436" w:right="1133"/>
        <w:jc w:val="left"/>
      </w:pPr>
      <w:r>
        <w:rPr/>
        <w:t>④承租人在租赁开始日的最低租赁付款额现值，几乎相当于租赁开始日租赁资产公允价值；</w:t>
      </w:r>
    </w:p>
    <w:p>
      <w:pPr>
        <w:pStyle w:val="BodyText"/>
        <w:spacing w:line="357" w:lineRule="auto" w:before="117"/>
        <w:ind w:left="436" w:right="1133"/>
        <w:jc w:val="left"/>
      </w:pPr>
      <w:r>
        <w:rPr/>
        <w:t>⑤租赁资产性质特殊，如不作较大改造只有承租人才能使用。 </w:t>
      </w:r>
      <w:r>
        <w:rPr>
          <w:spacing w:val="-1"/>
        </w:rPr>
        <w:t>融资租入固定资产的计价方法：融资租入固定资产初始计价为租赁期开始日租赁资产公允价值与最低租赁付款额现值较</w:t>
      </w:r>
    </w:p>
    <w:p>
      <w:pPr>
        <w:pStyle w:val="BodyText"/>
        <w:spacing w:line="224" w:lineRule="exact"/>
        <w:ind w:right="1133"/>
        <w:jc w:val="left"/>
      </w:pPr>
      <w:r>
        <w:rPr/>
        <w:t>低者作为入账价值。</w:t>
      </w:r>
    </w:p>
    <w:p>
      <w:pPr>
        <w:pStyle w:val="BodyText"/>
        <w:spacing w:line="240" w:lineRule="auto" w:before="117"/>
        <w:ind w:left="436" w:right="1133"/>
        <w:jc w:val="left"/>
      </w:pPr>
      <w:r>
        <w:rPr/>
        <w:t>融资租入固定资产后续计价采用与自有固定资产相一致的折旧政策计提折旧及减值准备。</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357" w:lineRule="auto" w:before="28"/>
        <w:ind w:left="441" w:right="1133" w:hanging="289"/>
        <w:jc w:val="left"/>
      </w:pPr>
      <w:r>
        <w:rPr/>
        <w:t>软件与信息技术服务业 </w:t>
      </w:r>
      <w:r>
        <w:rPr>
          <w:spacing w:val="-1"/>
        </w:rPr>
        <w:t>在建工程项目按建造该项资产达到预定可使用状态前所发生的必要支出，作为固定资产的入账价值。所建造的固定资产</w:t>
      </w:r>
    </w:p>
    <w:p>
      <w:pPr>
        <w:pStyle w:val="BodyText"/>
        <w:spacing w:line="224" w:lineRule="exact"/>
        <w:ind w:right="0"/>
        <w:jc w:val="left"/>
      </w:pPr>
      <w:r>
        <w:rPr/>
        <w:t>在建工程已达到预定可使用状态，但尚未办理竣工决算的，自达到预定可使用状态之日起，根据工程预算、造价或者工程实</w:t>
      </w:r>
    </w:p>
    <w:p>
      <w:pPr>
        <w:pStyle w:val="BodyText"/>
        <w:spacing w:line="316" w:lineRule="auto" w:before="76"/>
        <w:ind w:right="0"/>
        <w:jc w:val="left"/>
      </w:pPr>
      <w:r>
        <w:rPr>
          <w:spacing w:val="-2"/>
        </w:rPr>
        <w:t>际成本等，按估计的价值转入固定资产，并按本公司固定资产折旧政策计提固定资产的折旧，待办理竣工决算后，再按实际</w:t>
      </w:r>
      <w:r>
        <w:rPr>
          <w:spacing w:val="-64"/>
        </w:rPr>
        <w:t> </w:t>
      </w:r>
      <w:r>
        <w:rPr>
          <w:spacing w:val="-64"/>
        </w:rPr>
      </w:r>
      <w:r>
        <w:rPr/>
        <w:t>成本调整原来的暂估价值，但不调整原已计提的折旧额。</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07" w:lineRule="auto"/>
        <w:ind w:right="1034" w:firstLine="432"/>
        <w:jc w:val="left"/>
      </w:pPr>
      <w:r>
        <w:rPr>
          <w:rFonts w:ascii="Times New Roman" w:hAnsi="Times New Roman" w:cs="Times New Roman" w:eastAsia="Times New Roman" w:hint="default"/>
        </w:rPr>
        <w:t>(1)</w:t>
      </w:r>
      <w:r>
        <w:rPr/>
        <w:t>公司发生的借款费用，可直接归属于符合资本化条件的资产的购建或者生产的，予以资本化，计入相关资产成本。</w:t>
      </w:r>
      <w:r>
        <w:rPr>
          <w:w w:val="99"/>
        </w:rPr>
        <w:t> </w:t>
      </w:r>
      <w:r>
        <w:rPr/>
        <w:t>符合资本化条件的资产，是指需要经过相当长的时间的</w:t>
      </w:r>
      <w:r>
        <w:rPr>
          <w:rFonts w:ascii="Times New Roman" w:hAnsi="Times New Roman" w:cs="Times New Roman" w:eastAsia="Times New Roman" w:hint="default"/>
        </w:rPr>
        <w:t>(</w:t>
      </w:r>
      <w:r>
        <w:rPr/>
        <w:t>通常是指</w:t>
      </w:r>
      <w:r>
        <w:rPr>
          <w:rFonts w:ascii="Times New Roman" w:hAnsi="Times New Roman" w:cs="Times New Roman" w:eastAsia="Times New Roman" w:hint="default"/>
        </w:rPr>
        <w:t>1</w:t>
      </w:r>
      <w:r>
        <w:rPr/>
        <w:t>年及</w:t>
      </w:r>
      <w:r>
        <w:rPr>
          <w:rFonts w:ascii="Times New Roman" w:hAnsi="Times New Roman" w:cs="Times New Roman" w:eastAsia="Times New Roman" w:hint="default"/>
        </w:rPr>
        <w:t>1</w:t>
      </w:r>
      <w:r>
        <w:rPr/>
        <w:t>年以上</w:t>
      </w:r>
      <w:r>
        <w:rPr>
          <w:rFonts w:ascii="Times New Roman" w:hAnsi="Times New Roman" w:cs="Times New Roman" w:eastAsia="Times New Roman" w:hint="default"/>
        </w:rPr>
        <w:t>)</w:t>
      </w:r>
      <w:r>
        <w:rPr/>
        <w:t>购建或者生产活动才能达到预定可使用可销</w:t>
      </w:r>
      <w:r>
        <w:rPr>
          <w:w w:val="99"/>
        </w:rPr>
        <w:t> </w:t>
      </w:r>
      <w:r>
        <w:rPr/>
        <w:t>售状态的固定资产、投资性房地产和存货等资产。其他借款费用，应当在发生时根据其发生额确认为费用，计入当期损益。</w:t>
      </w:r>
      <w:r>
        <w:rPr>
          <w:spacing w:val="-83"/>
        </w:rPr>
        <w:t> </w:t>
      </w:r>
      <w:r>
        <w:rPr>
          <w:spacing w:val="-83"/>
        </w:rPr>
      </w:r>
      <w:r>
        <w:rPr/>
        <w:t>借款费用包括借款利息、折价或者溢价的摊销、辅助费用以及因外币借款而发生的汇兑差额等。</w:t>
      </w:r>
    </w:p>
    <w:p>
      <w:pPr>
        <w:pStyle w:val="BodyText"/>
        <w:spacing w:line="240" w:lineRule="auto" w:before="26"/>
        <w:ind w:left="585"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借款费用同时满足下列条件的，开始资本化：</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32" w:firstLine="360"/>
        <w:jc w:val="both"/>
      </w:pPr>
      <w:r>
        <w:rPr>
          <w:spacing w:val="-2"/>
        </w:rPr>
        <w:t>①资产支出已发生，资产支出包括为购建或者生产符合资本化条件的资产而支付的现金、转移非现金资产或者承担带息</w:t>
      </w:r>
      <w:r>
        <w:rPr/>
        <w:t> 债务形式发生的支出；</w:t>
      </w:r>
    </w:p>
    <w:p>
      <w:pPr>
        <w:pStyle w:val="BodyText"/>
        <w:spacing w:line="240" w:lineRule="auto" w:before="19"/>
        <w:ind w:left="513" w:right="1133"/>
        <w:jc w:val="left"/>
      </w:pPr>
      <w:r>
        <w:rPr/>
        <w:t>②借款费用已经发生；</w:t>
      </w:r>
    </w:p>
    <w:p>
      <w:pPr>
        <w:pStyle w:val="BodyText"/>
        <w:spacing w:line="316" w:lineRule="auto" w:before="76"/>
        <w:ind w:left="513" w:right="1133"/>
        <w:jc w:val="left"/>
      </w:pPr>
      <w:r>
        <w:rPr/>
        <w:t>③为使资产达到预定可使用或者可销售状态所必要的购建或者生产活动已经开始。 购建或者生产符合资本化条件的资产达到预定可使用或者可销售状态时，借款费用停止资本化。 </w:t>
      </w:r>
      <w:r>
        <w:rPr>
          <w:spacing w:val="-4"/>
        </w:rPr>
        <w:t>符合资本化条件的资产在购建或者生产过程中发生非正常中断，且中断时间连续超过</w:t>
      </w:r>
      <w:r>
        <w:rPr>
          <w:rFonts w:ascii="Times New Roman" w:hAnsi="Times New Roman" w:cs="Times New Roman" w:eastAsia="Times New Roman" w:hint="default"/>
          <w:spacing w:val="-4"/>
        </w:rPr>
        <w:t>3</w:t>
      </w:r>
      <w:r>
        <w:rPr>
          <w:spacing w:val="-4"/>
        </w:rPr>
        <w:t>个月的，暂停借款费用的资本化。</w:t>
      </w:r>
    </w:p>
    <w:p>
      <w:pPr>
        <w:pStyle w:val="BodyText"/>
        <w:spacing w:line="316" w:lineRule="auto"/>
        <w:ind w:right="1132"/>
        <w:jc w:val="left"/>
      </w:pPr>
      <w:r>
        <w:rPr>
          <w:spacing w:val="-2"/>
        </w:rPr>
        <w:t>在中断期间发生的借款费用确认为费用，计入当期损益，直至资产的购建或者生产活动重新开始。如果中断是所购建或者生</w:t>
      </w:r>
      <w:r>
        <w:rPr>
          <w:spacing w:val="-66"/>
        </w:rPr>
        <w:t> </w:t>
      </w:r>
      <w:r>
        <w:rPr>
          <w:spacing w:val="-66"/>
        </w:rPr>
      </w:r>
      <w:r>
        <w:rPr/>
        <w:t>产的符合资本化条件的资产达到预定可使用或可销售状态必要的程序，借款费用的资本化则继续进行。</w:t>
      </w:r>
    </w:p>
    <w:p>
      <w:pPr>
        <w:pStyle w:val="BodyText"/>
        <w:spacing w:line="240" w:lineRule="auto" w:before="19"/>
        <w:ind w:left="585" w:right="113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在资本化期间内，每一会计期间的利息</w:t>
      </w:r>
      <w:r>
        <w:rPr>
          <w:rFonts w:ascii="Times New Roman" w:hAnsi="Times New Roman" w:cs="Times New Roman" w:eastAsia="Times New Roman" w:hint="default"/>
        </w:rPr>
        <w:t>(</w:t>
      </w:r>
      <w:r>
        <w:rPr/>
        <w:t>包括折价或溢价的摊销</w:t>
      </w:r>
      <w:r>
        <w:rPr>
          <w:rFonts w:ascii="Times New Roman" w:hAnsi="Times New Roman" w:cs="Times New Roman" w:eastAsia="Times New Roman" w:hint="default"/>
        </w:rPr>
        <w:t>)</w:t>
      </w:r>
      <w:r>
        <w:rPr/>
        <w:t>资本化金额，按照下列规定确定：</w:t>
      </w:r>
    </w:p>
    <w:p>
      <w:pPr>
        <w:pStyle w:val="BodyText"/>
        <w:spacing w:line="316" w:lineRule="auto" w:before="63"/>
        <w:ind w:right="1132" w:firstLine="360"/>
        <w:jc w:val="both"/>
      </w:pPr>
      <w:r>
        <w:rPr>
          <w:spacing w:val="-2"/>
        </w:rPr>
        <w:t>①为购建或者生产符合资本化条件的资产而借入专门借款的，以专门借款当期实际发生的利息费用，减去尚未动用的借</w:t>
      </w:r>
      <w:r>
        <w:rPr/>
        <w:t> 款资金存入银行取得的利息收入或进行暂时性投资取得的投资收益后的金额确定。</w:t>
      </w:r>
    </w:p>
    <w:p>
      <w:pPr>
        <w:pStyle w:val="BodyText"/>
        <w:spacing w:line="316" w:lineRule="auto" w:before="19"/>
        <w:ind w:right="1132" w:firstLine="360"/>
        <w:jc w:val="both"/>
      </w:pPr>
      <w:r>
        <w:rPr>
          <w:spacing w:val="-2"/>
        </w:rPr>
        <w:t>②为购建或者生产符合资本化条件的资产而占用了一般借款的，根据累计资产支出超过专门借款部分的资产支出加权平</w:t>
      </w:r>
      <w:r>
        <w:rPr/>
        <w:t> </w:t>
      </w:r>
      <w:r>
        <w:rPr>
          <w:spacing w:val="-2"/>
        </w:rPr>
        <w:t>均数乘以所占用的一般借款的资本化率，计算确定一般借款应予资本化的利息金额。资本化率根据一般借款加权平均利率确</w:t>
      </w:r>
      <w:r>
        <w:rPr>
          <w:spacing w:val="-64"/>
        </w:rPr>
        <w:t> </w:t>
      </w:r>
      <w:r>
        <w:rPr>
          <w:spacing w:val="-64"/>
        </w:rPr>
      </w:r>
      <w:r>
        <w:rPr/>
        <w:t>定。</w:t>
      </w:r>
    </w:p>
    <w:p>
      <w:pPr>
        <w:pStyle w:val="BodyText"/>
        <w:spacing w:line="316" w:lineRule="auto" w:before="19"/>
        <w:ind w:left="513" w:right="0"/>
        <w:jc w:val="left"/>
      </w:pPr>
      <w:r>
        <w:rPr/>
        <w:t>借款存在折价或溢价的，按照实际利率法确定每一会计期间相应摊销的折价或者溢价的金额，调整每期利息金额。 在资本化期间内，每一会计期间的利息资本化金额，不超过当期相关借款实际发生的利息金额。 </w:t>
      </w:r>
      <w:r>
        <w:rPr>
          <w:rFonts w:ascii="Times New Roman" w:hAnsi="Times New Roman" w:cs="Times New Roman" w:eastAsia="Times New Roman" w:hint="default"/>
          <w:spacing w:val="-1"/>
        </w:rPr>
        <w:t>(4)</w:t>
      </w:r>
      <w:r>
        <w:rPr>
          <w:spacing w:val="-1"/>
        </w:rPr>
        <w:t>专门借款发生的辅助费用，在所购建或者生产的符合资本化条件的资产达到预定可使用或者可销售状态之前发生的，</w:t>
      </w:r>
    </w:p>
    <w:p>
      <w:pPr>
        <w:pStyle w:val="BodyText"/>
        <w:spacing w:line="316" w:lineRule="auto"/>
        <w:ind w:right="1131"/>
        <w:jc w:val="both"/>
      </w:pPr>
      <w:r>
        <w:rPr>
          <w:spacing w:val="-2"/>
        </w:rPr>
        <w:t>在发生时根据其发生额予以资本化，计入符合资本化条件的资产的成本；在所购建或者生产的符合资本化条件的资产达到预</w:t>
      </w:r>
      <w:r>
        <w:rPr>
          <w:spacing w:val="-64"/>
        </w:rPr>
        <w:t> </w:t>
      </w:r>
      <w:r>
        <w:rPr>
          <w:spacing w:val="-64"/>
        </w:rPr>
      </w:r>
      <w:r>
        <w:rPr>
          <w:spacing w:val="-2"/>
        </w:rPr>
        <w:t>定可使用或者可销售状态之后发生的，在发生时根据其发生额确认为费用，计入当期损益。一般借款发生的辅助费用，在发</w:t>
      </w:r>
      <w:r>
        <w:rPr>
          <w:spacing w:val="-64"/>
        </w:rPr>
        <w:t> </w:t>
      </w:r>
      <w:r>
        <w:rPr>
          <w:spacing w:val="-64"/>
        </w:rPr>
      </w:r>
      <w:r>
        <w:rPr/>
        <w:t>生时根据其发生额确认为费用，计入当期损益。</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19</w:t>
      </w:r>
      <w:r>
        <w:rPr/>
        <w:t>、 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①无形资产，是指企业拥有或者控制的没有实物形态的可辨认非货币性资产。无形资产按照成本进行初始计量。于取得</w:t>
      </w:r>
      <w:r>
        <w:rPr/>
        <w:t> 无形资产时分析判断其使用寿命。</w:t>
      </w:r>
    </w:p>
    <w:p>
      <w:pPr>
        <w:pStyle w:val="BodyText"/>
        <w:spacing w:line="240" w:lineRule="auto" w:before="19"/>
        <w:ind w:left="513" w:right="1133"/>
        <w:jc w:val="left"/>
      </w:pPr>
      <w:r>
        <w:rPr/>
        <w:t>②公司确定无形资产使用寿命通常考虑的因素：</w:t>
      </w:r>
    </w:p>
    <w:p>
      <w:pPr>
        <w:pStyle w:val="BodyText"/>
        <w:spacing w:line="240" w:lineRule="auto" w:before="76"/>
        <w:ind w:left="513" w:right="1133"/>
        <w:jc w:val="left"/>
      </w:pPr>
      <w:r>
        <w:rPr>
          <w:rFonts w:ascii="Times New Roman" w:hAnsi="Times New Roman" w:cs="Times New Roman" w:eastAsia="Times New Roman" w:hint="default"/>
        </w:rPr>
        <w:t>1</w:t>
      </w:r>
      <w:r>
        <w:rPr/>
        <w:t>）运用该资产生产的产品通常的寿命周期、可获得的类似资产使用寿命的信息；</w:t>
      </w:r>
    </w:p>
    <w:p>
      <w:pPr>
        <w:pStyle w:val="BodyText"/>
        <w:spacing w:line="240" w:lineRule="auto" w:before="63"/>
        <w:ind w:left="513" w:right="1133"/>
        <w:jc w:val="left"/>
      </w:pPr>
      <w:r>
        <w:rPr>
          <w:rFonts w:ascii="Times New Roman" w:hAnsi="Times New Roman" w:cs="Times New Roman" w:eastAsia="Times New Roman" w:hint="default"/>
        </w:rPr>
        <w:t>2</w:t>
      </w:r>
      <w:r>
        <w:rPr/>
        <w:t>）技术、工艺等方面的现阶段情况及对未来发展趋势的估计；</w:t>
      </w:r>
    </w:p>
    <w:p>
      <w:pPr>
        <w:pStyle w:val="BodyText"/>
        <w:spacing w:line="240" w:lineRule="auto" w:before="63"/>
        <w:ind w:left="513" w:right="1133"/>
        <w:jc w:val="left"/>
      </w:pPr>
      <w:r>
        <w:rPr>
          <w:rFonts w:ascii="Times New Roman" w:hAnsi="Times New Roman" w:cs="Times New Roman" w:eastAsia="Times New Roman" w:hint="default"/>
        </w:rPr>
        <w:t>3</w:t>
      </w:r>
      <w:r>
        <w:rPr/>
        <w:t>）以该资产生产的产品或提供服务的市场需求情况；</w:t>
      </w:r>
    </w:p>
    <w:p>
      <w:pPr>
        <w:pStyle w:val="BodyText"/>
        <w:spacing w:line="240" w:lineRule="auto" w:before="63"/>
        <w:ind w:left="513" w:right="1133"/>
        <w:jc w:val="left"/>
      </w:pPr>
      <w:r>
        <w:rPr>
          <w:rFonts w:ascii="Times New Roman" w:hAnsi="Times New Roman" w:cs="Times New Roman" w:eastAsia="Times New Roman" w:hint="default"/>
        </w:rPr>
        <w:t>4</w:t>
      </w:r>
      <w:r>
        <w:rPr/>
        <w:t>）现在或潜在的竞争者预期采取的行动；</w:t>
      </w:r>
    </w:p>
    <w:p>
      <w:pPr>
        <w:pStyle w:val="BodyText"/>
        <w:spacing w:line="240" w:lineRule="auto" w:before="63"/>
        <w:ind w:left="513" w:right="1133"/>
        <w:jc w:val="left"/>
      </w:pPr>
      <w:r>
        <w:rPr>
          <w:rFonts w:ascii="Times New Roman" w:hAnsi="Times New Roman" w:cs="Times New Roman" w:eastAsia="Times New Roman" w:hint="default"/>
        </w:rPr>
        <w:t>5</w:t>
      </w:r>
      <w:r>
        <w:rPr/>
        <w:t>）为维持该资产带来经济利益能力的预期维护支出，以及公司预计支付有关支出的能力；</w:t>
      </w:r>
    </w:p>
    <w:p>
      <w:pPr>
        <w:pStyle w:val="BodyText"/>
        <w:spacing w:line="240" w:lineRule="auto" w:before="63"/>
        <w:ind w:left="513" w:right="1133"/>
        <w:jc w:val="left"/>
      </w:pPr>
      <w:r>
        <w:rPr>
          <w:rFonts w:ascii="Times New Roman" w:hAnsi="Times New Roman" w:cs="Times New Roman" w:eastAsia="Times New Roman" w:hint="default"/>
        </w:rPr>
        <w:t>6</w:t>
      </w:r>
      <w:r>
        <w:rPr/>
        <w:t>）对该资产控制期限的相关法律规定或类似限制，如特许使用期、租赁期等；</w:t>
      </w:r>
    </w:p>
    <w:p>
      <w:pPr>
        <w:pStyle w:val="BodyText"/>
        <w:spacing w:line="300" w:lineRule="auto" w:before="63"/>
        <w:ind w:left="513" w:right="3913"/>
        <w:jc w:val="left"/>
      </w:pPr>
      <w:r>
        <w:rPr>
          <w:rFonts w:ascii="Times New Roman" w:hAnsi="Times New Roman" w:cs="Times New Roman" w:eastAsia="Times New Roman" w:hint="default"/>
        </w:rPr>
        <w:t>7</w:t>
      </w:r>
      <w:r>
        <w:rPr/>
        <w:t>）与企业持有其他资产使用寿命的关联性等。 无法预见无形资产为公司带来经济利益期限的，视为使用寿命不确定的无形资产。</w:t>
      </w:r>
    </w:p>
    <w:p>
      <w:pPr>
        <w:pStyle w:val="BodyText"/>
        <w:spacing w:line="297" w:lineRule="auto" w:before="31"/>
        <w:ind w:right="0" w:firstLine="360"/>
        <w:jc w:val="left"/>
      </w:pPr>
      <w:r>
        <w:rPr/>
        <w:t>③对于使用寿命有限的无形资产，在使用寿命内系统合理</w:t>
      </w:r>
      <w:r>
        <w:rPr>
          <w:rFonts w:ascii="Times New Roman" w:hAnsi="Times New Roman" w:cs="Times New Roman" w:eastAsia="Times New Roman" w:hint="default"/>
        </w:rPr>
        <w:t>(</w:t>
      </w:r>
      <w:r>
        <w:rPr/>
        <w:t>或者直线法</w:t>
      </w:r>
      <w:r>
        <w:rPr>
          <w:rFonts w:ascii="Times New Roman" w:hAnsi="Times New Roman" w:cs="Times New Roman" w:eastAsia="Times New Roman" w:hint="default"/>
        </w:rPr>
        <w:t>)</w:t>
      </w:r>
      <w:r>
        <w:rPr/>
        <w:t>摊销。公司于每年年度终了，对使用寿命有限的 </w:t>
      </w:r>
      <w:r>
        <w:rPr>
          <w:spacing w:val="-4"/>
        </w:rPr>
        <w:t>无形资产的使用寿命及摊销方法进行复核。无形资产的使用寿命及摊销方法与以前估计不同的，将改变摊销期限和摊销方法。</w:t>
      </w:r>
    </w:p>
    <w:p>
      <w:pPr>
        <w:pStyle w:val="BodyText"/>
        <w:spacing w:line="240" w:lineRule="auto" w:before="33"/>
        <w:ind w:left="513" w:right="1133"/>
        <w:jc w:val="left"/>
        <w:rPr>
          <w:rFonts w:ascii="Times New Roman" w:hAnsi="Times New Roman" w:cs="Times New Roman" w:eastAsia="Times New Roman" w:hint="default"/>
        </w:rPr>
      </w:pPr>
      <w:r>
        <w:rPr/>
        <w:t>对于使用寿命有限的无形资产，在采用直线法计算摊销额时，各项无形资产的使用寿命、预计净残值率如下</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1848"/>
        <w:gridCol w:w="1541"/>
        <w:gridCol w:w="2009"/>
        <w:gridCol w:w="4261"/>
      </w:tblGrid>
      <w:tr>
        <w:trPr>
          <w:trHeight w:val="348"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使用年限</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预计净残值率</w:t>
            </w:r>
          </w:p>
        </w:tc>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8"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合同权利并预计给企业带来经济利益的期限</w:t>
            </w:r>
          </w:p>
        </w:tc>
      </w:tr>
      <w:tr>
        <w:trPr>
          <w:trHeight w:val="346"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合同期限以及预计给企业带来经济利息的期限孰短</w:t>
            </w:r>
          </w:p>
        </w:tc>
      </w:tr>
      <w:tr>
        <w:trPr>
          <w:trHeight w:val="348"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合同权利</w:t>
            </w:r>
          </w:p>
        </w:tc>
      </w:tr>
      <w:tr>
        <w:trPr>
          <w:trHeight w:val="348"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预计给企业带来经济利益的期限</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Times New Roman" w:hAnsi="Times New Roman" w:cs="Times New Roman" w:eastAsia="Times New Roman" w:hint="default"/>
          <w:sz w:val="23"/>
          <w:szCs w:val="23"/>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①内部研究开发项目的支出，包括研究阶段支出与开发阶段支出，其中：</w:t>
      </w:r>
    </w:p>
    <w:p>
      <w:pPr>
        <w:pStyle w:val="BodyText"/>
        <w:spacing w:line="240" w:lineRule="auto" w:before="76"/>
        <w:ind w:left="513" w:right="1133"/>
        <w:jc w:val="left"/>
      </w:pPr>
      <w:r>
        <w:rPr>
          <w:rFonts w:ascii="Times New Roman" w:hAnsi="Times New Roman" w:cs="Times New Roman" w:eastAsia="Times New Roman" w:hint="default"/>
        </w:rPr>
        <w:t>1</w:t>
      </w:r>
      <w:r>
        <w:rPr/>
        <w:t>）研究是指为获取并理解新的科学或技术知识而进行的独创性的有计划调查。</w:t>
      </w:r>
    </w:p>
    <w:p>
      <w:pPr>
        <w:pStyle w:val="BodyText"/>
        <w:spacing w:line="300" w:lineRule="auto" w:before="63"/>
        <w:ind w:right="1124" w:firstLine="360"/>
        <w:jc w:val="left"/>
      </w:pPr>
      <w:r>
        <w:rPr>
          <w:rFonts w:ascii="Times New Roman" w:hAnsi="Times New Roman" w:cs="Times New Roman" w:eastAsia="Times New Roman" w:hint="default"/>
        </w:rPr>
        <w:t>2</w:t>
      </w:r>
      <w:r>
        <w:rPr/>
        <w:t>）开发是指在进行商业性生产或使用前，将研究成果或其他知识应用于某项计划或设计，以生产出新的或具有实质性 改进的材料、装置、产品等。</w:t>
      </w:r>
    </w:p>
    <w:p>
      <w:pPr>
        <w:pStyle w:val="BodyText"/>
        <w:spacing w:line="240" w:lineRule="auto" w:before="31"/>
        <w:ind w:left="513" w:right="0"/>
        <w:jc w:val="left"/>
      </w:pPr>
      <w:r>
        <w:rPr/>
        <w:t>②内部研究开发项目在研究阶段的支出于发生时计入当期损益；开发阶段的支出，同时满足下列条件的，确认为无形资</w:t>
      </w:r>
    </w:p>
    <w:p>
      <w:pPr>
        <w:pStyle w:val="BodyText"/>
        <w:spacing w:line="240" w:lineRule="auto" w:before="76"/>
        <w:ind w:right="1133"/>
        <w:jc w:val="left"/>
      </w:pPr>
      <w:r>
        <w:rPr/>
        <w:t>产：</w:t>
      </w:r>
    </w:p>
    <w:p>
      <w:pPr>
        <w:pStyle w:val="BodyText"/>
        <w:spacing w:line="240" w:lineRule="auto" w:before="76"/>
        <w:ind w:left="513" w:right="0"/>
        <w:jc w:val="left"/>
      </w:pPr>
      <w:r>
        <w:rPr>
          <w:rFonts w:ascii="Times New Roman" w:hAnsi="Times New Roman" w:cs="Times New Roman" w:eastAsia="Times New Roman" w:hint="default"/>
        </w:rPr>
        <w:t>1</w:t>
      </w:r>
      <w:r>
        <w:rPr/>
        <w:t>）公司对该项目方案所采用技术的分析，从技术的角度讲是完全能够生产出产品的，且公司已经对该项目方案所需采</w:t>
      </w:r>
    </w:p>
    <w:p>
      <w:pPr>
        <w:pStyle w:val="BodyText"/>
        <w:spacing w:line="240" w:lineRule="auto" w:before="63"/>
        <w:ind w:right="1133"/>
        <w:jc w:val="left"/>
      </w:pPr>
      <w:r>
        <w:rPr/>
        <w:t>用的技术进行了充分的分析论证和测试，即该项目从技术的角度来讲完全是可行的；</w:t>
      </w:r>
    </w:p>
    <w:p>
      <w:pPr>
        <w:pStyle w:val="BodyText"/>
        <w:spacing w:line="309" w:lineRule="auto" w:before="76"/>
        <w:ind w:right="1130" w:firstLine="360"/>
        <w:jc w:val="both"/>
      </w:pPr>
      <w:r>
        <w:rPr>
          <w:rFonts w:ascii="Times New Roman" w:hAnsi="Times New Roman" w:cs="Times New Roman" w:eastAsia="Times New Roman" w:hint="default"/>
        </w:rPr>
        <w:t>2</w:t>
      </w:r>
      <w:r>
        <w:rPr/>
        <w:t>）公司在完成项目方案的开发，取得技术成功并形成样品后交由部分下游客户试用，能够带来稳定的经济效益。对于 </w:t>
      </w:r>
      <w:r>
        <w:rPr>
          <w:spacing w:val="-5"/>
        </w:rPr>
        <w:t>经济效益的评价，公司在确认直接经济效益达到或超过项目投入（包括项目研发阶段和项目市场化开发阶段）的所有成本时，</w:t>
      </w:r>
      <w:r>
        <w:rPr>
          <w:spacing w:val="-76"/>
        </w:rPr>
        <w:t> </w:t>
      </w:r>
      <w:r>
        <w:rPr>
          <w:spacing w:val="-76"/>
        </w:rPr>
      </w:r>
      <w:r>
        <w:rPr/>
        <w:t>认为该项目的市场化开发达到预定的经济效益；</w:t>
      </w:r>
    </w:p>
    <w:p>
      <w:pPr>
        <w:pStyle w:val="BodyText"/>
        <w:spacing w:line="240" w:lineRule="auto" w:before="24"/>
        <w:ind w:left="513" w:right="0"/>
        <w:jc w:val="left"/>
      </w:pPr>
      <w:r>
        <w:rPr>
          <w:rFonts w:ascii="Times New Roman" w:hAnsi="Times New Roman" w:cs="Times New Roman" w:eastAsia="Times New Roman" w:hint="default"/>
        </w:rPr>
        <w:t>3</w:t>
      </w:r>
      <w:r>
        <w:rPr/>
        <w:t>）本公司市场部通过市场调研，确认该项目方案进入市场化开发阶段后三年内，能够持续为本公司带来稳定的收益；</w:t>
      </w:r>
    </w:p>
    <w:p>
      <w:pPr>
        <w:pStyle w:val="BodyText"/>
        <w:spacing w:line="300" w:lineRule="auto" w:before="63"/>
        <w:ind w:right="1124" w:firstLine="360"/>
        <w:jc w:val="left"/>
      </w:pPr>
      <w:r>
        <w:rPr>
          <w:rFonts w:ascii="Times New Roman" w:hAnsi="Times New Roman" w:cs="Times New Roman" w:eastAsia="Times New Roman" w:hint="default"/>
        </w:rPr>
        <w:t>4</w:t>
      </w:r>
      <w:r>
        <w:rPr/>
        <w:t>）本公司研发中心、市场部配备专业人员来完成开发和推广，同时本公司财务部门在年度的预算中也为项目技术方案 开发及市场化开发阶段提供了资金预算，从人、财、物上保证项目的顺利开发；</w:t>
      </w:r>
    </w:p>
    <w:p>
      <w:pPr>
        <w:pStyle w:val="BodyText"/>
        <w:spacing w:line="309" w:lineRule="auto" w:before="72"/>
        <w:ind w:right="1034" w:firstLine="360"/>
        <w:jc w:val="left"/>
      </w:pPr>
      <w:r>
        <w:rPr>
          <w:rFonts w:ascii="Times New Roman" w:hAnsi="Times New Roman" w:cs="Times New Roman" w:eastAsia="Times New Roman" w:hint="default"/>
        </w:rPr>
        <w:t>5</w:t>
      </w:r>
      <w:r>
        <w:rPr/>
        <w:t>）本公司对各个研发项目方案，已经按照直接人工、直接材料投入、设计费、试制费、折旧摊销、调试费等费用明细 进行归集，在核算过程中，如果发生的某笔费用系为多个项目而发生，能够按照一定比例分摊的，分摊后归集到该项目中，</w:t>
      </w:r>
      <w:r>
        <w:rPr>
          <w:spacing w:val="-83"/>
        </w:rPr>
        <w:t> </w:t>
      </w:r>
      <w:r>
        <w:rPr>
          <w:spacing w:val="-83"/>
        </w:rPr>
      </w:r>
      <w:r>
        <w:rPr/>
        <w:t>不能够按照一定比例分摊的，则直接计入当期管理费用。</w:t>
      </w:r>
    </w:p>
    <w:p>
      <w:pPr>
        <w:pStyle w:val="BodyText"/>
        <w:spacing w:line="240" w:lineRule="auto" w:before="62"/>
        <w:ind w:left="436" w:right="1133"/>
        <w:jc w:val="left"/>
      </w:pPr>
      <w:r>
        <w:rPr/>
        <w:t>只有同时符合以上五个条件，公司才将开发阶段的支出资本化，不满足上述条件的开发支出，计入当期损益。</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20</w:t>
      </w:r>
      <w:r>
        <w:rPr/>
        <w:t>、</w:t>
      </w:r>
      <w:r>
        <w:rPr>
          <w:spacing w:val="-1"/>
        </w:rPr>
        <w:t> </w:t>
      </w:r>
      <w:r>
        <w:rPr/>
        <w:t>商誉</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283"/>
        <w:jc w:val="left"/>
      </w:pPr>
      <w:r>
        <w:rPr/>
        <w:t>商誉为非同一控制下企业合并其初始合并成本大于合并中取得的被购买方可辨认净资产公允价值份额的差额。公司对商 誉不摊销，以成本减累计减值准备后的金额计量，在合并资产负债表上单独列示。</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21</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firstLine="288"/>
        <w:jc w:val="both"/>
      </w:pPr>
      <w:r>
        <w:rPr>
          <w:spacing w:val="-1"/>
        </w:rPr>
        <w:t>对于固定资产、在建工程、使用寿命有限的无形资产、以成本模式计量的投资性房地产及对子公司、合营企业、联营企</w:t>
      </w:r>
      <w:r>
        <w:rPr/>
        <w:t> </w:t>
      </w:r>
      <w:r>
        <w:rPr>
          <w:spacing w:val="-2"/>
        </w:rPr>
        <w:t>业的长期股权投资等非流动非金融资产，公司于资产负债表日判断是否存在减值迹象。如存在减值迹象的，则估计其可收回</w:t>
      </w:r>
      <w:r>
        <w:rPr>
          <w:spacing w:val="-63"/>
        </w:rPr>
        <w:t> </w:t>
      </w:r>
      <w:r>
        <w:rPr>
          <w:spacing w:val="-63"/>
        </w:rPr>
      </w:r>
      <w:r>
        <w:rPr>
          <w:spacing w:val="-2"/>
        </w:rPr>
        <w:t>金额，进行减值测试。商誉、使用寿命不确定的无形资产和尚未达到可使用状态的无形资产，无论是否存在减值迹象，每年</w:t>
      </w:r>
      <w:r>
        <w:rPr>
          <w:spacing w:val="-65"/>
        </w:rPr>
        <w:t> </w:t>
      </w:r>
      <w:r>
        <w:rPr>
          <w:spacing w:val="-65"/>
        </w:rPr>
      </w:r>
      <w:r>
        <w:rPr/>
        <w:t>均进行减值测试。</w:t>
      </w:r>
    </w:p>
    <w:p>
      <w:pPr>
        <w:pStyle w:val="BodyText"/>
        <w:spacing w:line="316" w:lineRule="auto" w:before="19"/>
        <w:ind w:right="0" w:firstLine="288"/>
        <w:jc w:val="left"/>
      </w:pPr>
      <w:r>
        <w:rPr/>
        <w:t>减值测试结果表明资产的可收回金额低于其账面价值的，按其差额计提减值准备并计入减值损失。可收回金额为资产的 </w:t>
      </w:r>
      <w:r>
        <w:rPr>
          <w:spacing w:val="-2"/>
        </w:rPr>
        <w:t>公允价值减去处置费用后的净额与资产预计未来现金流量的现值两者之间的较高者。资产的公允价值根据公平交易中销售协</w:t>
      </w:r>
      <w:r>
        <w:rPr>
          <w:spacing w:val="-63"/>
        </w:rPr>
        <w:t> </w:t>
      </w:r>
      <w:r>
        <w:rPr>
          <w:spacing w:val="-63"/>
        </w:rPr>
      </w:r>
      <w:r>
        <w:rPr>
          <w:spacing w:val="-2"/>
        </w:rPr>
        <w:t>议价格确定；不存在销售协议但存在资产活跃市场的，公允价值按照该资产的买方出价确定；不存在销售协议和资产活跃市</w:t>
      </w:r>
      <w:r>
        <w:rPr>
          <w:spacing w:val="-63"/>
        </w:rPr>
        <w:t> </w:t>
      </w:r>
      <w:r>
        <w:rPr>
          <w:spacing w:val="-63"/>
        </w:rPr>
      </w:r>
      <w:r>
        <w:rPr>
          <w:spacing w:val="-2"/>
        </w:rPr>
        <w:t>场的，则以可获取的最佳信息为基础估计资产的公允价值。处置费用包括与资产处置有关的法律费用、相关税费、搬运费以</w:t>
      </w:r>
      <w:r>
        <w:rPr>
          <w:spacing w:val="-64"/>
        </w:rPr>
        <w:t> </w:t>
      </w:r>
      <w:r>
        <w:rPr>
          <w:spacing w:val="-64"/>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9" w:lineRule="auto" w:before="59"/>
        <w:ind w:right="1130" w:firstLine="216"/>
        <w:jc w:val="both"/>
      </w:pPr>
      <w:r>
        <w:rPr/>
        <w:t>就商誉的减值测试而言，对于因企业合并形成的商誉的账面价值，自购买日起按照合理的方法分摊至相关的资产组；难 </w:t>
      </w:r>
      <w:r>
        <w:rPr>
          <w:spacing w:val="-2"/>
        </w:rPr>
        <w:t>以分摊至相关的资产组的，将其分摊至相关的资产组组合。相关的资产组或资产组组合，是能够从企业合并的协同效应中受</w:t>
      </w:r>
      <w:r>
        <w:rPr>
          <w:spacing w:val="-63"/>
        </w:rPr>
        <w:t> </w:t>
      </w:r>
      <w:r>
        <w:rPr>
          <w:spacing w:val="-63"/>
        </w:rPr>
      </w:r>
      <w:r>
        <w:rPr/>
        <w:t>益的资产组或者资产组组合，且不大于本集团确定的报告分部。</w:t>
      </w:r>
    </w:p>
    <w:p>
      <w:pPr>
        <w:pStyle w:val="BodyText"/>
        <w:spacing w:line="240" w:lineRule="auto" w:before="58"/>
        <w:ind w:left="513" w:right="0"/>
        <w:jc w:val="left"/>
      </w:pPr>
      <w:r>
        <w:rPr/>
        <w:t>对包含商誉的相关资产组或者资产组组合进行减值测试时，如与商誉相关的资产组或者资产组组合存在减值迹象的，首</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034"/>
        <w:jc w:val="left"/>
      </w:pPr>
      <w:r>
        <w:rPr>
          <w:spacing w:val="-2"/>
        </w:rPr>
        <w:t>先对不包含商誉的资产组或者资产组组合进行减值测试，计算可收回金额，确认相应的减值损失。然后对包含商誉的资产组</w:t>
      </w:r>
      <w:r>
        <w:rPr>
          <w:spacing w:val="-63"/>
        </w:rPr>
        <w:t> </w:t>
      </w:r>
      <w:r>
        <w:rPr>
          <w:spacing w:val="-63"/>
        </w:rPr>
      </w:r>
      <w:r>
        <w:rPr>
          <w:spacing w:val="-2"/>
        </w:rPr>
        <w:t>或者资产组组合进行减值测试，比较其账面价值与可收回金额，如可收回金额低于账面价值的，减值损失金额首先抵减分摊</w:t>
      </w:r>
      <w:r>
        <w:rPr>
          <w:spacing w:val="-63"/>
        </w:rPr>
        <w:t> </w:t>
      </w:r>
      <w:r>
        <w:rPr>
          <w:spacing w:val="-63"/>
        </w:rPr>
      </w:r>
      <w:r>
        <w:rPr/>
        <w:t>至资产组或资产组组合中商誉的账面价值，再根据资产组或资产组组合中除商誉之外的其他各项资产的账面价值所占比重，</w:t>
      </w:r>
      <w:r>
        <w:rPr>
          <w:spacing w:val="-83"/>
        </w:rPr>
        <w:t> </w:t>
      </w:r>
      <w:r>
        <w:rPr>
          <w:spacing w:val="-83"/>
        </w:rPr>
      </w:r>
      <w:r>
        <w:rPr>
          <w:spacing w:val="-2"/>
        </w:rPr>
        <w:t>按比例抵减其他各项资产的账面价值，但抵减后的各资产的账面价值不得低于该资产的公允价值减去处置费用后的净额（如</w:t>
      </w:r>
      <w:r>
        <w:rPr>
          <w:spacing w:val="-63"/>
        </w:rPr>
        <w:t> </w:t>
      </w:r>
      <w:r>
        <w:rPr>
          <w:spacing w:val="-63"/>
        </w:rPr>
      </w:r>
      <w:r>
        <w:rPr/>
        <w:t>可确定的）和该资产预计未来现金流量的现值（如可确定的）两者之间较高者，同时也不低于零。</w:t>
      </w:r>
    </w:p>
    <w:p>
      <w:pPr>
        <w:pStyle w:val="BodyText"/>
        <w:spacing w:line="240" w:lineRule="auto" w:before="19"/>
        <w:ind w:left="513" w:right="1133"/>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22</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3" w:firstLine="288"/>
        <w:jc w:val="left"/>
      </w:pPr>
      <w:r>
        <w:rPr/>
        <w:t>长期待摊费用是公司已经发生但应由本期和以后各期负担的分摊期限在</w:t>
      </w:r>
      <w:r>
        <w:rPr>
          <w:rFonts w:ascii="Times New Roman" w:hAnsi="Times New Roman" w:cs="Times New Roman" w:eastAsia="Times New Roman" w:hint="default"/>
        </w:rPr>
        <w:t>1</w:t>
      </w:r>
      <w:r>
        <w:rPr/>
        <w:t>年以上</w:t>
      </w:r>
      <w:r>
        <w:rPr>
          <w:rFonts w:ascii="Times New Roman" w:hAnsi="Times New Roman" w:cs="Times New Roman" w:eastAsia="Times New Roman" w:hint="default"/>
        </w:rPr>
        <w:t>(</w:t>
      </w:r>
      <w:r>
        <w:rPr/>
        <w:t>不含</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w:t>
      </w:r>
      <w:r>
        <w:rPr/>
        <w:t>的各项费用。长期待摊费用在 受益期内平均摊销，如果长期待摊费用项目不能使以后会计期间受益的，则将其尚未摊销的摊余价值全部转入当期损益。</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23</w:t>
      </w:r>
      <w:r>
        <w:rPr/>
        <w:t>、职工薪酬</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4" w:firstLine="360"/>
        <w:jc w:val="left"/>
      </w:pPr>
      <w:r>
        <w:rPr/>
        <w:t>职工薪酬，是指公司为获得职工提供的服务或解除劳动关系而给予的各种形式的报酬或补偿。职工薪酬包括短期薪酬、 </w:t>
      </w:r>
      <w:r>
        <w:rPr>
          <w:spacing w:val="-5"/>
        </w:rPr>
        <w:t>离职后福利、辞退福利和其他长期职工福利。公司提供给职工配偶、子女、受赡养人、已故员工遗属及其他受益人等的福利，</w:t>
      </w:r>
      <w:r>
        <w:rPr>
          <w:spacing w:val="-78"/>
        </w:rPr>
        <w:t> </w:t>
      </w:r>
      <w:r>
        <w:rPr>
          <w:spacing w:val="-78"/>
        </w:rPr>
      </w:r>
      <w:r>
        <w:rPr/>
        <w:t>也属于职工薪酬。</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133"/>
        <w:jc w:val="left"/>
      </w:pPr>
      <w:r>
        <w:rPr/>
        <w:t>短期薪酬是指公司在职工提供相关服务的年度报告期间结束后十二个月内需要全部予以支付的职工薪酬。 </w:t>
      </w:r>
      <w:r>
        <w:rPr>
          <w:spacing w:val="-2"/>
        </w:rPr>
        <w:t>短期薪酬包括职工工资、奖金、津贴和补贴，职工福利费、医疗保险费、工伤保险费和生育保险费等社会保险费，住房</w:t>
      </w:r>
    </w:p>
    <w:p>
      <w:pPr>
        <w:pStyle w:val="BodyText"/>
        <w:spacing w:line="316" w:lineRule="auto" w:before="19"/>
        <w:ind w:left="513" w:right="1213" w:hanging="361"/>
        <w:jc w:val="left"/>
      </w:pPr>
      <w:r>
        <w:rPr/>
        <w:t>公积金、工会经费和职工教育经费，短期带薪缺勤、短期利润分享计划，非货币性福利以及其他短期薪酬。 短期薪酬在职工为公司提供服务的会计期间，将实际发生的短期薪酬确认为负债，并计入当期损益或相关资产成本。</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离职后福利是指公司为获得员工提供的服务而在职工退休或与公司解除劳动关系后，提供的各种形式的报酬和福利，短</w:t>
      </w:r>
      <w:r>
        <w:rPr/>
        <w:t> 期薪酬和辞退福利除外。</w:t>
      </w:r>
    </w:p>
    <w:p>
      <w:pPr>
        <w:pStyle w:val="BodyText"/>
        <w:spacing w:line="316" w:lineRule="auto" w:before="19"/>
        <w:ind w:right="1132" w:firstLine="360"/>
        <w:jc w:val="left"/>
      </w:pPr>
      <w:r>
        <w:rPr>
          <w:spacing w:val="-2"/>
        </w:rPr>
        <w:t>离职后福利计划包括设定提存计划和设定受益计划。其中，设定提存计划，是指向独立的基金缴存固定费用后，公司不</w:t>
      </w:r>
      <w:r>
        <w:rPr/>
        <w:t> 再承担进一步支付义务的离职后福利计划；设定受益计划，是指除设定提存计划以外的离职后福利计划。</w:t>
      </w:r>
    </w:p>
    <w:p>
      <w:pPr>
        <w:pStyle w:val="BodyText"/>
        <w:spacing w:line="319" w:lineRule="auto" w:before="19"/>
        <w:ind w:right="0" w:firstLine="360"/>
        <w:jc w:val="left"/>
      </w:pPr>
      <w:r>
        <w:rPr>
          <w:spacing w:val="-2"/>
        </w:rPr>
        <w:t>设定提存计划包括基本养老保险、失业保险等。在职工提供服务的会计期间，根据设定提存计划计算的应缴存金额确认</w:t>
      </w:r>
      <w:r>
        <w:rPr/>
        <w:t> 为负债，并计入当期损益或相关资产成本。</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033"/>
        <w:jc w:val="left"/>
      </w:pPr>
      <w:r>
        <w:rPr/>
        <w:t>辞退福利是指公司在职工劳动合同到期之前解除与职工的劳动关系，或者为鼓励职工自愿接受裁减而给予职工的补偿。</w:t>
      </w:r>
      <w:r>
        <w:rPr>
          <w:spacing w:val="-86"/>
        </w:rPr>
        <w:t> </w:t>
      </w:r>
      <w:r>
        <w:rPr>
          <w:spacing w:val="-86"/>
        </w:rPr>
      </w:r>
      <w:r>
        <w:rPr>
          <w:spacing w:val="-2"/>
        </w:rPr>
        <w:t>公司向职工提供辞退福利的，在下列两者孰早日确认辞退福利产生的职工薪酬负债，并计入当期损益：公司不能单方面</w:t>
      </w:r>
    </w:p>
    <w:p>
      <w:pPr>
        <w:pStyle w:val="BodyText"/>
        <w:spacing w:line="240" w:lineRule="auto" w:before="19"/>
        <w:ind w:right="1133"/>
        <w:jc w:val="left"/>
      </w:pPr>
      <w:r>
        <w:rPr/>
        <w:t>撤回因解除劳动关系计划或裁减建议所提供的辞退福利时；公司确认与涉及支付辞退福利的重组相关的成本或费用时。</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0" w:firstLine="288"/>
        <w:jc w:val="left"/>
      </w:pPr>
      <w:r>
        <w:rPr/>
        <w:t>其他长期职工福利是指除短期薪酬、离职后福利、辞退福利之外所有的职工薪酬，包括长期带薪缺勤、长期残疾福利、 长期利润分享计划等。</w:t>
      </w:r>
    </w:p>
    <w:p>
      <w:pPr>
        <w:pStyle w:val="BodyText"/>
        <w:spacing w:line="240" w:lineRule="auto" w:before="17"/>
        <w:ind w:left="441" w:right="1133"/>
        <w:jc w:val="left"/>
      </w:pPr>
      <w:r>
        <w:rPr/>
        <w:t>企业向职工提供的其他长期职工福利，符合设定提存计划条件的，适用于上述设定提存计划的有关规定进行处理。</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24</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与或有事项相关的义务同时满足下列条件的，确认为预计负债：</w:t>
      </w:r>
    </w:p>
    <w:p>
      <w:pPr>
        <w:pStyle w:val="BodyText"/>
        <w:spacing w:line="240" w:lineRule="auto" w:before="76"/>
        <w:ind w:left="513" w:right="1133"/>
        <w:jc w:val="left"/>
      </w:pPr>
      <w:r>
        <w:rPr/>
        <w:t>（</w:t>
      </w:r>
      <w:r>
        <w:rPr>
          <w:rFonts w:ascii="Times New Roman" w:hAnsi="Times New Roman" w:cs="Times New Roman" w:eastAsia="Times New Roman" w:hint="default"/>
        </w:rPr>
        <w:t>1</w:t>
      </w:r>
      <w:r>
        <w:rPr/>
        <w:t>）该义务是企业承担的现时义务；</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）履行该义务很可能导致经济利益流出企业；</w:t>
      </w:r>
    </w:p>
    <w:p>
      <w:pPr>
        <w:pStyle w:val="BodyText"/>
        <w:spacing w:line="300" w:lineRule="auto" w:before="63"/>
        <w:ind w:left="513" w:right="4453"/>
        <w:jc w:val="left"/>
      </w:pPr>
      <w:r>
        <w:rPr/>
        <w:t>（</w:t>
      </w:r>
      <w:r>
        <w:rPr>
          <w:rFonts w:ascii="Times New Roman" w:hAnsi="Times New Roman" w:cs="Times New Roman" w:eastAsia="Times New Roman" w:hint="default"/>
        </w:rPr>
        <w:t>3</w:t>
      </w:r>
      <w:r>
        <w:rPr/>
        <w:t>）该义务的金额能够可靠地计量。 预计负债应当按照履行相关现时义务所需支出的最佳估计数进行初始计量。</w:t>
      </w:r>
    </w:p>
    <w:p>
      <w:pPr>
        <w:pStyle w:val="BodyText"/>
        <w:spacing w:line="316" w:lineRule="auto" w:before="31"/>
        <w:ind w:right="0" w:firstLine="360"/>
        <w:jc w:val="left"/>
      </w:pPr>
      <w:r>
        <w:rPr>
          <w:spacing w:val="-2"/>
        </w:rPr>
        <w:t>本公司在确定最佳估计数时，综合考虑与或有事项有关的风险、不确定性和货币时间价值等因素对于货币时间价值影响</w:t>
      </w:r>
      <w:r>
        <w:rPr/>
        <w:t> 重大的，通过对相关未来现金流出进行折现后确定最佳估计数。</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25</w:t>
      </w:r>
      <w:r>
        <w:rPr/>
        <w:t>、股份支付</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本公司的股份支付是为了获取职工提供服务而授予权益工具或者承担以权益工具为基础确定的负债的交易。本公司的股</w:t>
      </w:r>
      <w:r>
        <w:rPr/>
        <w:t> 份支付为以权益结算的股份支付。</w:t>
      </w:r>
    </w:p>
    <w:p>
      <w:pPr>
        <w:pStyle w:val="BodyText"/>
        <w:spacing w:line="300" w:lineRule="auto" w:before="19"/>
        <w:ind w:left="513" w:right="0"/>
        <w:jc w:val="left"/>
      </w:pPr>
      <w:r>
        <w:rPr/>
        <w:t>（</w:t>
      </w:r>
      <w:r>
        <w:rPr>
          <w:rFonts w:ascii="Times New Roman" w:hAnsi="Times New Roman" w:cs="Times New Roman" w:eastAsia="Times New Roman" w:hint="default"/>
        </w:rPr>
        <w:t>1</w:t>
      </w:r>
      <w:r>
        <w:rPr/>
        <w:t>）权益工具公允价值的确定方法 </w:t>
      </w:r>
      <w:r>
        <w:rPr>
          <w:spacing w:val="-2"/>
        </w:rPr>
        <w:t>以权益结算的股份支付换取职工提供服务的，以授予职工权益工具的公允价值计量。授予后立即可行权的，在授予日按</w:t>
      </w:r>
    </w:p>
    <w:p>
      <w:pPr>
        <w:pStyle w:val="BodyText"/>
        <w:spacing w:line="316" w:lineRule="auto" w:before="31"/>
        <w:ind w:right="1132"/>
        <w:jc w:val="both"/>
      </w:pPr>
      <w:r>
        <w:rPr>
          <w:spacing w:val="-2"/>
        </w:rPr>
        <w:t>照公允价值计入相关成本或费用，相应增加资本公积；完成等待期内的服务或达到规定业绩条件才可行权的，在等待期内每</w:t>
      </w:r>
      <w:r>
        <w:rPr>
          <w:spacing w:val="-65"/>
        </w:rPr>
        <w:t> </w:t>
      </w:r>
      <w:r>
        <w:rPr>
          <w:spacing w:val="-65"/>
        </w:rPr>
      </w:r>
      <w:r>
        <w:rPr>
          <w:spacing w:val="-2"/>
        </w:rPr>
        <w:t>个资产负债表日，本公司根据最新取得的可行权职工人数变动、是否达到规定业绩条件等后续信息对可行权权益工具数量作</w:t>
      </w:r>
      <w:r>
        <w:rPr>
          <w:spacing w:val="-64"/>
        </w:rPr>
        <w:t> </w:t>
      </w:r>
      <w:r>
        <w:rPr>
          <w:spacing w:val="-64"/>
        </w:rPr>
      </w:r>
      <w:r>
        <w:rPr>
          <w:spacing w:val="-2"/>
        </w:rPr>
        <w:t>出最佳估计，以此为基础，按照授予日的公允价值，将当期取得的服务计入相关成本或费用，相应计入资本公积。权益工具</w:t>
      </w:r>
      <w:r>
        <w:rPr>
          <w:spacing w:val="-67"/>
        </w:rPr>
        <w:t> </w:t>
      </w:r>
      <w:r>
        <w:rPr>
          <w:spacing w:val="-67"/>
        </w:rPr>
      </w:r>
      <w:r>
        <w:rPr/>
        <w:t>的公允价值采用</w:t>
      </w:r>
      <w:r>
        <w:rPr>
          <w:rFonts w:ascii="Times New Roman" w:hAnsi="Times New Roman" w:cs="Times New Roman" w:eastAsia="Times New Roman" w:hint="default"/>
        </w:rPr>
        <w:t>Black-Scholes</w:t>
      </w:r>
      <w:r>
        <w:rPr>
          <w:rFonts w:ascii="Times New Roman" w:hAnsi="Times New Roman" w:cs="Times New Roman" w:eastAsia="Times New Roman" w:hint="default"/>
          <w:spacing w:val="23"/>
        </w:rPr>
        <w:t> </w:t>
      </w:r>
      <w:r>
        <w:rPr/>
        <w:t>模型确定。</w:t>
      </w:r>
    </w:p>
    <w:p>
      <w:pPr>
        <w:pStyle w:val="BodyText"/>
        <w:spacing w:line="300" w:lineRule="auto"/>
        <w:ind w:left="513" w:right="0"/>
        <w:jc w:val="left"/>
      </w:pPr>
      <w:r>
        <w:rPr/>
        <w:t>（</w:t>
      </w:r>
      <w:r>
        <w:rPr>
          <w:rFonts w:ascii="Times New Roman" w:hAnsi="Times New Roman" w:cs="Times New Roman" w:eastAsia="Times New Roman" w:hint="default"/>
        </w:rPr>
        <w:t>2</w:t>
      </w:r>
      <w:r>
        <w:rPr/>
        <w:t>）确认可行权权益工具最佳估计的依据 </w:t>
      </w:r>
      <w:r>
        <w:rPr>
          <w:spacing w:val="-2"/>
        </w:rPr>
        <w:t>在满足业绩条件或服务期限条件的期间，应确认以权益结算的股份支付的成本或费用，并相应增加资本公积。可行权日</w:t>
      </w:r>
    </w:p>
    <w:p>
      <w:pPr>
        <w:pStyle w:val="BodyText"/>
        <w:spacing w:line="316" w:lineRule="auto" w:before="31"/>
        <w:ind w:right="0"/>
        <w:jc w:val="left"/>
      </w:pPr>
      <w:r>
        <w:rPr>
          <w:spacing w:val="-2"/>
        </w:rPr>
        <w:t>之前，于每个资产负债表日为以权益结算的股份支付确认的累计金额反映了等待期已届满的部分以及本公司对最终可行权的</w:t>
      </w:r>
      <w:r>
        <w:rPr>
          <w:spacing w:val="-64"/>
        </w:rPr>
        <w:t> </w:t>
      </w:r>
      <w:r>
        <w:rPr>
          <w:spacing w:val="-64"/>
        </w:rPr>
      </w:r>
      <w:r>
        <w:rPr/>
        <w:t>权益工具数量的最佳估计。</w:t>
      </w:r>
    </w:p>
    <w:p>
      <w:pPr>
        <w:pStyle w:val="BodyText"/>
        <w:spacing w:line="300" w:lineRule="auto" w:before="19"/>
        <w:ind w:left="513" w:right="0"/>
        <w:jc w:val="left"/>
      </w:pPr>
      <w:r>
        <w:rPr/>
        <w:t>（</w:t>
      </w:r>
      <w:r>
        <w:rPr>
          <w:rFonts w:ascii="Times New Roman" w:hAnsi="Times New Roman" w:cs="Times New Roman" w:eastAsia="Times New Roman" w:hint="default"/>
        </w:rPr>
        <w:t>3</w:t>
      </w:r>
      <w:r>
        <w:rPr/>
        <w:t>）实施、修改、终止股份支付计划的相关会计处理 </w:t>
      </w:r>
      <w:r>
        <w:rPr>
          <w:spacing w:val="-2"/>
        </w:rPr>
        <w:t>对于最终未能行权的股份支付，不确认成本或费用，除非行权条件是市场条件或非可行权条件，此时无论是否满足市场</w:t>
      </w:r>
    </w:p>
    <w:p>
      <w:pPr>
        <w:pStyle w:val="BodyText"/>
        <w:spacing w:line="316" w:lineRule="auto" w:before="31"/>
        <w:ind w:left="513" w:right="0" w:hanging="361"/>
        <w:jc w:val="left"/>
      </w:pPr>
      <w:r>
        <w:rPr/>
        <w:t>条件或非可行权条件，只要满足所有可行权条件中的非市场条件，即视为可行权。 </w:t>
      </w:r>
      <w:r>
        <w:rPr>
          <w:spacing w:val="-2"/>
        </w:rPr>
        <w:t>如果修改了以权益结算的股份支付的条款，至少按照未修改条款的情况确认取得的服务。此外，任何增加所授予权益工</w:t>
      </w:r>
    </w:p>
    <w:p>
      <w:pPr>
        <w:pStyle w:val="BodyText"/>
        <w:spacing w:line="360" w:lineRule="auto" w:before="19"/>
        <w:ind w:left="513" w:right="0" w:hanging="361"/>
        <w:jc w:val="left"/>
      </w:pPr>
      <w:r>
        <w:rPr/>
        <w:t>具公允价值的修改，或在修改日对职工有利的变更，均确认取得服务的增加。 </w:t>
      </w:r>
      <w:r>
        <w:rPr>
          <w:spacing w:val="-2"/>
        </w:rPr>
        <w:t>如果取消了以权益结算的股份支付，则于取消日作为加速行权处理，立即确认尚未确认的金额。职工或其他方能够选择</w:t>
      </w:r>
    </w:p>
    <w:p>
      <w:pPr>
        <w:pStyle w:val="BodyText"/>
        <w:spacing w:line="222" w:lineRule="exact"/>
        <w:ind w:right="0"/>
        <w:jc w:val="left"/>
      </w:pPr>
      <w:r>
        <w:rPr/>
        <w:t>满足非可行权条件但在等待期内未满足的，作为取消以权益结算的股份支付处理。但是，如果授予新的权益工具，并在新权</w:t>
      </w:r>
    </w:p>
    <w:p>
      <w:pPr>
        <w:pStyle w:val="BodyText"/>
        <w:spacing w:line="319" w:lineRule="auto" w:before="76"/>
        <w:ind w:right="0"/>
        <w:jc w:val="left"/>
      </w:pPr>
      <w:r>
        <w:rPr>
          <w:spacing w:val="-2"/>
        </w:rPr>
        <w:t>益工具授予日认定所授予的新权益工具是用于替代被取消的权益工具的，则以与处理原权益工具条款和条件修改相同的方式，</w:t>
      </w:r>
      <w:r>
        <w:rPr>
          <w:spacing w:val="-62"/>
        </w:rPr>
        <w:t> </w:t>
      </w:r>
      <w:r>
        <w:rPr>
          <w:spacing w:val="-62"/>
        </w:rPr>
      </w:r>
      <w:r>
        <w:rPr/>
        <w:t>对所授予的替代权益工具进行处理。</w:t>
      </w:r>
    </w:p>
    <w:p>
      <w:pPr>
        <w:spacing w:line="240" w:lineRule="auto" w:before="6"/>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26</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7"/>
        <w:ind w:right="1133"/>
        <w:jc w:val="left"/>
      </w:pPr>
      <w:r>
        <w:rPr/>
        <w:t>软件与信息技术服务业</w:t>
      </w:r>
    </w:p>
    <w:p>
      <w:pPr>
        <w:pStyle w:val="BodyText"/>
        <w:spacing w:line="240" w:lineRule="auto" w:before="115"/>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left="585"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营业收入包括销售商品收入、提供劳务收入以及让渡资产使用权收入。</w:t>
      </w:r>
    </w:p>
    <w:p>
      <w:pPr>
        <w:pStyle w:val="BodyText"/>
        <w:spacing w:line="300" w:lineRule="auto" w:before="63"/>
        <w:ind w:left="513" w:right="6613" w:firstLine="7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销售商品收入的确认</w:t>
      </w:r>
      <w:r>
        <w:rPr>
          <w:w w:val="99"/>
        </w:rPr>
        <w:t> </w:t>
      </w:r>
      <w:r>
        <w:rPr/>
        <w:t>销售商品收入同时满足下列条件的，予以确认：</w:t>
      </w:r>
    </w:p>
    <w:p>
      <w:pPr>
        <w:pStyle w:val="BodyText"/>
        <w:spacing w:line="240" w:lineRule="auto" w:before="31"/>
        <w:ind w:left="513" w:right="1133"/>
        <w:jc w:val="left"/>
      </w:pPr>
      <w:r>
        <w:rPr/>
        <w:t>①</w:t>
      </w:r>
      <w:r>
        <w:rPr>
          <w:spacing w:val="-18"/>
        </w:rPr>
        <w:t> </w:t>
      </w:r>
      <w:r>
        <w:rPr/>
        <w:t>企业已将商品所有权上的主要风险和报酬转移给购货方；</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513" w:right="1133"/>
        <w:jc w:val="left"/>
      </w:pPr>
      <w:r>
        <w:rPr/>
        <w:t>②</w:t>
      </w:r>
      <w:r>
        <w:rPr>
          <w:spacing w:val="-18"/>
        </w:rPr>
        <w:t> </w:t>
      </w:r>
      <w:r>
        <w:rPr/>
        <w:t>企业既没有保留通常与所有权相联系的继续管理权，也没有对已售出的商品实施有效控制；</w:t>
      </w:r>
    </w:p>
    <w:p>
      <w:pPr>
        <w:pStyle w:val="BodyText"/>
        <w:spacing w:line="240" w:lineRule="auto" w:before="76"/>
        <w:ind w:left="513" w:right="1133"/>
        <w:jc w:val="left"/>
      </w:pPr>
      <w:r>
        <w:rPr/>
        <w:t>③</w:t>
      </w:r>
      <w:r>
        <w:rPr>
          <w:spacing w:val="-18"/>
        </w:rPr>
        <w:t> </w:t>
      </w:r>
      <w:r>
        <w:rPr/>
        <w:t>收入的金额能够可靠地计量；</w:t>
      </w:r>
    </w:p>
    <w:p>
      <w:pPr>
        <w:pStyle w:val="BodyText"/>
        <w:spacing w:line="240" w:lineRule="auto" w:before="76"/>
        <w:ind w:left="513" w:right="1133"/>
        <w:jc w:val="left"/>
      </w:pPr>
      <w:r>
        <w:rPr/>
        <w:t>④</w:t>
      </w:r>
      <w:r>
        <w:rPr>
          <w:spacing w:val="-18"/>
        </w:rPr>
        <w:t> </w:t>
      </w:r>
      <w:r>
        <w:rPr/>
        <w:t>相关的经济利益很可能流入企业；</w:t>
      </w:r>
    </w:p>
    <w:p>
      <w:pPr>
        <w:pStyle w:val="BodyText"/>
        <w:spacing w:line="240" w:lineRule="auto" w:before="76"/>
        <w:ind w:left="513" w:right="1133"/>
        <w:jc w:val="left"/>
      </w:pPr>
      <w:r>
        <w:rPr/>
        <w:t>⑤</w:t>
      </w:r>
      <w:r>
        <w:rPr>
          <w:spacing w:val="-18"/>
        </w:rPr>
        <w:t> </w:t>
      </w:r>
      <w:r>
        <w:rPr/>
        <w:t>相关的已发生或将发生的成本能够可靠地计量。</w:t>
      </w:r>
    </w:p>
    <w:p>
      <w:pPr>
        <w:pStyle w:val="BodyText"/>
        <w:spacing w:line="309" w:lineRule="auto" w:before="76"/>
        <w:ind w:left="513" w:right="3013" w:firstLine="7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提供劳务收入的确认</w:t>
      </w:r>
      <w:r>
        <w:rPr>
          <w:w w:val="99"/>
        </w:rPr>
        <w:t> </w:t>
      </w:r>
      <w:r>
        <w:rPr/>
        <w:t>在资产负债表日提供劳务交易的结果能够可靠估计的，采用完工百分比法确认提供劳务收入。</w:t>
      </w:r>
      <w:r>
        <w:rPr>
          <w:w w:val="99"/>
        </w:rPr>
        <w:t> </w:t>
      </w:r>
      <w:r>
        <w:rPr/>
        <w:t>提供劳务交易的结果能够可靠估计，是指同时满足下列条件：</w:t>
      </w:r>
    </w:p>
    <w:p>
      <w:pPr>
        <w:pStyle w:val="BodyText"/>
        <w:spacing w:line="240" w:lineRule="auto" w:before="24"/>
        <w:ind w:left="513" w:right="1133"/>
        <w:jc w:val="left"/>
      </w:pPr>
      <w:r>
        <w:rPr/>
        <w:t>①</w:t>
      </w:r>
      <w:r>
        <w:rPr>
          <w:spacing w:val="-18"/>
        </w:rPr>
        <w:t> </w:t>
      </w:r>
      <w:r>
        <w:rPr/>
        <w:t>收入的金额能够可靠地计量；</w:t>
      </w:r>
    </w:p>
    <w:p>
      <w:pPr>
        <w:pStyle w:val="BodyText"/>
        <w:spacing w:line="240" w:lineRule="auto" w:before="76"/>
        <w:ind w:left="513" w:right="1133"/>
        <w:jc w:val="left"/>
      </w:pPr>
      <w:r>
        <w:rPr/>
        <w:t>②</w:t>
      </w:r>
      <w:r>
        <w:rPr>
          <w:spacing w:val="-18"/>
        </w:rPr>
        <w:t> </w:t>
      </w:r>
      <w:r>
        <w:rPr/>
        <w:t>相关的经济利益很可能流入企业；</w:t>
      </w:r>
    </w:p>
    <w:p>
      <w:pPr>
        <w:pStyle w:val="BodyText"/>
        <w:spacing w:line="240" w:lineRule="auto" w:before="76"/>
        <w:ind w:left="513" w:right="1133"/>
        <w:jc w:val="left"/>
      </w:pPr>
      <w:r>
        <w:rPr/>
        <w:t>③</w:t>
      </w:r>
      <w:r>
        <w:rPr>
          <w:spacing w:val="-18"/>
        </w:rPr>
        <w:t> </w:t>
      </w:r>
      <w:r>
        <w:rPr/>
        <w:t>交易的完工进度能够可靠地确定；</w:t>
      </w:r>
    </w:p>
    <w:p>
      <w:pPr>
        <w:pStyle w:val="BodyText"/>
        <w:spacing w:line="319" w:lineRule="auto" w:before="76"/>
        <w:ind w:left="513" w:right="6361"/>
        <w:jc w:val="left"/>
      </w:pPr>
      <w:r>
        <w:rPr/>
        <w:t>④</w:t>
      </w:r>
      <w:r>
        <w:rPr>
          <w:spacing w:val="-18"/>
        </w:rPr>
        <w:t> </w:t>
      </w:r>
      <w:r>
        <w:rPr/>
        <w:t>交易中已发生和将发生的成本能够可靠地计量。</w:t>
      </w:r>
      <w:r>
        <w:rPr/>
        <w:t> 确定提供劳务交易的完工进度，选用下列方法：</w:t>
      </w:r>
    </w:p>
    <w:p>
      <w:pPr>
        <w:pStyle w:val="BodyText"/>
        <w:spacing w:line="240" w:lineRule="auto" w:before="17"/>
        <w:ind w:left="513"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已完工作的测量；</w:t>
      </w:r>
    </w:p>
    <w:p>
      <w:pPr>
        <w:pStyle w:val="BodyText"/>
        <w:spacing w:line="240" w:lineRule="auto" w:before="63"/>
        <w:ind w:left="51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已经提供的劳务占应提供劳务总量的比例；</w:t>
      </w:r>
    </w:p>
    <w:p>
      <w:pPr>
        <w:pStyle w:val="BodyText"/>
        <w:spacing w:line="300" w:lineRule="auto" w:before="63"/>
        <w:ind w:left="51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已经发生的成本占估计总成本的比例。 </w:t>
      </w:r>
      <w:r>
        <w:rPr>
          <w:spacing w:val="-2"/>
        </w:rPr>
        <w:t>在资产负债表日按照提供劳务收入总额乘以完工进度扣除以前会计期间累计已确认提供劳务收入后的金额，确认当期提</w:t>
      </w:r>
    </w:p>
    <w:p>
      <w:pPr>
        <w:pStyle w:val="BodyText"/>
        <w:spacing w:line="316" w:lineRule="auto" w:before="31"/>
        <w:ind w:right="1132"/>
        <w:jc w:val="left"/>
      </w:pPr>
      <w:r>
        <w:rPr>
          <w:spacing w:val="-2"/>
        </w:rPr>
        <w:t>供劳务收入；同时，按照提供劳务估计总成本乘以完工进度扣除以前会计期间累计已确认劳务成本后的金额，结转当期劳务</w:t>
      </w:r>
      <w:r>
        <w:rPr>
          <w:spacing w:val="-66"/>
        </w:rPr>
        <w:t> </w:t>
      </w:r>
      <w:r>
        <w:rPr>
          <w:spacing w:val="-66"/>
        </w:rPr>
      </w:r>
      <w:r>
        <w:rPr/>
        <w:t>成本。</w:t>
      </w:r>
    </w:p>
    <w:p>
      <w:pPr>
        <w:pStyle w:val="BodyText"/>
        <w:spacing w:line="240" w:lineRule="auto" w:before="19"/>
        <w:ind w:left="513" w:right="1133"/>
        <w:jc w:val="left"/>
      </w:pPr>
      <w:r>
        <w:rPr/>
        <w:t>在资产负债表日提供劳务交易结果不能够可靠估计的，分别下列情况处理：</w:t>
      </w:r>
    </w:p>
    <w:p>
      <w:pPr>
        <w:pStyle w:val="BodyText"/>
        <w:spacing w:line="300" w:lineRule="auto" w:before="76"/>
        <w:ind w:right="1120" w:firstLine="360"/>
        <w:jc w:val="left"/>
      </w:pPr>
      <w:r>
        <w:rPr>
          <w:rFonts w:ascii="Times New Roman" w:hAnsi="Times New Roman" w:cs="Times New Roman" w:eastAsia="Times New Roman" w:hint="default"/>
        </w:rPr>
        <w:t>1&gt;</w:t>
      </w:r>
      <w:r>
        <w:rPr>
          <w:rFonts w:ascii="Times New Roman" w:hAnsi="Times New Roman" w:cs="Times New Roman" w:eastAsia="Times New Roman" w:hint="default"/>
          <w:spacing w:val="37"/>
        </w:rPr>
        <w:t> </w:t>
      </w:r>
      <w:r>
        <w:rPr/>
        <w:t>已经发生的劳务成本预计能够得到补偿的，按照已经发生的劳务成本金额确认提供劳务收入，并按相同金额结转劳 务成本；</w:t>
      </w:r>
    </w:p>
    <w:p>
      <w:pPr>
        <w:pStyle w:val="BodyText"/>
        <w:spacing w:line="300" w:lineRule="auto" w:before="32"/>
        <w:ind w:left="513" w:right="1310"/>
        <w:jc w:val="left"/>
      </w:pPr>
      <w:r>
        <w:rPr>
          <w:rFonts w:ascii="Times New Roman" w:hAnsi="Times New Roman" w:cs="Times New Roman" w:eastAsia="Times New Roman" w:hint="default"/>
        </w:rPr>
        <w:t>2&gt;</w:t>
      </w:r>
      <w:r>
        <w:rPr>
          <w:rFonts w:ascii="Times New Roman" w:hAnsi="Times New Roman" w:cs="Times New Roman" w:eastAsia="Times New Roman" w:hint="default"/>
          <w:spacing w:val="26"/>
        </w:rPr>
        <w:t> </w:t>
      </w:r>
      <w:r>
        <w:rPr/>
        <w:t>已经发生的劳务成本预计不能够得到补偿的，应当将已经发生的劳务成本计入当期损益，不确认提供劳务收入。 提供劳务收入确认条件的具体应用：</w:t>
      </w:r>
    </w:p>
    <w:p>
      <w:pPr>
        <w:pStyle w:val="BodyText"/>
        <w:spacing w:line="300" w:lineRule="auto" w:before="31"/>
        <w:ind w:right="1119" w:firstLine="360"/>
        <w:jc w:val="left"/>
      </w:pPr>
      <w:r>
        <w:rPr>
          <w:rFonts w:ascii="Times New Roman" w:hAnsi="Times New Roman" w:cs="Times New Roman" w:eastAsia="Times New Roman" w:hint="default"/>
        </w:rPr>
        <w:t>1&gt;</w:t>
      </w:r>
      <w:r>
        <w:rPr>
          <w:rFonts w:ascii="Times New Roman" w:hAnsi="Times New Roman" w:cs="Times New Roman" w:eastAsia="Times New Roman" w:hint="default"/>
          <w:spacing w:val="38"/>
        </w:rPr>
        <w:t> </w:t>
      </w:r>
      <w:r>
        <w:rPr/>
        <w:t>安装费，在资产负债表日根据安装的完工进度确认收入。安装工作是商品销售附带条件的，安装费在确认商品销售 实现时确认收入。</w:t>
      </w:r>
    </w:p>
    <w:p>
      <w:pPr>
        <w:pStyle w:val="BodyText"/>
        <w:spacing w:line="300" w:lineRule="auto" w:before="31"/>
        <w:ind w:right="1120" w:firstLine="360"/>
        <w:jc w:val="left"/>
      </w:pPr>
      <w:r>
        <w:rPr>
          <w:rFonts w:ascii="Times New Roman" w:hAnsi="Times New Roman" w:cs="Times New Roman" w:eastAsia="Times New Roman" w:hint="default"/>
        </w:rPr>
        <w:t>2&gt;</w:t>
      </w:r>
      <w:r>
        <w:rPr>
          <w:rFonts w:ascii="Times New Roman" w:hAnsi="Times New Roman" w:cs="Times New Roman" w:eastAsia="Times New Roman" w:hint="default"/>
          <w:spacing w:val="37"/>
        </w:rPr>
        <w:t> </w:t>
      </w:r>
      <w:r>
        <w:rPr/>
        <w:t>宣传媒介的收费，在相关的广告或商业行为开始出现于公众面前时确认收入。广告的制作费，在资产负债表日根据 制作广告的完工进度确认收入。</w:t>
      </w:r>
    </w:p>
    <w:p>
      <w:pPr>
        <w:pStyle w:val="BodyText"/>
        <w:spacing w:line="240" w:lineRule="auto" w:before="31"/>
        <w:ind w:left="513" w:right="1133"/>
        <w:jc w:val="left"/>
      </w:pPr>
      <w:r>
        <w:rPr>
          <w:rFonts w:ascii="Times New Roman" w:hAnsi="Times New Roman" w:cs="Times New Roman" w:eastAsia="Times New Roman" w:hint="default"/>
        </w:rPr>
        <w:t>3&gt;</w:t>
      </w:r>
      <w:r>
        <w:rPr>
          <w:rFonts w:ascii="Times New Roman" w:hAnsi="Times New Roman" w:cs="Times New Roman" w:eastAsia="Times New Roman" w:hint="default"/>
          <w:spacing w:val="27"/>
        </w:rPr>
        <w:t> </w:t>
      </w:r>
      <w:r>
        <w:rPr/>
        <w:t>为特定客户开发软件的收费，在资产负债表日根据开发的完工进度确认收入。</w:t>
      </w:r>
    </w:p>
    <w:p>
      <w:pPr>
        <w:pStyle w:val="BodyText"/>
        <w:spacing w:line="240" w:lineRule="auto" w:before="63"/>
        <w:ind w:left="513" w:right="1133"/>
        <w:jc w:val="left"/>
      </w:pPr>
      <w:r>
        <w:rPr>
          <w:rFonts w:ascii="Times New Roman" w:hAnsi="Times New Roman" w:cs="Times New Roman" w:eastAsia="Times New Roman" w:hint="default"/>
        </w:rPr>
        <w:t>4&gt;</w:t>
      </w:r>
      <w:r>
        <w:rPr>
          <w:rFonts w:ascii="Times New Roman" w:hAnsi="Times New Roman" w:cs="Times New Roman" w:eastAsia="Times New Roman" w:hint="default"/>
          <w:spacing w:val="27"/>
        </w:rPr>
        <w:t> </w:t>
      </w:r>
      <w:r>
        <w:rPr/>
        <w:t>包括在商品售价内可区分的服务费，在提供服务的期间内分期确认收入。</w:t>
      </w:r>
    </w:p>
    <w:p>
      <w:pPr>
        <w:pStyle w:val="BodyText"/>
        <w:spacing w:line="300" w:lineRule="auto" w:before="63"/>
        <w:ind w:right="1120" w:firstLine="360"/>
        <w:jc w:val="left"/>
      </w:pPr>
      <w:r>
        <w:rPr>
          <w:rFonts w:ascii="Times New Roman" w:hAnsi="Times New Roman" w:cs="Times New Roman" w:eastAsia="Times New Roman" w:hint="default"/>
        </w:rPr>
        <w:t>5&gt;</w:t>
      </w:r>
      <w:r>
        <w:rPr>
          <w:rFonts w:ascii="Times New Roman" w:hAnsi="Times New Roman" w:cs="Times New Roman" w:eastAsia="Times New Roman" w:hint="default"/>
          <w:spacing w:val="37"/>
        </w:rPr>
        <w:t> </w:t>
      </w:r>
      <w:r>
        <w:rPr/>
        <w:t>艺术表演、招待宴会和其他特殊活动的收费，在相关活动发生时确认收入。收费涉及几项活动的，预收的款项应合 理分配给每项活动，分别确认收入。</w:t>
      </w:r>
    </w:p>
    <w:p>
      <w:pPr>
        <w:pStyle w:val="BodyText"/>
        <w:spacing w:line="309" w:lineRule="auto" w:before="31"/>
        <w:ind w:right="1034" w:firstLine="360"/>
        <w:jc w:val="left"/>
      </w:pPr>
      <w:r>
        <w:rPr>
          <w:rFonts w:ascii="Times New Roman" w:hAnsi="Times New Roman" w:cs="Times New Roman" w:eastAsia="Times New Roman" w:hint="default"/>
        </w:rPr>
        <w:t>6&gt;</w:t>
      </w:r>
      <w:r>
        <w:rPr>
          <w:rFonts w:ascii="Times New Roman" w:hAnsi="Times New Roman" w:cs="Times New Roman" w:eastAsia="Times New Roman" w:hint="default"/>
          <w:spacing w:val="31"/>
        </w:rPr>
        <w:t> </w:t>
      </w:r>
      <w:r>
        <w:rPr/>
        <w:t>申请入会费和会员费只允许取得会籍，所有其他服务或商品都要另行收费的，在款项收回不存在重大不确定性时确 认收入。申请入会费和会员费能使会员在会员期内得到各种服务或商品，或者以低于非会员的价格销售商品或提供服务的，</w:t>
      </w:r>
      <w:r>
        <w:rPr>
          <w:spacing w:val="-83"/>
        </w:rPr>
        <w:t> </w:t>
      </w:r>
      <w:r>
        <w:rPr>
          <w:spacing w:val="-83"/>
        </w:rPr>
      </w:r>
      <w:r>
        <w:rPr/>
        <w:t>在整个受益期内分期确认收入。</w:t>
      </w:r>
    </w:p>
    <w:p>
      <w:pPr>
        <w:pStyle w:val="BodyText"/>
        <w:spacing w:line="300" w:lineRule="auto" w:before="24"/>
        <w:ind w:right="1120" w:firstLine="360"/>
        <w:jc w:val="left"/>
      </w:pPr>
      <w:r>
        <w:rPr>
          <w:rFonts w:ascii="Times New Roman" w:hAnsi="Times New Roman" w:cs="Times New Roman" w:eastAsia="Times New Roman" w:hint="default"/>
        </w:rPr>
        <w:t>7&gt;</w:t>
      </w:r>
      <w:r>
        <w:rPr>
          <w:rFonts w:ascii="Times New Roman" w:hAnsi="Times New Roman" w:cs="Times New Roman" w:eastAsia="Times New Roman" w:hint="default"/>
          <w:spacing w:val="37"/>
        </w:rPr>
        <w:t> </w:t>
      </w:r>
      <w:r>
        <w:rPr/>
        <w:t>属于提供设备和其他有形资产的特许权费，在交付资产或转移资产所有权时确认收入；属于提供初始及后续服务的 特许权费，在提供服务时确认收入。</w:t>
      </w:r>
    </w:p>
    <w:p>
      <w:pPr>
        <w:pStyle w:val="BodyText"/>
        <w:spacing w:line="240" w:lineRule="auto" w:before="31"/>
        <w:ind w:left="513" w:right="1133"/>
        <w:jc w:val="left"/>
      </w:pPr>
      <w:r>
        <w:rPr>
          <w:rFonts w:ascii="Times New Roman" w:hAnsi="Times New Roman" w:cs="Times New Roman" w:eastAsia="Times New Roman" w:hint="default"/>
        </w:rPr>
        <w:t>8&gt;</w:t>
      </w:r>
      <w:r>
        <w:rPr>
          <w:rFonts w:ascii="Times New Roman" w:hAnsi="Times New Roman" w:cs="Times New Roman" w:eastAsia="Times New Roman" w:hint="default"/>
          <w:spacing w:val="27"/>
        </w:rPr>
        <w:t> </w:t>
      </w:r>
      <w:r>
        <w:rPr/>
        <w:t>长期为客户提供重复的劳务收取的劳务费，在相关劳务活动发生时确认收入。</w:t>
      </w:r>
    </w:p>
    <w:p>
      <w:pPr>
        <w:pStyle w:val="BodyText"/>
        <w:spacing w:line="300" w:lineRule="auto" w:before="63"/>
        <w:ind w:left="513" w:right="1573" w:firstLine="7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让渡资产使用权收入的确认</w:t>
      </w:r>
      <w:r>
        <w:rPr>
          <w:w w:val="99"/>
        </w:rPr>
        <w:t> </w:t>
      </w:r>
      <w:r>
        <w:rPr/>
        <w:t>让渡资产使用权收入包括利息收入、使用费收入等。让渡资产使用权收入同时满足下列条件的，才能予以确认：</w:t>
      </w:r>
    </w:p>
    <w:p>
      <w:pPr>
        <w:pStyle w:val="BodyText"/>
        <w:spacing w:line="240" w:lineRule="auto" w:before="31"/>
        <w:ind w:left="513" w:right="1133"/>
        <w:jc w:val="left"/>
      </w:pPr>
      <w:r>
        <w:rPr/>
        <w:t>①</w:t>
      </w:r>
      <w:r>
        <w:rPr>
          <w:spacing w:val="-18"/>
        </w:rPr>
        <w:t> </w:t>
      </w:r>
      <w:r>
        <w:rPr/>
        <w:t>相关的经济利益很可能流入企业；</w:t>
      </w:r>
    </w:p>
    <w:p>
      <w:pPr>
        <w:pStyle w:val="BodyText"/>
        <w:spacing w:line="316" w:lineRule="auto" w:before="76"/>
        <w:ind w:left="513" w:right="6433"/>
        <w:jc w:val="left"/>
      </w:pPr>
      <w:r>
        <w:rPr/>
        <w:t>②</w:t>
      </w:r>
      <w:r>
        <w:rPr>
          <w:spacing w:val="-18"/>
        </w:rPr>
        <w:t> </w:t>
      </w:r>
      <w:r>
        <w:rPr/>
        <w:t>收入的金额能够可靠地计量。</w:t>
      </w:r>
      <w:r>
        <w:rPr/>
        <w:t> 公司分别下列情况确定让渡资产使用权收入金额：</w:t>
      </w:r>
    </w:p>
    <w:p>
      <w:pPr>
        <w:pStyle w:val="BodyText"/>
        <w:spacing w:line="240" w:lineRule="auto" w:before="19"/>
        <w:ind w:left="513"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利息收入金额，按照他人使用本企业货币资金的时间和实际利率计算确定。</w:t>
      </w:r>
    </w:p>
    <w:p>
      <w:pPr>
        <w:pStyle w:val="BodyText"/>
        <w:spacing w:line="240" w:lineRule="auto" w:before="63"/>
        <w:ind w:left="51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使用费收入金额，按照有关合同或协议约定的收费时间和方法计算确定。</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513" w:right="113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房屋租赁收入，按照租赁合同或协议约定的租赁期间及租赁额确认。</w:t>
      </w:r>
    </w:p>
    <w:p>
      <w:pPr>
        <w:pStyle w:val="BodyText"/>
        <w:spacing w:line="309" w:lineRule="auto" w:before="63"/>
        <w:ind w:left="513" w:right="4273" w:firstLine="72"/>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公司的收入类型及具体确认原则。</w:t>
      </w:r>
      <w:r>
        <w:rPr>
          <w:w w:val="99"/>
        </w:rPr>
        <w:t> </w:t>
      </w:r>
      <w:r>
        <w:rPr/>
        <w:t>本公司销售商品收入包括电力行业产品（电力设备类）销售和游戏行业销售。</w:t>
      </w:r>
      <w:r>
        <w:rPr>
          <w:w w:val="99"/>
        </w:rPr>
        <w:t> </w:t>
      </w:r>
      <w:r>
        <w:rPr>
          <w:rFonts w:ascii="Times New Roman" w:hAnsi="Times New Roman" w:cs="Times New Roman" w:eastAsia="Times New Roman" w:hint="default"/>
        </w:rPr>
        <w:t>a)</w:t>
      </w:r>
      <w:r>
        <w:rPr/>
        <w:t>电力行业产品（电力设备类）销售确认方式：</w:t>
      </w:r>
    </w:p>
    <w:p>
      <w:pPr>
        <w:pStyle w:val="BodyText"/>
        <w:spacing w:line="240" w:lineRule="auto" w:before="5"/>
        <w:ind w:left="513" w:right="1133"/>
        <w:jc w:val="left"/>
      </w:pPr>
      <w:r>
        <w:rPr/>
        <w:t>①</w:t>
      </w:r>
      <w:r>
        <w:rPr>
          <w:spacing w:val="-18"/>
        </w:rPr>
        <w:t> </w:t>
      </w:r>
      <w:r>
        <w:rPr/>
        <w:t>国内销售：</w:t>
      </w:r>
    </w:p>
    <w:p>
      <w:pPr>
        <w:pStyle w:val="BodyText"/>
        <w:spacing w:line="300" w:lineRule="auto" w:before="76"/>
        <w:ind w:right="1124" w:firstLine="360"/>
        <w:jc w:val="left"/>
      </w:pPr>
      <w:r>
        <w:rPr>
          <w:rFonts w:ascii="Times New Roman" w:hAnsi="Times New Roman" w:cs="Times New Roman" w:eastAsia="Times New Roman" w:hint="default"/>
        </w:rPr>
        <w:t>1</w:t>
      </w:r>
      <w:r>
        <w:rPr/>
        <w:t>）非工程项目类：合同商品已移交给客户，客户验收合格后，与本公司确认商品数量及结算金额，本公司获得收取货 款权利后确认收入实现。</w:t>
      </w:r>
    </w:p>
    <w:p>
      <w:pPr>
        <w:pStyle w:val="BodyText"/>
        <w:spacing w:line="300" w:lineRule="auto" w:before="31"/>
        <w:ind w:right="1124" w:firstLine="360"/>
        <w:jc w:val="left"/>
      </w:pPr>
      <w:r>
        <w:rPr>
          <w:rFonts w:ascii="Times New Roman" w:hAnsi="Times New Roman" w:cs="Times New Roman" w:eastAsia="Times New Roman" w:hint="default"/>
        </w:rPr>
        <w:t>2</w:t>
      </w:r>
      <w:r>
        <w:rPr/>
        <w:t>）工程项目类：合同商品已移交给购买方施工单位并进行安装调试后，与本公司确认商品数量及结算金额，本公司获 得收取货款权利后确认收入实现。</w:t>
      </w:r>
    </w:p>
    <w:p>
      <w:pPr>
        <w:pStyle w:val="BodyText"/>
        <w:spacing w:line="240" w:lineRule="auto" w:before="31"/>
        <w:ind w:left="513" w:right="1133"/>
        <w:jc w:val="left"/>
      </w:pPr>
      <w:r>
        <w:rPr/>
        <w:t>②</w:t>
      </w:r>
      <w:r>
        <w:rPr>
          <w:spacing w:val="-19"/>
        </w:rPr>
        <w:t> </w:t>
      </w:r>
      <w:r>
        <w:rPr/>
        <w:t>国外销售：以出口报关时间为销售收入的确认时间。</w:t>
      </w:r>
    </w:p>
    <w:p>
      <w:pPr>
        <w:pStyle w:val="BodyText"/>
        <w:spacing w:line="240" w:lineRule="auto" w:before="76"/>
        <w:ind w:left="513" w:right="1133"/>
        <w:jc w:val="left"/>
      </w:pPr>
      <w:r>
        <w:rPr>
          <w:rFonts w:ascii="Times New Roman" w:hAnsi="Times New Roman" w:cs="Times New Roman" w:eastAsia="Times New Roman" w:hint="default"/>
        </w:rPr>
        <w:t>b)</w:t>
      </w:r>
      <w:r>
        <w:rPr/>
        <w:t>游戏行业销售确认方式：</w:t>
      </w:r>
    </w:p>
    <w:p>
      <w:pPr>
        <w:pStyle w:val="BodyText"/>
        <w:spacing w:line="316" w:lineRule="auto" w:before="63"/>
        <w:ind w:right="0" w:firstLine="360"/>
        <w:jc w:val="left"/>
      </w:pPr>
      <w:r>
        <w:rPr>
          <w:spacing w:val="-2"/>
        </w:rPr>
        <w:t>①自主运营模式下，针对公司的自研游戏产品，玩家通过第三方支付渠道进行充值获得游戏虚拟货币，并在游戏过程中</w:t>
      </w:r>
      <w:r>
        <w:rPr/>
        <w:t> 使用游戏币购买虚拟道具；公司在玩家实际充值并使用游戏货币购买游戏虚拟道具消费时确认营业收入；</w:t>
      </w:r>
    </w:p>
    <w:p>
      <w:pPr>
        <w:pStyle w:val="BodyText"/>
        <w:spacing w:line="316" w:lineRule="auto" w:before="19"/>
        <w:ind w:right="0" w:firstLine="360"/>
        <w:jc w:val="left"/>
      </w:pPr>
      <w:r>
        <w:rPr/>
        <w:t>②联合运营模式下，针对公司的自研游戏产品，游戏玩家通过平台商支付系统进行充值获得游戏虚拟货币，并在游戏过 </w:t>
      </w:r>
      <w:r>
        <w:rPr>
          <w:spacing w:val="-2"/>
        </w:rPr>
        <w:t>程中使用游戏币购买虚拟道具；公司定期与合作平台对账确认玩家充值金额并按约定分成比例从合作平台商处获得游戏分成；</w:t>
      </w:r>
      <w:r>
        <w:rPr>
          <w:spacing w:val="-62"/>
        </w:rPr>
        <w:t> </w:t>
      </w:r>
      <w:r>
        <w:rPr>
          <w:spacing w:val="-62"/>
        </w:rPr>
      </w:r>
      <w:r>
        <w:rPr/>
        <w:t>公司根据在与合作平台对账后确认营业收入。</w:t>
      </w:r>
    </w:p>
    <w:p>
      <w:pPr>
        <w:pStyle w:val="BodyText"/>
        <w:spacing w:line="316" w:lineRule="auto" w:before="19"/>
        <w:ind w:right="1130" w:firstLine="360"/>
        <w:jc w:val="both"/>
      </w:pPr>
      <w:r>
        <w:rPr>
          <w:spacing w:val="-2"/>
        </w:rPr>
        <w:t>③授权运营模式下，公司将拥有的游戏产品交由运营商进行运营，游戏玩家通过运营商平台注册、充值、消费活动，游</w:t>
      </w:r>
      <w:r>
        <w:rPr/>
        <w:t> </w:t>
      </w:r>
      <w:r>
        <w:rPr>
          <w:spacing w:val="-2"/>
        </w:rPr>
        <w:t>戏玩家在运营商游戏版本中获取并使用游戏虚拟货币，公司定期与合作平台对账确认玩家充值金额并按约定分成比例从运营</w:t>
      </w:r>
      <w:r>
        <w:rPr>
          <w:spacing w:val="-64"/>
        </w:rPr>
        <w:t> </w:t>
      </w:r>
      <w:r>
        <w:rPr>
          <w:spacing w:val="-64"/>
        </w:rPr>
      </w:r>
      <w:r>
        <w:rPr>
          <w:spacing w:val="-2"/>
        </w:rPr>
        <w:t>商处获得游戏分成。该模式下，公司收入通常由版权金收入及游戏分成收入两部分构成，游戏分成在与游戏运营商核对确认</w:t>
      </w:r>
      <w:r>
        <w:rPr>
          <w:spacing w:val="-63"/>
        </w:rPr>
        <w:t> </w:t>
      </w:r>
      <w:r>
        <w:rPr>
          <w:spacing w:val="-63"/>
        </w:rPr>
      </w:r>
      <w:r>
        <w:rPr/>
        <w:t>游戏分成款后确认；版权金在授权期限内分摊确认收入。</w:t>
      </w:r>
    </w:p>
    <w:p>
      <w:pPr>
        <w:pStyle w:val="BodyText"/>
        <w:spacing w:line="316" w:lineRule="auto" w:before="19"/>
        <w:ind w:right="0" w:firstLine="360"/>
        <w:jc w:val="left"/>
      </w:pPr>
      <w:r>
        <w:rPr>
          <w:spacing w:val="-4"/>
        </w:rPr>
        <w:t>④代理运营模式，公司代理运营其他游戏开发商提供的游戏，玩家在公司平台进行注册并通过公司的支付系统进行充值，</w:t>
      </w:r>
      <w:r>
        <w:rPr/>
        <w:t> </w:t>
      </w:r>
      <w:r>
        <w:rPr>
          <w:spacing w:val="-2"/>
        </w:rPr>
        <w:t>并在游戏开发商提供给公司游戏版本中获取并使用游戏虚拟货币，公司定期与游戏开发商对账确认玩家充值金额并按约定分</w:t>
      </w:r>
      <w:r>
        <w:rPr>
          <w:spacing w:val="-64"/>
        </w:rPr>
        <w:t> </w:t>
      </w:r>
      <w:r>
        <w:rPr>
          <w:spacing w:val="-64"/>
        </w:rPr>
      </w:r>
      <w:r>
        <w:rPr>
          <w:spacing w:val="-2"/>
        </w:rPr>
        <w:t>成比例向游戏开发商支付游戏分成；公司与游戏开发商确定充值金额后，将充值款确认为收入，将对游戏开发商的分成款确</w:t>
      </w:r>
      <w:r>
        <w:rPr>
          <w:spacing w:val="-63"/>
        </w:rPr>
        <w:t> </w:t>
      </w:r>
      <w:r>
        <w:rPr>
          <w:spacing w:val="-63"/>
        </w:rPr>
      </w:r>
      <w:r>
        <w:rPr>
          <w:spacing w:val="-2"/>
        </w:rPr>
        <w:t>认为成本。（公司作为独家代理时，还可将独家代理的游戏授权给平台商和运营商联合运营，游戏玩家通过平台商系统或运</w:t>
      </w:r>
      <w:r>
        <w:rPr>
          <w:spacing w:val="-63"/>
        </w:rPr>
        <w:t> </w:t>
      </w:r>
      <w:r>
        <w:rPr>
          <w:spacing w:val="-63"/>
        </w:rPr>
      </w:r>
      <w:r>
        <w:rPr>
          <w:spacing w:val="-2"/>
        </w:rPr>
        <w:t>营商平台进行充值获得游戏虚拟货币，并在游戏过程中使用游戏币购买虚拟道具；公司与游戏开发商确定充值金额后，根据</w:t>
      </w:r>
      <w:r>
        <w:rPr>
          <w:spacing w:val="-63"/>
        </w:rPr>
        <w:t> </w:t>
      </w:r>
      <w:r>
        <w:rPr>
          <w:spacing w:val="-63"/>
        </w:rPr>
      </w:r>
      <w:r>
        <w:rPr>
          <w:spacing w:val="-2"/>
        </w:rPr>
        <w:t>该金额与合作平台对账确认并按约定分成比例从合作平台商处获得游戏收入分成款并确认收入，根据玩家充值金额按约定分</w:t>
      </w:r>
      <w:r>
        <w:rPr>
          <w:spacing w:val="-63"/>
        </w:rPr>
        <w:t> </w:t>
      </w:r>
      <w:r>
        <w:rPr>
          <w:spacing w:val="-63"/>
        </w:rPr>
      </w:r>
      <w:r>
        <w:rPr/>
        <w:t>成比例向游戏开发商支付游戏分成并确认为成本。）</w:t>
      </w:r>
    </w:p>
    <w:p>
      <w:pPr>
        <w:pStyle w:val="BodyText"/>
        <w:spacing w:line="240" w:lineRule="auto" w:before="19"/>
        <w:ind w:left="513" w:right="1133"/>
        <w:jc w:val="left"/>
      </w:pPr>
      <w:r>
        <w:rPr/>
        <w:t>⑤游戏软件著作权的转让收入：公司按照合同条款将游戏产品交付对方后，于对方验收合格后收取转让费用。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27</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政府补助</w:t>
      </w:r>
      <w:r>
        <w:rPr>
          <w:spacing w:val="-87"/>
        </w:rPr>
        <w:t>，</w:t>
      </w:r>
      <w:r>
        <w:rPr/>
        <w:t>是公司从政府无偿取得的货币性资产与非货币性资产</w:t>
      </w:r>
      <w:r>
        <w:rPr>
          <w:spacing w:val="-87"/>
        </w:rPr>
        <w:t>。</w:t>
      </w:r>
      <w:r>
        <w:rPr/>
        <w:t>分为与资产相关的政府补助和与收益相关的政府补助。</w:t>
      </w:r>
    </w:p>
    <w:p>
      <w:pPr>
        <w:spacing w:line="240" w:lineRule="auto" w:before="0"/>
        <w:rPr>
          <w:rFonts w:ascii="宋体" w:hAnsi="宋体" w:cs="宋体" w:eastAsia="宋体" w:hint="default"/>
          <w:sz w:val="18"/>
          <w:szCs w:val="18"/>
        </w:rPr>
      </w:pPr>
    </w:p>
    <w:p>
      <w:pPr>
        <w:pStyle w:val="Heading4"/>
        <w:spacing w:line="240" w:lineRule="auto" w:before="141"/>
        <w:ind w:left="152" w:right="1133"/>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left="513" w:right="1132"/>
        <w:jc w:val="left"/>
      </w:pPr>
      <w:r>
        <w:rPr/>
        <w:t>与资产相关的政府补助，是指企业取得的、用于购建或以其他方式形成长期资产的政府补助。 </w:t>
      </w:r>
      <w:r>
        <w:rPr>
          <w:spacing w:val="-2"/>
        </w:rPr>
        <w:t>与资产相关的政府补助，公司确认为递延收益，在相关资产使用寿命内按照合理、系统的方法分期计入损益。按照名义</w:t>
      </w:r>
    </w:p>
    <w:p>
      <w:pPr>
        <w:pStyle w:val="BodyText"/>
        <w:spacing w:line="314" w:lineRule="auto" w:before="19"/>
        <w:ind w:left="513" w:right="0" w:hanging="361"/>
        <w:jc w:val="left"/>
      </w:pPr>
      <w:r>
        <w:rPr/>
        <w:t>金额计量的政府补助，直接计入当期损益。 </w:t>
      </w:r>
      <w:r>
        <w:rPr>
          <w:spacing w:val="-2"/>
        </w:rPr>
        <w:t>相关资产在使用寿命结束前被出售、转让、报废或发生毁损的，将尚未分配的相关递延收益余额转入资产处置当期的损</w:t>
      </w:r>
    </w:p>
    <w:p>
      <w:pPr>
        <w:pStyle w:val="BodyText"/>
        <w:spacing w:line="240" w:lineRule="auto" w:before="20"/>
        <w:ind w:right="1133"/>
        <w:jc w:val="left"/>
      </w:pPr>
      <w:r>
        <w:rPr/>
        <w:t>益。</w:t>
      </w:r>
    </w:p>
    <w:p>
      <w:pPr>
        <w:pStyle w:val="BodyText"/>
        <w:spacing w:line="240" w:lineRule="auto" w:before="76"/>
        <w:ind w:left="513" w:right="0"/>
        <w:jc w:val="left"/>
      </w:pPr>
      <w:r>
        <w:rPr/>
        <w:t>与公司日常活动相关的政府补助，应当按照经济业务实质，计入其他收益。与公司日常活动无关的政府补助，计入营业</w:t>
      </w:r>
    </w:p>
    <w:p>
      <w:pPr>
        <w:pStyle w:val="BodyText"/>
        <w:spacing w:line="240" w:lineRule="auto" w:before="76"/>
        <w:ind w:right="1133"/>
        <w:jc w:val="left"/>
      </w:pPr>
      <w:r>
        <w:rPr/>
        <w:t>外收支。</w:t>
      </w:r>
    </w:p>
    <w:p>
      <w:pPr>
        <w:spacing w:line="240" w:lineRule="auto" w:before="0"/>
        <w:rPr>
          <w:rFonts w:ascii="宋体" w:hAnsi="宋体" w:cs="宋体" w:eastAsia="宋体" w:hint="default"/>
          <w:sz w:val="18"/>
          <w:szCs w:val="18"/>
        </w:rPr>
      </w:pPr>
    </w:p>
    <w:p>
      <w:pPr>
        <w:pStyle w:val="Heading4"/>
        <w:spacing w:line="240" w:lineRule="auto" w:before="141"/>
        <w:ind w:left="152" w:right="1133"/>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b/>
          <w:bCs/>
          <w:sz w:val="21"/>
          <w:szCs w:val="21"/>
        </w:rPr>
      </w:pPr>
    </w:p>
    <w:p>
      <w:pPr>
        <w:pStyle w:val="BodyText"/>
        <w:spacing w:line="316" w:lineRule="auto" w:before="44"/>
        <w:ind w:left="513" w:right="0"/>
        <w:jc w:val="left"/>
      </w:pPr>
      <w:r>
        <w:rPr/>
        <w:t>与收益相关的政府补助，是指除与资产相关的政府补助之外的政府补助。 </w:t>
      </w:r>
      <w:r>
        <w:rPr>
          <w:spacing w:val="-2"/>
        </w:rPr>
        <w:t>公司对于综合性项目的政府补助，需要将其分解为与资产相关的部分和与收益相关的部分，分别进行会计处理；难以区</w:t>
      </w:r>
    </w:p>
    <w:p>
      <w:pPr>
        <w:pStyle w:val="BodyText"/>
        <w:spacing w:line="316" w:lineRule="auto" w:before="19"/>
        <w:ind w:left="513" w:right="0" w:hanging="361"/>
        <w:jc w:val="left"/>
      </w:pPr>
      <w:r>
        <w:rPr/>
        <w:t>分的，应当整体归类为与收益相关的政府补助。 </w:t>
      </w:r>
      <w:r>
        <w:rPr>
          <w:spacing w:val="-2"/>
        </w:rPr>
        <w:t>与收益相关的政府补助，用于补偿公司以后期间的相关费用或损失的，取得时确认为递延收益，并在确认相关成本费用</w:t>
      </w:r>
    </w:p>
    <w:p>
      <w:pPr>
        <w:pStyle w:val="BodyText"/>
        <w:spacing w:line="240" w:lineRule="auto" w:before="19"/>
        <w:ind w:right="1133"/>
        <w:jc w:val="left"/>
      </w:pPr>
      <w:r>
        <w:rPr/>
        <w:t>或损失的期间，计入当期损益；用于补偿公司已发生的相关费用或损失的，直接计入当期损益。</w:t>
      </w:r>
    </w:p>
    <w:p>
      <w:pPr>
        <w:spacing w:line="600" w:lineRule="atLeast" w:before="25"/>
        <w:ind w:left="441" w:right="1133" w:hanging="289"/>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宋体" w:hAnsi="宋体" w:cs="宋体" w:eastAsia="宋体" w:hint="default"/>
          <w:b/>
          <w:bCs/>
          <w:spacing w:val="-14"/>
          <w:sz w:val="18"/>
          <w:szCs w:val="18"/>
        </w:rPr>
        <w:t> </w:t>
      </w:r>
      <w:r>
        <w:rPr>
          <w:rFonts w:ascii="宋体" w:hAnsi="宋体" w:cs="宋体" w:eastAsia="宋体" w:hint="default"/>
          <w:b/>
          <w:bCs/>
          <w:sz w:val="18"/>
          <w:szCs w:val="18"/>
        </w:rPr>
        <w:t>政府补助的确认时点</w:t>
      </w:r>
      <w:r>
        <w:rPr>
          <w:rFonts w:ascii="宋体" w:hAnsi="宋体" w:cs="宋体" w:eastAsia="宋体" w:hint="default"/>
          <w:b/>
          <w:bCs/>
          <w:w w:val="99"/>
          <w:sz w:val="18"/>
          <w:szCs w:val="18"/>
        </w:rPr>
        <w:t> </w:t>
      </w:r>
      <w:r>
        <w:rPr>
          <w:rFonts w:ascii="宋体" w:hAnsi="宋体" w:cs="宋体" w:eastAsia="宋体" w:hint="default"/>
          <w:spacing w:val="-1"/>
          <w:sz w:val="18"/>
          <w:szCs w:val="18"/>
        </w:rPr>
        <w:t>政府补助为货币性资产的，应当按照收到或应收的金额计量。按照应收金额计量的政府补助，在期末有确凿证据表明能</w:t>
      </w:r>
    </w:p>
    <w:p>
      <w:pPr>
        <w:pStyle w:val="BodyText"/>
        <w:spacing w:line="319" w:lineRule="auto" w:before="76"/>
        <w:ind w:right="1034"/>
        <w:jc w:val="left"/>
      </w:pPr>
      <w:r>
        <w:rPr>
          <w:spacing w:val="-2"/>
        </w:rPr>
        <w:t>够符合财政扶持政策规定的相关条件且预计能够收到财政扶持资金时予以确认；政府补助为非货币性资产的，应当按照取得</w:t>
      </w:r>
      <w:r>
        <w:rPr>
          <w:spacing w:val="-63"/>
        </w:rPr>
        <w:t> </w:t>
      </w:r>
      <w:r>
        <w:rPr>
          <w:spacing w:val="-63"/>
        </w:rPr>
      </w:r>
      <w:r>
        <w:rPr/>
        <w:t>非货币性资产所有权风险和报酬转移时确认政府补助实现。其中非货币性资产按公允价值计量；公允价值不能可靠取得的，</w:t>
      </w:r>
      <w:r>
        <w:rPr>
          <w:spacing w:val="-83"/>
        </w:rPr>
        <w:t> </w:t>
      </w:r>
      <w:r>
        <w:rPr>
          <w:spacing w:val="-83"/>
        </w:rPr>
      </w:r>
      <w:r>
        <w:rPr/>
        <w:t>按照名义金额计量。</w:t>
      </w:r>
    </w:p>
    <w:p>
      <w:pPr>
        <w:pStyle w:val="BodyText"/>
        <w:spacing w:line="316" w:lineRule="auto" w:before="17"/>
        <w:ind w:right="1132" w:firstLine="288"/>
        <w:jc w:val="both"/>
      </w:pPr>
      <w:r>
        <w:rPr>
          <w:spacing w:val="-1"/>
        </w:rPr>
        <w:t>已确认的政府补助需要返还时，存在相关递延收益余额的，冲减相关递延收益账面余额，超出部分计入当期损益；不存</w:t>
      </w:r>
      <w:r>
        <w:rPr/>
        <w:t> 在相关递延收益的，直接计入当期损益。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07" w:lineRule="auto"/>
        <w:ind w:right="1128" w:firstLine="343"/>
        <w:jc w:val="both"/>
      </w:pPr>
      <w:r>
        <w:rPr>
          <w:spacing w:val="-2"/>
        </w:rPr>
        <w:t>所得税采用资产负债表债务法进行核算。于资产负债表日，分析比较资产、负债的账面价值与其计税基础，两者之间存</w:t>
      </w:r>
      <w:r>
        <w:rPr/>
        <w:t> </w:t>
      </w:r>
      <w:r>
        <w:rPr>
          <w:spacing w:val="-2"/>
        </w:rPr>
        <w:t>在差异的，确认递延所得税资产、递延所得税负债及相应的递延所得税费用</w:t>
      </w:r>
      <w:r>
        <w:rPr>
          <w:rFonts w:ascii="Times New Roman" w:hAnsi="Times New Roman" w:cs="Times New Roman" w:eastAsia="Times New Roman" w:hint="default"/>
          <w:spacing w:val="-2"/>
        </w:rPr>
        <w:t>(</w:t>
      </w:r>
      <w:r>
        <w:rPr>
          <w:spacing w:val="-2"/>
        </w:rPr>
        <w:t>或收益</w:t>
      </w:r>
      <w:r>
        <w:rPr>
          <w:rFonts w:ascii="Times New Roman" w:hAnsi="Times New Roman" w:cs="Times New Roman" w:eastAsia="Times New Roman" w:hint="default"/>
          <w:spacing w:val="-2"/>
        </w:rPr>
        <w:t>)</w:t>
      </w:r>
      <w:r>
        <w:rPr>
          <w:spacing w:val="-2"/>
        </w:rPr>
        <w:t>。在计算确定当期所得税</w:t>
      </w:r>
      <w:r>
        <w:rPr>
          <w:rFonts w:ascii="Times New Roman" w:hAnsi="Times New Roman" w:cs="Times New Roman" w:eastAsia="Times New Roman" w:hint="default"/>
          <w:spacing w:val="-2"/>
        </w:rPr>
        <w:t>(</w:t>
      </w:r>
      <w:r>
        <w:rPr>
          <w:spacing w:val="-2"/>
        </w:rPr>
        <w:t>即当期应交所</w:t>
      </w:r>
      <w:r>
        <w:rPr>
          <w:spacing w:val="-58"/>
        </w:rPr>
        <w:t> </w:t>
      </w:r>
      <w:r>
        <w:rPr>
          <w:spacing w:val="-1"/>
        </w:rPr>
        <w:t>得税</w:t>
      </w:r>
      <w:r>
        <w:rPr>
          <w:rFonts w:ascii="Times New Roman" w:hAnsi="Times New Roman" w:cs="Times New Roman" w:eastAsia="Times New Roman" w:hint="default"/>
          <w:spacing w:val="-1"/>
        </w:rPr>
        <w:t>)</w:t>
      </w:r>
      <w:r>
        <w:rPr>
          <w:spacing w:val="-1"/>
        </w:rPr>
        <w:t>以及递延所得税费用</w:t>
      </w:r>
      <w:r>
        <w:rPr>
          <w:rFonts w:ascii="Times New Roman" w:hAnsi="Times New Roman" w:cs="Times New Roman" w:eastAsia="Times New Roman" w:hint="default"/>
          <w:spacing w:val="-1"/>
        </w:rPr>
        <w:t>(</w:t>
      </w:r>
      <w:r>
        <w:rPr>
          <w:spacing w:val="-1"/>
        </w:rPr>
        <w:t>或收益</w:t>
      </w:r>
      <w:r>
        <w:rPr>
          <w:rFonts w:ascii="Times New Roman" w:hAnsi="Times New Roman" w:cs="Times New Roman" w:eastAsia="Times New Roman" w:hint="default"/>
          <w:spacing w:val="-1"/>
        </w:rPr>
        <w:t>)</w:t>
      </w:r>
      <w:r>
        <w:rPr>
          <w:spacing w:val="-1"/>
        </w:rPr>
        <w:t>的基础上，将两者之和确认为利润表中的所得税费用</w:t>
      </w:r>
      <w:r>
        <w:rPr>
          <w:rFonts w:ascii="Times New Roman" w:hAnsi="Times New Roman" w:cs="Times New Roman" w:eastAsia="Times New Roman" w:hint="default"/>
          <w:spacing w:val="-1"/>
        </w:rPr>
        <w:t>(</w:t>
      </w:r>
      <w:r>
        <w:rPr>
          <w:spacing w:val="-1"/>
        </w:rPr>
        <w:t>或收益</w:t>
      </w:r>
      <w:r>
        <w:rPr>
          <w:rFonts w:ascii="Times New Roman" w:hAnsi="Times New Roman" w:cs="Times New Roman" w:eastAsia="Times New Roman" w:hint="default"/>
          <w:spacing w:val="-1"/>
        </w:rPr>
        <w:t>)</w:t>
      </w:r>
      <w:r>
        <w:rPr>
          <w:spacing w:val="-1"/>
        </w:rPr>
        <w:t>，但不包括直接计入所有者</w:t>
      </w:r>
      <w:r>
        <w:rPr>
          <w:spacing w:val="-56"/>
        </w:rPr>
        <w:t> </w:t>
      </w:r>
      <w:r>
        <w:rPr>
          <w:spacing w:val="-56"/>
        </w:rPr>
      </w:r>
      <w:r>
        <w:rPr/>
        <w:t>权益的交易或事项的所得税影响。</w:t>
      </w:r>
    </w:p>
    <w:p>
      <w:pPr>
        <w:pStyle w:val="BodyText"/>
        <w:spacing w:line="319" w:lineRule="auto" w:before="26"/>
        <w:ind w:right="1132" w:firstLine="288"/>
        <w:jc w:val="both"/>
      </w:pPr>
      <w:r>
        <w:rPr>
          <w:spacing w:val="-1"/>
        </w:rPr>
        <w:t>资产负债表日，对递延所得税资产的账面价值进行复核。如果未来期间很可能无法获得足够的应纳税所得额用以抵扣递</w:t>
      </w:r>
      <w:r>
        <w:rPr/>
        <w:t> 延所得税资产的利益，应当减记递延所得税资产的账面价值。</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29</w:t>
      </w:r>
      <w:r>
        <w:rPr/>
        <w:t>、租赁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85"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公司作为承租人对经营租赁的处理</w:t>
      </w:r>
    </w:p>
    <w:p>
      <w:pPr>
        <w:pStyle w:val="BodyText"/>
        <w:spacing w:line="240" w:lineRule="auto" w:before="63"/>
        <w:ind w:left="513" w:right="1133"/>
        <w:jc w:val="left"/>
      </w:pPr>
      <w:r>
        <w:rPr/>
        <w:t>①</w:t>
      </w:r>
      <w:r>
        <w:rPr>
          <w:spacing w:val="-18"/>
        </w:rPr>
        <w:t> </w:t>
      </w:r>
      <w:r>
        <w:rPr/>
        <w:t>租金的处理</w:t>
      </w:r>
    </w:p>
    <w:p>
      <w:pPr>
        <w:pStyle w:val="BodyText"/>
        <w:spacing w:line="316" w:lineRule="auto" w:before="76"/>
        <w:ind w:left="513" w:right="4993"/>
        <w:jc w:val="left"/>
      </w:pPr>
      <w:r>
        <w:rPr/>
        <w:t>①租金的处理 在经营租赁下需将支付或应付的租金计入相关资产成本或当期损益。</w:t>
      </w:r>
    </w:p>
    <w:p>
      <w:pPr>
        <w:pStyle w:val="BodyText"/>
        <w:spacing w:line="316" w:lineRule="auto" w:before="19"/>
        <w:ind w:left="513" w:right="5353"/>
        <w:jc w:val="left"/>
      </w:pPr>
      <w:r>
        <w:rPr/>
        <w:t>②</w:t>
      </w:r>
      <w:r>
        <w:rPr>
          <w:spacing w:val="-18"/>
        </w:rPr>
        <w:t> </w:t>
      </w:r>
      <w:r>
        <w:rPr/>
        <w:t>初始直接费用的处理</w:t>
      </w:r>
      <w:r>
        <w:rPr/>
        <w:t> 对于承租人在经营租赁中发生的初始直接费用，计入当期损益。</w:t>
      </w:r>
    </w:p>
    <w:p>
      <w:pPr>
        <w:pStyle w:val="BodyText"/>
        <w:spacing w:line="316" w:lineRule="auto" w:before="19"/>
        <w:ind w:left="513" w:right="5353"/>
        <w:jc w:val="left"/>
      </w:pPr>
      <w:r>
        <w:rPr/>
        <w:t>③</w:t>
      </w:r>
      <w:r>
        <w:rPr>
          <w:spacing w:val="-18"/>
        </w:rPr>
        <w:t> </w:t>
      </w:r>
      <w:r>
        <w:rPr/>
        <w:t>或有租金的处理</w:t>
      </w:r>
      <w:r>
        <w:rPr/>
        <w:t> 在经营租赁下，承租人对或有租金在实际发生时计入当期损益。</w:t>
      </w:r>
    </w:p>
    <w:p>
      <w:pPr>
        <w:pStyle w:val="BodyText"/>
        <w:spacing w:line="316" w:lineRule="auto" w:before="19"/>
        <w:ind w:left="513" w:right="0"/>
        <w:jc w:val="left"/>
      </w:pPr>
      <w:r>
        <w:rPr/>
        <w:t>④</w:t>
      </w:r>
      <w:r>
        <w:rPr>
          <w:spacing w:val="-18"/>
        </w:rPr>
        <w:t> </w:t>
      </w:r>
      <w:r>
        <w:rPr/>
        <w:t>出租人提供激励措施的处理</w:t>
      </w:r>
      <w:r>
        <w:rPr/>
        <w:t> </w:t>
      </w:r>
      <w:r>
        <w:rPr>
          <w:spacing w:val="-2"/>
        </w:rPr>
        <w:t>出租人提供免租期的，承租人应将租金总额在不扣除免租期的整个租赁期内，按直线法或其他合理的方法进行分摊，免</w:t>
      </w:r>
    </w:p>
    <w:p>
      <w:pPr>
        <w:pStyle w:val="BodyText"/>
        <w:spacing w:line="316" w:lineRule="auto" w:before="19"/>
        <w:ind w:right="0"/>
        <w:jc w:val="left"/>
      </w:pPr>
      <w:r>
        <w:rPr>
          <w:spacing w:val="-2"/>
        </w:rPr>
        <w:t>租期内应当确认租金费用及相应的负债。出租人承担了承租人某些费用的，承租人将该费用从租金费用总额中扣除，按扣除</w:t>
      </w:r>
      <w:r>
        <w:rPr>
          <w:spacing w:val="-63"/>
        </w:rPr>
        <w:t> </w:t>
      </w:r>
      <w:r>
        <w:rPr>
          <w:spacing w:val="-63"/>
        </w:rPr>
      </w:r>
      <w:r>
        <w:rPr/>
        <w:t>后的租金费用余额在租赁期内进行分摊。</w:t>
      </w:r>
    </w:p>
    <w:p>
      <w:pPr>
        <w:pStyle w:val="BodyText"/>
        <w:spacing w:line="240" w:lineRule="auto" w:before="19"/>
        <w:ind w:left="585"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公司作为出租人对经营租赁的处理</w:t>
      </w:r>
    </w:p>
    <w:p>
      <w:pPr>
        <w:pStyle w:val="BodyText"/>
        <w:spacing w:line="316" w:lineRule="auto" w:before="63"/>
        <w:ind w:left="513" w:right="5713"/>
        <w:jc w:val="left"/>
      </w:pPr>
      <w:r>
        <w:rPr/>
        <w:t>①</w:t>
      </w:r>
      <w:r>
        <w:rPr>
          <w:spacing w:val="-18"/>
        </w:rPr>
        <w:t> </w:t>
      </w:r>
      <w:r>
        <w:rPr/>
        <w:t>租金的处理</w:t>
      </w:r>
      <w:r>
        <w:rPr/>
        <w:t> 出租人应采用直线法将收到的租金在租赁期内确认为收益。</w:t>
      </w:r>
    </w:p>
    <w:p>
      <w:pPr>
        <w:pStyle w:val="BodyText"/>
        <w:spacing w:line="316" w:lineRule="auto" w:before="19"/>
        <w:ind w:left="513" w:right="1033"/>
        <w:jc w:val="left"/>
      </w:pPr>
      <w:r>
        <w:rPr/>
        <w:t>②</w:t>
      </w:r>
      <w:r>
        <w:rPr>
          <w:spacing w:val="-18"/>
        </w:rPr>
        <w:t> </w:t>
      </w:r>
      <w:r>
        <w:rPr/>
        <w:t>初始直接费用的处理</w:t>
      </w:r>
      <w:r>
        <w:rPr/>
        <w:t> 经营租赁中出租人发生的初始直接费用，是指在租赁谈判和签订租赁合同的过程中发生的可归属于租赁项目的手续费、</w:t>
      </w:r>
    </w:p>
    <w:p>
      <w:pPr>
        <w:spacing w:after="0" w:line="316" w:lineRule="auto"/>
        <w:jc w:val="left"/>
        <w:sectPr>
          <w:footerReference w:type="default" r:id="rId41"/>
          <w:pgSz w:w="11910" w:h="16840"/>
          <w:pgMar w:footer="979" w:header="877" w:top="1100" w:bottom="1160" w:left="980" w:right="0"/>
          <w:pgNumType w:start="129"/>
        </w:sectPr>
      </w:pPr>
    </w:p>
    <w:p>
      <w:pPr>
        <w:spacing w:line="240" w:lineRule="auto" w:before="11"/>
        <w:rPr>
          <w:rFonts w:ascii="宋体" w:hAnsi="宋体" w:cs="宋体" w:eastAsia="宋体" w:hint="default"/>
          <w:sz w:val="21"/>
          <w:szCs w:val="21"/>
        </w:rPr>
      </w:pPr>
    </w:p>
    <w:p>
      <w:pPr>
        <w:pStyle w:val="BodyText"/>
        <w:spacing w:line="316" w:lineRule="auto" w:before="44"/>
        <w:ind w:right="0"/>
        <w:jc w:val="left"/>
      </w:pPr>
      <w:r>
        <w:rPr>
          <w:spacing w:val="-2"/>
        </w:rPr>
        <w:t>律师费、差旅费、印花税等，计入当期损益。金额较大的应当资本化，在整个经营租赁期内按照与确认租金收入相同的基础</w:t>
      </w:r>
      <w:r>
        <w:rPr>
          <w:spacing w:val="-65"/>
        </w:rPr>
        <w:t> </w:t>
      </w:r>
      <w:r>
        <w:rPr>
          <w:spacing w:val="-65"/>
        </w:rPr>
      </w:r>
      <w:r>
        <w:rPr/>
        <w:t>分期计入当期损益。</w:t>
      </w:r>
    </w:p>
    <w:p>
      <w:pPr>
        <w:pStyle w:val="BodyText"/>
        <w:spacing w:line="316" w:lineRule="auto" w:before="19"/>
        <w:ind w:left="513" w:right="2653"/>
        <w:jc w:val="left"/>
      </w:pPr>
      <w:r>
        <w:rPr/>
        <w:t>③</w:t>
      </w:r>
      <w:r>
        <w:rPr>
          <w:spacing w:val="-18"/>
        </w:rPr>
        <w:t> </w:t>
      </w:r>
      <w:r>
        <w:rPr/>
        <w:t>租赁资产折旧的计提</w:t>
      </w:r>
      <w:r>
        <w:rPr/>
        <w:t> 对于经营租赁资产中的固定资产，采用出租人对类似应折旧资产通常所采用的折旧政策计提折旧。</w:t>
      </w:r>
    </w:p>
    <w:p>
      <w:pPr>
        <w:pStyle w:val="BodyText"/>
        <w:spacing w:line="316" w:lineRule="auto" w:before="19"/>
        <w:ind w:left="513" w:right="8053"/>
        <w:jc w:val="left"/>
      </w:pPr>
      <w:r>
        <w:rPr/>
        <w:t>④</w:t>
      </w:r>
      <w:r>
        <w:rPr>
          <w:spacing w:val="-18"/>
        </w:rPr>
        <w:t> </w:t>
      </w:r>
      <w:r>
        <w:rPr/>
        <w:t>或有租金的处理</w:t>
      </w:r>
      <w:r>
        <w:rPr/>
        <w:t> 在实际发生时计入当期收益。</w:t>
      </w:r>
    </w:p>
    <w:p>
      <w:pPr>
        <w:pStyle w:val="BodyText"/>
        <w:spacing w:line="316" w:lineRule="auto" w:before="19"/>
        <w:ind w:left="513" w:right="0"/>
        <w:jc w:val="left"/>
      </w:pPr>
      <w:r>
        <w:rPr/>
        <w:t>⑤</w:t>
      </w:r>
      <w:r>
        <w:rPr>
          <w:spacing w:val="-18"/>
        </w:rPr>
        <w:t> </w:t>
      </w:r>
      <w:r>
        <w:rPr/>
        <w:t>出租人对经营租赁提供激励措施的处理</w:t>
      </w:r>
      <w:r>
        <w:rPr/>
        <w:t> </w:t>
      </w:r>
      <w:r>
        <w:rPr>
          <w:spacing w:val="-2"/>
        </w:rPr>
        <w:t>出租人提供免租期的，出租人将租金总额在不扣除免租期的整个租赁期内，按直线法或其他合理的方法进行分配，免租</w:t>
      </w:r>
    </w:p>
    <w:p>
      <w:pPr>
        <w:pStyle w:val="BodyText"/>
        <w:spacing w:line="316" w:lineRule="auto" w:before="19"/>
        <w:ind w:right="0"/>
        <w:jc w:val="left"/>
      </w:pPr>
      <w:r>
        <w:rPr>
          <w:spacing w:val="-2"/>
        </w:rPr>
        <w:t>期内出租人确认租金收入。出租人承担了承租人某些费用的，出租人将该费用自租金收入总额中扣除，按扣除后的租金收入</w:t>
      </w:r>
      <w:r>
        <w:rPr>
          <w:spacing w:val="-63"/>
        </w:rPr>
        <w:t> </w:t>
      </w:r>
      <w:r>
        <w:rPr>
          <w:spacing w:val="-63"/>
        </w:rPr>
      </w:r>
      <w:r>
        <w:rPr/>
        <w:t>余额在租赁期内进行分配。</w:t>
      </w:r>
    </w:p>
    <w:p>
      <w:pPr>
        <w:pStyle w:val="BodyText"/>
        <w:spacing w:line="360" w:lineRule="auto" w:before="19"/>
        <w:ind w:left="513" w:right="0"/>
        <w:jc w:val="left"/>
      </w:pPr>
      <w:r>
        <w:rPr/>
        <w:t>⑥</w:t>
      </w:r>
      <w:r>
        <w:rPr>
          <w:spacing w:val="-18"/>
        </w:rPr>
        <w:t> </w:t>
      </w:r>
      <w:r>
        <w:rPr/>
        <w:t>经营租赁资产在财务报表中的处理</w:t>
      </w:r>
      <w:r>
        <w:rPr/>
        <w:t> </w:t>
      </w:r>
      <w:r>
        <w:rPr>
          <w:spacing w:val="-2"/>
        </w:rPr>
        <w:t>在经营租赁下，与资产所有权有关的主要风险和报酬仍然留在出租人一方，因此出租人将出租资产作为自身拥有的资产</w:t>
      </w:r>
    </w:p>
    <w:p>
      <w:pPr>
        <w:pStyle w:val="BodyText"/>
        <w:spacing w:line="222" w:lineRule="exact"/>
        <w:ind w:right="0"/>
        <w:jc w:val="left"/>
      </w:pPr>
      <w:r>
        <w:rPr/>
        <w:t>在资产负债表中列示，如果出租资产属于固定资产，则列在资产负债表固定资产项下，如果出租资产属于流动资产，则列在</w:t>
      </w:r>
    </w:p>
    <w:p>
      <w:pPr>
        <w:pStyle w:val="BodyText"/>
        <w:spacing w:line="240" w:lineRule="auto" w:before="76"/>
        <w:ind w:right="1133"/>
        <w:jc w:val="left"/>
      </w:pPr>
      <w:r>
        <w:rPr/>
        <w:t>资产负债表有关流动资产项下。</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436" w:right="1133"/>
        <w:jc w:val="left"/>
      </w:pPr>
      <w:r>
        <w:rPr/>
        <w:t>售后回租构成的融资租赁 </w:t>
      </w:r>
      <w:r>
        <w:rPr>
          <w:spacing w:val="-1"/>
        </w:rPr>
        <w:t>基于交易实质是公司作为卖方兼承租人以标的资产为抵押从买方兼出租人处取得融资的行为。根据对售后回租构成融资</w:t>
      </w:r>
    </w:p>
    <w:p>
      <w:pPr>
        <w:pStyle w:val="BodyText"/>
        <w:spacing w:line="222" w:lineRule="exact"/>
        <w:ind w:right="0"/>
        <w:jc w:val="left"/>
      </w:pPr>
      <w:r>
        <w:rPr/>
        <w:t>租赁的交易经济实质的上述分析，公司对售后回租构成融资租赁的交易，作为担保借款在长期应付款科目中列报，未来支付</w:t>
      </w:r>
    </w:p>
    <w:p>
      <w:pPr>
        <w:pStyle w:val="BodyText"/>
        <w:spacing w:line="240" w:lineRule="auto" w:before="76"/>
        <w:ind w:right="1133"/>
        <w:jc w:val="left"/>
      </w:pPr>
      <w:r>
        <w:rPr/>
        <w:t>的租金和留购价款视作还本付息，按照实际利率法以摊余成本对该长期应付款进行后续计量，确认利息支出。</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30</w:t>
      </w:r>
      <w:r>
        <w:rPr/>
        <w:t>、其他重要的会计政策和会计估计</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1132"/>
        <w:jc w:val="left"/>
      </w:pPr>
      <w:r>
        <w:rPr/>
        <w:t>分部报告 </w:t>
      </w:r>
      <w:r>
        <w:rPr>
          <w:spacing w:val="-2"/>
        </w:rPr>
        <w:t>公司以内部组织结构、管理要求、内部报告制度为依据确定经营分部，以经营分部为基础确定报告分部。并在财务报表</w:t>
      </w:r>
    </w:p>
    <w:p>
      <w:pPr>
        <w:pStyle w:val="BodyText"/>
        <w:spacing w:line="316" w:lineRule="auto" w:before="19"/>
        <w:ind w:right="1133"/>
        <w:jc w:val="left"/>
      </w:pPr>
      <w:r>
        <w:rPr>
          <w:spacing w:val="-2"/>
        </w:rPr>
        <w:t>附注中披露各报告分部的财务信息，包括主营业务收入，主营业务成本，资产总额，负债总额等。公司不能披露各报告分部</w:t>
      </w:r>
      <w:r>
        <w:rPr>
          <w:spacing w:val="-67"/>
        </w:rPr>
        <w:t> </w:t>
      </w:r>
      <w:r>
        <w:rPr>
          <w:spacing w:val="-67"/>
        </w:rPr>
      </w:r>
      <w:r>
        <w:rPr/>
        <w:t>的资产总额和负债总额的，应说明原因。</w:t>
      </w:r>
    </w:p>
    <w:p>
      <w:pPr>
        <w:pStyle w:val="BodyText"/>
        <w:spacing w:line="307" w:lineRule="auto" w:before="19"/>
        <w:ind w:left="513" w:right="3343"/>
        <w:jc w:val="left"/>
      </w:pPr>
      <w:r>
        <w:rPr/>
        <w:t>经营分部，是指公司内同时满足下列条件的组成部分： </w:t>
      </w:r>
      <w:r>
        <w:rPr>
          <w:rFonts w:ascii="Times New Roman" w:hAnsi="Times New Roman" w:cs="Times New Roman" w:eastAsia="Times New Roman" w:hint="default"/>
        </w:rPr>
        <w:t>(1)</w:t>
      </w:r>
      <w:r>
        <w:rPr/>
        <w:t>该组成部分能够在日常活动中产生收入、发生费用； </w:t>
      </w:r>
      <w:r>
        <w:rPr>
          <w:rFonts w:ascii="Times New Roman" w:hAnsi="Times New Roman" w:cs="Times New Roman" w:eastAsia="Times New Roman" w:hint="default"/>
        </w:rPr>
        <w:t>(2)</w:t>
      </w:r>
      <w:r>
        <w:rPr/>
        <w:t>企业管理层能够定期评价该组成部分的经营成果，以决定向其配置资源、评价其业绩； </w:t>
      </w:r>
      <w:r>
        <w:rPr>
          <w:rFonts w:ascii="Times New Roman" w:hAnsi="Times New Roman" w:cs="Times New Roman" w:eastAsia="Times New Roman" w:hint="default"/>
        </w:rPr>
        <w:t>(3)</w:t>
      </w:r>
      <w:r>
        <w:rPr/>
        <w:t>企业能够取得该组成部分的财务状况、经营成果和现金流量等有关会计信息。</w:t>
      </w:r>
    </w:p>
    <w:p>
      <w:pPr>
        <w:spacing w:line="240" w:lineRule="auto" w:before="12"/>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31</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623"/>
        <w:gridCol w:w="1102"/>
        <w:gridCol w:w="1945"/>
      </w:tblGrid>
      <w:tr>
        <w:trPr>
          <w:trHeight w:val="403" w:hRule="exact"/>
        </w:trPr>
        <w:tc>
          <w:tcPr>
            <w:tcW w:w="6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11" w:hRule="exact"/>
        </w:trPr>
        <w:tc>
          <w:tcPr>
            <w:tcW w:w="66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根据财政部《关于修订印发</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年度一般企业财务报表格式的通知》（财会</w:t>
            </w:r>
            <w:r>
              <w:rPr>
                <w:rFonts w:ascii="Times New Roman" w:hAnsi="Times New Roman" w:cs="Times New Roman" w:eastAsia="Times New Roman" w:hint="default"/>
                <w:spacing w:val="-5"/>
                <w:sz w:val="18"/>
                <w:szCs w:val="18"/>
              </w:rPr>
              <w:t>[2018]15</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pacing w:val="-3"/>
                <w:w w:val="100"/>
                <w:sz w:val="18"/>
                <w:szCs w:val="18"/>
              </w:rPr>
              <w:t>号），公司对财务报表格式进行了以下修订：①原</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应收票据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和</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应收账款</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项目合并</w:t>
            </w:r>
            <w:r>
              <w:rPr>
                <w:rFonts w:ascii="宋体" w:hAnsi="宋体" w:cs="宋体" w:eastAsia="宋体" w:hint="default"/>
                <w:spacing w:val="-65"/>
                <w:w w:val="100"/>
                <w:sz w:val="18"/>
                <w:szCs w:val="18"/>
              </w:rPr>
              <w:t> </w:t>
            </w:r>
            <w:r>
              <w:rPr>
                <w:rFonts w:ascii="宋体" w:hAnsi="宋体" w:cs="宋体" w:eastAsia="宋体" w:hint="default"/>
                <w:spacing w:val="-1"/>
                <w:sz w:val="18"/>
                <w:szCs w:val="18"/>
              </w:rPr>
              <w:t>计入新增的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应收票据及应收账款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项目；②原</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应收利息</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应收股利</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其他应收款</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项目合并计入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项目；③原</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项目合并计入 </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固定资产</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项目；④原</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工程物资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在建工程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项目合并计入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在建工程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项目；⑤原</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经本公司第 六届董事会 第二十七次 会议决议批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4" w:right="19"/>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 司第六届董事会第二十 七次会议决议通过，公 司按照财政部的要求时</w:t>
            </w:r>
          </w:p>
        </w:tc>
      </w:tr>
    </w:tbl>
    <w:p>
      <w:pPr>
        <w:spacing w:after="0" w:line="312"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6623"/>
        <w:gridCol w:w="1102"/>
        <w:gridCol w:w="1945"/>
      </w:tblGrid>
      <w:tr>
        <w:trPr>
          <w:trHeight w:val="320" w:hRule="exact"/>
        </w:trPr>
        <w:tc>
          <w:tcPr>
            <w:tcW w:w="66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项目合并计入新增的</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项目；⑥原</w:t>
            </w:r>
            <w:r>
              <w:rPr>
                <w:rFonts w:ascii="Times New Roman" w:hAnsi="Times New Roman" w:cs="Times New Roman" w:eastAsia="Times New Roman" w:hint="default"/>
                <w:sz w:val="18"/>
                <w:szCs w:val="18"/>
              </w:rPr>
              <w:t>“</w:t>
            </w:r>
            <w:r>
              <w:rPr>
                <w:rFonts w:ascii="宋体" w:hAnsi="宋体" w:cs="宋体" w:eastAsia="宋体" w:hint="default"/>
                <w:sz w:val="18"/>
                <w:szCs w:val="18"/>
              </w:rPr>
              <w:t>应</w:t>
            </w:r>
          </w:p>
        </w:tc>
        <w:tc>
          <w:tcPr>
            <w:tcW w:w="11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准。</w:t>
            </w:r>
          </w:p>
        </w:tc>
        <w:tc>
          <w:tcPr>
            <w:tcW w:w="19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间开始执行。</w:t>
            </w:r>
          </w:p>
        </w:tc>
      </w:tr>
      <w:tr>
        <w:trPr>
          <w:trHeight w:val="312" w:hRule="exact"/>
        </w:trPr>
        <w:tc>
          <w:tcPr>
            <w:tcW w:w="66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项目合并计入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项目；⑦原</w:t>
            </w:r>
            <w:r>
              <w:rPr>
                <w:rFonts w:ascii="Times New Roman" w:hAnsi="Times New Roman" w:cs="Times New Roman" w:eastAsia="Times New Roman" w:hint="default"/>
                <w:sz w:val="18"/>
                <w:szCs w:val="18"/>
              </w:rPr>
              <w:t>“</w:t>
            </w:r>
            <w:r>
              <w:rPr>
                <w:rFonts w:ascii="宋体" w:hAnsi="宋体" w:cs="宋体" w:eastAsia="宋体" w:hint="default"/>
                <w:sz w:val="18"/>
                <w:szCs w:val="18"/>
              </w:rPr>
              <w:t>专项应付</w:t>
            </w:r>
          </w:p>
        </w:tc>
        <w:tc>
          <w:tcPr>
            <w:tcW w:w="1102" w:type="dxa"/>
            <w:tcBorders>
              <w:top w:val="nil" w:sz="6" w:space="0" w:color="auto"/>
              <w:left w:val="single" w:sz="4" w:space="0" w:color="000000"/>
              <w:bottom w:val="nil" w:sz="6" w:space="0" w:color="auto"/>
              <w:right w:val="single" w:sz="4" w:space="0" w:color="000000"/>
            </w:tcBorders>
          </w:tcPr>
          <w:p>
            <w:pPr/>
          </w:p>
        </w:tc>
        <w:tc>
          <w:tcPr>
            <w:tcW w:w="1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6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项目合并计入</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项目；⑧新增</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项目，原计</w:t>
            </w:r>
          </w:p>
        </w:tc>
        <w:tc>
          <w:tcPr>
            <w:tcW w:w="1102" w:type="dxa"/>
            <w:tcBorders>
              <w:top w:val="nil" w:sz="6" w:space="0" w:color="auto"/>
              <w:left w:val="single" w:sz="4" w:space="0" w:color="000000"/>
              <w:bottom w:val="nil" w:sz="6" w:space="0" w:color="auto"/>
              <w:right w:val="single" w:sz="4" w:space="0" w:color="000000"/>
            </w:tcBorders>
          </w:tcPr>
          <w:p>
            <w:pPr/>
          </w:p>
        </w:tc>
        <w:tc>
          <w:tcPr>
            <w:tcW w:w="1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6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入</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项目的研发费用单独列示为</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项目；⑨在</w:t>
            </w:r>
            <w:r>
              <w:rPr>
                <w:rFonts w:ascii="Times New Roman" w:hAnsi="Times New Roman" w:cs="Times New Roman" w:eastAsia="Times New Roman" w:hint="default"/>
                <w:sz w:val="18"/>
                <w:szCs w:val="18"/>
              </w:rPr>
              <w:t>“</w:t>
            </w: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项目下</w:t>
            </w:r>
          </w:p>
        </w:tc>
        <w:tc>
          <w:tcPr>
            <w:tcW w:w="1102" w:type="dxa"/>
            <w:tcBorders>
              <w:top w:val="nil" w:sz="6" w:space="0" w:color="auto"/>
              <w:left w:val="single" w:sz="4" w:space="0" w:color="000000"/>
              <w:bottom w:val="nil" w:sz="6" w:space="0" w:color="auto"/>
              <w:right w:val="single" w:sz="4" w:space="0" w:color="000000"/>
            </w:tcBorders>
          </w:tcPr>
          <w:p>
            <w:pPr/>
          </w:p>
        </w:tc>
        <w:tc>
          <w:tcPr>
            <w:tcW w:w="1945"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66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明细项目。</w:t>
            </w:r>
          </w:p>
        </w:tc>
        <w:tc>
          <w:tcPr>
            <w:tcW w:w="1102" w:type="dxa"/>
            <w:tcBorders>
              <w:top w:val="nil" w:sz="6" w:space="0" w:color="auto"/>
              <w:left w:val="single" w:sz="4" w:space="0" w:color="000000"/>
              <w:bottom w:val="single" w:sz="4" w:space="0" w:color="000000"/>
              <w:right w:val="single" w:sz="4" w:space="0" w:color="000000"/>
            </w:tcBorders>
          </w:tcPr>
          <w:p>
            <w:pPr/>
          </w:p>
        </w:tc>
        <w:tc>
          <w:tcPr>
            <w:tcW w:w="1945" w:type="dxa"/>
            <w:tcBorders>
              <w:top w:val="nil" w:sz="6" w:space="0" w:color="auto"/>
              <w:left w:val="single" w:sz="4" w:space="0" w:color="000000"/>
              <w:bottom w:val="single" w:sz="4" w:space="0" w:color="000000"/>
              <w:right w:val="single" w:sz="4" w:space="0" w:color="000000"/>
            </w:tcBorders>
          </w:tcPr>
          <w:p>
            <w:pPr/>
          </w:p>
        </w:tc>
      </w:tr>
    </w:tbl>
    <w:p>
      <w:pPr>
        <w:pStyle w:val="BodyText"/>
        <w:spacing w:line="316" w:lineRule="auto" w:before="49"/>
        <w:ind w:right="1134"/>
        <w:jc w:val="both"/>
      </w:pPr>
      <w:r>
        <w:rPr>
          <w:spacing w:val="-5"/>
        </w:rPr>
        <w:t>除上述外，本期无其他会计政策、会计估计变更，无重大会计差错更正。财务报表格式的修订对公司的资产总额、负债总额、</w:t>
      </w:r>
      <w:r>
        <w:rPr>
          <w:spacing w:val="-79"/>
        </w:rPr>
        <w:t> </w:t>
      </w:r>
      <w:r>
        <w:rPr>
          <w:spacing w:val="-79"/>
        </w:rPr>
      </w:r>
      <w:r>
        <w:rPr/>
        <w:t>净利润、其他综合收益等无影响。</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32</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4"/>
        </w:rPr>
        <w:t>公司在运用会计政策过程中，由于经营活动内在的不确定性，公司需要对无法准确计量的报表项目的账面价值进行判断、</w:t>
      </w:r>
      <w:r>
        <w:rPr/>
        <w:t> </w:t>
      </w:r>
      <w:r>
        <w:rPr>
          <w:spacing w:val="-5"/>
        </w:rPr>
        <w:t>估计和假设。这些判断、估计和假设是基于公司管理层过去的历史经验，并在考虑其他相关因素的基础上做出的。这些判断、</w:t>
      </w:r>
      <w:r>
        <w:rPr>
          <w:spacing w:val="-78"/>
        </w:rPr>
        <w:t> </w:t>
      </w:r>
      <w:r>
        <w:rPr>
          <w:spacing w:val="-78"/>
        </w:rPr>
      </w:r>
      <w:r>
        <w:rPr>
          <w:spacing w:val="-2"/>
        </w:rPr>
        <w:t>估计和假设会影响收入、费用、资产和负债的报告金额以及资产负债表日或有负债的披露。然而，这些估计的不确定性所导</w:t>
      </w:r>
      <w:r>
        <w:rPr>
          <w:spacing w:val="-64"/>
        </w:rPr>
        <w:t> </w:t>
      </w:r>
      <w:r>
        <w:rPr>
          <w:spacing w:val="-64"/>
        </w:rPr>
      </w:r>
      <w:r>
        <w:rPr/>
        <w:t>致的实际结果可能与公司管理层当前的估计存在差异，进而造成对未来受影响的资产或负债的账面金额进行重大调整。</w:t>
      </w:r>
    </w:p>
    <w:p>
      <w:pPr>
        <w:pStyle w:val="BodyText"/>
        <w:spacing w:line="316" w:lineRule="auto" w:before="19"/>
        <w:ind w:right="0" w:firstLine="360"/>
        <w:jc w:val="left"/>
      </w:pPr>
      <w:r>
        <w:rPr>
          <w:spacing w:val="-2"/>
        </w:rPr>
        <w:t>公司对前述判断、估计和假设在持续经营的基础上进行定期复核，会计估计的变更仅影响变更当期的，其影响数在变更</w:t>
      </w:r>
      <w:r>
        <w:rPr/>
        <w:t> 当期予以确认；既影响变更当期又影响未来期间的，其影响数在变更当期和未来期间予以确认。</w:t>
      </w:r>
    </w:p>
    <w:p>
      <w:pPr>
        <w:pStyle w:val="BodyText"/>
        <w:spacing w:line="240" w:lineRule="auto" w:before="19"/>
        <w:ind w:left="513" w:right="1133"/>
        <w:jc w:val="left"/>
      </w:pPr>
      <w:r>
        <w:rPr/>
        <w:t>于资产负债表日，公司需对财务报表项目金额进行判断、估计和假设的重要领域如下：</w:t>
      </w:r>
    </w:p>
    <w:p>
      <w:pPr>
        <w:pStyle w:val="BodyText"/>
        <w:spacing w:line="300" w:lineRule="auto" w:before="77"/>
        <w:ind w:left="513" w:right="0"/>
        <w:jc w:val="left"/>
      </w:pPr>
      <w:r>
        <w:rPr/>
        <w:t>（</w:t>
      </w:r>
      <w:r>
        <w:rPr>
          <w:rFonts w:ascii="Times New Roman" w:hAnsi="Times New Roman" w:cs="Times New Roman" w:eastAsia="Times New Roman" w:hint="default"/>
        </w:rPr>
        <w:t>1</w:t>
      </w:r>
      <w:r>
        <w:rPr/>
        <w:t>）坏账准备计提 </w:t>
      </w:r>
      <w:r>
        <w:rPr>
          <w:spacing w:val="-2"/>
        </w:rPr>
        <w:t>公司根据应收款项的会计政策，采用备抵法核算坏账损失。应收款项减值是基于评估应收款项的可收回性。鉴定应收款</w:t>
      </w:r>
    </w:p>
    <w:p>
      <w:pPr>
        <w:pStyle w:val="BodyText"/>
        <w:spacing w:line="316" w:lineRule="auto" w:before="31"/>
        <w:ind w:right="1133"/>
        <w:jc w:val="both"/>
      </w:pPr>
      <w:r>
        <w:rPr>
          <w:spacing w:val="-2"/>
        </w:rPr>
        <w:t>项减值要求管理层的判断和估计。实际的结果与原先估计的差异将在估计被改变的期间影响应收款项的账面价值及应收款项</w:t>
      </w:r>
      <w:r>
        <w:rPr>
          <w:spacing w:val="-64"/>
        </w:rPr>
        <w:t> </w:t>
      </w:r>
      <w:r>
        <w:rPr>
          <w:spacing w:val="-64"/>
        </w:rPr>
      </w:r>
      <w:r>
        <w:rPr/>
        <w:t>坏账准备的计提或转回。</w:t>
      </w:r>
    </w:p>
    <w:p>
      <w:pPr>
        <w:pStyle w:val="BodyText"/>
        <w:spacing w:line="300" w:lineRule="auto" w:before="19"/>
        <w:ind w:left="513" w:right="0"/>
        <w:jc w:val="left"/>
      </w:pPr>
      <w:r>
        <w:rPr/>
        <w:t>（</w:t>
      </w:r>
      <w:r>
        <w:rPr>
          <w:rFonts w:ascii="Times New Roman" w:hAnsi="Times New Roman" w:cs="Times New Roman" w:eastAsia="Times New Roman" w:hint="default"/>
        </w:rPr>
        <w:t>2</w:t>
      </w:r>
      <w:r>
        <w:rPr/>
        <w:t>）存货跌价准备 </w:t>
      </w:r>
      <w:r>
        <w:rPr>
          <w:spacing w:val="-2"/>
        </w:rPr>
        <w:t>公司根据存货会计政策，按照成本与可变现净值孰低计量，对成本高于可变现净值及陈旧和滞销的存货，计提存货跌价</w:t>
      </w:r>
    </w:p>
    <w:p>
      <w:pPr>
        <w:pStyle w:val="BodyText"/>
        <w:spacing w:line="316" w:lineRule="auto" w:before="31"/>
        <w:ind w:right="1130"/>
        <w:jc w:val="both"/>
      </w:pPr>
      <w:r>
        <w:rPr>
          <w:spacing w:val="-2"/>
        </w:rPr>
        <w:t>准备。存货减值至可变现净值是基于评估存货的可售性及其可变现净值。鉴定存货减值要求管理层在取得确凿证据，并且考</w:t>
      </w:r>
      <w:r>
        <w:rPr>
          <w:spacing w:val="-63"/>
        </w:rPr>
        <w:t> </w:t>
      </w:r>
      <w:r>
        <w:rPr>
          <w:spacing w:val="-63"/>
        </w:rPr>
      </w:r>
      <w:r>
        <w:rPr>
          <w:spacing w:val="-2"/>
        </w:rPr>
        <w:t>虑持有存货的目的、资产负债表日后事项的影响等因素的基础上作出判断和估计。实际的结果与原先估计的差异将在估计被</w:t>
      </w:r>
      <w:r>
        <w:rPr>
          <w:spacing w:val="-64"/>
        </w:rPr>
        <w:t> </w:t>
      </w:r>
      <w:r>
        <w:rPr>
          <w:spacing w:val="-64"/>
        </w:rPr>
      </w:r>
      <w:r>
        <w:rPr/>
        <w:t>改变的期间影响存货的账面价值及存货跌价准备的计提或转回。</w:t>
      </w:r>
    </w:p>
    <w:p>
      <w:pPr>
        <w:pStyle w:val="BodyText"/>
        <w:spacing w:line="300" w:lineRule="auto" w:before="19"/>
        <w:ind w:left="513" w:right="0"/>
        <w:jc w:val="left"/>
      </w:pPr>
      <w:r>
        <w:rPr/>
        <w:t>（</w:t>
      </w:r>
      <w:r>
        <w:rPr>
          <w:rFonts w:ascii="Times New Roman" w:hAnsi="Times New Roman" w:cs="Times New Roman" w:eastAsia="Times New Roman" w:hint="default"/>
        </w:rPr>
        <w:t>3</w:t>
      </w:r>
      <w:r>
        <w:rPr/>
        <w:t>）金融工具公允价值 </w:t>
      </w:r>
      <w:r>
        <w:rPr>
          <w:spacing w:val="-4"/>
        </w:rPr>
        <w:t>对不存在活跃交易市场的金融工具，公司通过各种估值方法确定其公允价值。这些估值方法包括贴现现金流模型分析等。</w:t>
      </w:r>
    </w:p>
    <w:p>
      <w:pPr>
        <w:pStyle w:val="BodyText"/>
        <w:spacing w:line="316" w:lineRule="auto" w:before="32"/>
        <w:ind w:right="1131"/>
        <w:jc w:val="both"/>
      </w:pPr>
      <w:r>
        <w:rPr>
          <w:spacing w:val="-2"/>
        </w:rPr>
        <w:t>估值时公司需对未来现金流量、信用风险、市场波动率和相关性等方面进行估计，并选择适当的折现率。这些相关假设具有</w:t>
      </w:r>
      <w:r>
        <w:rPr>
          <w:spacing w:val="-64"/>
        </w:rPr>
        <w:t> </w:t>
      </w:r>
      <w:r>
        <w:rPr>
          <w:spacing w:val="-64"/>
        </w:rPr>
      </w:r>
      <w:r>
        <w:rPr/>
        <w:t>不确定性，其变化会对金融工具的公允价值产生影响。</w:t>
      </w:r>
    </w:p>
    <w:p>
      <w:pPr>
        <w:pStyle w:val="BodyText"/>
        <w:spacing w:line="300" w:lineRule="auto" w:before="19"/>
        <w:ind w:left="513" w:right="0"/>
        <w:jc w:val="left"/>
      </w:pPr>
      <w:r>
        <w:rPr/>
        <w:t>（</w:t>
      </w:r>
      <w:r>
        <w:rPr>
          <w:rFonts w:ascii="Times New Roman" w:hAnsi="Times New Roman" w:cs="Times New Roman" w:eastAsia="Times New Roman" w:hint="default"/>
        </w:rPr>
        <w:t>4</w:t>
      </w:r>
      <w:r>
        <w:rPr/>
        <w:t>）可供出售金融资产减值 </w:t>
      </w:r>
      <w:r>
        <w:rPr>
          <w:spacing w:val="-2"/>
        </w:rPr>
        <w:t>公司确定可供出售金融资产是否减值在很大程度上依赖于管理层的判断和假设，以确定是否需要在利润表中确认其减值</w:t>
      </w:r>
    </w:p>
    <w:p>
      <w:pPr>
        <w:pStyle w:val="BodyText"/>
        <w:spacing w:line="316" w:lineRule="auto" w:before="31"/>
        <w:ind w:right="1130"/>
        <w:jc w:val="both"/>
      </w:pPr>
      <w:r>
        <w:rPr>
          <w:spacing w:val="-2"/>
        </w:rPr>
        <w:t>损失。在进行判断和作出假设的过程中，公司需评估该项投资的公允价值低于成本的程度和持续期间，以及被投资对象的财</w:t>
      </w:r>
      <w:r>
        <w:rPr>
          <w:spacing w:val="-63"/>
        </w:rPr>
        <w:t> </w:t>
      </w:r>
      <w:r>
        <w:rPr>
          <w:spacing w:val="-63"/>
        </w:rPr>
      </w:r>
      <w:r>
        <w:rPr/>
        <w:t>务状况和短期业务展望，包括行业状况、技术变革、信用评级、违约率和对手方的风险。</w:t>
      </w:r>
    </w:p>
    <w:p>
      <w:pPr>
        <w:pStyle w:val="BodyText"/>
        <w:spacing w:line="300" w:lineRule="auto" w:before="19"/>
        <w:ind w:left="513" w:right="0"/>
        <w:jc w:val="left"/>
      </w:pPr>
      <w:r>
        <w:rPr/>
        <w:t>（</w:t>
      </w:r>
      <w:r>
        <w:rPr>
          <w:rFonts w:ascii="Times New Roman" w:hAnsi="Times New Roman" w:cs="Times New Roman" w:eastAsia="Times New Roman" w:hint="default"/>
        </w:rPr>
        <w:t>5</w:t>
      </w:r>
      <w:r>
        <w:rPr/>
        <w:t>）长期资产减值准备 </w:t>
      </w:r>
      <w:r>
        <w:rPr>
          <w:spacing w:val="-2"/>
        </w:rPr>
        <w:t>公司于资产负债表日对除金融资产之外的非流动资产判断是否存在可能发生减值的迹象。对使用寿命不确定的无形资产，</w:t>
      </w:r>
    </w:p>
    <w:p>
      <w:pPr>
        <w:pStyle w:val="BodyText"/>
        <w:spacing w:line="316" w:lineRule="auto" w:before="31"/>
        <w:ind w:right="1131"/>
        <w:jc w:val="both"/>
      </w:pPr>
      <w:r>
        <w:rPr>
          <w:spacing w:val="-2"/>
        </w:rPr>
        <w:t>除每年进行的减值测试外，当其存在减值迹象时，也进行减值测试。其他除金融资产之外的非流动资产，当存在迹象表明其</w:t>
      </w:r>
      <w:r>
        <w:rPr>
          <w:spacing w:val="-65"/>
        </w:rPr>
        <w:t> </w:t>
      </w:r>
      <w:r>
        <w:rPr>
          <w:spacing w:val="-65"/>
        </w:rPr>
      </w:r>
      <w:r>
        <w:rPr/>
        <w:t>账面金额不可收回时，进行减值测试。</w:t>
      </w:r>
    </w:p>
    <w:p>
      <w:pPr>
        <w:pStyle w:val="BodyText"/>
        <w:spacing w:line="316" w:lineRule="auto" w:before="19"/>
        <w:ind w:right="0" w:firstLine="360"/>
        <w:jc w:val="left"/>
      </w:pPr>
      <w:r>
        <w:rPr>
          <w:spacing w:val="-2"/>
        </w:rPr>
        <w:t>当资产或资产组的账面价值高于可收回金额，即公允价值减去处置费用后的净额和预计未来现金流量的现值中的较高者，</w:t>
      </w:r>
      <w:r>
        <w:rPr/>
        <w:t> 表明发生了减值。</w:t>
      </w:r>
    </w:p>
    <w:p>
      <w:pPr>
        <w:spacing w:after="0" w:line="316"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0" w:firstLine="360"/>
        <w:jc w:val="left"/>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316" w:lineRule="auto" w:before="19"/>
        <w:ind w:right="1034" w:firstLine="360"/>
        <w:jc w:val="left"/>
      </w:pPr>
      <w:r>
        <w:rPr>
          <w:spacing w:val="-2"/>
        </w:rPr>
        <w:t>在预计未来现金流量现值时，需要对该资产（或资产组）的产量、售价、相关经营成本以及计算现值时使用的折现率等</w:t>
      </w:r>
      <w:r>
        <w:rPr/>
        <w:t> 作出重大判断。公司在估计可收回金额时会采用所有能够获得的相关资料，包括根据合理和可支持的假设所作出有关产量、</w:t>
      </w:r>
      <w:r>
        <w:rPr>
          <w:spacing w:val="-83"/>
        </w:rPr>
        <w:t> </w:t>
      </w:r>
      <w:r>
        <w:rPr>
          <w:spacing w:val="-83"/>
        </w:rPr>
      </w:r>
      <w:r>
        <w:rPr/>
        <w:t>售价和相关经营成本的预测。</w:t>
      </w:r>
    </w:p>
    <w:p>
      <w:pPr>
        <w:pStyle w:val="BodyText"/>
        <w:spacing w:line="340" w:lineRule="auto" w:before="19"/>
        <w:ind w:left="513" w:right="0"/>
        <w:jc w:val="left"/>
      </w:pPr>
      <w:r>
        <w:rPr/>
        <w:t>（</w:t>
      </w:r>
      <w:r>
        <w:rPr>
          <w:rFonts w:ascii="Times New Roman" w:hAnsi="Times New Roman" w:cs="Times New Roman" w:eastAsia="Times New Roman" w:hint="default"/>
        </w:rPr>
        <w:t>6</w:t>
      </w:r>
      <w:r>
        <w:rPr/>
        <w:t>）商誉减值准备 </w:t>
      </w:r>
      <w:r>
        <w:rPr>
          <w:spacing w:val="-2"/>
        </w:rPr>
        <w:t>在对商誉进行减值测试时，需计算包含商誉的相关资产组或者资产组组合的预计未来现金流量现值，并需要对该资产组</w:t>
      </w:r>
    </w:p>
    <w:p>
      <w:pPr>
        <w:pStyle w:val="BodyText"/>
        <w:spacing w:line="240" w:lineRule="auto" w:before="1"/>
        <w:ind w:right="1133"/>
        <w:jc w:val="left"/>
      </w:pPr>
      <w:r>
        <w:rPr/>
        <w:t>或资产组组合的未来现金流量进行预计，同时确定一个适当地反映当前市场货币时间价值和资产特定风险的税前利率。</w:t>
      </w:r>
    </w:p>
    <w:p>
      <w:pPr>
        <w:pStyle w:val="BodyText"/>
        <w:spacing w:line="300" w:lineRule="auto" w:before="115"/>
        <w:ind w:left="513" w:right="0"/>
        <w:jc w:val="left"/>
      </w:pPr>
      <w:r>
        <w:rPr/>
        <w:t>（</w:t>
      </w:r>
      <w:r>
        <w:rPr>
          <w:rFonts w:ascii="Times New Roman" w:hAnsi="Times New Roman" w:cs="Times New Roman" w:eastAsia="Times New Roman" w:hint="default"/>
        </w:rPr>
        <w:t>7</w:t>
      </w:r>
      <w:r>
        <w:rPr/>
        <w:t>）折旧和摊销 </w:t>
      </w:r>
      <w:r>
        <w:rPr>
          <w:spacing w:val="-2"/>
        </w:rPr>
        <w:t>公司对投资性房地产、固定资产和无形资产在考虑其残值后，在使用寿命内按直线法计提折旧和摊销。公司定期复核使</w:t>
      </w:r>
    </w:p>
    <w:p>
      <w:pPr>
        <w:pStyle w:val="BodyText"/>
        <w:spacing w:line="319" w:lineRule="auto" w:before="31"/>
        <w:ind w:right="1132"/>
        <w:jc w:val="left"/>
      </w:pPr>
      <w:r>
        <w:rPr>
          <w:spacing w:val="-2"/>
        </w:rPr>
        <w:t>用寿命，以决定将计入每个报告期的折旧和摊销费用数额。使用寿命是公司根据对同类资产的以往经验并结合预期的技术更</w:t>
      </w:r>
      <w:r>
        <w:rPr>
          <w:spacing w:val="-64"/>
        </w:rPr>
        <w:t> </w:t>
      </w:r>
      <w:r>
        <w:rPr>
          <w:spacing w:val="-64"/>
        </w:rPr>
      </w:r>
      <w:r>
        <w:rPr/>
        <w:t>新而确定的。如果以前的估计发生重大变化，则会在未来期间对折旧和摊销费用进行调整。</w:t>
      </w:r>
    </w:p>
    <w:p>
      <w:pPr>
        <w:pStyle w:val="BodyText"/>
        <w:spacing w:line="300" w:lineRule="auto" w:before="17"/>
        <w:ind w:left="513" w:right="1133"/>
        <w:jc w:val="left"/>
      </w:pPr>
      <w:r>
        <w:rPr/>
        <w:t>（</w:t>
      </w:r>
      <w:r>
        <w:rPr>
          <w:rFonts w:ascii="Times New Roman" w:hAnsi="Times New Roman" w:cs="Times New Roman" w:eastAsia="Times New Roman" w:hint="default"/>
        </w:rPr>
        <w:t>8</w:t>
      </w:r>
      <w:r>
        <w:rPr/>
        <w:t>）开发支出 确定资本化的金额时，公司管理层需要作出有关资产的预计未来现金流量、适用的折现率以及预计受益期间的假设。</w:t>
      </w:r>
    </w:p>
    <w:p>
      <w:pPr>
        <w:pStyle w:val="BodyText"/>
        <w:spacing w:line="316" w:lineRule="auto" w:before="146"/>
        <w:ind w:right="1130" w:firstLine="360"/>
        <w:jc w:val="both"/>
      </w:pPr>
      <w:r>
        <w:rPr>
          <w:spacing w:val="-2"/>
        </w:rPr>
        <w:t>公司管理层认为相关业务的前景和目前的发展良好，市场对以相关无形资产生产的产品的反应也证实了管理层之前对这</w:t>
      </w:r>
      <w:r>
        <w:rPr/>
        <w:t> </w:t>
      </w:r>
      <w:r>
        <w:rPr>
          <w:spacing w:val="-2"/>
        </w:rPr>
        <w:t>些项目预期收入的估计。但是日益增加的竞争也使得管理层重新考虑对市场份额和有关产品的预计毛利等方面的假设。经过</w:t>
      </w:r>
      <w:r>
        <w:rPr>
          <w:spacing w:val="-64"/>
        </w:rPr>
        <w:t> </w:t>
      </w:r>
      <w:r>
        <w:rPr>
          <w:spacing w:val="-64"/>
        </w:rPr>
      </w:r>
      <w:r>
        <w:rPr>
          <w:spacing w:val="-2"/>
        </w:rPr>
        <w:t>全面的检视后，公司管理层认为即使在产品回报率出现下调的情况下，仍可以全额收回无形资产账面价值。公司将继续密切</w:t>
      </w:r>
      <w:r>
        <w:rPr>
          <w:spacing w:val="-63"/>
        </w:rPr>
        <w:t> </w:t>
      </w:r>
      <w:r>
        <w:rPr>
          <w:spacing w:val="-63"/>
        </w:rPr>
      </w:r>
      <w:r>
        <w:rPr/>
        <w:t>检视有关情况，一旦有迹象表明需要调整相关会计估计的假设，公司将在有关迹象发生的期间作出调整。</w:t>
      </w:r>
    </w:p>
    <w:p>
      <w:pPr>
        <w:pStyle w:val="BodyText"/>
        <w:spacing w:line="300" w:lineRule="auto" w:before="19"/>
        <w:ind w:left="513" w:right="0"/>
        <w:jc w:val="left"/>
      </w:pPr>
      <w:r>
        <w:rPr/>
        <w:t>（</w:t>
      </w:r>
      <w:r>
        <w:rPr>
          <w:rFonts w:ascii="Times New Roman" w:hAnsi="Times New Roman" w:cs="Times New Roman" w:eastAsia="Times New Roman" w:hint="default"/>
        </w:rPr>
        <w:t>9</w:t>
      </w:r>
      <w:r>
        <w:rPr/>
        <w:t>）递延所得税资产 </w:t>
      </w:r>
      <w:r>
        <w:rPr>
          <w:spacing w:val="-2"/>
        </w:rPr>
        <w:t>在很有可能有足够的应纳税利润来抵扣亏损的限度内，公司就所有未利用的税务亏损确认递延所得税资产。这需要公司</w:t>
      </w:r>
    </w:p>
    <w:p>
      <w:pPr>
        <w:pStyle w:val="BodyText"/>
        <w:spacing w:line="319" w:lineRule="auto" w:before="31"/>
        <w:ind w:right="1119"/>
        <w:jc w:val="left"/>
      </w:pPr>
      <w:r>
        <w:rPr>
          <w:spacing w:val="-2"/>
        </w:rPr>
        <w:t>管理层运用大量的判断来估计未来应纳税利润发生的时间和金额，结合纳税筹划策略，以决定应确认的递延所得税资产的金</w:t>
      </w:r>
      <w:r>
        <w:rPr>
          <w:spacing w:val="-63"/>
        </w:rPr>
        <w:t> </w:t>
      </w:r>
      <w:r>
        <w:rPr>
          <w:spacing w:val="-63"/>
        </w:rPr>
      </w:r>
      <w:r>
        <w:rPr/>
        <w:t>额。</w:t>
      </w:r>
    </w:p>
    <w:p>
      <w:pPr>
        <w:pStyle w:val="BodyText"/>
        <w:spacing w:line="300" w:lineRule="auto" w:before="17"/>
        <w:ind w:left="513" w:right="1119"/>
        <w:jc w:val="left"/>
      </w:pPr>
      <w:r>
        <w:rPr/>
        <w:t>（</w:t>
      </w:r>
      <w:r>
        <w:rPr>
          <w:rFonts w:ascii="Times New Roman" w:hAnsi="Times New Roman" w:cs="Times New Roman" w:eastAsia="Times New Roman" w:hint="default"/>
        </w:rPr>
        <w:t>10</w:t>
      </w:r>
      <w:r>
        <w:rPr/>
        <w:t>）所得税 </w:t>
      </w:r>
      <w:r>
        <w:rPr>
          <w:spacing w:val="-2"/>
        </w:rPr>
        <w:t>公司在正常的经营活动中，有部分交易其最终的税务处理和计算存在一定的不确定性。部分项目是否能够在税前列支需</w:t>
      </w:r>
    </w:p>
    <w:p>
      <w:pPr>
        <w:pStyle w:val="BodyText"/>
        <w:spacing w:line="316" w:lineRule="auto" w:before="31"/>
        <w:ind w:right="1133"/>
        <w:jc w:val="both"/>
      </w:pPr>
      <w:r>
        <w:rPr>
          <w:spacing w:val="-2"/>
        </w:rPr>
        <w:t>要税收主管机关的审批。如果这些税务事项的最终认定结果同最初估计的金额存在差异，则该差异将对其最终认定期间的当</w:t>
      </w:r>
      <w:r>
        <w:rPr>
          <w:spacing w:val="-64"/>
        </w:rPr>
        <w:t> </w:t>
      </w:r>
      <w:r>
        <w:rPr>
          <w:spacing w:val="-64"/>
        </w:rPr>
      </w:r>
      <w:r>
        <w:rPr/>
        <w:t>期所得税和递延所得税产生影响。</w:t>
      </w:r>
    </w:p>
    <w:p>
      <w:pPr>
        <w:pStyle w:val="BodyText"/>
        <w:spacing w:line="300" w:lineRule="auto" w:before="19"/>
        <w:ind w:left="513" w:right="1033"/>
        <w:jc w:val="left"/>
      </w:pPr>
      <w:r>
        <w:rPr/>
        <w:t>（</w:t>
      </w:r>
      <w:r>
        <w:rPr>
          <w:rFonts w:ascii="Times New Roman" w:hAnsi="Times New Roman" w:cs="Times New Roman" w:eastAsia="Times New Roman" w:hint="default"/>
        </w:rPr>
        <w:t>11</w:t>
      </w:r>
      <w:r>
        <w:rPr/>
        <w:t>）预计负债 公司根据合约条款、现有知识及历史经验，对产品质量保证、预计合同亏损、延迟交货违约金等估计并计提相应准备。</w:t>
      </w:r>
    </w:p>
    <w:p>
      <w:pPr>
        <w:pStyle w:val="BodyText"/>
        <w:spacing w:line="316" w:lineRule="auto" w:before="31"/>
        <w:ind w:right="1131"/>
        <w:jc w:val="both"/>
      </w:pPr>
      <w:r>
        <w:rPr>
          <w:spacing w:val="-2"/>
        </w:rPr>
        <w:t>在该等或有事项已经形成一项现时义务，且履行该等现时义务很可能导致经济利益流出公司的情况下，公司对或有事项按履</w:t>
      </w:r>
      <w:r>
        <w:rPr>
          <w:spacing w:val="-62"/>
        </w:rPr>
        <w:t> </w:t>
      </w:r>
      <w:r>
        <w:rPr>
          <w:spacing w:val="-62"/>
        </w:rPr>
      </w:r>
      <w:r>
        <w:rPr>
          <w:spacing w:val="-2"/>
        </w:rPr>
        <w:t>行相关现时义务所需支出的最佳估计数确认为预计负债。预计负债的确认和计量在很大程度上依赖于管理层的判断。在进行</w:t>
      </w:r>
      <w:r>
        <w:rPr>
          <w:spacing w:val="-64"/>
        </w:rPr>
        <w:t> </w:t>
      </w:r>
      <w:r>
        <w:rPr>
          <w:spacing w:val="-64"/>
        </w:rPr>
      </w:r>
      <w:r>
        <w:rPr/>
        <w:t>判断过程中公司需评估该等或有事项相关的风险、不确定性及货币时间价值等因素。</w:t>
      </w:r>
    </w:p>
    <w:p>
      <w:pPr>
        <w:pStyle w:val="BodyText"/>
        <w:spacing w:line="316" w:lineRule="auto" w:before="19"/>
        <w:ind w:right="1034" w:firstLine="360"/>
        <w:jc w:val="left"/>
      </w:pPr>
      <w:r>
        <w:rPr>
          <w:spacing w:val="-2"/>
        </w:rPr>
        <w:t>其中，公司会就出售、维修及改造所售商品向客户提供的售后质量维修承诺预计负债。预计负债时已考虑公司近期的维</w:t>
      </w:r>
      <w:r>
        <w:rPr/>
        <w:t> 修经验数据，但近期的维修经验可能无法反映将来的维修情况。这项准备的任何增加或减少，均可能影响未来年度的损益。</w:t>
      </w:r>
    </w:p>
    <w:p>
      <w:pPr>
        <w:pStyle w:val="BodyText"/>
        <w:spacing w:line="300" w:lineRule="auto" w:before="16"/>
        <w:ind w:left="513" w:right="0"/>
        <w:jc w:val="left"/>
      </w:pPr>
      <w:r>
        <w:rPr/>
        <w:t>（</w:t>
      </w:r>
      <w:r>
        <w:rPr>
          <w:rFonts w:ascii="Times New Roman" w:hAnsi="Times New Roman" w:cs="Times New Roman" w:eastAsia="Times New Roman" w:hint="default"/>
        </w:rPr>
        <w:t>12</w:t>
      </w:r>
      <w:r>
        <w:rPr/>
        <w:t>）公允价值计量 </w:t>
      </w:r>
      <w:r>
        <w:rPr>
          <w:spacing w:val="-2"/>
        </w:rPr>
        <w:t>公司的某些资产和负债在财务报表中按公允价值计量。在对某项资产或负债的公允价值作出估计时，公司采用可获得的</w:t>
      </w:r>
    </w:p>
    <w:p>
      <w:pPr>
        <w:pStyle w:val="BodyText"/>
        <w:spacing w:line="316" w:lineRule="auto" w:before="31"/>
        <w:ind w:right="1130"/>
        <w:jc w:val="both"/>
      </w:pPr>
      <w:r>
        <w:rPr>
          <w:spacing w:val="-2"/>
        </w:rPr>
        <w:t>可观察市场数据。如果无法获得第一层次输入值，公司会聘用第三方有资质的评估师来执行估价。在确定各类资产和负债的</w:t>
      </w:r>
      <w:r>
        <w:rPr>
          <w:spacing w:val="-63"/>
        </w:rPr>
        <w:t> </w:t>
      </w:r>
      <w:r>
        <w:rPr>
          <w:spacing w:val="-63"/>
        </w:rPr>
      </w:r>
      <w:r>
        <w:rPr/>
        <w:t>公允价值的过程中所采用的估值技术和输入值的相关信息在附注十一、</w:t>
      </w:r>
      <w:r>
        <w:rPr>
          <w:rFonts w:ascii="Times New Roman" w:hAnsi="Times New Roman" w:cs="Times New Roman" w:eastAsia="Times New Roman" w:hint="default"/>
        </w:rPr>
        <w:t>1</w:t>
      </w:r>
      <w:r>
        <w:rPr/>
        <w:t>中披露。</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见下表</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bl>
    <w:p>
      <w:pPr>
        <w:pStyle w:val="BodyText"/>
        <w:spacing w:line="240" w:lineRule="auto" w:before="49"/>
        <w:ind w:right="1133"/>
        <w:jc w:val="left"/>
      </w:pPr>
      <w:r>
        <w:rPr/>
        <w:t>存在不同企业所得税税率纳税主体的，披露情况说明</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喀什中汇联银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惠程智能</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翔瑞科技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北京中汇联银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中汇联鑫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中行置盛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中融建银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豪琛投资</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鹏胤投资</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中汇同盈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吉乾科技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旭梅网络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华向文化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游湛网络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璿游网络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乐珩网络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共创网络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上海季娱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珂星网络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2" w:firstLine="360"/>
        <w:jc w:val="both"/>
      </w:pPr>
      <w:r>
        <w:rPr/>
        <w:t>（</w:t>
      </w: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日通过复审取得深圳市科技创新委员会、深圳市财政委员会、深圳市国家税务局和深圳市 </w:t>
      </w:r>
      <w:r>
        <w:rPr>
          <w:spacing w:val="-3"/>
        </w:rPr>
        <w:t>地方税务局联合批准颁发的高新技术企业证书，证书编号</w:t>
      </w:r>
      <w:r>
        <w:rPr>
          <w:rFonts w:ascii="Times New Roman" w:hAnsi="Times New Roman" w:cs="Times New Roman" w:eastAsia="Times New Roman" w:hint="default"/>
          <w:spacing w:val="-3"/>
        </w:rPr>
        <w:t>GR201744203070</w:t>
      </w:r>
      <w:r>
        <w:rPr>
          <w:spacing w:val="-3"/>
        </w:rPr>
        <w:t>；根据高新技术企业所得税优惠政策，本公司</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至</w:t>
      </w:r>
      <w:r>
        <w:rPr>
          <w:rFonts w:ascii="Times New Roman" w:hAnsi="Times New Roman" w:cs="Times New Roman" w:eastAsia="Times New Roman" w:hint="default"/>
        </w:rPr>
        <w:t>2019</w:t>
      </w:r>
      <w:r>
        <w:rPr/>
        <w:t>年执行企业所得税率减按</w:t>
      </w:r>
      <w:r>
        <w:rPr>
          <w:rFonts w:ascii="Times New Roman" w:hAnsi="Times New Roman" w:cs="Times New Roman" w:eastAsia="Times New Roman" w:hint="default"/>
        </w:rPr>
        <w:t>15%</w:t>
      </w:r>
      <w:r>
        <w:rPr/>
        <w:t>缴纳。</w:t>
      </w:r>
    </w:p>
    <w:p>
      <w:pPr>
        <w:spacing w:after="0" w:line="300"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128" w:firstLine="360"/>
        <w:jc w:val="both"/>
      </w:pPr>
      <w:r>
        <w:rPr>
          <w:spacing w:val="-2"/>
        </w:rPr>
        <w:t>（</w:t>
      </w:r>
      <w:r>
        <w:rPr>
          <w:rFonts w:ascii="Times New Roman" w:hAnsi="Times New Roman" w:cs="Times New Roman" w:eastAsia="Times New Roman" w:hint="default"/>
          <w:spacing w:val="-2"/>
        </w:rPr>
        <w:t>2</w:t>
      </w:r>
      <w:r>
        <w:rPr>
          <w:spacing w:val="-2"/>
        </w:rPr>
        <w:t>）喀什中汇联银依据《关于新疆喀什霍尔果斯两个特殊经济开发区企业所得税优惠政策的通知》（财税【</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112</w:t>
      </w:r>
      <w:r>
        <w:rPr>
          <w:rFonts w:ascii="Times New Roman" w:hAnsi="Times New Roman" w:cs="Times New Roman" w:eastAsia="Times New Roman" w:hint="default"/>
        </w:rPr>
        <w:t> </w:t>
      </w:r>
      <w:r>
        <w:rPr>
          <w:spacing w:val="-5"/>
        </w:rPr>
        <w:t>号）和《关于公布新疆困难地区重点鼓励发展产业企业所得税优惠目录（试行）的通知》（财税【</w:t>
      </w:r>
      <w:r>
        <w:rPr>
          <w:rFonts w:ascii="Times New Roman" w:hAnsi="Times New Roman" w:cs="Times New Roman" w:eastAsia="Times New Roman" w:hint="default"/>
          <w:spacing w:val="-5"/>
        </w:rPr>
        <w:t>2011</w:t>
      </w:r>
      <w:r>
        <w:rPr>
          <w:spacing w:val="-5"/>
        </w:rPr>
        <w:t>】</w:t>
      </w:r>
      <w:r>
        <w:rPr>
          <w:rFonts w:ascii="Times New Roman" w:hAnsi="Times New Roman" w:cs="Times New Roman" w:eastAsia="Times New Roman" w:hint="default"/>
          <w:spacing w:val="-5"/>
        </w:rPr>
        <w:t>60</w:t>
      </w:r>
      <w:r>
        <w:rPr>
          <w:spacing w:val="-5"/>
        </w:rPr>
        <w:t>号）文件的规定，</w:t>
      </w:r>
    </w:p>
    <w:p>
      <w:pPr>
        <w:pStyle w:val="BodyText"/>
        <w:spacing w:line="316" w:lineRule="auto" w:before="13"/>
        <w:ind w:right="1133"/>
        <w:jc w:val="left"/>
      </w:pPr>
      <w:r>
        <w:rPr>
          <w:spacing w:val="-2"/>
        </w:rPr>
        <w:t>《目录》范围内的企业，自取得第一笔生产经营收入所属纳税年度起，第一年至第五年免征企业所得税，免税期满后，再免</w:t>
      </w:r>
      <w:r>
        <w:rPr>
          <w:spacing w:val="-67"/>
        </w:rPr>
        <w:t> </w:t>
      </w:r>
      <w:r>
        <w:rPr>
          <w:spacing w:val="-67"/>
        </w:rPr>
      </w:r>
      <w:r>
        <w:rPr/>
        <w:t>征企业五年所得税地方分享部分。</w:t>
      </w:r>
      <w:r>
        <w:rPr>
          <w:rFonts w:ascii="Times New Roman" w:hAnsi="Times New Roman" w:cs="Times New Roman" w:eastAsia="Times New Roman" w:hint="default"/>
        </w:rPr>
        <w:t>2018</w:t>
      </w:r>
      <w:r>
        <w:rPr/>
        <w:t>年度为第三年享受该项优惠政策。</w:t>
      </w:r>
    </w:p>
    <w:p>
      <w:pPr>
        <w:pStyle w:val="BodyText"/>
        <w:spacing w:line="300" w:lineRule="auto"/>
        <w:ind w:right="1128" w:firstLine="360"/>
        <w:jc w:val="both"/>
      </w:pPr>
      <w:r>
        <w:rPr/>
        <w:t>（</w:t>
      </w:r>
      <w:r>
        <w:rPr>
          <w:rFonts w:ascii="Times New Roman" w:hAnsi="Times New Roman" w:cs="Times New Roman" w:eastAsia="Times New Roman" w:hint="default"/>
        </w:rPr>
        <w:t>3</w:t>
      </w:r>
      <w:r>
        <w:rPr/>
        <w:t>）哆可梦</w:t>
      </w:r>
      <w:r>
        <w:rPr>
          <w:rFonts w:ascii="Times New Roman" w:hAnsi="Times New Roman" w:cs="Times New Roman" w:eastAsia="Times New Roman" w:hint="default"/>
        </w:rPr>
        <w:t>2010</w:t>
      </w:r>
      <w:r>
        <w:rPr/>
        <w:t>年通过四川省经济和信息化委员会的评审，符合《进一步鼓励软件产业和集成电路产业发展的若干政 </w:t>
      </w:r>
      <w:r>
        <w:rPr>
          <w:spacing w:val="-5"/>
        </w:rPr>
        <w:t>策》和《软件企业认定管理办法》的有关规定，认定为软件企业，并于</w:t>
      </w:r>
      <w:r>
        <w:rPr>
          <w:rFonts w:ascii="Times New Roman" w:hAnsi="Times New Roman" w:cs="Times New Roman" w:eastAsia="Times New Roman" w:hint="default"/>
          <w:spacing w:val="-5"/>
        </w:rPr>
        <w:t>2010</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26</w:t>
      </w:r>
      <w:r>
        <w:rPr>
          <w:spacing w:val="-5"/>
        </w:rPr>
        <w:t>日取得四川省经济和信息化委员会颁发</w:t>
      </w:r>
      <w:r>
        <w:rPr>
          <w:rFonts w:ascii="Times New Roman" w:hAnsi="Times New Roman" w:cs="Times New Roman" w:eastAsia="Times New Roman" w:hint="default"/>
          <w:spacing w:val="-5"/>
        </w:rPr>
        <w:t>“</w:t>
      </w:r>
      <w:r>
        <w:rPr>
          <w:spacing w:val="-5"/>
        </w:rPr>
        <w:t>证</w:t>
      </w:r>
      <w:r>
        <w:rPr>
          <w:spacing w:val="-52"/>
        </w:rPr>
        <w:t> </w:t>
      </w:r>
      <w:r>
        <w:rPr>
          <w:spacing w:val="-1"/>
        </w:rPr>
        <w:t>书编号：川</w:t>
      </w:r>
      <w:r>
        <w:rPr>
          <w:rFonts w:ascii="Times New Roman" w:hAnsi="Times New Roman" w:cs="Times New Roman" w:eastAsia="Times New Roman" w:hint="default"/>
          <w:spacing w:val="-1"/>
        </w:rPr>
        <w:t>R-2010-</w:t>
      </w:r>
      <w:r>
        <w:rPr>
          <w:rFonts w:ascii="Times New Roman" w:hAnsi="Times New Roman" w:cs="Times New Roman" w:eastAsia="Times New Roman" w:hint="default"/>
          <w:spacing w:val="-1"/>
        </w:rPr>
        <w:t>0062”</w:t>
      </w:r>
      <w:r>
        <w:rPr>
          <w:spacing w:val="-1"/>
        </w:rPr>
        <w:t>的软件企业认定证书。哆可梦于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w:t>
      </w:r>
      <w:r>
        <w:rPr>
          <w:spacing w:val="-1"/>
        </w:rPr>
        <w:t>日取得由四川省科学技术厅、四川省财政局、四川省国</w:t>
      </w:r>
      <w:r>
        <w:rPr>
          <w:spacing w:val="-79"/>
        </w:rPr>
        <w:t> </w:t>
      </w:r>
      <w:r>
        <w:rPr>
          <w:spacing w:val="-79"/>
        </w:rPr>
      </w:r>
      <w:r>
        <w:rPr/>
        <w:t>家税务局和四川省地方税务局批准颁发的高新技术企业证书，证书编号：</w:t>
      </w:r>
      <w:r>
        <w:rPr>
          <w:rFonts w:ascii="Times New Roman" w:hAnsi="Times New Roman" w:cs="Times New Roman" w:eastAsia="Times New Roman" w:hint="default"/>
        </w:rPr>
        <w:t>GF201551000053</w:t>
      </w:r>
      <w:r>
        <w:rPr/>
        <w:t>，认定为高新技术企业。哆可梦</w:t>
      </w:r>
      <w:r>
        <w:rPr>
          <w:spacing w:val="-48"/>
        </w:rPr>
        <w:t> </w:t>
      </w:r>
      <w:r>
        <w:rPr>
          <w:spacing w:val="-48"/>
        </w:rPr>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日再次取得由四川省科学技术厅、四川省财政局、四川省国家税务局和四川省地方税务局批准颁发的高新技</w:t>
      </w:r>
      <w:r>
        <w:rPr>
          <w:spacing w:val="-86"/>
        </w:rPr>
        <w:t> </w:t>
      </w:r>
      <w:r>
        <w:rPr>
          <w:spacing w:val="-86"/>
        </w:rPr>
      </w:r>
      <w:r>
        <w:rPr/>
        <w:t>术企业证书，证书编号：</w:t>
      </w:r>
      <w:r>
        <w:rPr>
          <w:rFonts w:ascii="Times New Roman" w:hAnsi="Times New Roman" w:cs="Times New Roman" w:eastAsia="Times New Roman" w:hint="default"/>
        </w:rPr>
        <w:t>GR201851001239</w:t>
      </w:r>
      <w:r>
        <w:rPr/>
        <w:t>，认定为高新技术企业。根据《中华人民共和国企业所得税法》以及国家对高新</w:t>
      </w:r>
      <w:r>
        <w:rPr>
          <w:spacing w:val="-73"/>
        </w:rPr>
        <w:t> </w:t>
      </w:r>
      <w:r>
        <w:rPr>
          <w:spacing w:val="-73"/>
        </w:rPr>
      </w:r>
      <w:r>
        <w:rPr>
          <w:spacing w:val="-2"/>
        </w:rPr>
        <w:t>技术企业的相关税收规定，经有关部门认定为高新技术企业的，可连续三年减按</w:t>
      </w:r>
      <w:r>
        <w:rPr>
          <w:rFonts w:ascii="Times New Roman" w:hAnsi="Times New Roman" w:cs="Times New Roman" w:eastAsia="Times New Roman" w:hint="default"/>
          <w:spacing w:val="-2"/>
        </w:rPr>
        <w:t>15</w:t>
      </w:r>
      <w:r>
        <w:rPr>
          <w:spacing w:val="-2"/>
        </w:rPr>
        <w:t>％的税率征收所得税。哆可梦</w:t>
      </w:r>
      <w:r>
        <w:rPr>
          <w:rFonts w:ascii="Times New Roman" w:hAnsi="Times New Roman" w:cs="Times New Roman" w:eastAsia="Times New Roman" w:hint="default"/>
          <w:spacing w:val="-2"/>
        </w:rPr>
        <w:t>2018</w:t>
      </w:r>
      <w:r>
        <w:rPr>
          <w:spacing w:val="-2"/>
        </w:rPr>
        <w:t>年度实</w:t>
      </w:r>
      <w:r>
        <w:rPr>
          <w:spacing w:val="-58"/>
        </w:rPr>
        <w:t> </w:t>
      </w:r>
      <w:r>
        <w:rPr>
          <w:spacing w:val="-58"/>
        </w:rPr>
      </w:r>
      <w:r>
        <w:rPr/>
        <w:t>际按</w:t>
      </w:r>
      <w:r>
        <w:rPr>
          <w:rFonts w:ascii="Times New Roman" w:hAnsi="Times New Roman" w:cs="Times New Roman" w:eastAsia="Times New Roman" w:hint="default"/>
        </w:rPr>
        <w:t>15%</w:t>
      </w:r>
      <w:r>
        <w:rPr/>
        <w:t>的税率缴纳企业所得税。</w:t>
      </w:r>
    </w:p>
    <w:p>
      <w:pPr>
        <w:pStyle w:val="BodyText"/>
        <w:spacing w:line="300" w:lineRule="auto" w:before="13"/>
        <w:ind w:right="1128" w:firstLine="360"/>
        <w:jc w:val="both"/>
      </w:pPr>
      <w:r>
        <w:rPr>
          <w:spacing w:val="-4"/>
        </w:rPr>
        <w:t>（</w:t>
      </w:r>
      <w:r>
        <w:rPr>
          <w:rFonts w:ascii="Times New Roman" w:hAnsi="Times New Roman" w:cs="Times New Roman" w:eastAsia="Times New Roman" w:hint="default"/>
          <w:spacing w:val="-4"/>
        </w:rPr>
        <w:t>4</w:t>
      </w:r>
      <w:r>
        <w:rPr>
          <w:spacing w:val="-4"/>
        </w:rPr>
        <w:t>）旭梅网络成立时间为</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10</w:t>
      </w:r>
      <w:r>
        <w:rPr>
          <w:spacing w:val="-4"/>
        </w:rPr>
        <w:t>月，主要经营范围为软件开发，通过上海市软件行业协会的评审，认定为软件企业，</w:t>
      </w:r>
      <w:r>
        <w:rPr/>
        <w:t> 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日取得上海市软件行业协会颁发</w:t>
      </w:r>
      <w:r>
        <w:rPr>
          <w:rFonts w:ascii="Times New Roman" w:hAnsi="Times New Roman" w:cs="Times New Roman" w:eastAsia="Times New Roman" w:hint="default"/>
        </w:rPr>
        <w:t>“</w:t>
      </w:r>
      <w:r>
        <w:rPr/>
        <w:t>证书编号：沪</w:t>
      </w:r>
      <w:r>
        <w:rPr>
          <w:rFonts w:ascii="Times New Roman" w:hAnsi="Times New Roman" w:cs="Times New Roman" w:eastAsia="Times New Roman" w:hint="default"/>
        </w:rPr>
        <w:t>RQ-2016-</w:t>
      </w:r>
      <w:r>
        <w:rPr>
          <w:rFonts w:ascii="Times New Roman" w:hAnsi="Times New Roman" w:cs="Times New Roman" w:eastAsia="Times New Roman" w:hint="default"/>
        </w:rPr>
        <w:t>0017”</w:t>
      </w:r>
      <w:r>
        <w:rPr/>
        <w:t>的软件企业认定证书。根据财税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27</w:t>
      </w:r>
      <w:r>
        <w:rPr>
          <w:rFonts w:ascii="Times New Roman" w:hAnsi="Times New Roman" w:cs="Times New Roman" w:eastAsia="Times New Roman" w:hint="default"/>
          <w:spacing w:val="15"/>
        </w:rPr>
        <w:t> </w:t>
      </w:r>
      <w:r>
        <w:rPr>
          <w:spacing w:val="-2"/>
        </w:rPr>
        <w:t>号文件第三条：我国境内新办的集成电路设计企业和符合条件的软件企业，经认定后，在</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日前自获利年度起计</w:t>
      </w:r>
      <w:r>
        <w:rPr>
          <w:spacing w:val="-57"/>
        </w:rPr>
        <w:t> </w:t>
      </w:r>
      <w:r>
        <w:rPr>
          <w:spacing w:val="-57"/>
        </w:rPr>
      </w:r>
      <w:r>
        <w:rPr>
          <w:spacing w:val="-5"/>
        </w:rPr>
        <w:t>算优惠期，第一年至第二年免征企业所得税，第三年至第五年按照</w:t>
      </w:r>
      <w:r>
        <w:rPr>
          <w:rFonts w:ascii="Times New Roman" w:hAnsi="Times New Roman" w:cs="Times New Roman" w:eastAsia="Times New Roman" w:hint="default"/>
          <w:spacing w:val="-5"/>
        </w:rPr>
        <w:t>25%</w:t>
      </w:r>
      <w:r>
        <w:rPr>
          <w:spacing w:val="-5"/>
        </w:rPr>
        <w:t>的法定税率减半征收企业所得税，并享受至期满为止。</w:t>
      </w:r>
      <w:r>
        <w:rPr>
          <w:spacing w:val="-39"/>
        </w:rPr>
        <w:t> </w:t>
      </w:r>
      <w:r>
        <w:rPr>
          <w:spacing w:val="-39"/>
        </w:rPr>
      </w:r>
      <w:r>
        <w:rPr>
          <w:spacing w:val="-3"/>
        </w:rPr>
        <w:t>旭梅网络</w:t>
      </w:r>
      <w:r>
        <w:rPr>
          <w:rFonts w:ascii="Times New Roman" w:hAnsi="Times New Roman" w:cs="Times New Roman" w:eastAsia="Times New Roman" w:hint="default"/>
          <w:spacing w:val="-3"/>
        </w:rPr>
        <w:t>2015</w:t>
      </w:r>
      <w:r>
        <w:rPr>
          <w:spacing w:val="-3"/>
        </w:rPr>
        <w:t>年处于亏损期，无需缴纳所得税；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2017</w:t>
      </w:r>
      <w:r>
        <w:rPr>
          <w:spacing w:val="-3"/>
        </w:rPr>
        <w:t>年度免征企业所得税。</w:t>
      </w:r>
      <w:r>
        <w:rPr>
          <w:rFonts w:ascii="Times New Roman" w:hAnsi="Times New Roman" w:cs="Times New Roman" w:eastAsia="Times New Roman" w:hint="default"/>
          <w:spacing w:val="-3"/>
        </w:rPr>
        <w:t>2018</w:t>
      </w:r>
      <w:r>
        <w:rPr>
          <w:spacing w:val="-3"/>
        </w:rPr>
        <w:t>年度减半按</w:t>
      </w:r>
      <w:r>
        <w:rPr>
          <w:rFonts w:ascii="Times New Roman" w:hAnsi="Times New Roman" w:cs="Times New Roman" w:eastAsia="Times New Roman" w:hint="default"/>
          <w:spacing w:val="-3"/>
        </w:rPr>
        <w:t>12.5%</w:t>
      </w:r>
      <w:r>
        <w:rPr>
          <w:spacing w:val="-3"/>
        </w:rPr>
        <w:t>征收企业所得税。</w:t>
      </w:r>
    </w:p>
    <w:p>
      <w:pPr>
        <w:pStyle w:val="BodyText"/>
        <w:spacing w:line="300" w:lineRule="auto" w:before="13"/>
        <w:ind w:right="1127" w:firstLine="360"/>
        <w:jc w:val="both"/>
      </w:pPr>
      <w:r>
        <w:rPr>
          <w:spacing w:val="-2"/>
        </w:rPr>
        <w:t>（</w:t>
      </w:r>
      <w:r>
        <w:rPr>
          <w:rFonts w:ascii="Times New Roman" w:hAnsi="Times New Roman" w:cs="Times New Roman" w:eastAsia="Times New Roman" w:hint="default"/>
          <w:spacing w:val="-2"/>
        </w:rPr>
        <w:t>5</w:t>
      </w:r>
      <w:r>
        <w:rPr>
          <w:spacing w:val="-2"/>
        </w:rPr>
        <w:t>）吉乾科技成立时间为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月，主要经营范围为软件开发，通过四川省经济和信息化委员会的评审，符合《进一</w:t>
      </w:r>
      <w:r>
        <w:rPr/>
        <w:t> </w:t>
      </w:r>
      <w:r>
        <w:rPr>
          <w:spacing w:val="-7"/>
        </w:rPr>
        <w:t>步鼓励软件产业和集成电路产业发展的若干政策》和《软件企业认定管理办法》的有关规定，认定为软件企业。根据财税</w:t>
      </w:r>
      <w:r>
        <w:rPr>
          <w:rFonts w:ascii="Times New Roman" w:hAnsi="Times New Roman" w:cs="Times New Roman" w:eastAsia="Times New Roman" w:hint="default"/>
          <w:spacing w:val="-7"/>
        </w:rPr>
        <w:t>[2012]</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spacing w:val="-2"/>
        </w:rPr>
        <w:t>第</w:t>
      </w:r>
      <w:r>
        <w:rPr>
          <w:rFonts w:ascii="Times New Roman" w:hAnsi="Times New Roman" w:cs="Times New Roman" w:eastAsia="Times New Roman" w:hint="default"/>
          <w:spacing w:val="-2"/>
        </w:rPr>
        <w:t>27</w:t>
      </w:r>
      <w:r>
        <w:rPr>
          <w:spacing w:val="-2"/>
        </w:rPr>
        <w:t>号第三条：我国境内新办的集成电路设计企业和符合条件的软件企业，经认定后，在</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日前自获利年度起计</w:t>
      </w:r>
      <w:r>
        <w:rPr>
          <w:spacing w:val="-57"/>
        </w:rPr>
        <w:t> </w:t>
      </w:r>
      <w:r>
        <w:rPr>
          <w:spacing w:val="-57"/>
        </w:rPr>
      </w:r>
      <w:r>
        <w:rPr>
          <w:spacing w:val="-5"/>
        </w:rPr>
        <w:t>算优惠期，第一年至第二年免征企业所得税，第三年至第五年按照</w:t>
      </w:r>
      <w:r>
        <w:rPr>
          <w:rFonts w:ascii="Times New Roman" w:hAnsi="Times New Roman" w:cs="Times New Roman" w:eastAsia="Times New Roman" w:hint="default"/>
          <w:spacing w:val="-5"/>
        </w:rPr>
        <w:t>25%</w:t>
      </w:r>
      <w:r>
        <w:rPr>
          <w:spacing w:val="-5"/>
        </w:rPr>
        <w:t>的法定税率减半征收企业所得税，并享受至期满为止。</w:t>
      </w:r>
      <w:r>
        <w:rPr>
          <w:spacing w:val="-39"/>
        </w:rPr>
        <w:t> </w:t>
      </w:r>
      <w:r>
        <w:rPr>
          <w:spacing w:val="-39"/>
        </w:rPr>
      </w:r>
      <w:r>
        <w:rPr/>
        <w:t>吉乾科技于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日取得由四川省科学技术厅、四川省财政局、四川省国家税务局和四川省地方税务局批准颁发的高</w:t>
      </w:r>
      <w:r>
        <w:rPr>
          <w:spacing w:val="-86"/>
        </w:rPr>
        <w:t> </w:t>
      </w:r>
      <w:r>
        <w:rPr>
          <w:spacing w:val="-86"/>
        </w:rPr>
      </w:r>
      <w:r>
        <w:rPr/>
        <w:t>新技术企业证书，证书编号：</w:t>
      </w:r>
      <w:r>
        <w:rPr>
          <w:rFonts w:ascii="Times New Roman" w:hAnsi="Times New Roman" w:cs="Times New Roman" w:eastAsia="Times New Roman" w:hint="default"/>
        </w:rPr>
        <w:t>GF201651000123</w:t>
      </w:r>
      <w:r>
        <w:rPr/>
        <w:t>，认定为高新技术企业。根据《中华人民共和国企业所得税法》以及国家对</w:t>
      </w:r>
      <w:r>
        <w:rPr>
          <w:spacing w:val="-50"/>
        </w:rPr>
        <w:t> </w:t>
      </w:r>
      <w:r>
        <w:rPr>
          <w:spacing w:val="-50"/>
        </w:rPr>
      </w:r>
      <w:r>
        <w:rPr>
          <w:spacing w:val="-2"/>
        </w:rPr>
        <w:t>高新技术企业的相关税收规定，经有关部门认定为高新技术企业的，可连续三年减按</w:t>
      </w:r>
      <w:r>
        <w:rPr>
          <w:rFonts w:ascii="Times New Roman" w:hAnsi="Times New Roman" w:cs="Times New Roman" w:eastAsia="Times New Roman" w:hint="default"/>
          <w:spacing w:val="-2"/>
        </w:rPr>
        <w:t>15</w:t>
      </w:r>
      <w:r>
        <w:rPr>
          <w:spacing w:val="-2"/>
        </w:rPr>
        <w:t>％的税率征收所得税。吉乾科技</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spacing w:val="-1"/>
        </w:rPr>
        <w:t>年亏损，</w:t>
      </w:r>
      <w:r>
        <w:rPr>
          <w:rFonts w:ascii="Times New Roman" w:hAnsi="Times New Roman" w:cs="Times New Roman" w:eastAsia="Times New Roman" w:hint="default"/>
          <w:spacing w:val="-1"/>
        </w:rPr>
        <w:t>2016</w:t>
      </w:r>
      <w:r>
        <w:rPr>
          <w:spacing w:val="-1"/>
        </w:rPr>
        <w:t>年开始盈利，即从</w:t>
      </w:r>
      <w:r>
        <w:rPr>
          <w:rFonts w:ascii="Times New Roman" w:hAnsi="Times New Roman" w:cs="Times New Roman" w:eastAsia="Times New Roman" w:hint="default"/>
          <w:spacing w:val="-1"/>
        </w:rPr>
        <w:t>2016</w:t>
      </w:r>
      <w:r>
        <w:rPr>
          <w:spacing w:val="-1"/>
        </w:rPr>
        <w:t>年度和</w:t>
      </w:r>
      <w:r>
        <w:rPr>
          <w:rFonts w:ascii="Times New Roman" w:hAnsi="Times New Roman" w:cs="Times New Roman" w:eastAsia="Times New Roman" w:hint="default"/>
          <w:spacing w:val="-1"/>
        </w:rPr>
        <w:t>2017</w:t>
      </w:r>
      <w:r>
        <w:rPr>
          <w:spacing w:val="-1"/>
        </w:rPr>
        <w:t>年度享受软件企业免征企业所得税的优惠。</w:t>
      </w:r>
      <w:r>
        <w:rPr>
          <w:rFonts w:ascii="Times New Roman" w:hAnsi="Times New Roman" w:cs="Times New Roman" w:eastAsia="Times New Roman" w:hint="default"/>
          <w:spacing w:val="-1"/>
        </w:rPr>
        <w:t>2018</w:t>
      </w:r>
      <w:r>
        <w:rPr>
          <w:spacing w:val="-1"/>
        </w:rPr>
        <w:t>年度减半按</w:t>
      </w:r>
      <w:r>
        <w:rPr>
          <w:rFonts w:ascii="Times New Roman" w:hAnsi="Times New Roman" w:cs="Times New Roman" w:eastAsia="Times New Roman" w:hint="default"/>
          <w:spacing w:val="-1"/>
        </w:rPr>
        <w:t>12.5%</w:t>
      </w:r>
      <w:r>
        <w:rPr>
          <w:spacing w:val="-1"/>
        </w:rPr>
        <w:t>征收企业</w:t>
      </w:r>
      <w:r>
        <w:rPr>
          <w:spacing w:val="-42"/>
        </w:rPr>
        <w:t> </w:t>
      </w:r>
      <w:r>
        <w:rPr/>
        <w:t>所得税。</w:t>
      </w:r>
    </w:p>
    <w:p>
      <w:pPr>
        <w:pStyle w:val="BodyText"/>
        <w:spacing w:line="304" w:lineRule="auto" w:before="31"/>
        <w:ind w:right="1128" w:firstLine="360"/>
        <w:jc w:val="both"/>
      </w:pPr>
      <w:r>
        <w:rPr>
          <w:spacing w:val="-7"/>
        </w:rPr>
        <w:t>（</w:t>
      </w:r>
      <w:r>
        <w:rPr>
          <w:rFonts w:ascii="Times New Roman" w:hAnsi="Times New Roman" w:cs="Times New Roman" w:eastAsia="Times New Roman" w:hint="default"/>
          <w:spacing w:val="-7"/>
        </w:rPr>
        <w:t>6</w:t>
      </w:r>
      <w:r>
        <w:rPr>
          <w:spacing w:val="-7"/>
        </w:rPr>
        <w:t>）乐珩网络和璿游网络依据《关于新疆喀什霍尔果斯两个特殊经济开发区企业所得税优惠政策的通知》（财税【</w:t>
      </w:r>
      <w:r>
        <w:rPr>
          <w:rFonts w:ascii="Times New Roman" w:hAnsi="Times New Roman" w:cs="Times New Roman" w:eastAsia="Times New Roman" w:hint="default"/>
          <w:spacing w:val="-7"/>
        </w:rPr>
        <w:t>2011</w:t>
      </w:r>
      <w:r>
        <w:rPr>
          <w:spacing w:val="-7"/>
        </w:rPr>
        <w:t>】</w:t>
      </w:r>
      <w:r>
        <w:rPr/>
        <w:t> </w:t>
      </w:r>
      <w:r>
        <w:rPr>
          <w:rFonts w:ascii="Times New Roman" w:hAnsi="Times New Roman" w:cs="Times New Roman" w:eastAsia="Times New Roman" w:hint="default"/>
        </w:rPr>
        <w:t>112</w:t>
      </w:r>
      <w:r>
        <w:rPr/>
        <w:t>号）和《关于公布新疆困难地区重点鼓励发展产业企业所得税优惠目录（试行）的通知》（财税【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60</w:t>
      </w:r>
      <w:r>
        <w:rPr/>
        <w:t>号）文件的</w:t>
      </w:r>
      <w:r>
        <w:rPr>
          <w:spacing w:val="-85"/>
        </w:rPr>
        <w:t> </w:t>
      </w:r>
      <w:r>
        <w:rPr>
          <w:spacing w:val="-85"/>
        </w:rPr>
      </w:r>
      <w:r>
        <w:rPr>
          <w:spacing w:val="-5"/>
        </w:rPr>
        <w:t>规定，《目录》范围内的企业，自取得第一笔生产经营收入所属纳税年度起，第一年至第五年免征企业所得税，免税期满后，</w:t>
      </w:r>
      <w:r>
        <w:rPr>
          <w:spacing w:val="-80"/>
        </w:rPr>
        <w:t> </w:t>
      </w:r>
      <w:r>
        <w:rPr>
          <w:spacing w:val="-80"/>
        </w:rPr>
      </w:r>
      <w:r>
        <w:rPr>
          <w:spacing w:val="-2"/>
        </w:rPr>
        <w:t>再免征企业五年所得税地方分享部分。</w:t>
      </w:r>
      <w:r>
        <w:rPr>
          <w:rFonts w:ascii="Times New Roman" w:hAnsi="Times New Roman" w:cs="Times New Roman" w:eastAsia="Times New Roman" w:hint="default"/>
          <w:spacing w:val="-2"/>
        </w:rPr>
        <w:t>2018</w:t>
      </w:r>
      <w:r>
        <w:rPr>
          <w:spacing w:val="-2"/>
        </w:rPr>
        <w:t>年度为第二年享受免征企业所得税优惠政策。</w:t>
      </w:r>
      <w:r>
        <w:rPr>
          <w:rFonts w:ascii="Times New Roman" w:hAnsi="Times New Roman" w:cs="Times New Roman" w:eastAsia="Times New Roman" w:hint="default"/>
          <w:spacing w:val="-2"/>
        </w:rPr>
        <w:t>2018</w:t>
      </w:r>
      <w:r>
        <w:rPr>
          <w:spacing w:val="-2"/>
        </w:rPr>
        <w:t>年底乐珩网络和璿游网络已完</w:t>
      </w:r>
      <w:r>
        <w:rPr>
          <w:spacing w:val="-59"/>
        </w:rPr>
        <w:t> </w:t>
      </w:r>
      <w:r>
        <w:rPr>
          <w:spacing w:val="-59"/>
        </w:rPr>
      </w:r>
      <w:r>
        <w:rPr/>
        <w:t>成注销。</w:t>
      </w:r>
    </w:p>
    <w:p>
      <w:pPr>
        <w:pStyle w:val="BodyText"/>
        <w:spacing w:line="240" w:lineRule="auto" w:before="28"/>
        <w:ind w:left="513" w:right="1133"/>
        <w:jc w:val="left"/>
      </w:pPr>
      <w:r>
        <w:rPr/>
        <w:t>（</w:t>
      </w:r>
      <w:r>
        <w:rPr>
          <w:rFonts w:ascii="Times New Roman" w:hAnsi="Times New Roman" w:cs="Times New Roman" w:eastAsia="Times New Roman" w:hint="default"/>
        </w:rPr>
        <w:t>7</w:t>
      </w:r>
      <w:r>
        <w:rPr/>
        <w:t>）共创网络符合小型微利企业标准，企业所得减按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3,653.31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2,843.67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731,823,083.18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272,620,373.68</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17,804,105.25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73,936,741.48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749,630,841.74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346,559,958.83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1,863,872.02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2,378.72</w:t>
            </w:r>
          </w:p>
        </w:tc>
      </w:tr>
    </w:tbl>
    <w:p>
      <w:pPr>
        <w:pStyle w:val="BodyText"/>
        <w:spacing w:line="240" w:lineRule="auto" w:before="49"/>
        <w:ind w:right="1133"/>
        <w:jc w:val="left"/>
      </w:pPr>
      <w:r>
        <w:rPr/>
        <w:t>其他说明：其中受到限制的货币资金明细如下：</w:t>
      </w:r>
    </w:p>
    <w:p>
      <w:pPr>
        <w:pStyle w:val="BodyText"/>
        <w:spacing w:line="240" w:lineRule="auto" w:before="115"/>
        <w:ind w:left="0" w:right="1133"/>
        <w:jc w:val="right"/>
      </w:pPr>
      <w:r>
        <w:rPr/>
        <w:t>单位：元</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4112"/>
        <w:gridCol w:w="2734"/>
        <w:gridCol w:w="2813"/>
      </w:tblGrid>
      <w:tr>
        <w:trPr>
          <w:trHeight w:val="427"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868"/>
              <w:jc w:val="right"/>
              <w:rPr>
                <w:rFonts w:ascii="宋体" w:hAnsi="宋体" w:cs="宋体" w:eastAsia="宋体" w:hint="default"/>
                <w:sz w:val="18"/>
                <w:szCs w:val="18"/>
              </w:rPr>
            </w:pPr>
            <w:r>
              <w:rPr>
                <w:rFonts w:ascii="宋体" w:hAnsi="宋体" w:cs="宋体" w:eastAsia="宋体" w:hint="default"/>
                <w:sz w:val="18"/>
                <w:szCs w:val="18"/>
              </w:rPr>
              <w:t>项目</w:t>
            </w:r>
          </w:p>
        </w:tc>
        <w:tc>
          <w:tcPr>
            <w:tcW w:w="2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7"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12,543,306.80</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54,579,317.75</w:t>
            </w:r>
          </w:p>
        </w:tc>
      </w:tr>
      <w:tr>
        <w:trPr>
          <w:trHeight w:val="427"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pacing w:val="-1"/>
                <w:sz w:val="18"/>
              </w:rPr>
              <w:t>3,783,877.61</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2,667,825.60</w:t>
            </w:r>
          </w:p>
        </w:tc>
      </w:tr>
      <w:tr>
        <w:trPr>
          <w:trHeight w:val="427"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868"/>
              <w:jc w:val="right"/>
              <w:rPr>
                <w:rFonts w:ascii="宋体" w:hAnsi="宋体" w:cs="宋体" w:eastAsia="宋体" w:hint="default"/>
                <w:sz w:val="18"/>
                <w:szCs w:val="18"/>
              </w:rPr>
            </w:pPr>
            <w:r>
              <w:rPr>
                <w:rFonts w:ascii="宋体" w:hAnsi="宋体" w:cs="宋体" w:eastAsia="宋体" w:hint="default"/>
                <w:sz w:val="18"/>
                <w:szCs w:val="18"/>
              </w:rPr>
              <w:t>合计</w:t>
            </w:r>
          </w:p>
        </w:tc>
        <w:tc>
          <w:tcPr>
            <w:tcW w:w="2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16,327,184.41</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57,247,143.35</w:t>
            </w:r>
          </w:p>
        </w:tc>
      </w:tr>
    </w:tbl>
    <w:p>
      <w:pPr>
        <w:pStyle w:val="BodyText"/>
        <w:spacing w:line="300" w:lineRule="auto" w:before="49"/>
        <w:ind w:right="1133"/>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日，其他货币资金中人民币</w:t>
      </w:r>
      <w:r>
        <w:rPr>
          <w:rFonts w:ascii="Times New Roman" w:hAnsi="Times New Roman" w:cs="Times New Roman" w:eastAsia="Times New Roman" w:hint="default"/>
        </w:rPr>
        <w:t>3,783,877.61</w:t>
      </w:r>
      <w:r>
        <w:rPr/>
        <w:t>元为本公司向银行申请开具无条件、不可撤销的担保函所存入的</w:t>
      </w:r>
      <w:r>
        <w:rPr>
          <w:spacing w:val="-49"/>
        </w:rPr>
        <w:t> </w:t>
      </w:r>
      <w:r>
        <w:rPr>
          <w:spacing w:val="-49"/>
        </w:rPr>
      </w:r>
      <w:r>
        <w:rPr/>
        <w:t>保证金存款。</w:t>
      </w:r>
    </w:p>
    <w:p>
      <w:pPr>
        <w:spacing w:line="240" w:lineRule="auto" w:before="8"/>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47,111,134.92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52,697,854.32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47,111,134.92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52,697,854.32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47,111,134.92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52,697,854.32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、应收票据及应收账款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23,953,061.52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622,056.20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380,247,011.00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176,228,380.66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404,200,072.52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176,850,436.86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9,060,408.46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122,056.20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14,892,653.06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23,953,061.52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622,056.20</w:t>
            </w:r>
          </w:p>
        </w:tc>
      </w:tr>
    </w:tbl>
    <w:p>
      <w:pPr>
        <w:pStyle w:val="BodyText"/>
        <w:spacing w:line="240" w:lineRule="auto" w:before="49"/>
        <w:ind w:right="1133"/>
        <w:jc w:val="left"/>
      </w:pPr>
      <w:r>
        <w:rPr>
          <w:rFonts w:ascii="Times New Roman" w:hAnsi="Times New Roman" w:cs="Times New Roman" w:eastAsia="Times New Roman" w:hint="default"/>
        </w:rPr>
        <w:t>2)</w:t>
      </w:r>
      <w:r>
        <w:rPr/>
        <w:t>期末公司已质押的应收票据：无</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240" w:lineRule="auto"/>
        <w:ind w:left="140" w:right="-19"/>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5"/>
        <w:ind w:left="0" w:right="153"/>
        <w:jc w:val="right"/>
      </w:pPr>
      <w:r>
        <w:rPr/>
        <w:br w:type="column"/>
      </w:r>
      <w:r>
        <w:rPr/>
        <w:t>深圳市惠程信息科技股份有限公司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left="0" w:right="155"/>
        <w:jc w:val="right"/>
      </w:pPr>
      <w:r>
        <w:rPr/>
        <w:pict>
          <v:group style="position:absolute;margin-left:70.559998pt;margin-top:-19.148275pt;width:700.95pt;height:.1pt;mso-position-horizontal-relative:page;mso-position-vertical-relative:paragraph;z-index:2128" coordorigin="1411,-383" coordsize="14019,2">
            <v:shape style="position:absolute;left:1411;top:-383;width:14019;height:2" coordorigin="1411,-383" coordsize="14019,0" path="m1411,-383l15430,-383e" filled="false" stroked="true" strokeweight=".72pt" strokecolor="#000000">
              <v:path arrowok="t"/>
            </v:shape>
            <w10:wrap type="none"/>
          </v:group>
        </w:pict>
      </w:r>
      <w:r>
        <w:rPr/>
        <w:t>单位：</w:t>
      </w:r>
      <w:r>
        <w:rPr>
          <w:spacing w:val="1"/>
        </w:rPr>
        <w:t> </w:t>
      </w:r>
      <w:r>
        <w:rPr/>
        <w:t>元</w:t>
      </w:r>
    </w:p>
    <w:p>
      <w:pPr>
        <w:spacing w:after="0" w:line="240" w:lineRule="auto"/>
        <w:jc w:val="right"/>
        <w:sectPr>
          <w:headerReference w:type="default" r:id="rId42"/>
          <w:footerReference w:type="default" r:id="rId43"/>
          <w:pgSz w:w="16840" w:h="11910" w:orient="landscape"/>
          <w:pgMar w:header="0" w:footer="0" w:top="800" w:bottom="0" w:left="1300" w:right="1280"/>
          <w:cols w:num="2" w:equalWidth="0">
            <w:col w:w="5152" w:space="4397"/>
            <w:col w:w="4711"/>
          </w:cols>
        </w:sectPr>
      </w:pP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4647"/>
        <w:gridCol w:w="4685"/>
        <w:gridCol w:w="4674"/>
      </w:tblGrid>
      <w:tr>
        <w:trPr>
          <w:trHeight w:val="401" w:hRule="exact"/>
        </w:trPr>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期末终止确认金额</w:t>
            </w:r>
          </w:p>
        </w:tc>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6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9,264,052.01</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6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218,600.00</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6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9,482,652.01</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left="140" w:right="152"/>
        <w:jc w:val="left"/>
      </w:pPr>
      <w:r>
        <w:rPr>
          <w:rFonts w:ascii="Times New Roman" w:hAnsi="Times New Roman" w:cs="Times New Roman" w:eastAsia="Times New Roman" w:hint="default"/>
        </w:rPr>
        <w:t>4)</w:t>
      </w:r>
      <w:r>
        <w:rPr/>
        <w:t>期末公司因出票人未履约而将其转应收账款的票据：无</w:t>
      </w:r>
    </w:p>
    <w:p>
      <w:pPr>
        <w:spacing w:line="240" w:lineRule="auto" w:before="0"/>
        <w:rPr>
          <w:rFonts w:ascii="宋体" w:hAnsi="宋体" w:cs="宋体" w:eastAsia="宋体" w:hint="default"/>
          <w:sz w:val="26"/>
          <w:szCs w:val="26"/>
        </w:rPr>
      </w:pPr>
    </w:p>
    <w:p>
      <w:pPr>
        <w:pStyle w:val="Heading3"/>
        <w:spacing w:line="240" w:lineRule="auto"/>
        <w:ind w:left="140" w:right="152"/>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152"/>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55"/>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304"/>
        <w:gridCol w:w="1186"/>
        <w:gridCol w:w="1063"/>
        <w:gridCol w:w="1207"/>
        <w:gridCol w:w="1066"/>
        <w:gridCol w:w="1174"/>
        <w:gridCol w:w="1181"/>
        <w:gridCol w:w="1064"/>
        <w:gridCol w:w="1140"/>
        <w:gridCol w:w="1310"/>
        <w:gridCol w:w="1311"/>
      </w:tblGrid>
      <w:tr>
        <w:trPr>
          <w:trHeight w:val="401" w:hRule="exact"/>
        </w:trPr>
        <w:tc>
          <w:tcPr>
            <w:tcW w:w="230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0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23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7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304" w:type="dxa"/>
            <w:vMerge/>
            <w:tcBorders>
              <w:left w:val="single" w:sz="4" w:space="0" w:color="000000"/>
              <w:bottom w:val="nil" w:sz="6" w:space="0" w:color="auto"/>
              <w:right w:val="single" w:sz="4" w:space="0" w:color="000000"/>
            </w:tcBorders>
            <w:shd w:val="clear" w:color="auto" w:fill="D2D2D2"/>
          </w:tcPr>
          <w:p>
            <w:pPr/>
          </w:p>
        </w:tc>
        <w:tc>
          <w:tcPr>
            <w:tcW w:w="2249" w:type="dxa"/>
            <w:gridSpan w:val="2"/>
            <w:vMerge/>
            <w:tcBorders>
              <w:left w:val="single" w:sz="4" w:space="0" w:color="000000"/>
              <w:bottom w:val="single" w:sz="4" w:space="0" w:color="000000"/>
              <w:right w:val="single" w:sz="4" w:space="0" w:color="000000"/>
            </w:tcBorders>
            <w:shd w:val="clear" w:color="auto" w:fill="D2D2D2"/>
          </w:tcPr>
          <w:p>
            <w:pPr/>
          </w:p>
        </w:tc>
        <w:tc>
          <w:tcPr>
            <w:tcW w:w="227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45" w:type="dxa"/>
            <w:gridSpan w:val="2"/>
            <w:vMerge/>
            <w:tcBorders>
              <w:left w:val="single" w:sz="4" w:space="0" w:color="000000"/>
              <w:bottom w:val="single" w:sz="4" w:space="0" w:color="000000"/>
              <w:right w:val="single" w:sz="4" w:space="0" w:color="000000"/>
            </w:tcBorders>
            <w:shd w:val="clear" w:color="auto" w:fill="D2D2D2"/>
          </w:tcPr>
          <w:p>
            <w:pPr/>
          </w:p>
        </w:tc>
        <w:tc>
          <w:tcPr>
            <w:tcW w:w="2450" w:type="dxa"/>
            <w:gridSpan w:val="2"/>
            <w:vMerge/>
            <w:tcBorders>
              <w:left w:val="single" w:sz="4" w:space="0" w:color="000000"/>
              <w:bottom w:val="single" w:sz="4" w:space="0" w:color="000000"/>
              <w:right w:val="single" w:sz="4" w:space="0" w:color="000000"/>
            </w:tcBorders>
            <w:shd w:val="clear" w:color="auto" w:fill="D2D2D2"/>
          </w:tcPr>
          <w:p>
            <w:pPr/>
          </w:p>
        </w:tc>
        <w:tc>
          <w:tcPr>
            <w:tcW w:w="13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0" w:hRule="exact"/>
        </w:trPr>
        <w:tc>
          <w:tcPr>
            <w:tcW w:w="2304" w:type="dxa"/>
            <w:vMerge w:val="restart"/>
            <w:tcBorders>
              <w:top w:val="nil" w:sz="6" w:space="0" w:color="auto"/>
              <w:left w:val="single" w:sz="4" w:space="0" w:color="000000"/>
              <w:right w:val="single" w:sz="4" w:space="0" w:color="000000"/>
            </w:tcBorders>
            <w:shd w:val="clear" w:color="auto" w:fill="D2D2D2"/>
          </w:tcPr>
          <w:p>
            <w:pP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6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74"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4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8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1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304"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1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40" w:type="dxa"/>
            <w:vMerge/>
            <w:tcBorders>
              <w:left w:val="single" w:sz="4" w:space="0" w:color="000000"/>
              <w:bottom w:val="single" w:sz="4" w:space="0" w:color="000000"/>
              <w:right w:val="single" w:sz="4" w:space="0" w:color="000000"/>
            </w:tcBorders>
            <w:shd w:val="clear" w:color="auto" w:fill="D2D2D2"/>
          </w:tcPr>
          <w:p>
            <w:pPr/>
          </w:p>
        </w:tc>
        <w:tc>
          <w:tcPr>
            <w:tcW w:w="1310" w:type="dxa"/>
            <w:vMerge/>
            <w:tcBorders>
              <w:left w:val="single" w:sz="4" w:space="0" w:color="000000"/>
              <w:bottom w:val="single" w:sz="4" w:space="0" w:color="000000"/>
              <w:right w:val="single" w:sz="4" w:space="0" w:color="000000"/>
            </w:tcBorders>
            <w:shd w:val="clear" w:color="auto" w:fill="D2D2D2"/>
          </w:tcPr>
          <w:p>
            <w:pPr/>
          </w:p>
        </w:tc>
        <w:tc>
          <w:tcPr>
            <w:tcW w:w="131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20"/>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账准备的应收账款</w:t>
            </w:r>
          </w:p>
        </w:tc>
        <w:tc>
          <w:tcPr>
            <w:tcW w:w="11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120"/>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账准备的应收账款</w:t>
            </w:r>
          </w:p>
        </w:tc>
        <w:tc>
          <w:tcPr>
            <w:tcW w:w="11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411,320,188.40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31,073,177.40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380,247,011.00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200,249,266.19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24,020,885.53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176,228,380.66</w:t>
            </w:r>
          </w:p>
        </w:tc>
      </w:tr>
      <w:tr>
        <w:trPr>
          <w:trHeight w:val="715"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20"/>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坏账准备的应收账款</w:t>
            </w:r>
          </w:p>
        </w:tc>
        <w:tc>
          <w:tcPr>
            <w:tcW w:w="11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411,320,188.40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31,073,177.40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380,247,011.00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200,249,266.19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24,020,885.53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176,228,380.66</w:t>
            </w:r>
          </w:p>
        </w:tc>
      </w:tr>
    </w:tbl>
    <w:p>
      <w:pPr>
        <w:pStyle w:val="BodyText"/>
        <w:spacing w:line="240" w:lineRule="auto" w:before="49"/>
        <w:ind w:left="140" w:right="152"/>
        <w:jc w:val="left"/>
      </w:pPr>
      <w:r>
        <w:rPr/>
        <w:t>期末单项金额重大并单项计提坏账准备的应收账款：</w:t>
      </w:r>
    </w:p>
    <w:p>
      <w:pPr>
        <w:pStyle w:val="BodyText"/>
        <w:spacing w:line="240" w:lineRule="auto" w:before="117"/>
        <w:ind w:left="140" w:right="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before="76"/>
        <w:ind w:left="6966" w:right="6981"/>
        <w:jc w:val="center"/>
        <w:rPr>
          <w:rFonts w:ascii="Times New Roman" w:hAnsi="Times New Roman" w:cs="Times New Roman" w:eastAsia="Times New Roman" w:hint="default"/>
        </w:rPr>
      </w:pPr>
      <w:r>
        <w:rPr>
          <w:rFonts w:ascii="Times New Roman"/>
        </w:rPr>
        <w:t>136</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7" name="image1.jpeg" descr=""/>
            <wp:cNvGraphicFramePr>
              <a:graphicFrameLocks noChangeAspect="1"/>
            </wp:cNvGraphicFramePr>
            <a:graphic>
              <a:graphicData uri="http://schemas.openxmlformats.org/drawingml/2006/picture">
                <pic:pic>
                  <pic:nvPicPr>
                    <pic:cNvPr id="8" name="image1.jpeg"/>
                    <pic:cNvPicPr/>
                  </pic:nvPicPr>
                  <pic:blipFill>
                    <a:blip r:embed="rId2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280"/>
        </w:sectPr>
      </w:pPr>
    </w:p>
    <w:p>
      <w:pPr>
        <w:spacing w:line="240" w:lineRule="auto" w:before="10"/>
        <w:rPr>
          <w:rFonts w:ascii="Times New Roman" w:hAnsi="Times New Roman" w:cs="Times New Roman" w:eastAsia="Times New Roman" w:hint="default"/>
          <w:sz w:val="24"/>
          <w:szCs w:val="24"/>
        </w:rPr>
      </w:pPr>
    </w:p>
    <w:p>
      <w:pPr>
        <w:spacing w:after="0" w:line="240" w:lineRule="auto"/>
        <w:rPr>
          <w:rFonts w:ascii="Times New Roman" w:hAnsi="Times New Roman" w:cs="Times New Roman" w:eastAsia="Times New Roman" w:hint="default"/>
          <w:sz w:val="24"/>
          <w:szCs w:val="24"/>
        </w:rPr>
        <w:sectPr>
          <w:footerReference w:type="default" r:id="rId44"/>
          <w:pgSz w:w="11910" w:h="16840"/>
          <w:pgMar w:footer="979" w:header="0" w:top="1100" w:bottom="1160" w:left="980" w:right="0"/>
          <w:pgNumType w:start="137"/>
        </w:sectPr>
      </w:pPr>
    </w:p>
    <w:p>
      <w:pPr>
        <w:pStyle w:val="BodyText"/>
        <w:spacing w:line="240" w:lineRule="auto" w:before="44"/>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351,965,138.78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10,815,355.86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3.07%</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351,965,138.78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10,815,355.86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23,090,650.49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2,309,065.04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16,378,558.18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3,275,711.65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3,040,908.54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912,272.57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5,140,266.88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2,056,106.75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11,704,665.53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11,704,665.53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411,320,188.40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31,073,177.40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57" w:lineRule="auto" w:before="49"/>
        <w:ind w:right="-20"/>
        <w:jc w:val="left"/>
      </w:pPr>
      <w:r>
        <w:rPr/>
        <w:t>确定该组合依据的说明： 其中：游戏行业按账龄分析法计提坏账准备的应收账款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473" w:space="4447"/>
            <w:col w:w="2010"/>
          </w:cols>
        </w:sectPr>
      </w:pP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1992"/>
        <w:gridCol w:w="3173"/>
        <w:gridCol w:w="2501"/>
        <w:gridCol w:w="1993"/>
      </w:tblGrid>
      <w:tr>
        <w:trPr>
          <w:trHeight w:val="34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76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6" w:hRule="exact"/>
        </w:trPr>
        <w:tc>
          <w:tcPr>
            <w:tcW w:w="1992" w:type="dxa"/>
            <w:tcBorders>
              <w:top w:val="single" w:sz="6" w:space="0" w:color="000000"/>
              <w:left w:val="single" w:sz="6" w:space="0" w:color="000000"/>
              <w:bottom w:val="single" w:sz="6" w:space="0" w:color="000000"/>
              <w:right w:val="single" w:sz="6" w:space="0" w:color="000000"/>
            </w:tcBorders>
          </w:tcPr>
          <w:p>
            <w:pP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个月</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135,658,021.58</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0.00%</w:t>
            </w:r>
          </w:p>
        </w:tc>
      </w:tr>
      <w:tr>
        <w:trPr>
          <w:trHeight w:val="346"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119,321,556.95</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5,966,077.86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5.00%</w:t>
            </w:r>
          </w:p>
        </w:tc>
      </w:tr>
      <w:tr>
        <w:trPr>
          <w:trHeight w:val="34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年以内小计</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254,979,578.53</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5,966,077.86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2.34%</w:t>
            </w:r>
          </w:p>
        </w:tc>
      </w:tr>
      <w:tr>
        <w:trPr>
          <w:trHeight w:val="346"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3,478,773.69</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347,877.37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w:t>
            </w:r>
          </w:p>
        </w:tc>
      </w:tr>
      <w:tr>
        <w:trPr>
          <w:trHeight w:val="34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258,458,352.22</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6,313,955.23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2.44%</w:t>
            </w:r>
          </w:p>
        </w:tc>
      </w:tr>
    </w:tbl>
    <w:p>
      <w:pPr>
        <w:pStyle w:val="BodyText"/>
        <w:spacing w:line="240" w:lineRule="auto" w:before="8"/>
        <w:ind w:right="1133"/>
        <w:jc w:val="left"/>
      </w:pPr>
      <w:r>
        <w:rPr/>
        <w:t>其中：电气及其他按账龄分析法计提坏账准备的应收账款</w:t>
      </w:r>
    </w:p>
    <w:p>
      <w:pPr>
        <w:pStyle w:val="BodyText"/>
        <w:spacing w:line="240" w:lineRule="auto" w:before="76"/>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1995"/>
        <w:gridCol w:w="3111"/>
        <w:gridCol w:w="2561"/>
        <w:gridCol w:w="1993"/>
      </w:tblGrid>
      <w:tr>
        <w:trPr>
          <w:trHeight w:val="348" w:hRule="exact"/>
        </w:trPr>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766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6" w:hRule="exact"/>
        </w:trPr>
        <w:tc>
          <w:tcPr>
            <w:tcW w:w="1995" w:type="dxa"/>
            <w:tcBorders>
              <w:top w:val="single" w:sz="6" w:space="0" w:color="000000"/>
              <w:left w:val="single" w:sz="6" w:space="0" w:color="000000"/>
              <w:bottom w:val="single" w:sz="6" w:space="0" w:color="000000"/>
              <w:right w:val="single" w:sz="6" w:space="0" w:color="000000"/>
            </w:tcBorders>
          </w:tcPr>
          <w:p>
            <w:pP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8" w:hRule="exact"/>
        </w:trPr>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96,985,560.25</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4,849,278.00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5.00%</w:t>
            </w:r>
          </w:p>
        </w:tc>
      </w:tr>
      <w:tr>
        <w:trPr>
          <w:trHeight w:val="348" w:hRule="exact"/>
        </w:trPr>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19,611,876.80</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1,961,187.67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w:t>
            </w:r>
          </w:p>
        </w:tc>
      </w:tr>
      <w:tr>
        <w:trPr>
          <w:trHeight w:val="346" w:hRule="exact"/>
        </w:trPr>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16,378,558.18</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3,275,711.65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20.00%</w:t>
            </w:r>
          </w:p>
        </w:tc>
      </w:tr>
      <w:tr>
        <w:trPr>
          <w:trHeight w:val="348" w:hRule="exact"/>
        </w:trPr>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3,040,908.54</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912,272.57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30.00%</w:t>
            </w:r>
          </w:p>
        </w:tc>
      </w:tr>
      <w:tr>
        <w:trPr>
          <w:trHeight w:val="346" w:hRule="exact"/>
        </w:trPr>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5,140,266.88</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2,056,106.75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40.00%</w:t>
            </w:r>
          </w:p>
        </w:tc>
      </w:tr>
      <w:tr>
        <w:trPr>
          <w:trHeight w:val="348" w:hRule="exact"/>
        </w:trPr>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11,704,665.53</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11,704,665.53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152,861,836.18</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24,759,222.17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16.20%</w:t>
            </w:r>
          </w:p>
        </w:tc>
      </w:tr>
    </w:tbl>
    <w:p>
      <w:pPr>
        <w:pStyle w:val="BodyText"/>
        <w:spacing w:line="240" w:lineRule="auto" w:before="49"/>
        <w:ind w:right="1133"/>
        <w:jc w:val="left"/>
      </w:pPr>
      <w:r>
        <w:rPr/>
        <w:t>组合中，采用余额百分比法计提坏账准备的应收账款：</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after="0" w:line="340" w:lineRule="auto"/>
        <w:jc w:val="left"/>
        <w:sectPr>
          <w:type w:val="continuous"/>
          <w:pgSz w:w="11910" w:h="16840"/>
          <w:pgMar w:top="1060" w:bottom="1160" w:left="980" w:right="0"/>
        </w:sectPr>
      </w:pP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979" w:top="1100" w:bottom="1160" w:left="980" w:right="0"/>
        </w:sectPr>
      </w:pPr>
    </w:p>
    <w:p>
      <w:pPr>
        <w:pStyle w:val="BodyText"/>
        <w:spacing w:line="240" w:lineRule="auto" w:before="44"/>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right="-17"/>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2190"/>
        <w:jc w:val="left"/>
      </w:pPr>
      <w:r>
        <w:rPr/>
        <w:t>本期计提坏账准备金额</w:t>
      </w:r>
      <w:r>
        <w:rPr>
          <w:spacing w:val="-46"/>
        </w:rPr>
        <w:t> </w:t>
      </w:r>
      <w:r>
        <w:rPr>
          <w:rFonts w:ascii="Times New Roman" w:hAnsi="Times New Roman" w:cs="Times New Roman" w:eastAsia="Times New Roman" w:hint="default"/>
        </w:rPr>
        <w:t>7,310,455.37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18,840.88 </w:t>
      </w:r>
      <w:r>
        <w:rPr/>
        <w:t>元。 本期债务重组减少的坏账准备</w:t>
      </w:r>
      <w:r>
        <w:rPr>
          <w:rFonts w:ascii="Times New Roman" w:hAnsi="Times New Roman" w:cs="Times New Roman" w:eastAsia="Times New Roman" w:hint="default"/>
        </w:rPr>
        <w:t>247,059.62</w:t>
      </w:r>
      <w:r>
        <w:rPr/>
        <w:t>元。</w:t>
      </w:r>
    </w:p>
    <w:p>
      <w:pPr>
        <w:pStyle w:val="BodyText"/>
        <w:spacing w:line="215" w:lineRule="exact"/>
        <w:ind w:right="5833"/>
        <w:jc w:val="left"/>
      </w:pPr>
      <w:r>
        <w:rPr>
          <w:rFonts w:ascii="宋体" w:hAnsi="宋体" w:cs="宋体" w:eastAsia="宋体" w:hint="default"/>
        </w:rPr>
        <w:t>3)</w:t>
      </w:r>
      <w:r>
        <w:rPr/>
        <w:t>本期实际核销的应收账款情况</w:t>
      </w:r>
    </w:p>
    <w:p>
      <w:pPr>
        <w:pStyle w:val="BodyText"/>
        <w:spacing w:line="240" w:lineRule="auto" w:before="76"/>
        <w:ind w:right="-17"/>
        <w:jc w:val="left"/>
      </w:pPr>
      <w:r>
        <w:rPr/>
        <w:t>本期无实际核销的应收账款，本期转回前期核销的应收账款</w:t>
      </w:r>
      <w:r>
        <w:rPr>
          <w:rFonts w:ascii="Times New Roman" w:hAnsi="Times New Roman" w:cs="Times New Roman" w:eastAsia="Times New Roman" w:hint="default"/>
        </w:rPr>
        <w:t>7,737.00</w:t>
      </w:r>
      <w:r>
        <w:rPr/>
        <w:t>元。</w:t>
      </w:r>
    </w:p>
    <w:p>
      <w:pPr>
        <w:pStyle w:val="BodyText"/>
        <w:spacing w:line="240" w:lineRule="auto" w:before="103"/>
        <w:ind w:right="-17"/>
        <w:jc w:val="left"/>
      </w:pPr>
      <w:r>
        <w:rPr>
          <w:rFonts w:ascii="Times New Roman" w:hAnsi="Times New Roman" w:cs="Times New Roman" w:eastAsia="Times New Roman" w:hint="default"/>
        </w:rPr>
        <w:t>4)</w:t>
      </w:r>
      <w:r>
        <w:rPr/>
        <w:t>按欠款方归集的期末余额前五名的应收账款情况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BodyText"/>
        <w:spacing w:line="240" w:lineRule="auto"/>
        <w:ind w:left="-35"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1328"/>
        <w:gridCol w:w="1635"/>
        <w:gridCol w:w="1874"/>
        <w:gridCol w:w="1721"/>
        <w:gridCol w:w="1525"/>
        <w:gridCol w:w="1577"/>
      </w:tblGrid>
      <w:tr>
        <w:trPr>
          <w:trHeight w:val="740" w:hRule="exact"/>
        </w:trPr>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9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6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511" w:right="59" w:hanging="449"/>
              <w:jc w:val="left"/>
              <w:rPr>
                <w:rFonts w:ascii="宋体" w:hAnsi="宋体" w:cs="宋体" w:eastAsia="宋体" w:hint="default"/>
                <w:sz w:val="18"/>
                <w:szCs w:val="18"/>
              </w:rPr>
            </w:pPr>
            <w:r>
              <w:rPr>
                <w:rFonts w:ascii="宋体" w:hAnsi="宋体" w:cs="宋体" w:eastAsia="宋体" w:hint="default"/>
                <w:sz w:val="18"/>
                <w:szCs w:val="18"/>
              </w:rPr>
              <w:t>占应收账款期末余 额比例</w:t>
            </w:r>
          </w:p>
        </w:tc>
      </w:tr>
      <w:tr>
        <w:trPr>
          <w:trHeight w:val="427" w:hRule="exact"/>
        </w:trPr>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47,420,408.02</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1,592,957.45</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11.53%</w:t>
            </w:r>
          </w:p>
        </w:tc>
      </w:tr>
      <w:tr>
        <w:trPr>
          <w:trHeight w:val="427" w:hRule="exact"/>
        </w:trPr>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28,579,924.85</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个月</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6.95%</w:t>
            </w:r>
          </w:p>
        </w:tc>
      </w:tr>
      <w:tr>
        <w:trPr>
          <w:trHeight w:val="427" w:hRule="exact"/>
        </w:trPr>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25,000,000.00</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个月</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6.08%</w:t>
            </w:r>
          </w:p>
        </w:tc>
      </w:tr>
      <w:tr>
        <w:trPr>
          <w:trHeight w:val="427" w:hRule="exact"/>
        </w:trPr>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23,472,083.14</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944,227.16</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宋体" w:hAnsi="宋体" w:cs="宋体" w:eastAsia="宋体" w:hint="default"/>
                <w:sz w:val="18"/>
                <w:szCs w:val="18"/>
              </w:rPr>
              <w:t>年</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5.71%</w:t>
            </w:r>
          </w:p>
        </w:tc>
      </w:tr>
      <w:tr>
        <w:trPr>
          <w:trHeight w:val="425" w:hRule="exact"/>
        </w:trPr>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23,353,865.06</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2,505,989.24</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年</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5.68%</w:t>
            </w:r>
          </w:p>
        </w:tc>
      </w:tr>
      <w:tr>
        <w:trPr>
          <w:trHeight w:val="430" w:hRule="exact"/>
        </w:trPr>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z w:val="18"/>
              </w:rPr>
              <w:t>/</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147,826,281.07</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5,043,173.85</w:t>
            </w:r>
          </w:p>
        </w:tc>
        <w:tc>
          <w:tcPr>
            <w:tcW w:w="1525"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35.95%</w:t>
            </w:r>
          </w:p>
        </w:tc>
      </w:tr>
    </w:tbl>
    <w:p>
      <w:pPr>
        <w:pStyle w:val="BodyText"/>
        <w:spacing w:line="240" w:lineRule="auto" w:before="49"/>
        <w:ind w:right="1133"/>
        <w:jc w:val="left"/>
      </w:pPr>
      <w:r>
        <w:rPr>
          <w:rFonts w:ascii="Times New Roman" w:hAnsi="Times New Roman" w:cs="Times New Roman" w:eastAsia="Times New Roman" w:hint="default"/>
        </w:rPr>
        <w:t>5)</w:t>
      </w:r>
      <w:r>
        <w:rPr/>
        <w:t>因金融资产转移而终止确认的应收账款：无</w:t>
      </w:r>
    </w:p>
    <w:p>
      <w:pPr>
        <w:pStyle w:val="BodyText"/>
        <w:spacing w:line="240" w:lineRule="auto" w:before="101"/>
        <w:ind w:right="1133"/>
        <w:jc w:val="left"/>
      </w:pPr>
      <w:r>
        <w:rPr>
          <w:rFonts w:ascii="Times New Roman" w:hAnsi="Times New Roman" w:cs="Times New Roman" w:eastAsia="Times New Roman" w:hint="default"/>
        </w:rPr>
        <w:t>6)</w:t>
      </w:r>
      <w:r>
        <w:rPr/>
        <w:t>转移应收账款且继续涉入形成的资产、负债金额：无</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115,218,474.52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75,452,262.72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99.44%</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16,520,300.35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419,316.34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109,671.70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131,852,766.57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75,875,899.06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4"/>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2076"/>
        <w:gridCol w:w="2638"/>
        <w:gridCol w:w="2580"/>
        <w:gridCol w:w="2365"/>
      </w:tblGrid>
      <w:tr>
        <w:trPr>
          <w:trHeight w:val="346" w:hRule="exact"/>
        </w:trPr>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期末余额（元）</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8" w:hRule="exact"/>
        </w:trPr>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8,000,000.00</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346" w:hRule="exact"/>
        </w:trPr>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3,000,000.00</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348" w:hRule="exact"/>
        </w:trPr>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1,490,955.48</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未到结算时间</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1498"/>
        <w:gridCol w:w="1637"/>
        <w:gridCol w:w="1613"/>
        <w:gridCol w:w="1937"/>
        <w:gridCol w:w="1354"/>
        <w:gridCol w:w="1620"/>
      </w:tblGrid>
      <w:tr>
        <w:trPr>
          <w:trHeight w:val="739"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513" w:right="58" w:hanging="452"/>
              <w:jc w:val="left"/>
              <w:rPr>
                <w:rFonts w:ascii="宋体" w:hAnsi="宋体" w:cs="宋体" w:eastAsia="宋体" w:hint="default"/>
                <w:sz w:val="18"/>
                <w:szCs w:val="18"/>
              </w:rPr>
            </w:pPr>
            <w:r>
              <w:rPr>
                <w:rFonts w:ascii="宋体" w:hAnsi="宋体" w:cs="宋体" w:eastAsia="宋体" w:hint="default"/>
                <w:sz w:val="18"/>
                <w:szCs w:val="18"/>
              </w:rPr>
              <w:t>占预付款项期末余额合 计数的比例</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20" w:right="0"/>
              <w:jc w:val="left"/>
              <w:rPr>
                <w:rFonts w:ascii="宋体" w:hAnsi="宋体" w:cs="宋体" w:eastAsia="宋体" w:hint="default"/>
                <w:sz w:val="18"/>
                <w:szCs w:val="18"/>
              </w:rPr>
            </w:pPr>
            <w:r>
              <w:rPr>
                <w:rFonts w:ascii="宋体" w:hAnsi="宋体" w:cs="宋体" w:eastAsia="宋体" w:hint="default"/>
                <w:sz w:val="18"/>
                <w:szCs w:val="18"/>
              </w:rPr>
              <w:t>预付款时间</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27"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17,960,412.32</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4"/>
              <w:jc w:val="right"/>
              <w:rPr>
                <w:rFonts w:ascii="Times New Roman" w:hAnsi="Times New Roman" w:cs="Times New Roman" w:eastAsia="Times New Roman" w:hint="default"/>
                <w:sz w:val="18"/>
                <w:szCs w:val="18"/>
              </w:rPr>
            </w:pPr>
            <w:r>
              <w:rPr>
                <w:rFonts w:ascii="Times New Roman"/>
                <w:sz w:val="18"/>
              </w:rPr>
              <w:t>13.62%</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427"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9,631,388.40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7.30%</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427"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8,552,706.84</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6.49%</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427"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8,159,187.86</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6.19%</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428"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8,000,000.00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6.07%</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427"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7"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52,303,695.42</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39.67%</w:t>
            </w:r>
          </w:p>
        </w:tc>
        <w:tc>
          <w:tcPr>
            <w:tcW w:w="1354"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592,372.09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370,327.85</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161,138.00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273,279,819.34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39,874,513.41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274,033,329.43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40,244,841.26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592,372.09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249,333.33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120,994.52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592,372.09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370,327.85</w:t>
            </w:r>
          </w:p>
        </w:tc>
      </w:tr>
    </w:tbl>
    <w:p>
      <w:pPr>
        <w:pStyle w:val="BodyText"/>
        <w:spacing w:line="240" w:lineRule="auto" w:before="49"/>
        <w:ind w:right="1133"/>
        <w:jc w:val="left"/>
      </w:pPr>
      <w:r>
        <w:rPr>
          <w:rFonts w:ascii="Times New Roman" w:hAnsi="Times New Roman" w:cs="Times New Roman" w:eastAsia="Times New Roman" w:hint="default"/>
        </w:rPr>
        <w:t>2)</w:t>
      </w:r>
      <w:r>
        <w:rPr/>
        <w:t>重要逾期利息：无</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after="0" w:line="240" w:lineRule="auto"/>
        <w:jc w:val="left"/>
        <w:sectPr>
          <w:pgSz w:w="11910" w:h="16840"/>
          <w:pgMar w:header="0" w:footer="979" w:top="1100" w:bottom="1160" w:left="980" w:right="0"/>
        </w:sectPr>
      </w:pPr>
    </w:p>
    <w:p>
      <w:pPr>
        <w:spacing w:line="240" w:lineRule="auto" w:before="8"/>
        <w:rPr>
          <w:rFonts w:ascii="宋体" w:hAnsi="宋体" w:cs="宋体" w:eastAsia="宋体" w:hint="default"/>
          <w:b/>
          <w:bCs/>
          <w:sz w:val="25"/>
          <w:szCs w:val="25"/>
        </w:rPr>
      </w:pPr>
    </w:p>
    <w:p>
      <w:pPr>
        <w:pStyle w:val="BodyText"/>
        <w:spacing w:line="240" w:lineRule="auto"/>
        <w:ind w:left="140" w:right="-19"/>
        <w:jc w:val="left"/>
      </w:pPr>
      <w:r>
        <w:rPr>
          <w:rFonts w:ascii="Times New Roman" w:hAnsi="Times New Roman" w:cs="Times New Roman" w:eastAsia="Times New Roman" w:hint="default"/>
        </w:rPr>
        <w:t>1)</w:t>
      </w:r>
      <w:r>
        <w:rPr/>
        <w:t>应收股利</w:t>
      </w:r>
    </w:p>
    <w:p>
      <w:pPr>
        <w:pStyle w:val="BodyText"/>
        <w:spacing w:line="240" w:lineRule="auto" w:before="15"/>
        <w:ind w:left="0" w:right="153"/>
        <w:jc w:val="right"/>
      </w:pPr>
      <w:r>
        <w:rPr/>
        <w:br w:type="column"/>
      </w:r>
      <w:r>
        <w:rPr/>
        <w:t>深圳市惠程信息科技股份有限公司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left="0" w:right="155"/>
        <w:jc w:val="right"/>
      </w:pPr>
      <w:r>
        <w:rPr/>
        <w:pict>
          <v:group style="position:absolute;margin-left:70.559998pt;margin-top:-19.148275pt;width:700.95pt;height:.1pt;mso-position-horizontal-relative:page;mso-position-vertical-relative:paragraph;z-index:2152" coordorigin="1411,-383" coordsize="14019,2">
            <v:shape style="position:absolute;left:1411;top:-383;width:14019;height:2" coordorigin="1411,-383" coordsize="14019,0" path="m1411,-383l15430,-383e" filled="false" stroked="true" strokeweight=".72pt" strokecolor="#000000">
              <v:path arrowok="t"/>
            </v:shape>
            <w10:wrap type="none"/>
          </v:group>
        </w:pict>
      </w:r>
      <w:r>
        <w:rPr/>
        <w:t>单位：</w:t>
      </w:r>
      <w:r>
        <w:rPr>
          <w:spacing w:val="1"/>
        </w:rPr>
        <w:t> </w:t>
      </w:r>
      <w:r>
        <w:rPr/>
        <w:t>元</w:t>
      </w:r>
    </w:p>
    <w:p>
      <w:pPr>
        <w:spacing w:after="0" w:line="240" w:lineRule="auto"/>
        <w:jc w:val="right"/>
        <w:sectPr>
          <w:headerReference w:type="default" r:id="rId45"/>
          <w:footerReference w:type="default" r:id="rId46"/>
          <w:pgSz w:w="16840" w:h="11910" w:orient="landscape"/>
          <w:pgMar w:header="0" w:footer="0" w:top="800" w:bottom="0" w:left="1300" w:right="1280"/>
          <w:cols w:num="2" w:equalWidth="0">
            <w:col w:w="1012" w:space="8537"/>
            <w:col w:w="4711"/>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674"/>
        <w:gridCol w:w="4673"/>
        <w:gridCol w:w="4671"/>
      </w:tblGrid>
      <w:tr>
        <w:trPr>
          <w:trHeight w:val="401"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4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银华交易型货币市场基金</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161,138.00</w:t>
            </w:r>
          </w:p>
        </w:tc>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6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161,138.00</w:t>
            </w:r>
          </w:p>
        </w:tc>
        <w:tc>
          <w:tcPr>
            <w:tcW w:w="467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140" w:right="152"/>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年的应收股利：无</w:t>
      </w:r>
    </w:p>
    <w:p>
      <w:pPr>
        <w:spacing w:line="240" w:lineRule="auto" w:before="3"/>
        <w:rPr>
          <w:rFonts w:ascii="宋体" w:hAnsi="宋体" w:cs="宋体" w:eastAsia="宋体" w:hint="default"/>
          <w:sz w:val="26"/>
          <w:szCs w:val="26"/>
        </w:rPr>
      </w:pPr>
    </w:p>
    <w:p>
      <w:pPr>
        <w:pStyle w:val="Heading3"/>
        <w:spacing w:line="240" w:lineRule="auto"/>
        <w:ind w:left="140" w:right="152"/>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152"/>
        <w:jc w:val="left"/>
      </w:pPr>
      <w:r>
        <w:rPr>
          <w:rFonts w:ascii="Times New Roman" w:hAnsi="Times New Roman" w:cs="Times New Roman" w:eastAsia="Times New Roman" w:hint="default"/>
        </w:rPr>
        <w:t>1)</w:t>
      </w:r>
      <w:r>
        <w:rPr/>
        <w:t>其他应收款分类披露</w:t>
      </w:r>
    </w:p>
    <w:p>
      <w:pPr>
        <w:pStyle w:val="BodyText"/>
        <w:spacing w:line="240" w:lineRule="auto" w:before="101"/>
        <w:ind w:left="0" w:right="155"/>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344"/>
        <w:gridCol w:w="1192"/>
        <w:gridCol w:w="1090"/>
        <w:gridCol w:w="1090"/>
        <w:gridCol w:w="1088"/>
        <w:gridCol w:w="1181"/>
        <w:gridCol w:w="1092"/>
        <w:gridCol w:w="1090"/>
        <w:gridCol w:w="1164"/>
        <w:gridCol w:w="1337"/>
        <w:gridCol w:w="1340"/>
      </w:tblGrid>
      <w:tr>
        <w:trPr>
          <w:trHeight w:val="403"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4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2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0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4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2282" w:type="dxa"/>
            <w:gridSpan w:val="2"/>
            <w:vMerge/>
            <w:tcBorders>
              <w:left w:val="single" w:sz="4" w:space="0" w:color="000000"/>
              <w:bottom w:val="single" w:sz="4" w:space="0" w:color="000000"/>
              <w:right w:val="single" w:sz="4" w:space="0" w:color="000000"/>
            </w:tcBorders>
            <w:shd w:val="clear" w:color="auto" w:fill="D2D2D2"/>
          </w:tcPr>
          <w:p>
            <w:pPr/>
          </w:p>
        </w:tc>
        <w:tc>
          <w:tcPr>
            <w:tcW w:w="2177" w:type="dxa"/>
            <w:gridSpan w:val="2"/>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182" w:type="dxa"/>
            <w:gridSpan w:val="2"/>
            <w:vMerge/>
            <w:tcBorders>
              <w:left w:val="single" w:sz="4" w:space="0" w:color="000000"/>
              <w:bottom w:val="single" w:sz="4" w:space="0" w:color="000000"/>
              <w:right w:val="single" w:sz="4" w:space="0" w:color="000000"/>
            </w:tcBorders>
            <w:shd w:val="clear" w:color="auto" w:fill="D2D2D2"/>
          </w:tcPr>
          <w:p>
            <w:pPr/>
          </w:p>
        </w:tc>
        <w:tc>
          <w:tcPr>
            <w:tcW w:w="2501" w:type="dxa"/>
            <w:gridSpan w:val="2"/>
            <w:vMerge/>
            <w:tcBorders>
              <w:left w:val="single" w:sz="4" w:space="0" w:color="000000"/>
              <w:bottom w:val="single" w:sz="4" w:space="0" w:color="000000"/>
              <w:right w:val="single" w:sz="4" w:space="0" w:color="000000"/>
            </w:tcBorders>
            <w:shd w:val="clear" w:color="auto" w:fill="D2D2D2"/>
          </w:tcPr>
          <w:p>
            <w:pPr/>
          </w:p>
        </w:tc>
        <w:tc>
          <w:tcPr>
            <w:tcW w:w="13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2"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11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81" w:type="dxa"/>
            <w:vMerge/>
            <w:tcBorders>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4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33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160"/>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账准备的其他应收款</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24.46%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32,000,000.00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73.02%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60"/>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账准备的其他应收款</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214,251,024.98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74.88%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10,971,205.64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203,279,819.34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8,769,761.78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895,248.37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10.21%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7,874,513.41</w:t>
            </w: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160"/>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坏账准备的其他应收款</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1,889,057.94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1,889,057.94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3,052,733.81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6.97%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3,052,733.81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286,140,082.92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12,860,263.58</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273,279,819.34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43,822,495.59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3,947,982.18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39,874,513.41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76"/>
        <w:ind w:left="6966" w:right="6981"/>
        <w:jc w:val="center"/>
        <w:rPr>
          <w:rFonts w:ascii="Times New Roman" w:hAnsi="Times New Roman" w:cs="Times New Roman" w:eastAsia="Times New Roman" w:hint="default"/>
        </w:rPr>
      </w:pPr>
      <w:r>
        <w:rPr>
          <w:rFonts w:ascii="Times New Roman"/>
        </w:rPr>
        <w:t>140</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2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280"/>
        </w:sectPr>
      </w:pPr>
    </w:p>
    <w:p>
      <w:pPr>
        <w:spacing w:line="240" w:lineRule="auto" w:before="10"/>
        <w:rPr>
          <w:rFonts w:ascii="Times New Roman" w:hAnsi="Times New Roman" w:cs="Times New Roman" w:eastAsia="Times New Roman" w:hint="default"/>
          <w:sz w:val="24"/>
          <w:szCs w:val="24"/>
        </w:rPr>
      </w:pPr>
    </w:p>
    <w:p>
      <w:pPr>
        <w:spacing w:after="0" w:line="240" w:lineRule="auto"/>
        <w:rPr>
          <w:rFonts w:ascii="Times New Roman" w:hAnsi="Times New Roman" w:cs="Times New Roman" w:eastAsia="Times New Roman" w:hint="default"/>
          <w:sz w:val="24"/>
          <w:szCs w:val="24"/>
        </w:rPr>
        <w:sectPr>
          <w:footerReference w:type="default" r:id="rId47"/>
          <w:pgSz w:w="11910" w:h="16840"/>
          <w:pgMar w:footer="979" w:header="0" w:top="1100" w:bottom="1160" w:left="980" w:right="0"/>
          <w:pgNumType w:start="141"/>
        </w:sectPr>
      </w:pPr>
    </w:p>
    <w:p>
      <w:pPr>
        <w:pStyle w:val="BodyText"/>
        <w:spacing w:line="240" w:lineRule="auto" w:before="44"/>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274"/>
        <w:gridCol w:w="852"/>
        <w:gridCol w:w="3617"/>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0"/>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3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按照协议约定于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日前全额收回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广告费保证金不计提坏账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49"/>
        <w:ind w:right="-20"/>
        <w:jc w:val="left"/>
      </w:pPr>
      <w:r>
        <w:rPr/>
        <w:t>组合中，按账龄分析法计提坏账准备的其他应收款：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212,947,307.70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10,647,365.39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212,947,307.70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10,647,365.39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967,629.15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96,762.92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63,341.59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12,668.31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11,719.84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3,515.95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236,929.24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186,795.61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78.84%</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24,097.46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24,097.46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214,251,024.98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10,971,205.64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57" w:lineRule="auto" w:before="49"/>
        <w:ind w:right="-20"/>
        <w:jc w:val="left"/>
      </w:pPr>
      <w:r>
        <w:rPr/>
        <w:t>确定该组合依据的说明： 其中：游戏行业按账龄分析法计提坏账准备的其他应收款：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33" w:space="4087"/>
            <w:col w:w="2010"/>
          </w:cols>
        </w:sectPr>
      </w:pPr>
    </w:p>
    <w:p>
      <w:pPr>
        <w:spacing w:line="240" w:lineRule="auto" w:before="4"/>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2691"/>
        <w:gridCol w:w="2640"/>
        <w:gridCol w:w="1958"/>
        <w:gridCol w:w="2369"/>
      </w:tblGrid>
      <w:tr>
        <w:trPr>
          <w:trHeight w:val="428"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9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5" w:hRule="exact"/>
        </w:trPr>
        <w:tc>
          <w:tcPr>
            <w:tcW w:w="2691" w:type="dxa"/>
            <w:tcBorders>
              <w:top w:val="single" w:sz="6" w:space="0" w:color="000000"/>
              <w:left w:val="single" w:sz="6" w:space="0" w:color="000000"/>
              <w:bottom w:val="single" w:sz="6" w:space="0" w:color="000000"/>
              <w:right w:val="single" w:sz="6" w:space="0" w:color="000000"/>
            </w:tcBorders>
          </w:tcPr>
          <w:p>
            <w:pP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8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27"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379,011.84</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18,950.60</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5.00%</w:t>
            </w:r>
          </w:p>
        </w:tc>
      </w:tr>
      <w:tr>
        <w:trPr>
          <w:trHeight w:val="427"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521,051.00</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52,105.10</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10.00%</w:t>
            </w:r>
          </w:p>
        </w:tc>
      </w:tr>
      <w:tr>
        <w:trPr>
          <w:trHeight w:val="427"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17,000.00</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w w:val="95"/>
                <w:sz w:val="18"/>
              </w:rPr>
              <w:t>3,400.00</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20.00%</w:t>
            </w:r>
          </w:p>
        </w:tc>
      </w:tr>
      <w:tr>
        <w:trPr>
          <w:trHeight w:val="427"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7"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153,373.18</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153,373.18</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7"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1,070,436.02</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227,828.88</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21.28%</w:t>
            </w:r>
          </w:p>
        </w:tc>
      </w:tr>
    </w:tbl>
    <w:p>
      <w:pPr>
        <w:pStyle w:val="BodyText"/>
        <w:spacing w:line="240" w:lineRule="auto" w:before="8"/>
        <w:ind w:right="1133"/>
        <w:jc w:val="left"/>
      </w:pPr>
      <w:r>
        <w:rPr/>
        <w:t>电气及其他按账龄分析法计提坏账准备的其他应收款：</w:t>
      </w:r>
    </w:p>
    <w:p>
      <w:pPr>
        <w:pStyle w:val="BodyText"/>
        <w:spacing w:line="240" w:lineRule="auto" w:before="76"/>
        <w:ind w:left="0" w:right="1131"/>
        <w:jc w:val="right"/>
      </w:pPr>
      <w:r>
        <w:rPr/>
        <w:t>单位：元</w:t>
      </w:r>
    </w:p>
    <w:p>
      <w:pPr>
        <w:spacing w:after="0" w:line="240" w:lineRule="auto"/>
        <w:jc w:val="right"/>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36" w:type="dxa"/>
        <w:tblLayout w:type="fixed"/>
        <w:tblCellMar>
          <w:top w:w="0" w:type="dxa"/>
          <w:left w:w="0" w:type="dxa"/>
          <w:bottom w:w="0" w:type="dxa"/>
          <w:right w:w="0" w:type="dxa"/>
        </w:tblCellMar>
        <w:tblLook w:val="01E0"/>
      </w:tblPr>
      <w:tblGrid>
        <w:gridCol w:w="2689"/>
        <w:gridCol w:w="2640"/>
        <w:gridCol w:w="1958"/>
        <w:gridCol w:w="2372"/>
      </w:tblGrid>
      <w:tr>
        <w:trPr>
          <w:trHeight w:val="428" w:hRule="exact"/>
        </w:trPr>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97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2689" w:type="dxa"/>
            <w:tcBorders>
              <w:top w:val="single" w:sz="6" w:space="0" w:color="000000"/>
              <w:left w:val="single" w:sz="6" w:space="0" w:color="000000"/>
              <w:bottom w:val="single" w:sz="6" w:space="0" w:color="000000"/>
              <w:right w:val="single" w:sz="6" w:space="0" w:color="000000"/>
            </w:tcBorders>
          </w:tcPr>
          <w:p>
            <w:pP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8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27" w:hRule="exact"/>
        </w:trPr>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212,568,295.86</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10,628,414.79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5.00%</w:t>
            </w:r>
          </w:p>
        </w:tc>
      </w:tr>
      <w:tr>
        <w:trPr>
          <w:trHeight w:val="427" w:hRule="exact"/>
        </w:trPr>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446,578.15</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44,657.82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10.00%</w:t>
            </w:r>
          </w:p>
        </w:tc>
      </w:tr>
      <w:tr>
        <w:trPr>
          <w:trHeight w:val="427" w:hRule="exact"/>
        </w:trPr>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46,341.59</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9,268.31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20.00%</w:t>
            </w:r>
          </w:p>
        </w:tc>
      </w:tr>
      <w:tr>
        <w:trPr>
          <w:trHeight w:val="425" w:hRule="exact"/>
        </w:trPr>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11,719.84</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3,515.95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30.00%</w:t>
            </w:r>
          </w:p>
        </w:tc>
      </w:tr>
      <w:tr>
        <w:trPr>
          <w:trHeight w:val="427" w:hRule="exact"/>
        </w:trPr>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83,556.06</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33,422.43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40.00%</w:t>
            </w:r>
          </w:p>
        </w:tc>
      </w:tr>
      <w:tr>
        <w:trPr>
          <w:trHeight w:val="427" w:hRule="exact"/>
        </w:trPr>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24,097.46</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24,097.46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8" w:hRule="exact"/>
        </w:trPr>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213,180,588.96</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10,743,376.76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5.04%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pStyle w:val="BodyText"/>
        <w:spacing w:line="240" w:lineRule="auto" w:before="49"/>
        <w:ind w:right="-20"/>
        <w:jc w:val="left"/>
      </w:pPr>
      <w:r>
        <w:rPr/>
        <w:t>组合中，采用余额百分比法计提坏账准备的其他应收款：</w:t>
      </w:r>
    </w:p>
    <w:p>
      <w:pPr>
        <w:pStyle w:val="BodyText"/>
        <w:spacing w:line="338" w:lineRule="auto" w:before="117"/>
        <w:ind w:right="3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43"/>
        <w:ind w:right="3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单项金额不重大但单独计提坏账准备其他应收账款：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1"/>
        <w:ind w:right="0"/>
        <w:jc w:val="left"/>
      </w:pPr>
      <w:r>
        <w:rPr/>
        <w:t>单位：元</w:t>
      </w:r>
    </w:p>
    <w:p>
      <w:pPr>
        <w:spacing w:after="0" w:line="240" w:lineRule="auto"/>
        <w:jc w:val="left"/>
        <w:sectPr>
          <w:type w:val="continuous"/>
          <w:pgSz w:w="11910" w:h="16840"/>
          <w:pgMar w:top="1060" w:bottom="1160" w:left="980" w:right="0"/>
          <w:cols w:num="2" w:equalWidth="0">
            <w:col w:w="4653" w:space="4267"/>
            <w:col w:w="2010"/>
          </w:cols>
        </w:sectPr>
      </w:pP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626"/>
        <w:gridCol w:w="2367"/>
        <w:gridCol w:w="2352"/>
        <w:gridCol w:w="2314"/>
      </w:tblGrid>
      <w:tr>
        <w:trPr>
          <w:trHeight w:val="427" w:hRule="exact"/>
        </w:trPr>
        <w:tc>
          <w:tcPr>
            <w:tcW w:w="2626" w:type="dxa"/>
            <w:vMerge w:val="restart"/>
            <w:tcBorders>
              <w:top w:val="single" w:sz="6" w:space="0" w:color="000000"/>
              <w:left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703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8" w:hRule="exact"/>
        </w:trPr>
        <w:tc>
          <w:tcPr>
            <w:tcW w:w="2626" w:type="dxa"/>
            <w:vMerge/>
            <w:tcBorders>
              <w:left w:val="single" w:sz="6" w:space="0" w:color="000000"/>
              <w:bottom w:val="single" w:sz="6" w:space="0" w:color="000000"/>
              <w:right w:val="single" w:sz="6" w:space="0" w:color="000000"/>
            </w:tcBorders>
          </w:tcPr>
          <w:p>
            <w:pP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7" w:hRule="exact"/>
        </w:trPr>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长期挂账预付款组合</w:t>
            </w: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1,252,561.44</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1,252,561.44</w:t>
            </w:r>
          </w:p>
        </w:tc>
      </w:tr>
      <w:tr>
        <w:trPr>
          <w:trHeight w:val="425" w:hRule="exact"/>
        </w:trPr>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业务费组合</w:t>
            </w: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334,559.50</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334,559.50</w:t>
            </w:r>
          </w:p>
        </w:tc>
      </w:tr>
      <w:tr>
        <w:trPr>
          <w:trHeight w:val="427" w:hRule="exact"/>
        </w:trPr>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认证费组合</w:t>
            </w: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301,937.00</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301,937.00</w:t>
            </w:r>
          </w:p>
        </w:tc>
      </w:tr>
      <w:tr>
        <w:trPr>
          <w:trHeight w:val="430" w:hRule="exact"/>
        </w:trPr>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1,889,057.94</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1,889,057.94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49"/>
        <w:ind w:right="-7"/>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1"/>
        <w:ind w:right="-7"/>
        <w:jc w:val="left"/>
      </w:pPr>
      <w:r>
        <w:rPr/>
        <w:t>本期计提坏账准备金额</w:t>
      </w:r>
      <w:r>
        <w:rPr>
          <w:spacing w:val="-48"/>
        </w:rPr>
        <w:t> </w:t>
      </w:r>
      <w:r>
        <w:rPr>
          <w:rFonts w:ascii="Times New Roman" w:hAnsi="Times New Roman" w:cs="Times New Roman" w:eastAsia="Times New Roman" w:hint="default"/>
        </w:rPr>
        <w:t>10,303,577.10</w:t>
      </w:r>
      <w:r>
        <w:rPr>
          <w:rFonts w:ascii="Times New Roman" w:hAnsi="Times New Roman" w:cs="Times New Roman" w:eastAsia="Times New Roman" w:hint="default"/>
          <w:spacing w:val="-1"/>
        </w:rPr>
        <w:t> </w:t>
      </w:r>
      <w:r>
        <w:rPr/>
        <w:t>元；本期收回或转回坏账准备金额</w:t>
      </w:r>
      <w:r>
        <w:rPr>
          <w:spacing w:val="-49"/>
        </w:rPr>
        <w:t> </w:t>
      </w:r>
      <w:r>
        <w:rPr>
          <w:rFonts w:ascii="Times New Roman" w:hAnsi="Times New Roman" w:cs="Times New Roman" w:eastAsia="Times New Roman" w:hint="default"/>
        </w:rPr>
        <w:t>1,391,295.70</w:t>
      </w:r>
      <w:r>
        <w:rPr>
          <w:rFonts w:ascii="Times New Roman" w:hAnsi="Times New Roman" w:cs="Times New Roman" w:eastAsia="Times New Roman" w:hint="default"/>
          <w:spacing w:val="-1"/>
        </w:rPr>
        <w:t> </w:t>
      </w:r>
      <w:r>
        <w:rPr/>
        <w:t>元。</w:t>
      </w:r>
    </w:p>
    <w:p>
      <w:pPr>
        <w:pStyle w:val="BodyText"/>
        <w:spacing w:line="240" w:lineRule="auto" w:before="103"/>
        <w:ind w:right="-7"/>
        <w:jc w:val="left"/>
      </w:pPr>
      <w:r>
        <w:rPr>
          <w:rFonts w:ascii="Times New Roman" w:hAnsi="Times New Roman" w:cs="Times New Roman" w:eastAsia="Times New Roman" w:hint="default"/>
        </w:rPr>
        <w:t>3)</w:t>
      </w:r>
      <w:r>
        <w:rPr/>
        <w:t>本期实际核销的其他应收款情况：无</w:t>
      </w:r>
    </w:p>
    <w:p>
      <w:pPr>
        <w:pStyle w:val="BodyText"/>
        <w:spacing w:line="240" w:lineRule="auto" w:before="101"/>
        <w:ind w:right="-7"/>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7177" w:space="1652"/>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广告投放保证金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爱酷游诚意金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3,738,220.80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6,487,937.70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2,499,934.17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1,563,051.42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1,255,564.87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1,565,047.94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1,054,795.73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970,077.90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43,428.57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187,785.14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334,559.50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132,474.04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213,579.28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916,121.45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286,140,082.92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43,822,495.59</w:t>
            </w:r>
          </w:p>
        </w:tc>
      </w:tr>
    </w:tbl>
    <w:p>
      <w:pPr>
        <w:pStyle w:val="BodyText"/>
        <w:spacing w:line="240" w:lineRule="auto" w:before="49"/>
        <w:ind w:right="1133"/>
        <w:jc w:val="left"/>
      </w:pPr>
      <w:r>
        <w:rPr/>
        <w:t>其他说明：</w:t>
      </w:r>
    </w:p>
    <w:p>
      <w:pPr>
        <w:pStyle w:val="BodyText"/>
        <w:spacing w:line="240" w:lineRule="auto" w:before="115"/>
        <w:ind w:left="436" w:right="1133"/>
        <w:jc w:val="left"/>
      </w:pPr>
      <w:r>
        <w:rPr>
          <w:rFonts w:ascii="Times New Roman" w:hAnsi="Times New Roman" w:cs="Times New Roman" w:eastAsia="Times New Roman" w:hint="default"/>
        </w:rPr>
        <w:t>1</w:t>
      </w:r>
      <w:r>
        <w:rPr/>
        <w:t>、经</w:t>
      </w:r>
      <w:r>
        <w:rPr>
          <w:spacing w:val="-46"/>
        </w:rPr>
        <w:t> </w:t>
      </w:r>
      <w:r>
        <w:rPr>
          <w:rFonts w:ascii="Times New Roman" w:hAnsi="Times New Roman" w:cs="Times New Roman" w:eastAsia="Times New Roman" w:hint="default"/>
        </w:rPr>
        <w:t>2018 </w:t>
      </w:r>
      <w:r>
        <w:rPr/>
        <w:t>年</w:t>
      </w:r>
      <w:r>
        <w:rPr>
          <w:spacing w:val="-48"/>
        </w:rPr>
        <w:t> </w:t>
      </w:r>
      <w:r>
        <w:rPr>
          <w:rFonts w:ascii="Times New Roman" w:hAnsi="Times New Roman" w:cs="Times New Roman" w:eastAsia="Times New Roman" w:hint="default"/>
        </w:rPr>
        <w:t>6 </w:t>
      </w:r>
      <w:r>
        <w:rPr/>
        <w:t>月</w:t>
      </w:r>
      <w:r>
        <w:rPr>
          <w:spacing w:val="-48"/>
        </w:rPr>
        <w:t> </w:t>
      </w:r>
      <w:r>
        <w:rPr>
          <w:rFonts w:ascii="Times New Roman" w:hAnsi="Times New Roman" w:cs="Times New Roman" w:eastAsia="Times New Roman" w:hint="default"/>
        </w:rPr>
        <w:t>8 </w:t>
      </w:r>
      <w:r>
        <w:rPr/>
        <w:t>日公司第六届董事会第十八次会议、</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25 </w:t>
      </w:r>
      <w:r>
        <w:rPr/>
        <w:t>日公司第四次临时股东大会审议批准，公司将</w:t>
      </w:r>
    </w:p>
    <w:p>
      <w:pPr>
        <w:pStyle w:val="BodyText"/>
        <w:spacing w:line="240" w:lineRule="auto" w:before="63"/>
        <w:ind w:right="1133"/>
        <w:jc w:val="left"/>
      </w:pPr>
      <w:r>
        <w:rPr/>
        <w:t>在北京信中利赞信股权投资中心（有限合伙</w:t>
      </w:r>
      <w:r>
        <w:rPr>
          <w:spacing w:val="-92"/>
        </w:rPr>
        <w:t>）</w:t>
      </w:r>
      <w:r>
        <w:rPr/>
        <w:t>（以下简称“</w:t>
      </w:r>
      <w:r>
        <w:rPr>
          <w:spacing w:val="2"/>
        </w:rPr>
        <w:t>信</w:t>
      </w:r>
      <w:r>
        <w:rPr/>
        <w:t>中利赞信</w:t>
      </w:r>
      <w:r>
        <w:rPr>
          <w:spacing w:val="-92"/>
        </w:rPr>
        <w:t>”</w:t>
      </w:r>
      <w:r>
        <w:rPr/>
        <w:t>）中的</w:t>
      </w:r>
      <w:r>
        <w:rPr>
          <w:spacing w:val="-43"/>
        </w:rPr>
        <w:t> </w:t>
      </w:r>
      <w:r>
        <w:rPr>
          <w:rFonts w:ascii="Times New Roman" w:hAnsi="Times New Roman" w:cs="Times New Roman" w:eastAsia="Times New Roman" w:hint="default"/>
          <w:spacing w:val="1"/>
        </w:rPr>
        <w:t>29</w:t>
      </w:r>
      <w:r>
        <w:rPr>
          <w:rFonts w:ascii="Times New Roman" w:hAnsi="Times New Roman" w:cs="Times New Roman" w:eastAsia="Times New Roman" w:hint="default"/>
        </w:rPr>
        <w:t>,</w:t>
      </w:r>
      <w:r>
        <w:rPr>
          <w:rFonts w:ascii="Times New Roman" w:hAnsi="Times New Roman" w:cs="Times New Roman" w:eastAsia="Times New Roman" w:hint="default"/>
          <w:spacing w:val="-2"/>
        </w:rPr>
        <w:t>00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w:t>
      </w:r>
      <w:r>
        <w:rPr>
          <w:spacing w:val="-3"/>
        </w:rPr>
        <w:t>元</w:t>
      </w:r>
      <w:r>
        <w:rPr/>
        <w:t>出资份额及对应的财产份额转让</w:t>
      </w:r>
    </w:p>
    <w:p>
      <w:pPr>
        <w:pStyle w:val="BodyText"/>
        <w:spacing w:line="240" w:lineRule="auto" w:before="63"/>
        <w:ind w:right="0"/>
        <w:jc w:val="left"/>
        <w:rPr>
          <w:rFonts w:ascii="Times New Roman" w:hAnsi="Times New Roman" w:cs="Times New Roman" w:eastAsia="Times New Roman" w:hint="default"/>
        </w:rPr>
      </w:pPr>
      <w:r>
        <w:rPr/>
        <w:t>给非关联方宁波梅山保税港区元俊投资管理有限公司（以下简称“元俊投资</w:t>
      </w:r>
      <w:r>
        <w:rPr>
          <w:spacing w:val="-92"/>
        </w:rPr>
        <w:t>”）</w:t>
      </w:r>
      <w:r>
        <w:rPr/>
        <w:t>，转让金</w:t>
      </w:r>
      <w:r>
        <w:rPr>
          <w:spacing w:val="2"/>
        </w:rPr>
        <w:t>额</w:t>
      </w:r>
      <w:r>
        <w:rPr/>
        <w:t>为</w:t>
      </w:r>
      <w:r>
        <w:rPr>
          <w:spacing w:val="-43"/>
        </w:rPr>
        <w:t> </w:t>
      </w:r>
      <w:r>
        <w:rPr>
          <w:rFonts w:ascii="Times New Roman" w:hAnsi="Times New Roman" w:cs="Times New Roman" w:eastAsia="Times New Roman" w:hint="default"/>
          <w:spacing w:val="1"/>
        </w:rPr>
        <w:t>45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万元。元俊投资于</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p>
    <w:p>
      <w:pPr>
        <w:pStyle w:val="BodyText"/>
        <w:spacing w:line="240" w:lineRule="auto" w:before="63"/>
        <w:ind w:right="1133"/>
        <w:jc w:val="left"/>
      </w:pP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日支付</w:t>
      </w:r>
      <w:r>
        <w:rPr>
          <w:spacing w:val="-47"/>
        </w:rPr>
        <w:t> </w:t>
      </w:r>
      <w:r>
        <w:rPr>
          <w:rFonts w:ascii="Times New Roman" w:hAnsi="Times New Roman" w:cs="Times New Roman" w:eastAsia="Times New Roman" w:hint="default"/>
        </w:rPr>
        <w:t>23,300 </w:t>
      </w:r>
      <w:r>
        <w:rPr/>
        <w:t>万元，于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日支付</w:t>
      </w:r>
      <w:r>
        <w:rPr>
          <w:spacing w:val="-47"/>
        </w:rPr>
        <w:t> </w:t>
      </w:r>
      <w:r>
        <w:rPr>
          <w:rFonts w:ascii="Times New Roman" w:hAnsi="Times New Roman" w:cs="Times New Roman" w:eastAsia="Times New Roman" w:hint="default"/>
        </w:rPr>
        <w:t>1,500 </w:t>
      </w:r>
      <w:r>
        <w:rPr/>
        <w:t>万元，截止本报告期末，尚有</w:t>
      </w:r>
      <w:r>
        <w:rPr>
          <w:spacing w:val="-47"/>
        </w:rPr>
        <w:t> </w:t>
      </w:r>
      <w:r>
        <w:rPr>
          <w:rFonts w:ascii="Times New Roman" w:hAnsi="Times New Roman" w:cs="Times New Roman" w:eastAsia="Times New Roman" w:hint="default"/>
        </w:rPr>
        <w:t>10,700 </w:t>
      </w:r>
      <w:r>
        <w:rPr/>
        <w:t>万元未支付；元俊投</w:t>
      </w:r>
    </w:p>
    <w:p>
      <w:pPr>
        <w:pStyle w:val="BodyText"/>
        <w:spacing w:line="240" w:lineRule="auto" w:before="63"/>
        <w:ind w:right="1133"/>
        <w:jc w:val="left"/>
      </w:pPr>
      <w:r>
        <w:rPr/>
        <w:t>资于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25 </w:t>
      </w:r>
      <w:r>
        <w:rPr/>
        <w:t>日支付</w:t>
      </w:r>
      <w:r>
        <w:rPr>
          <w:spacing w:val="-48"/>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t>万元，截止本报告披露日，尚有</w:t>
      </w:r>
      <w:r>
        <w:rPr>
          <w:spacing w:val="-46"/>
        </w:rPr>
        <w:t> </w:t>
      </w:r>
      <w:r>
        <w:rPr>
          <w:rFonts w:ascii="Times New Roman" w:hAnsi="Times New Roman" w:cs="Times New Roman" w:eastAsia="Times New Roman" w:hint="default"/>
        </w:rPr>
        <w:t>10,700</w:t>
      </w:r>
      <w:r>
        <w:rPr>
          <w:rFonts w:ascii="Times New Roman" w:hAnsi="Times New Roman" w:cs="Times New Roman" w:eastAsia="Times New Roman" w:hint="default"/>
          <w:spacing w:val="1"/>
        </w:rPr>
        <w:t> </w:t>
      </w:r>
      <w:r>
        <w:rPr/>
        <w:t>万元未支付。</w:t>
      </w:r>
    </w:p>
    <w:p>
      <w:pPr>
        <w:pStyle w:val="BodyText"/>
        <w:spacing w:line="300" w:lineRule="auto" w:before="103"/>
        <w:ind w:right="1121" w:firstLine="283"/>
        <w:jc w:val="left"/>
        <w:rPr>
          <w:rFonts w:ascii="Times New Roman" w:hAnsi="Times New Roman" w:cs="Times New Roman" w:eastAsia="Times New Roman" w:hint="default"/>
        </w:rPr>
      </w:pPr>
      <w:r>
        <w:rPr>
          <w:rFonts w:ascii="Times New Roman" w:hAnsi="Times New Roman" w:cs="Times New Roman" w:eastAsia="Times New Roman" w:hint="default"/>
          <w:spacing w:val="-2"/>
        </w:rPr>
        <w:t>2</w:t>
      </w:r>
      <w:r>
        <w:rPr>
          <w:spacing w:val="-2"/>
        </w:rPr>
        <w:t>、为确保收购北京爱酷游科技股份有限公司（以下简称“爱酷游”）控制权的重大资产重组事项顺利进行，公司与爱酷</w:t>
      </w:r>
      <w:r>
        <w:rPr/>
        <w:t> </w:t>
      </w:r>
      <w:r>
        <w:rPr>
          <w:spacing w:val="-2"/>
        </w:rPr>
        <w:t>游及其实际控制人郭鹏先生、张强先生签署《合作意向书之补充协议》，约定公司向郭鹏先生支付人民币</w:t>
      </w:r>
      <w:r>
        <w:rPr>
          <w:spacing w:val="-41"/>
        </w:rPr>
        <w:t> </w:t>
      </w:r>
      <w:r>
        <w:rPr>
          <w:rFonts w:ascii="Times New Roman" w:hAnsi="Times New Roman" w:cs="Times New Roman" w:eastAsia="Times New Roman" w:hint="default"/>
          <w:spacing w:val="-1"/>
        </w:rPr>
        <w:t>5,000</w:t>
      </w:r>
      <w:r>
        <w:rPr>
          <w:rFonts w:ascii="Times New Roman" w:hAnsi="Times New Roman" w:cs="Times New Roman" w:eastAsia="Times New Roman" w:hint="default"/>
          <w:spacing w:val="4"/>
        </w:rPr>
        <w:t> </w:t>
      </w:r>
      <w:r>
        <w:rPr>
          <w:spacing w:val="-2"/>
        </w:rPr>
        <w:t>万元的诚意</w:t>
      </w:r>
      <w:r>
        <w:rPr>
          <w:spacing w:val="-87"/>
        </w:rPr>
        <w:t> </w:t>
      </w:r>
      <w:r>
        <w:rPr>
          <w:spacing w:val="-87"/>
        </w:rPr>
      </w:r>
      <w:r>
        <w:rPr/>
        <w:t>金，同时郭鹏先生将其所持爱酷游</w:t>
      </w:r>
      <w:r>
        <w:rPr>
          <w:spacing w:val="-46"/>
        </w:rPr>
        <w:t> </w:t>
      </w:r>
      <w:r>
        <w:rPr>
          <w:rFonts w:ascii="Times New Roman" w:hAnsi="Times New Roman" w:cs="Times New Roman" w:eastAsia="Times New Roman" w:hint="default"/>
        </w:rPr>
        <w:t>19.61%</w:t>
      </w:r>
      <w:r>
        <w:rPr/>
        <w:t>的股份质押给公司。</w:t>
      </w:r>
      <w:r>
        <w:rPr>
          <w:rFonts w:ascii="Times New Roman" w:hAnsi="Times New Roman" w:cs="Times New Roman" w:eastAsia="Times New Roman" w:hint="default"/>
        </w:rPr>
        <w:t>2018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月公司与交易对方协商一致，决定终止收购爱酷 </w:t>
      </w:r>
      <w:r>
        <w:rPr>
          <w:spacing w:val="-3"/>
        </w:rPr>
        <w:t>游控制权的重大资产重组事项。根据公司与郭鹏先生、张强先生签署的《合作意向书之终止协议》，郭鹏先生已于</w:t>
      </w:r>
      <w:r>
        <w:rPr/>
        <w:t> </w:t>
      </w:r>
      <w:r>
        <w:rPr>
          <w:rFonts w:ascii="Times New Roman" w:hAnsi="Times New Roman" w:cs="Times New Roman" w:eastAsia="Times New Roman" w:hint="default"/>
        </w:rPr>
        <w:t>2019 </w:t>
      </w:r>
      <w:r>
        <w:rPr/>
        <w:t>年</w:t>
      </w:r>
      <w:r>
        <w:rPr>
          <w:spacing w:val="-72"/>
        </w:rPr>
        <w:t> </w:t>
      </w:r>
      <w:r>
        <w:rPr>
          <w:rFonts w:ascii="Times New Roman" w:hAnsi="Times New Roman" w:cs="Times New Roman" w:eastAsia="Times New Roman" w:hint="default"/>
        </w:rPr>
        <w:t>1</w:t>
      </w:r>
    </w:p>
    <w:p>
      <w:pPr>
        <w:pStyle w:val="BodyText"/>
        <w:spacing w:line="300" w:lineRule="auto" w:before="13"/>
        <w:ind w:right="1123"/>
        <w:jc w:val="left"/>
      </w:pP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日前向公司退还人民币</w:t>
      </w:r>
      <w:r>
        <w:rPr>
          <w:spacing w:val="-45"/>
        </w:rPr>
        <w:t> </w:t>
      </w:r>
      <w:r>
        <w:rPr>
          <w:rFonts w:ascii="Times New Roman" w:hAnsi="Times New Roman" w:cs="Times New Roman" w:eastAsia="Times New Roman" w:hint="default"/>
        </w:rPr>
        <w:t>5,000</w:t>
      </w:r>
      <w:r>
        <w:rPr>
          <w:rFonts w:ascii="Times New Roman" w:hAnsi="Times New Roman" w:cs="Times New Roman" w:eastAsia="Times New Roman" w:hint="default"/>
          <w:spacing w:val="2"/>
        </w:rPr>
        <w:t> </w:t>
      </w:r>
      <w:r>
        <w:rPr>
          <w:spacing w:val="-4"/>
        </w:rPr>
        <w:t>万元的诚意金，同时公司于</w:t>
      </w:r>
      <w:r>
        <w:rPr>
          <w:spacing w:val="-45"/>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日办理完郭鹏先生出质的爱酷游股份解除质押 的手续。</w:t>
      </w:r>
    </w:p>
    <w:p>
      <w:pPr>
        <w:pStyle w:val="BodyText"/>
        <w:spacing w:line="240" w:lineRule="auto" w:before="70"/>
        <w:ind w:right="1133"/>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爱酷游诚意金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广告投放保证金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1,141,320.00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57,066.00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278,741,320.00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97.41%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10,437,066.00</w:t>
            </w:r>
          </w:p>
        </w:tc>
      </w:tr>
    </w:tbl>
    <w:p>
      <w:pPr>
        <w:pStyle w:val="BodyText"/>
        <w:spacing w:line="240" w:lineRule="auto" w:before="49"/>
        <w:ind w:right="1133"/>
        <w:jc w:val="left"/>
      </w:pPr>
      <w:r>
        <w:rPr>
          <w:rFonts w:ascii="Times New Roman" w:hAnsi="Times New Roman" w:cs="Times New Roman" w:eastAsia="Times New Roman" w:hint="default"/>
        </w:rPr>
        <w:t>6)</w:t>
      </w:r>
      <w:r>
        <w:rPr/>
        <w:t>涉及政府补助的应收款项：无</w:t>
      </w:r>
    </w:p>
    <w:p>
      <w:pPr>
        <w:pStyle w:val="BodyText"/>
        <w:spacing w:line="240" w:lineRule="auto" w:before="103"/>
        <w:ind w:right="1133"/>
        <w:jc w:val="left"/>
      </w:pPr>
      <w:r>
        <w:rPr>
          <w:rFonts w:ascii="Times New Roman" w:hAnsi="Times New Roman" w:cs="Times New Roman" w:eastAsia="Times New Roman" w:hint="default"/>
        </w:rPr>
        <w:t>7)</w:t>
      </w:r>
      <w:r>
        <w:rPr/>
        <w:t>因金融资产转移而终止确认的其他应收款：无</w:t>
      </w:r>
    </w:p>
    <w:p>
      <w:pPr>
        <w:pStyle w:val="BodyText"/>
        <w:spacing w:line="240" w:lineRule="auto" w:before="101"/>
        <w:ind w:right="1133"/>
        <w:jc w:val="left"/>
      </w:pPr>
      <w:r>
        <w:rPr>
          <w:rFonts w:ascii="Times New Roman" w:hAnsi="Times New Roman" w:cs="Times New Roman" w:eastAsia="Times New Roman" w:hint="default"/>
        </w:rPr>
        <w:t>8)</w:t>
      </w:r>
      <w:r>
        <w:rPr/>
        <w:t>转移其他应收款且继续涉入形成的资产、负债金额：无</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514"/>
        <w:jc w:val="left"/>
      </w:pPr>
      <w:r>
        <w:rPr/>
        <w:t>公司是否需要遵守房地产行业的披露要求 否</w:t>
      </w:r>
    </w:p>
    <w:p>
      <w:pPr>
        <w:spacing w:after="0" w:line="360" w:lineRule="auto"/>
        <w:jc w:val="left"/>
        <w:sectPr>
          <w:pgSz w:w="11910" w:h="16840"/>
          <w:pgMar w:header="0"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8"/>
        <w:gridCol w:w="1379"/>
        <w:gridCol w:w="1368"/>
        <w:gridCol w:w="1366"/>
        <w:gridCol w:w="1368"/>
        <w:gridCol w:w="1366"/>
        <w:gridCol w:w="1368"/>
      </w:tblGrid>
      <w:tr>
        <w:trPr>
          <w:trHeight w:val="206"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17,100,369.28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857,680.54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16,242,688.74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19,370,589.05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940,953.18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18,429,635.87</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5,387,689.37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5,387,689.37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6,996,477.39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6,996,477.39</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11,114,017.27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61,017.81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11,052,999.46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9,269,621.72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61,017.81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9,208,603.91</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21,533,109.06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1,748,632.49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19,784,476.57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13,670,174.24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1,145,689.78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12,524,484.46</w:t>
            </w:r>
          </w:p>
        </w:tc>
      </w:tr>
      <w:tr>
        <w:trPr>
          <w:trHeight w:val="40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13,939,411.65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1,419,706.13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12,519,705.52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16,462,838.18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1,493,266.13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14,969,572.05</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69,074,596.63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4,087,036.97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64,987,559.66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65,769,700.58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3,640,926.90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62,128,773.68</w:t>
            </w:r>
          </w:p>
        </w:tc>
      </w:tr>
    </w:tbl>
    <w:p>
      <w:pPr>
        <w:pStyle w:val="BodyText"/>
        <w:spacing w:line="340" w:lineRule="auto" w:before="49"/>
        <w:ind w:right="2203"/>
        <w:jc w:val="left"/>
      </w:pPr>
      <w:r>
        <w:rPr/>
        <w:t>公司是否需遵守《深圳证券交易所行业信息披露指引第 </w:t>
      </w:r>
      <w:r>
        <w:rPr>
          <w:rFonts w:ascii="Times New Roman" w:hAnsi="Times New Roman" w:cs="Times New Roman" w:eastAsia="Times New Roman" w:hint="default"/>
        </w:rPr>
        <w:t>4 </w:t>
      </w:r>
      <w:r>
        <w:rPr/>
        <w:t>号</w:t>
      </w:r>
      <w:r>
        <w:rPr>
          <w:rFonts w:ascii="Times New Roman" w:hAnsi="Times New Roman" w:cs="Times New Roman" w:eastAsia="Times New Roman" w:hint="default"/>
        </w:rPr>
        <w:t>—</w:t>
      </w:r>
      <w:r>
        <w:rPr/>
        <w:t>上市公司从事种业、种植业务》的披露要求</w:t>
      </w:r>
      <w:r>
        <w:rPr>
          <w:spacing w:val="-44"/>
        </w:rPr>
        <w:t> </w:t>
      </w:r>
      <w:r>
        <w:rPr/>
        <w:t>否</w:t>
      </w:r>
      <w:r>
        <w:rPr/>
        <w:t> 公司需遵守《深圳证券交易所行业信息披露指引第 </w:t>
      </w:r>
      <w:r>
        <w:rPr>
          <w:rFonts w:ascii="Times New Roman" w:hAnsi="Times New Roman" w:cs="Times New Roman" w:eastAsia="Times New Roman" w:hint="default"/>
          <w:spacing w:val="-3"/>
        </w:rPr>
        <w:t>11 </w:t>
      </w:r>
      <w:r>
        <w:rPr/>
        <w:t>号</w:t>
      </w:r>
      <w:r>
        <w:rPr>
          <w:rFonts w:ascii="Times New Roman" w:hAnsi="Times New Roman" w:cs="Times New Roman" w:eastAsia="Times New Roman" w:hint="default"/>
        </w:rPr>
        <w:t>——</w:t>
      </w:r>
      <w:r>
        <w:rPr/>
        <w:t>上市公司从事珠宝相关业务》的披露要求</w:t>
      </w:r>
      <w:r>
        <w:rPr>
          <w:spacing w:val="-41"/>
        </w:rPr>
        <w:t> </w:t>
      </w:r>
      <w:r>
        <w:rPr/>
        <w:t>否</w:t>
      </w:r>
    </w:p>
    <w:p>
      <w:pPr>
        <w:spacing w:line="240" w:lineRule="auto" w:before="7"/>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940,953.18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83,272.64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857,680.54</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61,017.81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61,017.81</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1,145,689.78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602,942.71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1,748,632.49</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1,493,266.13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1,419,706.13</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3,640,926.90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602,942.71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156,832.64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4,087,036.97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100,945,318.21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170,289,864.18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13,537,812.38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6,120,347.69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预付房租及物业费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125,023.95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214,485.82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待摊广告费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659,235.95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141,176.45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其他预付款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1,864.42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4,188.30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115,269,254.91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184,600,062.44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其中：金融理财产品明细</w:t>
      </w:r>
    </w:p>
    <w:p>
      <w:pPr>
        <w:spacing w:line="240" w:lineRule="auto" w:before="2"/>
        <w:rPr>
          <w:rFonts w:ascii="宋体" w:hAnsi="宋体" w:cs="宋体" w:eastAsia="宋体" w:hint="default"/>
          <w:sz w:val="17"/>
          <w:szCs w:val="17"/>
        </w:rPr>
      </w:pPr>
    </w:p>
    <w:tbl>
      <w:tblPr>
        <w:tblW w:w="0" w:type="auto"/>
        <w:jc w:val="left"/>
        <w:tblInd w:w="136" w:type="dxa"/>
        <w:tblLayout w:type="fixed"/>
        <w:tblCellMar>
          <w:top w:w="0" w:type="dxa"/>
          <w:left w:w="0" w:type="dxa"/>
          <w:bottom w:w="0" w:type="dxa"/>
          <w:right w:w="0" w:type="dxa"/>
        </w:tblCellMar>
        <w:tblLook w:val="01E0"/>
      </w:tblPr>
      <w:tblGrid>
        <w:gridCol w:w="3968"/>
        <w:gridCol w:w="2669"/>
        <w:gridCol w:w="3022"/>
      </w:tblGrid>
      <w:tr>
        <w:trPr>
          <w:trHeight w:val="427"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98" w:right="0"/>
              <w:jc w:val="left"/>
              <w:rPr>
                <w:rFonts w:ascii="宋体" w:hAnsi="宋体" w:cs="宋体" w:eastAsia="宋体" w:hint="default"/>
                <w:sz w:val="18"/>
                <w:szCs w:val="18"/>
              </w:rPr>
            </w:pPr>
            <w:r>
              <w:rPr>
                <w:rFonts w:ascii="宋体" w:hAnsi="宋体" w:cs="宋体" w:eastAsia="宋体" w:hint="default"/>
                <w:sz w:val="18"/>
                <w:szCs w:val="18"/>
              </w:rPr>
              <w:t>年末余额（元）</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873" w:right="0"/>
              <w:jc w:val="left"/>
              <w:rPr>
                <w:rFonts w:ascii="宋体" w:hAnsi="宋体" w:cs="宋体" w:eastAsia="宋体" w:hint="default"/>
                <w:sz w:val="18"/>
                <w:szCs w:val="18"/>
              </w:rPr>
            </w:pPr>
            <w:r>
              <w:rPr>
                <w:rFonts w:ascii="宋体" w:hAnsi="宋体" w:cs="宋体" w:eastAsia="宋体" w:hint="default"/>
                <w:sz w:val="18"/>
                <w:szCs w:val="18"/>
              </w:rPr>
              <w:t>年初余额（元）</w:t>
            </w:r>
          </w:p>
        </w:tc>
      </w:tr>
      <w:tr>
        <w:trPr>
          <w:trHeight w:val="427"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兴业银行金雪球理财产品</w:t>
            </w:r>
          </w:p>
        </w:tc>
        <w:tc>
          <w:tcPr>
            <w:tcW w:w="2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1,500,000.00</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164,000,000.00</w:t>
            </w:r>
          </w:p>
        </w:tc>
      </w:tr>
      <w:tr>
        <w:trPr>
          <w:trHeight w:val="427"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招商银行天添金理财产品</w:t>
            </w:r>
          </w:p>
        </w:tc>
        <w:tc>
          <w:tcPr>
            <w:tcW w:w="2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2,950,500.00</w:t>
            </w:r>
          </w:p>
        </w:tc>
      </w:tr>
      <w:tr>
        <w:trPr>
          <w:trHeight w:val="427"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中航信托鲸钱包天玑聚富理财</w:t>
            </w:r>
          </w:p>
        </w:tc>
        <w:tc>
          <w:tcPr>
            <w:tcW w:w="2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58,000,000.00</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平安银行天天利</w:t>
            </w:r>
          </w:p>
        </w:tc>
        <w:tc>
          <w:tcPr>
            <w:tcW w:w="2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40,000,000.00</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5"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1,445,318.21</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3,339,364.18</w:t>
            </w:r>
          </w:p>
        </w:tc>
      </w:tr>
      <w:tr>
        <w:trPr>
          <w:trHeight w:val="430"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100,945,318.21</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170,289,864.18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8</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1"/>
        <w:gridCol w:w="1195"/>
        <w:gridCol w:w="1198"/>
        <w:gridCol w:w="1196"/>
        <w:gridCol w:w="1248"/>
        <w:gridCol w:w="1369"/>
        <w:gridCol w:w="1366"/>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70,479,462.26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70,479,462.26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67,518,000.00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67,518,000.00</w:t>
            </w:r>
          </w:p>
        </w:tc>
      </w:tr>
      <w:tr>
        <w:trPr>
          <w:trHeight w:val="401"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56,549,462.26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56,549,462.26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67,518,000.00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67,518,000.00</w:t>
            </w: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13,930,000.00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13,930,000.00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2,891,000.00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73,370,462.26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73,370,462.26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67,518,000.00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67,518,000.00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w:t>
      </w:r>
      <w:r>
        <w:rPr>
          <w:spacing w:val="-2"/>
        </w:rPr>
        <w:t> </w:t>
      </w:r>
      <w:r>
        <w:rPr/>
        <w:t>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36" w:right="1133"/>
        <w:jc w:val="left"/>
      </w:pPr>
      <w:r>
        <w:rPr/>
        <w:t>其他可供出售金融资产为公司因中航信托发放的哆可梦并购贷款而认缴的信托业保障基金。</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3</w:t>
      </w:r>
      <w:r>
        <w:rPr/>
        <w:t>）期末按公允价值计量的可供出售金融资产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4437"/>
        <w:gridCol w:w="1929"/>
        <w:gridCol w:w="1921"/>
        <w:gridCol w:w="1399"/>
      </w:tblGrid>
      <w:tr>
        <w:trPr>
          <w:trHeight w:val="401" w:hRule="exact"/>
        </w:trPr>
        <w:tc>
          <w:tcPr>
            <w:tcW w:w="4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3"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6"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4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债务工具的摊余成本</w:t>
            </w:r>
          </w:p>
        </w:tc>
        <w:tc>
          <w:tcPr>
            <w:tcW w:w="19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40,040,299.29</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40,040,299.29</w:t>
            </w:r>
          </w:p>
        </w:tc>
      </w:tr>
      <w:tr>
        <w:trPr>
          <w:trHeight w:val="401" w:hRule="exact"/>
        </w:trPr>
        <w:tc>
          <w:tcPr>
            <w:tcW w:w="4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56,549,462.26</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56,549,462.26</w:t>
            </w:r>
          </w:p>
        </w:tc>
      </w:tr>
      <w:tr>
        <w:trPr>
          <w:trHeight w:val="403" w:hRule="exact"/>
        </w:trPr>
        <w:tc>
          <w:tcPr>
            <w:tcW w:w="4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19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16,509,162.97</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16,509,162.97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32"/>
        <w:gridCol w:w="403"/>
        <w:gridCol w:w="1090"/>
        <w:gridCol w:w="655"/>
        <w:gridCol w:w="1092"/>
        <w:gridCol w:w="404"/>
        <w:gridCol w:w="653"/>
        <w:gridCol w:w="655"/>
        <w:gridCol w:w="403"/>
        <w:gridCol w:w="1513"/>
        <w:gridCol w:w="869"/>
      </w:tblGrid>
      <w:tr>
        <w:trPr>
          <w:trHeight w:val="402" w:hRule="exact"/>
        </w:trPr>
        <w:tc>
          <w:tcPr>
            <w:tcW w:w="1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24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1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1" w:right="29" w:hanging="541"/>
              <w:jc w:val="left"/>
              <w:rPr>
                <w:rFonts w:ascii="宋体" w:hAnsi="宋体" w:cs="宋体" w:eastAsia="宋体" w:hint="default"/>
                <w:sz w:val="18"/>
                <w:szCs w:val="18"/>
              </w:rPr>
            </w:pPr>
            <w:r>
              <w:rPr>
                <w:rFonts w:ascii="宋体" w:hAnsi="宋体" w:cs="宋体" w:eastAsia="宋体" w:hint="default"/>
                <w:sz w:val="18"/>
                <w:szCs w:val="18"/>
              </w:rPr>
              <w:t>在被投资单位持股 比例</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4" w:hRule="exact"/>
        </w:trPr>
        <w:tc>
          <w:tcPr>
            <w:tcW w:w="1932" w:type="dxa"/>
            <w:vMerge/>
            <w:tcBorders>
              <w:left w:val="single" w:sz="4" w:space="0" w:color="000000"/>
              <w:bottom w:val="single" w:sz="4" w:space="0" w:color="000000"/>
              <w:right w:val="single" w:sz="4" w:space="0" w:color="000000"/>
            </w:tcBorders>
            <w:shd w:val="clear" w:color="auto" w:fill="D2D2D2"/>
          </w:tcPr>
          <w:p>
            <w:pPr/>
          </w:p>
        </w:tc>
        <w:tc>
          <w:tcPr>
            <w:tcW w:w="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8" w:right="103"/>
              <w:jc w:val="left"/>
              <w:rPr>
                <w:rFonts w:ascii="宋体" w:hAnsi="宋体" w:cs="宋体" w:eastAsia="宋体" w:hint="default"/>
                <w:sz w:val="18"/>
                <w:szCs w:val="18"/>
              </w:rPr>
            </w:pPr>
            <w:r>
              <w:rPr>
                <w:rFonts w:ascii="宋体" w:hAnsi="宋体" w:cs="宋体" w:eastAsia="宋体" w:hint="default"/>
                <w:sz w:val="18"/>
                <w:szCs w:val="18"/>
              </w:rPr>
              <w:t>期 初</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2" w:right="50"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8" w:right="103"/>
              <w:jc w:val="left"/>
              <w:rPr>
                <w:rFonts w:ascii="宋体" w:hAnsi="宋体" w:cs="宋体" w:eastAsia="宋体" w:hint="default"/>
                <w:sz w:val="18"/>
                <w:szCs w:val="18"/>
              </w:rPr>
            </w:pPr>
            <w:r>
              <w:rPr>
                <w:rFonts w:ascii="宋体" w:hAnsi="宋体" w:cs="宋体" w:eastAsia="宋体" w:hint="default"/>
                <w:sz w:val="18"/>
                <w:szCs w:val="18"/>
              </w:rPr>
              <w:t>期 初</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2" w:right="4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5" w:right="4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7" w:right="103"/>
              <w:jc w:val="left"/>
              <w:rPr>
                <w:rFonts w:ascii="宋体" w:hAnsi="宋体" w:cs="宋体" w:eastAsia="宋体" w:hint="default"/>
                <w:sz w:val="18"/>
                <w:szCs w:val="18"/>
              </w:rPr>
            </w:pPr>
            <w:r>
              <w:rPr>
                <w:rFonts w:ascii="宋体" w:hAnsi="宋体" w:cs="宋体" w:eastAsia="宋体" w:hint="default"/>
                <w:sz w:val="18"/>
                <w:szCs w:val="18"/>
              </w:rPr>
              <w:t>期 末</w:t>
            </w:r>
          </w:p>
        </w:tc>
        <w:tc>
          <w:tcPr>
            <w:tcW w:w="1513"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深圳久久益资产管理有 限公司</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0.5929%</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北京兆信通能科技有限 公司</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930,000.00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930,000.00</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广州雷霆信息科技有限 公司</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96"/>
              <w:jc w:val="left"/>
              <w:rPr>
                <w:rFonts w:ascii="宋体" w:hAnsi="宋体" w:cs="宋体" w:eastAsia="宋体" w:hint="default"/>
                <w:sz w:val="18"/>
                <w:szCs w:val="18"/>
              </w:rPr>
            </w:pPr>
            <w:r>
              <w:rPr>
                <w:rFonts w:ascii="宋体" w:hAnsi="宋体" w:cs="宋体" w:eastAsia="宋体" w:hint="default"/>
                <w:sz w:val="18"/>
                <w:szCs w:val="18"/>
              </w:rPr>
              <w:t>广州九天互娱网络科技 有限公司</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星灵互动（深圳）科技 有限公司</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13,930,000.00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13,930,000.00</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40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0.00</w:t>
            </w:r>
          </w:p>
        </w:tc>
        <w:tc>
          <w:tcPr>
            <w:tcW w:w="1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9</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2585"/>
        <w:gridCol w:w="1172"/>
        <w:gridCol w:w="910"/>
        <w:gridCol w:w="1174"/>
        <w:gridCol w:w="910"/>
        <w:gridCol w:w="907"/>
        <w:gridCol w:w="910"/>
        <w:gridCol w:w="1118"/>
      </w:tblGrid>
      <w:tr>
        <w:trPr>
          <w:trHeight w:val="206" w:hRule="exact"/>
        </w:trPr>
        <w:tc>
          <w:tcPr>
            <w:tcW w:w="2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25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2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25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255" w:type="dxa"/>
            <w:gridSpan w:val="3"/>
            <w:vMerge/>
            <w:tcBorders>
              <w:left w:val="single" w:sz="4" w:space="0" w:color="000000"/>
              <w:bottom w:val="single" w:sz="4" w:space="0" w:color="000000"/>
              <w:right w:val="single" w:sz="4" w:space="0" w:color="000000"/>
            </w:tcBorders>
            <w:shd w:val="clear" w:color="auto" w:fill="D2D2D2"/>
          </w:tcPr>
          <w:p>
            <w:pPr/>
          </w:p>
        </w:tc>
        <w:tc>
          <w:tcPr>
            <w:tcW w:w="2727" w:type="dxa"/>
            <w:gridSpan w:val="3"/>
            <w:vMerge/>
            <w:tcBorders>
              <w:left w:val="single" w:sz="4" w:space="0" w:color="000000"/>
              <w:bottom w:val="single" w:sz="4" w:space="0" w:color="000000"/>
              <w:right w:val="single" w:sz="4" w:space="0" w:color="000000"/>
            </w:tcBorders>
            <w:shd w:val="clear" w:color="auto" w:fill="D2D2D2"/>
          </w:tcPr>
          <w:p>
            <w:pPr/>
          </w:p>
        </w:tc>
        <w:tc>
          <w:tcPr>
            <w:tcW w:w="11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6" w:hRule="exact"/>
        </w:trPr>
        <w:tc>
          <w:tcPr>
            <w:tcW w:w="2585" w:type="dxa"/>
            <w:vMerge/>
            <w:tcBorders>
              <w:left w:val="single" w:sz="4" w:space="0" w:color="000000"/>
              <w:bottom w:val="nil" w:sz="6" w:space="0" w:color="auto"/>
              <w:right w:val="single" w:sz="4" w:space="0" w:color="000000"/>
            </w:tcBorders>
            <w:shd w:val="clear" w:color="auto" w:fill="D2D2D2"/>
          </w:tcPr>
          <w:p>
            <w:pPr/>
          </w:p>
        </w:tc>
        <w:tc>
          <w:tcPr>
            <w:tcW w:w="11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2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1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2" w:type="dxa"/>
            <w:vMerge/>
            <w:tcBorders>
              <w:left w:val="single" w:sz="4" w:space="0" w:color="000000"/>
              <w:bottom w:val="single" w:sz="4" w:space="0" w:color="000000"/>
              <w:right w:val="single" w:sz="4" w:space="0" w:color="000000"/>
            </w:tcBorders>
            <w:shd w:val="clear" w:color="auto" w:fill="D2D2D2"/>
          </w:tcPr>
          <w:p>
            <w:pPr/>
          </w:p>
        </w:tc>
        <w:tc>
          <w:tcPr>
            <w:tcW w:w="910"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c>
          <w:tcPr>
            <w:tcW w:w="910"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10" w:type="dxa"/>
            <w:vMerge/>
            <w:tcBorders>
              <w:left w:val="single" w:sz="4" w:space="0" w:color="000000"/>
              <w:bottom w:val="single" w:sz="4" w:space="0" w:color="000000"/>
              <w:right w:val="single" w:sz="4" w:space="0" w:color="000000"/>
            </w:tcBorders>
            <w:shd w:val="clear" w:color="auto" w:fill="D2D2D2"/>
          </w:tcPr>
          <w:p>
            <w:pPr/>
          </w:p>
        </w:tc>
        <w:tc>
          <w:tcPr>
            <w:tcW w:w="11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11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4,329,570.08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4,329,570.08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其中：未实现融资收益</w:t>
            </w:r>
          </w:p>
        </w:tc>
        <w:tc>
          <w:tcPr>
            <w:tcW w:w="11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670,429.92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670,429.92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4,329,570.08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4,329,570.08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10" w:type="dxa"/>
            <w:tcBorders>
              <w:top w:val="single" w:sz="4" w:space="0" w:color="000000"/>
              <w:left w:val="single" w:sz="4" w:space="0" w:color="000000"/>
              <w:bottom w:val="single" w:sz="4" w:space="0" w:color="000000"/>
              <w:right w:val="single" w:sz="13" w:space="0" w:color="D2D2D2"/>
            </w:tcBorders>
          </w:tcPr>
          <w:p>
            <w:pP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pStyle w:val="BodyText"/>
        <w:spacing w:line="240" w:lineRule="auto" w:before="115"/>
        <w:ind w:left="513"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spacing w:val="-2"/>
        </w:rPr>
        <w:t>月，公司与远东国际租赁有限公司（以下简称</w:t>
      </w:r>
      <w:r>
        <w:rPr>
          <w:rFonts w:ascii="Times New Roman" w:hAnsi="Times New Roman" w:cs="Times New Roman" w:eastAsia="Times New Roman" w:hint="default"/>
          <w:spacing w:val="-2"/>
        </w:rPr>
        <w:t>“</w:t>
      </w:r>
      <w:r>
        <w:rPr>
          <w:spacing w:val="-2"/>
        </w:rPr>
        <w:t>远东租赁</w:t>
      </w:r>
      <w:r>
        <w:rPr>
          <w:rFonts w:ascii="Times New Roman" w:hAnsi="Times New Roman" w:cs="Times New Roman" w:eastAsia="Times New Roman" w:hint="default"/>
          <w:spacing w:val="-2"/>
        </w:rPr>
        <w:t>”</w:t>
      </w:r>
      <w:r>
        <w:rPr>
          <w:spacing w:val="-2"/>
        </w:rPr>
        <w:t>）签订《所有权转让协议》、《售后回租赁合同》等</w:t>
      </w:r>
    </w:p>
    <w:p>
      <w:pPr>
        <w:pStyle w:val="BodyText"/>
        <w:spacing w:line="240" w:lineRule="auto" w:before="63"/>
        <w:ind w:right="1133"/>
        <w:jc w:val="left"/>
      </w:pPr>
      <w:r>
        <w:rPr/>
        <w:t>相关文件，分别以售后回租方式进行了两笔合计</w:t>
      </w:r>
      <w:r>
        <w:rPr>
          <w:spacing w:val="-47"/>
        </w:rPr>
        <w:t> </w:t>
      </w:r>
      <w:r>
        <w:rPr>
          <w:rFonts w:ascii="Times New Roman" w:hAnsi="Times New Roman" w:cs="Times New Roman" w:eastAsia="Times New Roman" w:hint="default"/>
        </w:rPr>
        <w:t>55,000,000.00</w:t>
      </w:r>
      <w:r>
        <w:rPr>
          <w:rFonts w:ascii="Times New Roman" w:hAnsi="Times New Roman" w:cs="Times New Roman" w:eastAsia="Times New Roman" w:hint="default"/>
          <w:spacing w:val="-9"/>
        </w:rPr>
        <w:t> </w:t>
      </w:r>
      <w:r>
        <w:rPr/>
        <w:t>元的融资租赁交易，租赁期满后，公司将按照约定购回标的</w:t>
      </w:r>
    </w:p>
    <w:p>
      <w:pPr>
        <w:pStyle w:val="BodyText"/>
        <w:spacing w:line="240" w:lineRule="auto" w:before="63"/>
        <w:ind w:right="0"/>
        <w:jc w:val="left"/>
      </w:pPr>
      <w:r>
        <w:rPr>
          <w:spacing w:val="-3"/>
        </w:rPr>
        <w:t>物，合同内容详见附注七</w:t>
      </w:r>
      <w:r>
        <w:rPr>
          <w:rFonts w:ascii="Times New Roman" w:hAnsi="Times New Roman" w:cs="Times New Roman" w:eastAsia="Times New Roman" w:hint="default"/>
          <w:spacing w:val="-3"/>
        </w:rPr>
        <w:t>/28</w:t>
      </w:r>
      <w:r>
        <w:rPr>
          <w:spacing w:val="-3"/>
        </w:rPr>
        <w:t>。合同约定保证金共计</w:t>
      </w:r>
      <w:r>
        <w:rPr>
          <w:spacing w:val="-53"/>
        </w:rPr>
        <w:t> </w:t>
      </w:r>
      <w:r>
        <w:rPr>
          <w:rFonts w:ascii="Times New Roman" w:hAnsi="Times New Roman" w:cs="Times New Roman" w:eastAsia="Times New Roman" w:hint="default"/>
        </w:rPr>
        <w:t>5,000,000.00</w:t>
      </w:r>
      <w:r>
        <w:rPr>
          <w:rFonts w:ascii="Times New Roman" w:hAnsi="Times New Roman" w:cs="Times New Roman" w:eastAsia="Times New Roman" w:hint="default"/>
          <w:spacing w:val="-14"/>
        </w:rPr>
        <w:t> </w:t>
      </w:r>
      <w:r>
        <w:rPr/>
        <w:t>元整，保证金在远东租赁按所有权转让协议约定向公司支付</w:t>
      </w:r>
    </w:p>
    <w:p>
      <w:pPr>
        <w:pStyle w:val="BodyText"/>
        <w:spacing w:line="240" w:lineRule="auto" w:before="63"/>
        <w:ind w:right="0"/>
        <w:jc w:val="left"/>
        <w:rPr>
          <w:rFonts w:ascii="Times New Roman" w:hAnsi="Times New Roman" w:cs="Times New Roman" w:eastAsia="Times New Roman" w:hint="default"/>
        </w:rPr>
      </w:pPr>
      <w:r>
        <w:rPr/>
        <w:t>的租赁物件协议价款中直接抵扣</w:t>
      </w:r>
      <w:r>
        <w:rPr>
          <w:spacing w:val="-92"/>
        </w:rPr>
        <w:t>。</w:t>
      </w:r>
      <w:r>
        <w:rPr/>
        <w:t>截止</w:t>
      </w:r>
      <w:r>
        <w:rPr>
          <w:spacing w:val="-61"/>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20"/>
        </w:rPr>
        <w:t> </w:t>
      </w:r>
      <w:r>
        <w:rPr/>
        <w:t>年</w:t>
      </w:r>
      <w:r>
        <w:rPr>
          <w:spacing w:val="-64"/>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月</w:t>
      </w:r>
      <w:r>
        <w:rPr>
          <w:spacing w:val="-6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日</w:t>
      </w:r>
      <w:r>
        <w:rPr>
          <w:spacing w:val="-92"/>
        </w:rPr>
        <w:t>，</w:t>
      </w:r>
      <w:r>
        <w:rPr>
          <w:spacing w:val="-3"/>
        </w:rPr>
        <w:t>公</w:t>
      </w:r>
      <w:r>
        <w:rPr/>
        <w:t>司未收回保证金本金</w:t>
      </w:r>
      <w:r>
        <w:rPr>
          <w:spacing w:val="-61"/>
        </w:rPr>
        <w:t> </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9"/>
        </w:rPr>
        <w:t> </w:t>
      </w:r>
      <w:r>
        <w:rPr/>
        <w:t>元</w:t>
      </w:r>
      <w:r>
        <w:rPr>
          <w:spacing w:val="-92"/>
        </w:rPr>
        <w:t>，</w:t>
      </w:r>
      <w:r>
        <w:rPr/>
        <w:t>未确认融资收益</w:t>
      </w:r>
      <w:r>
        <w:rPr>
          <w:spacing w:val="-63"/>
        </w:rPr>
        <w:t> </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9</w:t>
      </w:r>
      <w:r>
        <w:rPr>
          <w:rFonts w:ascii="Times New Roman" w:hAnsi="Times New Roman" w:cs="Times New Roman" w:eastAsia="Times New Roman" w:hint="default"/>
        </w:rPr>
        <w:t>2</w:t>
      </w:r>
    </w:p>
    <w:p>
      <w:pPr>
        <w:pStyle w:val="BodyText"/>
        <w:spacing w:line="240" w:lineRule="auto" w:before="63"/>
        <w:ind w:right="1133"/>
        <w:jc w:val="left"/>
      </w:pPr>
      <w:r>
        <w:rPr/>
        <w:t>元。</w:t>
      </w:r>
    </w:p>
    <w:p>
      <w:pPr>
        <w:spacing w:after="0" w:line="240" w:lineRule="auto"/>
        <w:jc w:val="left"/>
        <w:sectPr>
          <w:pgSz w:w="11910" w:h="16840"/>
          <w:pgMar w:header="0" w:footer="979" w:top="1100" w:bottom="1160" w:left="980" w:right="0"/>
        </w:sectPr>
      </w:pPr>
    </w:p>
    <w:p>
      <w:pPr>
        <w:spacing w:line="240" w:lineRule="auto" w:before="0"/>
        <w:rPr>
          <w:rFonts w:ascii="宋体" w:hAnsi="宋体" w:cs="宋体" w:eastAsia="宋体" w:hint="default"/>
          <w:sz w:val="24"/>
          <w:szCs w:val="24"/>
        </w:rPr>
      </w:pPr>
    </w:p>
    <w:p>
      <w:pPr>
        <w:pStyle w:val="Heading3"/>
        <w:spacing w:line="240" w:lineRule="auto"/>
        <w:ind w:left="140" w:right="-10"/>
        <w:jc w:val="left"/>
        <w:rPr>
          <w:b w:val="0"/>
          <w:bCs w:val="0"/>
        </w:rPr>
      </w:pPr>
      <w:r>
        <w:rPr/>
        <w:pict>
          <v:group style="position:absolute;margin-left:70.559998pt;margin-top:-.476309pt;width:700.95pt;height:.1pt;mso-position-horizontal-relative:page;mso-position-vertical-relative:paragraph;z-index:2176" coordorigin="1411,-10" coordsize="14019,2">
            <v:shape style="position:absolute;left:1411;top:-10;width:14019;height:2" coordorigin="1411,-10" coordsize="14019,0" path="m1411,-10l15430,-10e" filled="false" stroked="true" strokeweight=".72pt" strokecolor="#000000">
              <v:path arrowok="t"/>
            </v:shape>
            <w10:wrap type="none"/>
          </v:group>
        </w:pict>
      </w:r>
      <w:r>
        <w:rPr>
          <w:rFonts w:ascii="Times New Roman" w:hAnsi="Times New Roman" w:cs="Times New Roman" w:eastAsia="Times New Roman" w:hint="default"/>
          <w:spacing w:val="-1"/>
        </w:rPr>
        <w:t>10</w:t>
      </w:r>
      <w:r>
        <w:rPr>
          <w:spacing w:val="-1"/>
        </w:rPr>
        <w:t>、长期股权投资</w:t>
      </w:r>
      <w:r>
        <w:rPr>
          <w:b w:val="0"/>
          <w:bCs w:val="0"/>
          <w:spacing w:val="-1"/>
        </w:rPr>
      </w:r>
    </w:p>
    <w:p>
      <w:pPr>
        <w:pStyle w:val="BodyText"/>
        <w:spacing w:line="240" w:lineRule="auto" w:before="15"/>
        <w:ind w:left="140" w:right="0"/>
        <w:jc w:val="left"/>
      </w:pPr>
      <w:r>
        <w:rPr/>
        <w:br w:type="column"/>
      </w:r>
      <w:r>
        <w:rPr/>
        <w:t>深圳市惠程信息科技股份有限公司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p>
      <w:pPr>
        <w:spacing w:after="0" w:line="240" w:lineRule="auto"/>
        <w:jc w:val="left"/>
        <w:sectPr>
          <w:headerReference w:type="default" r:id="rId48"/>
          <w:footerReference w:type="default" r:id="rId49"/>
          <w:pgSz w:w="16840" w:h="11910" w:orient="landscape"/>
          <w:pgMar w:header="0" w:footer="0" w:top="800" w:bottom="0" w:left="1300" w:right="1280"/>
          <w:cols w:num="2" w:equalWidth="0">
            <w:col w:w="1828" w:space="7720"/>
            <w:col w:w="4712"/>
          </w:cols>
        </w:sectPr>
      </w:pPr>
    </w:p>
    <w:p>
      <w:pPr>
        <w:spacing w:line="240" w:lineRule="auto" w:before="12"/>
        <w:rPr>
          <w:rFonts w:ascii="宋体" w:hAnsi="宋体" w:cs="宋体" w:eastAsia="宋体" w:hint="default"/>
          <w:sz w:val="22"/>
          <w:szCs w:val="22"/>
        </w:rPr>
      </w:pPr>
    </w:p>
    <w:p>
      <w:pPr>
        <w:pStyle w:val="BodyText"/>
        <w:spacing w:line="240" w:lineRule="auto" w:before="44"/>
        <w:ind w:left="0" w:right="155"/>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119"/>
        <w:gridCol w:w="1181"/>
        <w:gridCol w:w="1181"/>
        <w:gridCol w:w="1181"/>
        <w:gridCol w:w="1690"/>
        <w:gridCol w:w="1822"/>
        <w:gridCol w:w="574"/>
        <w:gridCol w:w="1611"/>
        <w:gridCol w:w="576"/>
        <w:gridCol w:w="583"/>
        <w:gridCol w:w="1820"/>
        <w:gridCol w:w="682"/>
      </w:tblGrid>
      <w:tr>
        <w:trPr>
          <w:trHeight w:val="401" w:hRule="exact"/>
        </w:trPr>
        <w:tc>
          <w:tcPr>
            <w:tcW w:w="1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21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8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62" w:right="67"/>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027" w:hRule="exact"/>
        </w:trPr>
        <w:tc>
          <w:tcPr>
            <w:tcW w:w="1119"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6"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59" w:right="29" w:hanging="632"/>
              <w:jc w:val="left"/>
              <w:rPr>
                <w:rFonts w:ascii="宋体" w:hAnsi="宋体" w:cs="宋体" w:eastAsia="宋体" w:hint="default"/>
                <w:sz w:val="18"/>
                <w:szCs w:val="18"/>
              </w:rPr>
            </w:pPr>
            <w:r>
              <w:rPr>
                <w:rFonts w:ascii="宋体" w:hAnsi="宋体" w:cs="宋体" w:eastAsia="宋体" w:hint="default"/>
                <w:sz w:val="18"/>
                <w:szCs w:val="18"/>
              </w:rPr>
              <w:t>权益法下确认的投资 损益</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2" w:right="0"/>
              <w:jc w:val="left"/>
              <w:rPr>
                <w:rFonts w:ascii="宋体" w:hAnsi="宋体" w:cs="宋体" w:eastAsia="宋体" w:hint="default"/>
                <w:sz w:val="18"/>
                <w:szCs w:val="18"/>
              </w:rPr>
            </w:pPr>
            <w:r>
              <w:rPr>
                <w:rFonts w:ascii="宋体" w:hAnsi="宋体" w:cs="宋体" w:eastAsia="宋体" w:hint="default"/>
                <w:sz w:val="18"/>
                <w:szCs w:val="18"/>
              </w:rPr>
              <w:t>其他综合收益调整</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101"/>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7" w:right="80" w:hanging="449"/>
              <w:jc w:val="left"/>
              <w:rPr>
                <w:rFonts w:ascii="宋体" w:hAnsi="宋体" w:cs="宋体" w:eastAsia="宋体" w:hint="default"/>
                <w:sz w:val="18"/>
                <w:szCs w:val="18"/>
              </w:rPr>
            </w:pPr>
            <w:r>
              <w:rPr>
                <w:rFonts w:ascii="宋体" w:hAnsi="宋体" w:cs="宋体" w:eastAsia="宋体" w:hint="default"/>
                <w:sz w:val="18"/>
                <w:szCs w:val="18"/>
              </w:rPr>
              <w:t>宣告发放现金股利 或利润</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20" w:type="dxa"/>
            <w:vMerge/>
            <w:tcBorders>
              <w:left w:val="single" w:sz="4" w:space="0" w:color="000000"/>
              <w:bottom w:val="single" w:sz="4" w:space="0" w:color="000000"/>
              <w:right w:val="single" w:sz="4" w:space="0" w:color="000000"/>
            </w:tcBorders>
            <w:shd w:val="clear" w:color="auto" w:fill="D2D2D2"/>
          </w:tcPr>
          <w:p>
            <w:pPr/>
          </w:p>
        </w:tc>
        <w:tc>
          <w:tcPr>
            <w:tcW w:w="68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0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140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1"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信中利赞信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574,865,344.52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661,035,771.94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110,019,782.42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-10,799,355.00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13,050,000.00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永耀惠程</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3,618,521.68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-508,333.61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3,110,188.07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真机智能</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-304,904.58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6,695,095.42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惠智网联</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976.68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158,000,976.68</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578,483,866.20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661,035,771.94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109,207,520.91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-10,799,355.00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13,050,000.00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167,806,260.17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578,483,866.20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661,035,771.94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109,207,520.91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-10,799,355.00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13,050,000.00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167,806,260.17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left="140" w:right="152"/>
        <w:jc w:val="left"/>
      </w:pPr>
      <w:r>
        <w:rPr/>
        <w:t>其他说明：</w:t>
      </w:r>
    </w:p>
    <w:p>
      <w:pPr>
        <w:pStyle w:val="BodyText"/>
        <w:spacing w:line="300" w:lineRule="auto" w:before="115"/>
        <w:ind w:left="140" w:right="152" w:firstLine="283"/>
        <w:jc w:val="left"/>
        <w:rPr>
          <w:rFonts w:ascii="Times New Roman" w:hAnsi="Times New Roman" w:cs="Times New Roman" w:eastAsia="Times New Roman" w:hint="default"/>
        </w:rPr>
      </w:pPr>
      <w:r>
        <w:rPr>
          <w:rFonts w:ascii="Times New Roman" w:hAnsi="Times New Roman" w:cs="Times New Roman" w:eastAsia="Times New Roman" w:hint="default"/>
          <w:spacing w:val="-6"/>
        </w:rPr>
        <w:t>1</w:t>
      </w:r>
      <w:r>
        <w:rPr>
          <w:spacing w:val="-6"/>
        </w:rPr>
        <w:t>、经公司总裁办公会批准，子公司喀什中汇联银与宁波亿人股权投资管理有限公司（以下简称“宁波亿人”）合作设立共青城惠智网联投资合伙企业（以下简称“惠智网联”），</w:t>
      </w:r>
      <w:r>
        <w:rPr/>
        <w:t> 惠智网联注册资本为人民币</w:t>
      </w:r>
      <w:r>
        <w:rPr>
          <w:spacing w:val="-51"/>
        </w:rPr>
        <w:t> </w:t>
      </w:r>
      <w:r>
        <w:rPr>
          <w:rFonts w:ascii="Times New Roman" w:hAnsi="Times New Roman" w:cs="Times New Roman" w:eastAsia="Times New Roman" w:hint="default"/>
        </w:rPr>
        <w:t>1,000</w:t>
      </w:r>
      <w:r>
        <w:rPr>
          <w:rFonts w:ascii="Times New Roman" w:hAnsi="Times New Roman" w:cs="Times New Roman" w:eastAsia="Times New Roman" w:hint="default"/>
          <w:spacing w:val="-6"/>
        </w:rPr>
        <w:t> </w:t>
      </w:r>
      <w:r>
        <w:rPr/>
        <w:t>万元，其中喀什中汇联银作为有限合伙人认缴出资人民币</w:t>
      </w:r>
      <w:r>
        <w:rPr>
          <w:spacing w:val="-51"/>
        </w:rPr>
        <w:t> </w:t>
      </w:r>
      <w:r>
        <w:rPr>
          <w:rFonts w:ascii="Times New Roman" w:hAnsi="Times New Roman" w:cs="Times New Roman" w:eastAsia="Times New Roman" w:hint="default"/>
        </w:rPr>
        <w:t>900</w:t>
      </w:r>
      <w:r>
        <w:rPr>
          <w:rFonts w:ascii="Times New Roman" w:hAnsi="Times New Roman" w:cs="Times New Roman" w:eastAsia="Times New Roman" w:hint="default"/>
          <w:spacing w:val="-6"/>
        </w:rPr>
        <w:t> </w:t>
      </w:r>
      <w:r>
        <w:rPr/>
        <w:t>万元，宁波亿人作为普通合伙人认缴出资人民币</w:t>
      </w:r>
      <w:r>
        <w:rPr>
          <w:spacing w:val="-51"/>
        </w:rPr>
        <w:t> </w:t>
      </w:r>
      <w:r>
        <w:rPr>
          <w:rFonts w:ascii="Times New Roman" w:hAnsi="Times New Roman" w:cs="Times New Roman" w:eastAsia="Times New Roman" w:hint="default"/>
        </w:rPr>
        <w:t>100</w:t>
      </w:r>
      <w:r>
        <w:rPr>
          <w:rFonts w:ascii="Times New Roman" w:hAnsi="Times New Roman" w:cs="Times New Roman" w:eastAsia="Times New Roman" w:hint="default"/>
          <w:spacing w:val="-6"/>
        </w:rPr>
        <w:t> </w:t>
      </w:r>
      <w:r>
        <w:rPr>
          <w:spacing w:val="-4"/>
        </w:rPr>
        <w:t>万元。惠智网联已于</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9</w:t>
      </w:r>
    </w:p>
    <w:p>
      <w:pPr>
        <w:pStyle w:val="BodyText"/>
        <w:spacing w:line="240" w:lineRule="auto" w:before="13"/>
        <w:ind w:left="140" w:right="152"/>
        <w:jc w:val="left"/>
      </w:pP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日完成了工商注册登记。经公司第六届董事会第二十五次会议审议批准，董事会同意喀什中汇联银对惠智网联追加投资，增资后的注册资本为人民币</w:t>
      </w:r>
      <w:r>
        <w:rPr>
          <w:spacing w:val="-45"/>
        </w:rPr>
        <w:t> </w:t>
      </w:r>
      <w:r>
        <w:rPr>
          <w:rFonts w:ascii="Times New Roman" w:hAnsi="Times New Roman" w:cs="Times New Roman" w:eastAsia="Times New Roman" w:hint="default"/>
        </w:rPr>
        <w:t>100,000 </w:t>
      </w:r>
      <w:r>
        <w:rPr/>
        <w:t>万元，其中喀</w:t>
      </w:r>
    </w:p>
    <w:p>
      <w:pPr>
        <w:pStyle w:val="BodyText"/>
        <w:spacing w:line="240" w:lineRule="auto" w:before="63"/>
        <w:ind w:left="140" w:right="152"/>
        <w:jc w:val="left"/>
      </w:pPr>
      <w:r>
        <w:rPr/>
        <w:t>什中汇联银作为有限合伙人认缴出资额由人民币</w:t>
      </w:r>
      <w:r>
        <w:rPr>
          <w:spacing w:val="-46"/>
        </w:rPr>
        <w:t> </w:t>
      </w:r>
      <w:r>
        <w:rPr>
          <w:rFonts w:ascii="Times New Roman" w:hAnsi="Times New Roman" w:cs="Times New Roman" w:eastAsia="Times New Roman" w:hint="default"/>
        </w:rPr>
        <w:t>900</w:t>
      </w:r>
      <w:r>
        <w:rPr>
          <w:rFonts w:ascii="Times New Roman" w:hAnsi="Times New Roman" w:cs="Times New Roman" w:eastAsia="Times New Roman" w:hint="default"/>
          <w:spacing w:val="-1"/>
        </w:rPr>
        <w:t> </w:t>
      </w:r>
      <w:r>
        <w:rPr/>
        <w:t>万元追加至人民币</w:t>
      </w:r>
      <w:r>
        <w:rPr>
          <w:spacing w:val="-47"/>
        </w:rPr>
        <w:t> </w:t>
      </w:r>
      <w:r>
        <w:rPr>
          <w:rFonts w:ascii="Times New Roman" w:hAnsi="Times New Roman" w:cs="Times New Roman" w:eastAsia="Times New Roman" w:hint="default"/>
        </w:rPr>
        <w:t>25,000 </w:t>
      </w:r>
      <w:r>
        <w:rPr/>
        <w:t>万元，宁波亿人作为普通合伙人认缴出资额由人民币</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万元追加至人民币</w:t>
      </w:r>
      <w:r>
        <w:rPr>
          <w:spacing w:val="-47"/>
        </w:rPr>
        <w:t> </w:t>
      </w:r>
      <w:r>
        <w:rPr>
          <w:rFonts w:ascii="Times New Roman" w:hAnsi="Times New Roman" w:cs="Times New Roman" w:eastAsia="Times New Roman" w:hint="default"/>
        </w:rPr>
        <w:t>75,000 </w:t>
      </w:r>
      <w:r>
        <w:rPr/>
        <w:t>万元。</w:t>
      </w:r>
    </w:p>
    <w:p>
      <w:pPr>
        <w:pStyle w:val="BodyText"/>
        <w:spacing w:line="300" w:lineRule="auto" w:before="103"/>
        <w:ind w:left="140" w:right="233" w:firstLine="283"/>
        <w:jc w:val="left"/>
      </w:pPr>
      <w:r>
        <w:rPr>
          <w:rFonts w:ascii="Times New Roman" w:hAnsi="Times New Roman" w:cs="Times New Roman" w:eastAsia="Times New Roman" w:hint="default"/>
          <w:spacing w:val="-2"/>
        </w:rPr>
        <w:t>2</w:t>
      </w:r>
      <w:r>
        <w:rPr>
          <w:spacing w:val="-2"/>
        </w:rPr>
        <w:t>、经公司总裁办公会批准，公司向北京真机智能科技有限公司（以下简称“真机智能”）投资人民币</w:t>
      </w:r>
      <w:r>
        <w:rPr>
          <w:spacing w:val="-43"/>
        </w:rPr>
        <w:t> </w:t>
      </w:r>
      <w:r>
        <w:rPr>
          <w:rFonts w:ascii="Times New Roman" w:hAnsi="Times New Roman" w:cs="Times New Roman" w:eastAsia="Times New Roman" w:hint="default"/>
          <w:spacing w:val="-1"/>
        </w:rPr>
        <w:t>1,500</w:t>
      </w:r>
      <w:r>
        <w:rPr>
          <w:rFonts w:ascii="Times New Roman" w:hAnsi="Times New Roman" w:cs="Times New Roman" w:eastAsia="Times New Roman" w:hint="default"/>
          <w:spacing w:val="3"/>
        </w:rPr>
        <w:t> </w:t>
      </w:r>
      <w:r>
        <w:rPr/>
        <w:t>万元，截止</w:t>
      </w:r>
      <w:r>
        <w:rPr>
          <w:spacing w:val="-44"/>
        </w:rPr>
        <w:t> </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3"/>
        </w:rPr>
        <w:t> </w:t>
      </w:r>
      <w:r>
        <w:rPr/>
        <w:t>年</w:t>
      </w:r>
      <w:r>
        <w:rPr>
          <w:spacing w:val="-44"/>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
        </w:rPr>
        <w:t> </w:t>
      </w:r>
      <w:r>
        <w:rPr/>
        <w:t>月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2"/>
        </w:rPr>
        <w:t> </w:t>
      </w:r>
      <w:r>
        <w:rPr>
          <w:spacing w:val="-1"/>
        </w:rPr>
        <w:t>日，公司实缴人民币</w:t>
      </w:r>
      <w:r>
        <w:rPr>
          <w:spacing w:val="-44"/>
        </w:rPr>
        <w:t> </w:t>
      </w:r>
      <w:r>
        <w:rPr>
          <w:rFonts w:ascii="Times New Roman" w:hAnsi="Times New Roman" w:cs="Times New Roman" w:eastAsia="Times New Roman" w:hint="default"/>
          <w:spacing w:val="-1"/>
        </w:rPr>
        <w:t>700</w:t>
      </w:r>
      <w:r>
        <w:rPr>
          <w:rFonts w:ascii="Times New Roman" w:hAnsi="Times New Roman" w:cs="Times New Roman" w:eastAsia="Times New Roman" w:hint="default"/>
          <w:spacing w:val="2"/>
        </w:rPr>
        <w:t> </w:t>
      </w:r>
      <w:r>
        <w:rPr/>
        <w:t>万元，公司 持有真机智能</w:t>
      </w:r>
      <w:r>
        <w:rPr>
          <w:spacing w:val="-47"/>
        </w:rPr>
        <w:t> </w:t>
      </w:r>
      <w:r>
        <w:rPr>
          <w:rFonts w:ascii="Times New Roman" w:hAnsi="Times New Roman" w:cs="Times New Roman" w:eastAsia="Times New Roman" w:hint="default"/>
        </w:rPr>
        <w:t>15%</w:t>
      </w:r>
      <w:r>
        <w:rPr/>
        <w:t>的股权，公司亦成为真机智能研发和设计的无人配送机器人及其他智能机器人的唯一生产制造商。</w:t>
      </w:r>
    </w:p>
    <w:p>
      <w:pPr>
        <w:pStyle w:val="BodyText"/>
        <w:spacing w:line="240" w:lineRule="auto" w:before="53"/>
        <w:ind w:left="423" w:right="0"/>
        <w:jc w:val="left"/>
      </w:pPr>
      <w:r>
        <w:rPr>
          <w:rFonts w:ascii="Times New Roman" w:hAnsi="Times New Roman" w:cs="Times New Roman" w:eastAsia="Times New Roman" w:hint="default"/>
          <w:spacing w:val="1"/>
        </w:rPr>
        <w:t>3</w:t>
      </w:r>
      <w:r>
        <w:rPr>
          <w:spacing w:val="-77"/>
        </w:rPr>
        <w:t>、</w:t>
      </w:r>
      <w:r>
        <w:rPr/>
        <w:t>经</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日公司第</w:t>
      </w:r>
      <w:r>
        <w:rPr>
          <w:spacing w:val="-3"/>
        </w:rPr>
        <w:t>六</w:t>
      </w:r>
      <w:r>
        <w:rPr/>
        <w:t>届董事会第十八次会议</w:t>
      </w:r>
      <w:r>
        <w:rPr>
          <w:spacing w:val="-77"/>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w:t>
      </w:r>
      <w:r>
        <w:rPr>
          <w:spacing w:val="-3"/>
        </w:rPr>
        <w:t>公</w:t>
      </w:r>
      <w:r>
        <w:rPr/>
        <w:t>司</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年第</w:t>
      </w:r>
      <w:r>
        <w:rPr>
          <w:spacing w:val="-3"/>
        </w:rPr>
        <w:t>四</w:t>
      </w:r>
      <w:r>
        <w:rPr/>
        <w:t>次临时股东大会审议批准</w:t>
      </w:r>
      <w:r>
        <w:rPr>
          <w:spacing w:val="-77"/>
        </w:rPr>
        <w:t>，</w:t>
      </w:r>
      <w:r>
        <w:rPr/>
        <w:t>公司将持有的信中利赞信剩余的全部出资份额对外转让，</w:t>
      </w:r>
    </w:p>
    <w:p>
      <w:pPr>
        <w:pStyle w:val="BodyText"/>
        <w:spacing w:line="240" w:lineRule="auto" w:before="63"/>
        <w:ind w:left="140" w:right="152"/>
        <w:jc w:val="left"/>
      </w:pPr>
      <w:r>
        <w:rPr/>
        <w:t>转让金额</w:t>
      </w:r>
      <w:r>
        <w:rPr>
          <w:spacing w:val="-46"/>
        </w:rPr>
        <w:t> </w:t>
      </w:r>
      <w:r>
        <w:rPr>
          <w:rFonts w:ascii="Times New Roman" w:hAnsi="Times New Roman" w:cs="Times New Roman" w:eastAsia="Times New Roman" w:hint="default"/>
        </w:rPr>
        <w:t>45,500</w:t>
      </w:r>
      <w:r>
        <w:rPr>
          <w:rFonts w:ascii="Times New Roman" w:hAnsi="Times New Roman" w:cs="Times New Roman" w:eastAsia="Times New Roman" w:hint="default"/>
          <w:spacing w:val="-1"/>
        </w:rPr>
        <w:t> </w:t>
      </w:r>
      <w:r>
        <w:rPr/>
        <w:t>万元，该笔交易共计确认投资收益</w:t>
      </w:r>
      <w:r>
        <w:rPr>
          <w:spacing w:val="-46"/>
        </w:rPr>
        <w:t> </w:t>
      </w:r>
      <w:r>
        <w:rPr>
          <w:rFonts w:ascii="Times New Roman" w:hAnsi="Times New Roman" w:cs="Times New Roman" w:eastAsia="Times New Roman" w:hint="default"/>
        </w:rPr>
        <w:t>83,964,228.06</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40" w:lineRule="auto"/>
        <w:ind w:left="6966" w:right="6981"/>
        <w:jc w:val="center"/>
        <w:rPr>
          <w:rFonts w:ascii="Times New Roman" w:hAnsi="Times New Roman" w:cs="Times New Roman" w:eastAsia="Times New Roman" w:hint="default"/>
        </w:rPr>
      </w:pPr>
      <w:r>
        <w:rPr>
          <w:rFonts w:ascii="Times New Roman"/>
        </w:rPr>
        <w:t>147</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2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2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6"/>
          <w:szCs w:val="26"/>
        </w:rPr>
      </w:pPr>
    </w:p>
    <w:p>
      <w:pPr>
        <w:pStyle w:val="Heading3"/>
        <w:spacing w:line="240" w:lineRule="auto" w:before="36"/>
        <w:ind w:right="1133"/>
        <w:jc w:val="left"/>
        <w:rPr>
          <w:b w:val="0"/>
          <w:bCs w:val="0"/>
        </w:rPr>
      </w:pPr>
      <w:r>
        <w:rPr>
          <w:rFonts w:ascii="Times New Roman" w:hAnsi="Times New Roman" w:cs="Times New Roman" w:eastAsia="Times New Roman" w:hint="default"/>
        </w:rPr>
        <w:t>11</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80"/>
        <w:gridCol w:w="2564"/>
        <w:gridCol w:w="1277"/>
        <w:gridCol w:w="1133"/>
        <w:gridCol w:w="1207"/>
      </w:tblGrid>
      <w:tr>
        <w:trPr>
          <w:trHeight w:val="40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266,262,100.00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266,262,100.00</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二、本期变动</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11,036,800.00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11,036,800.00</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加：外购</w:t>
            </w:r>
          </w:p>
        </w:tc>
        <w:tc>
          <w:tcPr>
            <w:tcW w:w="2564"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11,216,300.00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11,216,300.00</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2564"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减：处置</w:t>
            </w:r>
          </w:p>
        </w:tc>
        <w:tc>
          <w:tcPr>
            <w:tcW w:w="2564"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-179,500.00</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三、期末余额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277,298,900.00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277,298,900.00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绿地中心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5108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20,227,400.00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办理中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绿地中心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5101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26,612,100.00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办理中</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绿地中心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5106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26,612,100.00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办理中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绿地中心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5107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20,227,400.00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办理中</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198"/>
        <w:gridCol w:w="3188"/>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94,457,715.15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100,527,900.22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94,457,715.15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100,527,900.22</w:t>
            </w:r>
          </w:p>
        </w:tc>
      </w:tr>
    </w:tbl>
    <w:p>
      <w:pPr>
        <w:spacing w:after="0" w:line="240" w:lineRule="auto"/>
        <w:jc w:val="right"/>
        <w:rPr>
          <w:rFonts w:ascii="Times New Roman" w:hAnsi="Times New Roman" w:cs="Times New Roman" w:eastAsia="Times New Roman" w:hint="default"/>
          <w:sz w:val="18"/>
          <w:szCs w:val="18"/>
        </w:rPr>
        <w:sectPr>
          <w:footerReference w:type="default" r:id="rId50"/>
          <w:pgSz w:w="11910" w:h="16840"/>
          <w:pgMar w:footer="979" w:header="0" w:top="1100" w:bottom="1160" w:left="980" w:right="0"/>
          <w:pgNumType w:start="148"/>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621"/>
        <w:gridCol w:w="1203"/>
        <w:gridCol w:w="1111"/>
        <w:gridCol w:w="1112"/>
        <w:gridCol w:w="1339"/>
        <w:gridCol w:w="1112"/>
        <w:gridCol w:w="1200"/>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1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1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3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31"/>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112" w:type="dxa"/>
            <w:tcBorders>
              <w:top w:val="single" w:sz="4" w:space="0" w:color="000000"/>
              <w:left w:val="single" w:sz="4" w:space="0" w:color="000000"/>
              <w:bottom w:val="single" w:sz="4" w:space="0" w:color="000000"/>
              <w:right w:val="single" w:sz="13" w:space="0" w:color="D2D2D2"/>
            </w:tcBorders>
            <w:shd w:val="clear" w:color="auto" w:fill="E0FFFF"/>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200" w:type="dxa"/>
            <w:tcBorders>
              <w:top w:val="single" w:sz="4" w:space="0" w:color="000000"/>
              <w:left w:val="single" w:sz="10" w:space="0" w:color="E0FFFF"/>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3"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132,646,914.50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72,673,183.80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13,235,153.05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23,486,051.92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17,750,669.17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259,791,972.44</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4,795,854.35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172,796.55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3,957,024.62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625,946.54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9,551,622.06</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3,545,192.08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172,796.55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3,957,024.62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625,946.54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8,300,959.79</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1,250,662.27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1,250,662.27</w:t>
            </w:r>
          </w:p>
        </w:tc>
      </w:tr>
      <w:tr>
        <w:trPr>
          <w:trHeight w:val="40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03"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9,032,404.47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1,925,143.27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232,757.00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209,555.81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488,265.62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11,888,126.17</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2,469,016.49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1,925,143.27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232,757.00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209,555.81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488,265.62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5,324,738.19</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）转入投资性房地产</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6,563,387.98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6,563,387.98</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123,614,510.03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75,543,894.88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13,175,192.60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27,233,520.73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17,888,350.09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257,455,468.33</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03"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56,158,573.76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51,512,297.19</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8,221,939.58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20,211,965.00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15,991,398.46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152,096,173.99</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5,668,047.32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1,837,570.48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1,075,945.56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1,395,280.87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217,490.25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10,194,334.48</w:t>
            </w:r>
          </w:p>
        </w:tc>
      </w:tr>
      <w:tr>
        <w:trPr>
          <w:trHeight w:val="40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5,668,047.32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1,837,570.48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1,075,945.56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1,395,280.87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217,490.25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10,194,334.48</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3,964,576.87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1,239,248.46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182,112.27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208,261.01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434,390.35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6,028,588.96</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895,555.47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1,239,248.46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182,112.27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208,261.01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434,390.35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2,959,567.56</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15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）转入投资性房地产</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3,069,021.40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3,069,021.40</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57,862,044.21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52,110,619.21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9,115,772.87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21,398,984.86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15,774,498.36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156,261,919.51</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03"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6,549,019.68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201,916.97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416,961.58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7,167,898.23</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3"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3"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432,064.56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432,064.56</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432,064.56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432,064.56</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6,116,955.12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201,916.97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416,961.58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6,735,833.67</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3"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65,752,465.82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17,316,320.55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4,059,419.73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5,632,618.90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1,696,890.15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94,457,715.15</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76,488,340.74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14,611,866.93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5,013,213.47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3,072,169.95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1,342,309.13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100,527,900.22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）暂时闲置的固定资产情况：无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4" w:right="0"/>
              <w:jc w:val="left"/>
              <w:rPr>
                <w:rFonts w:ascii="Times New Roman" w:hAnsi="Times New Roman" w:cs="Times New Roman" w:eastAsia="Times New Roman" w:hint="default"/>
                <w:sz w:val="18"/>
                <w:szCs w:val="18"/>
              </w:rPr>
            </w:pPr>
            <w:r>
              <w:rPr>
                <w:rFonts w:ascii="Times New Roman"/>
                <w:sz w:val="18"/>
              </w:rPr>
              <w:t>54,311,442.92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42,475,992.98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3,807,852.17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8,027,597.77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）通过经营租赁租出的固定资产：无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兆丰国际</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单元</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1106-1107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1,367,414.70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办理中</w:t>
            </w:r>
          </w:p>
        </w:tc>
      </w:tr>
    </w:tbl>
    <w:p>
      <w:pPr>
        <w:pStyle w:val="BodyText"/>
        <w:spacing w:line="240" w:lineRule="auto" w:before="49"/>
        <w:ind w:right="1133"/>
        <w:jc w:val="left"/>
      </w:pPr>
      <w:r>
        <w:rPr/>
        <w:t>其他说明：该房产系以前年度购买，未办妥产权证书系历史遗留问题。</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6</w:t>
      </w:r>
      <w:r>
        <w:rPr/>
        <w:t>）固定资产清理：无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72"/>
        <w:gridCol w:w="3827"/>
        <w:gridCol w:w="3860"/>
      </w:tblGrid>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7,085,519.87</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1,315,533.32</w:t>
            </w: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7,085,519.87</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1,315,533.32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7,085,519.87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7,085,519.87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1,315,533.32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1,315,533.32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7,085,519.87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7,085,519.87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1,315,533.32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1,315,533.32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2"/>
        <w:gridCol w:w="1090"/>
        <w:gridCol w:w="1001"/>
        <w:gridCol w:w="1022"/>
        <w:gridCol w:w="1135"/>
        <w:gridCol w:w="550"/>
        <w:gridCol w:w="1001"/>
        <w:gridCol w:w="835"/>
        <w:gridCol w:w="322"/>
        <w:gridCol w:w="463"/>
        <w:gridCol w:w="701"/>
        <w:gridCol w:w="434"/>
        <w:gridCol w:w="322"/>
      </w:tblGrid>
      <w:tr>
        <w:trPr>
          <w:trHeight w:val="1651"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17" w:right="53" w:hanging="360"/>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03" w:right="19" w:hanging="180"/>
              <w:jc w:val="left"/>
              <w:rPr>
                <w:rFonts w:ascii="宋体" w:hAnsi="宋体" w:cs="宋体" w:eastAsia="宋体" w:hint="default"/>
                <w:sz w:val="18"/>
                <w:szCs w:val="18"/>
              </w:rPr>
            </w:pPr>
            <w:r>
              <w:rPr>
                <w:rFonts w:ascii="宋体" w:hAnsi="宋体" w:cs="宋体" w:eastAsia="宋体" w:hint="default"/>
                <w:sz w:val="18"/>
                <w:szCs w:val="18"/>
              </w:rPr>
              <w:t>本期转入固定 资产金额</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1" w:right="87"/>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 w:right="50"/>
              <w:jc w:val="both"/>
              <w:rPr>
                <w:rFonts w:ascii="宋体" w:hAnsi="宋体" w:cs="宋体" w:eastAsia="宋体" w:hint="default"/>
                <w:sz w:val="18"/>
                <w:szCs w:val="18"/>
              </w:rPr>
            </w:pPr>
            <w:r>
              <w:rPr>
                <w:rFonts w:ascii="宋体" w:hAnsi="宋体" w:cs="宋体" w:eastAsia="宋体" w:hint="default"/>
                <w:sz w:val="18"/>
                <w:szCs w:val="18"/>
              </w:rPr>
              <w:t>工程累计 投入占预 算比例</w:t>
            </w:r>
          </w:p>
        </w:tc>
        <w:tc>
          <w:tcPr>
            <w:tcW w:w="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工 程 进 度</w:t>
            </w:r>
          </w:p>
        </w:tc>
        <w:tc>
          <w:tcPr>
            <w:tcW w:w="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3"/>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4" w:right="22" w:hanging="51"/>
              <w:jc w:val="both"/>
              <w:rPr>
                <w:rFonts w:ascii="宋体" w:hAnsi="宋体" w:cs="宋体" w:eastAsia="宋体" w:hint="default"/>
                <w:sz w:val="18"/>
                <w:szCs w:val="18"/>
              </w:rPr>
            </w:pPr>
            <w:r>
              <w:rPr>
                <w:rFonts w:ascii="宋体" w:hAnsi="宋体" w:cs="宋体" w:eastAsia="宋体" w:hint="default"/>
                <w:spacing w:val="-20"/>
                <w:sz w:val="18"/>
                <w:szCs w:val="18"/>
              </w:rPr>
              <w:t>其中：本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期利息 资本化 金额</w:t>
            </w:r>
          </w:p>
        </w:tc>
        <w:tc>
          <w:tcPr>
            <w:tcW w:w="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29"/>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资 金 来 源</w:t>
            </w:r>
          </w:p>
        </w:tc>
      </w:tr>
      <w:tr>
        <w:trPr>
          <w:trHeight w:val="1025"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220KV</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实</w:t>
            </w:r>
          </w:p>
          <w:p>
            <w:pPr>
              <w:pStyle w:val="TableParagraph"/>
              <w:spacing w:line="319" w:lineRule="auto" w:before="63"/>
              <w:ind w:left="24" w:right="36"/>
              <w:jc w:val="left"/>
              <w:rPr>
                <w:rFonts w:ascii="宋体" w:hAnsi="宋体" w:cs="宋体" w:eastAsia="宋体" w:hint="default"/>
                <w:sz w:val="18"/>
                <w:szCs w:val="18"/>
              </w:rPr>
            </w:pPr>
            <w:r>
              <w:rPr>
                <w:rFonts w:ascii="宋体" w:hAnsi="宋体" w:cs="宋体" w:eastAsia="宋体" w:hint="default"/>
                <w:sz w:val="18"/>
                <w:szCs w:val="18"/>
              </w:rPr>
              <w:t>验室基建 项目</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1,250,662.27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1,250,662.27</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96.20%</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6"/>
              <w:jc w:val="left"/>
              <w:rPr>
                <w:rFonts w:ascii="宋体" w:hAnsi="宋体" w:cs="宋体" w:eastAsia="宋体" w:hint="default"/>
                <w:sz w:val="18"/>
                <w:szCs w:val="18"/>
              </w:rPr>
            </w:pPr>
            <w:r>
              <w:rPr>
                <w:rFonts w:ascii="宋体" w:hAnsi="宋体" w:cs="宋体" w:eastAsia="宋体" w:hint="default"/>
                <w:sz w:val="18"/>
                <w:szCs w:val="18"/>
              </w:rPr>
              <w:t>完 工</w:t>
            </w:r>
          </w:p>
        </w:tc>
        <w:tc>
          <w:tcPr>
            <w:tcW w:w="46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715"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绿地装修 费</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1,315,533.32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5,201,221.89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6,516,755.21</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93.10%</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在 建</w:t>
            </w:r>
          </w:p>
        </w:tc>
        <w:tc>
          <w:tcPr>
            <w:tcW w:w="46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713"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办事处装 修费</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568,764.66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568,764.66</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6.32%</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在 建</w:t>
            </w:r>
          </w:p>
        </w:tc>
        <w:tc>
          <w:tcPr>
            <w:tcW w:w="46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1,315,533.32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7,020,648.82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1,250,662.27</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7,085,519.87</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w:t>
            </w:r>
          </w:p>
        </w:tc>
        <w:tc>
          <w:tcPr>
            <w:tcW w:w="46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）本期计提在建工程减值准备情况：无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）工程物资：无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483"/>
        <w:gridCol w:w="1184"/>
        <w:gridCol w:w="1282"/>
        <w:gridCol w:w="1121"/>
        <w:gridCol w:w="1171"/>
        <w:gridCol w:w="1174"/>
        <w:gridCol w:w="1282"/>
      </w:tblGrid>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7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174" w:type="dxa"/>
            <w:tcBorders>
              <w:top w:val="single" w:sz="4" w:space="0" w:color="000000"/>
              <w:left w:val="single" w:sz="4" w:space="0" w:color="000000"/>
              <w:bottom w:val="single" w:sz="4" w:space="0" w:color="000000"/>
              <w:right w:val="single" w:sz="13" w:space="0" w:color="D2D2D2"/>
            </w:tcBorders>
            <w:shd w:val="clear" w:color="auto" w:fill="E0FFFF"/>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282" w:type="dxa"/>
            <w:tcBorders>
              <w:top w:val="single" w:sz="4" w:space="0" w:color="000000"/>
              <w:left w:val="single" w:sz="10" w:space="0" w:color="E0FFFF"/>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5,025,922.33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11,531,723.97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8,870,351.78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28,607,998.08</w:t>
            </w: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4,176,522.57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319,655.18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4,496,177.75</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319,655.18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319,655.18</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4,176,522.57</w:t>
            </w:r>
          </w:p>
        </w:tc>
        <w:tc>
          <w:tcPr>
            <w:tcW w:w="117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4,176,522.57</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5,025,922.33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11,531,723.97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7,356,522.57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9,190,006.96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33,104,175.83</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1,331,124.57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10,399,628.21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2,252,500.00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4,498,242.20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18,481,494.98</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100,518.41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644,285.51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423,015.98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1,259,848.18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2,427,668.08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483"/>
        <w:gridCol w:w="1184"/>
        <w:gridCol w:w="1282"/>
        <w:gridCol w:w="1121"/>
        <w:gridCol w:w="1171"/>
        <w:gridCol w:w="1174"/>
        <w:gridCol w:w="1282"/>
      </w:tblGrid>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100,518.41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644,285.51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423,015.98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1,259,848.18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2,427,668.08</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1,431,642.98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11,043,913.72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2,675,515.98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5,758,090.38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20,909,163.06</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7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7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7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3,594,279.35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487,810.25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4,681,006.59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3,431,916.58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12,195,012.77</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3,694,797.76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1,132,095.76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927,500.00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4,372,109.58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10,126,503.10</w:t>
            </w:r>
          </w:p>
        </w:tc>
      </w:tr>
    </w:tbl>
    <w:p>
      <w:pPr>
        <w:pStyle w:val="BodyText"/>
        <w:spacing w:line="240" w:lineRule="auto" w:before="49"/>
        <w:ind w:right="1133"/>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12.62%</w:t>
      </w:r>
      <w:r>
        <w:rPr/>
        <w:t>。</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）未办妥产权证书的土地使用权情况：无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15</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077"/>
        <w:gridCol w:w="1075"/>
        <w:gridCol w:w="1093"/>
        <w:gridCol w:w="1075"/>
        <w:gridCol w:w="1076"/>
        <w:gridCol w:w="1078"/>
        <w:gridCol w:w="1075"/>
        <w:gridCol w:w="1078"/>
        <w:gridCol w:w="1070"/>
      </w:tblGrid>
      <w:tr>
        <w:trPr>
          <w:trHeight w:val="401"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3"/>
              <w:jc w:val="right"/>
              <w:rPr>
                <w:rFonts w:ascii="宋体" w:hAnsi="宋体" w:cs="宋体" w:eastAsia="宋体" w:hint="default"/>
                <w:sz w:val="18"/>
                <w:szCs w:val="18"/>
              </w:rPr>
            </w:pPr>
            <w:r>
              <w:rPr>
                <w:rFonts w:ascii="宋体" w:hAnsi="宋体" w:cs="宋体" w:eastAsia="宋体" w:hint="default"/>
                <w:sz w:val="18"/>
                <w:szCs w:val="18"/>
              </w:rPr>
              <w:t>项目</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24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23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07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301"/>
              <w:jc w:val="right"/>
              <w:rPr>
                <w:rFonts w:ascii="Times New Roman" w:hAnsi="Times New Roman" w:cs="Times New Roman" w:eastAsia="Times New Roman" w:hint="default"/>
                <w:sz w:val="18"/>
                <w:szCs w:val="18"/>
              </w:rPr>
            </w:pPr>
            <w:r>
              <w:rPr>
                <w:rFonts w:ascii="Times New Roman"/>
                <w:spacing w:val="-1"/>
                <w:sz w:val="18"/>
              </w:rPr>
              <w:t>YF-17010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2,913,035.64</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2,913,035.64</w:t>
            </w:r>
          </w:p>
        </w:tc>
      </w:tr>
      <w:tr>
        <w:trPr>
          <w:trHeight w:val="401" w:hRule="exact"/>
        </w:trPr>
        <w:tc>
          <w:tcPr>
            <w:tcW w:w="107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301"/>
              <w:jc w:val="right"/>
              <w:rPr>
                <w:rFonts w:ascii="Times New Roman" w:hAnsi="Times New Roman" w:cs="Times New Roman" w:eastAsia="Times New Roman" w:hint="default"/>
                <w:sz w:val="18"/>
                <w:szCs w:val="18"/>
              </w:rPr>
            </w:pPr>
            <w:r>
              <w:rPr>
                <w:rFonts w:ascii="Times New Roman"/>
                <w:spacing w:val="-1"/>
                <w:sz w:val="18"/>
              </w:rPr>
              <w:t>YF-18007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1,480,623.26</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1,480,623.26</w:t>
            </w:r>
          </w:p>
        </w:tc>
      </w:tr>
      <w:tr>
        <w:trPr>
          <w:trHeight w:val="403" w:hRule="exact"/>
        </w:trPr>
        <w:tc>
          <w:tcPr>
            <w:tcW w:w="107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301"/>
              <w:jc w:val="right"/>
              <w:rPr>
                <w:rFonts w:ascii="Times New Roman" w:hAnsi="Times New Roman" w:cs="Times New Roman" w:eastAsia="Times New Roman" w:hint="default"/>
                <w:sz w:val="18"/>
                <w:szCs w:val="18"/>
              </w:rPr>
            </w:pPr>
            <w:r>
              <w:rPr>
                <w:rFonts w:ascii="Times New Roman"/>
                <w:spacing w:val="-1"/>
                <w:sz w:val="18"/>
              </w:rPr>
              <w:t>YF-18001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2,665,233.57</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2,665,233.57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07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301"/>
              <w:jc w:val="right"/>
              <w:rPr>
                <w:rFonts w:ascii="Times New Roman" w:hAnsi="Times New Roman" w:cs="Times New Roman" w:eastAsia="Times New Roman" w:hint="default"/>
                <w:sz w:val="18"/>
                <w:szCs w:val="18"/>
              </w:rPr>
            </w:pPr>
            <w:r>
              <w:rPr>
                <w:rFonts w:ascii="Times New Roman"/>
                <w:spacing w:val="-1"/>
                <w:sz w:val="18"/>
              </w:rPr>
              <w:t>YF-17005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2" w:right="0"/>
              <w:jc w:val="center"/>
              <w:rPr>
                <w:rFonts w:ascii="Times New Roman" w:hAnsi="Times New Roman" w:cs="Times New Roman" w:eastAsia="Times New Roman" w:hint="default"/>
                <w:sz w:val="18"/>
                <w:szCs w:val="18"/>
              </w:rPr>
            </w:pPr>
            <w:r>
              <w:rPr>
                <w:rFonts w:ascii="Times New Roman"/>
                <w:sz w:val="18"/>
              </w:rPr>
              <w:t>936,744.44</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936,744.44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07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301"/>
              <w:jc w:val="right"/>
              <w:rPr>
                <w:rFonts w:ascii="Times New Roman" w:hAnsi="Times New Roman" w:cs="Times New Roman" w:eastAsia="Times New Roman" w:hint="default"/>
                <w:sz w:val="18"/>
                <w:szCs w:val="18"/>
              </w:rPr>
            </w:pPr>
            <w:r>
              <w:rPr>
                <w:rFonts w:ascii="Times New Roman"/>
                <w:spacing w:val="-1"/>
                <w:sz w:val="18"/>
              </w:rPr>
              <w:t>YF-18008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2" w:right="0"/>
              <w:jc w:val="center"/>
              <w:rPr>
                <w:rFonts w:ascii="Times New Roman" w:hAnsi="Times New Roman" w:cs="Times New Roman" w:eastAsia="Times New Roman" w:hint="default"/>
                <w:sz w:val="18"/>
                <w:szCs w:val="18"/>
              </w:rPr>
            </w:pPr>
            <w:r>
              <w:rPr>
                <w:rFonts w:ascii="Times New Roman"/>
                <w:sz w:val="18"/>
              </w:rPr>
              <w:t>574,544.56</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574,544.56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07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301"/>
              <w:jc w:val="right"/>
              <w:rPr>
                <w:rFonts w:ascii="Times New Roman" w:hAnsi="Times New Roman" w:cs="Times New Roman" w:eastAsia="Times New Roman" w:hint="default"/>
                <w:sz w:val="18"/>
                <w:szCs w:val="18"/>
              </w:rPr>
            </w:pPr>
            <w:r>
              <w:rPr>
                <w:rFonts w:ascii="Times New Roman"/>
                <w:spacing w:val="-1"/>
                <w:sz w:val="18"/>
              </w:rPr>
              <w:t>YF-18002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2" w:right="0"/>
              <w:jc w:val="center"/>
              <w:rPr>
                <w:rFonts w:ascii="Times New Roman" w:hAnsi="Times New Roman" w:cs="Times New Roman" w:eastAsia="Times New Roman" w:hint="default"/>
                <w:sz w:val="18"/>
                <w:szCs w:val="18"/>
              </w:rPr>
            </w:pPr>
            <w:r>
              <w:rPr>
                <w:rFonts w:ascii="Times New Roman"/>
                <w:sz w:val="18"/>
              </w:rPr>
              <w:t>910,555.77</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910,555.77</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07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301"/>
              <w:jc w:val="right"/>
              <w:rPr>
                <w:rFonts w:ascii="Times New Roman" w:hAnsi="Times New Roman" w:cs="Times New Roman" w:eastAsia="Times New Roman" w:hint="default"/>
                <w:sz w:val="18"/>
                <w:szCs w:val="18"/>
              </w:rPr>
            </w:pPr>
            <w:r>
              <w:rPr>
                <w:rFonts w:ascii="Times New Roman"/>
                <w:spacing w:val="-1"/>
                <w:sz w:val="18"/>
              </w:rPr>
              <w:t>YF-18004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2" w:right="0"/>
              <w:jc w:val="center"/>
              <w:rPr>
                <w:rFonts w:ascii="Times New Roman" w:hAnsi="Times New Roman" w:cs="Times New Roman" w:eastAsia="Times New Roman" w:hint="default"/>
                <w:sz w:val="18"/>
                <w:szCs w:val="18"/>
              </w:rPr>
            </w:pPr>
            <w:r>
              <w:rPr>
                <w:rFonts w:ascii="Times New Roman"/>
                <w:sz w:val="18"/>
              </w:rPr>
              <w:t>788,513.19</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788,513.19</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07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301"/>
              <w:jc w:val="right"/>
              <w:rPr>
                <w:rFonts w:ascii="Times New Roman" w:hAnsi="Times New Roman" w:cs="Times New Roman" w:eastAsia="Times New Roman" w:hint="default"/>
                <w:sz w:val="18"/>
                <w:szCs w:val="18"/>
              </w:rPr>
            </w:pPr>
            <w:r>
              <w:rPr>
                <w:rFonts w:ascii="Times New Roman"/>
                <w:spacing w:val="-1"/>
                <w:sz w:val="18"/>
              </w:rPr>
              <w:t>YF-17006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center"/>
              <w:rPr>
                <w:rFonts w:ascii="Times New Roman" w:hAnsi="Times New Roman" w:cs="Times New Roman" w:eastAsia="Times New Roman" w:hint="default"/>
                <w:sz w:val="18"/>
                <w:szCs w:val="18"/>
              </w:rPr>
            </w:pPr>
            <w:r>
              <w:rPr>
                <w:rFonts w:ascii="Times New Roman"/>
                <w:sz w:val="18"/>
              </w:rPr>
              <w:t>678,116.14</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678,116.14</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07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301"/>
              <w:jc w:val="right"/>
              <w:rPr>
                <w:rFonts w:ascii="Times New Roman" w:hAnsi="Times New Roman" w:cs="Times New Roman" w:eastAsia="Times New Roman" w:hint="default"/>
                <w:sz w:val="18"/>
                <w:szCs w:val="18"/>
              </w:rPr>
            </w:pPr>
            <w:r>
              <w:rPr>
                <w:rFonts w:ascii="Times New Roman"/>
                <w:spacing w:val="-1"/>
                <w:sz w:val="18"/>
              </w:rPr>
              <w:t>YF-18006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2" w:right="0"/>
              <w:jc w:val="center"/>
              <w:rPr>
                <w:rFonts w:ascii="Times New Roman" w:hAnsi="Times New Roman" w:cs="Times New Roman" w:eastAsia="Times New Roman" w:hint="default"/>
                <w:sz w:val="18"/>
                <w:szCs w:val="18"/>
              </w:rPr>
            </w:pPr>
            <w:r>
              <w:rPr>
                <w:rFonts w:ascii="Times New Roman"/>
                <w:sz w:val="18"/>
              </w:rPr>
              <w:t>505,302.53</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505,302.53</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07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301"/>
              <w:jc w:val="right"/>
              <w:rPr>
                <w:rFonts w:ascii="Times New Roman" w:hAnsi="Times New Roman" w:cs="Times New Roman" w:eastAsia="Times New Roman" w:hint="default"/>
                <w:sz w:val="18"/>
                <w:szCs w:val="18"/>
              </w:rPr>
            </w:pPr>
            <w:r>
              <w:rPr>
                <w:rFonts w:ascii="Times New Roman"/>
                <w:spacing w:val="-1"/>
                <w:sz w:val="18"/>
              </w:rPr>
              <w:t>YF-18005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2" w:right="0"/>
              <w:jc w:val="center"/>
              <w:rPr>
                <w:rFonts w:ascii="Times New Roman" w:hAnsi="Times New Roman" w:cs="Times New Roman" w:eastAsia="Times New Roman" w:hint="default"/>
                <w:sz w:val="18"/>
                <w:szCs w:val="18"/>
              </w:rPr>
            </w:pPr>
            <w:r>
              <w:rPr>
                <w:rFonts w:ascii="Times New Roman"/>
                <w:sz w:val="18"/>
              </w:rPr>
              <w:t>450,747.22</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450,747.22</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07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301"/>
              <w:jc w:val="right"/>
              <w:rPr>
                <w:rFonts w:ascii="Times New Roman" w:hAnsi="Times New Roman" w:cs="Times New Roman" w:eastAsia="Times New Roman" w:hint="default"/>
                <w:sz w:val="18"/>
                <w:szCs w:val="18"/>
              </w:rPr>
            </w:pPr>
            <w:r>
              <w:rPr>
                <w:rFonts w:ascii="Times New Roman"/>
                <w:spacing w:val="-1"/>
                <w:sz w:val="18"/>
              </w:rPr>
              <w:t>YF-18003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2" w:right="0"/>
              <w:jc w:val="center"/>
              <w:rPr>
                <w:rFonts w:ascii="Times New Roman" w:hAnsi="Times New Roman" w:cs="Times New Roman" w:eastAsia="Times New Roman" w:hint="default"/>
                <w:sz w:val="18"/>
                <w:szCs w:val="18"/>
              </w:rPr>
            </w:pPr>
            <w:r>
              <w:rPr>
                <w:rFonts w:ascii="Times New Roman"/>
                <w:sz w:val="18"/>
              </w:rPr>
              <w:t>447,653.73</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447,653.73</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3"/>
              <w:jc w:val="right"/>
              <w:rPr>
                <w:rFonts w:ascii="宋体" w:hAnsi="宋体" w:cs="宋体" w:eastAsia="宋体" w:hint="default"/>
                <w:sz w:val="18"/>
                <w:szCs w:val="18"/>
              </w:rPr>
            </w:pPr>
            <w:r>
              <w:rPr>
                <w:rFonts w:ascii="宋体" w:hAnsi="宋体" w:cs="宋体" w:eastAsia="宋体" w:hint="default"/>
                <w:sz w:val="18"/>
                <w:szCs w:val="18"/>
              </w:rPr>
              <w:t>合计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12,351,070.05</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4,176,522.57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3,780,888.58</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4,393,658.90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left="212" w:right="3180"/>
        <w:jc w:val="left"/>
        <w:rPr>
          <w:b w:val="0"/>
          <w:bCs w:val="0"/>
        </w:rPr>
      </w:pPr>
      <w:r>
        <w:rPr>
          <w:rFonts w:ascii="Times New Roman" w:hAnsi="Times New Roman" w:cs="Times New Roman" w:eastAsia="Times New Roman" w:hint="default"/>
        </w:rPr>
        <w:t>16</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2" w:right="318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79" w:type="dxa"/>
        <w:tblLayout w:type="fixed"/>
        <w:tblCellMar>
          <w:top w:w="0" w:type="dxa"/>
          <w:left w:w="0" w:type="dxa"/>
          <w:bottom w:w="0" w:type="dxa"/>
          <w:right w:w="0" w:type="dxa"/>
        </w:tblCellMar>
        <w:tblLook w:val="01E0"/>
      </w:tblPr>
      <w:tblGrid>
        <w:gridCol w:w="3853"/>
        <w:gridCol w:w="1836"/>
        <w:gridCol w:w="1085"/>
        <w:gridCol w:w="1085"/>
        <w:gridCol w:w="1838"/>
      </w:tblGrid>
      <w:tr>
        <w:trPr>
          <w:trHeight w:val="401" w:hRule="exact"/>
        </w:trPr>
        <w:tc>
          <w:tcPr>
            <w:tcW w:w="3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85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中汇同盈</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359,972.58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359,972.58</w:t>
            </w:r>
          </w:p>
        </w:tc>
      </w:tr>
      <w:tr>
        <w:trPr>
          <w:trHeight w:val="401" w:hRule="exact"/>
        </w:trPr>
        <w:tc>
          <w:tcPr>
            <w:tcW w:w="385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1,220,240,489.40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1,220,240,489.40</w:t>
            </w:r>
          </w:p>
        </w:tc>
      </w:tr>
      <w:tr>
        <w:trPr>
          <w:trHeight w:val="403" w:hRule="exact"/>
        </w:trPr>
        <w:tc>
          <w:tcPr>
            <w:tcW w:w="3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1,220,600,461.98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1,220,600,461.98</w:t>
            </w:r>
          </w:p>
        </w:tc>
      </w:tr>
    </w:tbl>
    <w:p>
      <w:pPr>
        <w:spacing w:line="240" w:lineRule="auto" w:before="3"/>
        <w:rPr>
          <w:rFonts w:ascii="宋体" w:hAnsi="宋体" w:cs="宋体" w:eastAsia="宋体" w:hint="default"/>
          <w:sz w:val="19"/>
          <w:szCs w:val="19"/>
        </w:rPr>
      </w:pPr>
    </w:p>
    <w:p>
      <w:pPr>
        <w:pStyle w:val="Heading3"/>
        <w:spacing w:line="240" w:lineRule="auto" w:before="36"/>
        <w:ind w:left="212" w:right="318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212" w:right="3180"/>
        <w:jc w:val="left"/>
      </w:pPr>
      <w:r>
        <w:rPr/>
        <w:t>商誉减值测试情况如下：</w:t>
      </w:r>
    </w:p>
    <w:p>
      <w:pPr>
        <w:spacing w:line="240" w:lineRule="auto" w:before="5"/>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5072"/>
        <w:gridCol w:w="1983"/>
        <w:gridCol w:w="1906"/>
      </w:tblGrid>
      <w:tr>
        <w:trPr>
          <w:trHeight w:val="439"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中汇同盈</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哆可梦</w:t>
            </w:r>
          </w:p>
        </w:tc>
      </w:tr>
      <w:tr>
        <w:trPr>
          <w:trHeight w:val="44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Garamond" w:hAnsi="Garamond" w:cs="Garamond" w:eastAsia="Garamond" w:hint="default"/>
                <w:sz w:val="18"/>
                <w:szCs w:val="18"/>
              </w:rPr>
            </w:pPr>
            <w:r>
              <w:rPr>
                <w:rFonts w:ascii="Garamond"/>
                <w:sz w:val="18"/>
              </w:rPr>
              <w:t>359,972.58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Garamond" w:hAnsi="Garamond" w:cs="Garamond" w:eastAsia="Garamond" w:hint="default"/>
                <w:sz w:val="18"/>
                <w:szCs w:val="18"/>
              </w:rPr>
            </w:pPr>
            <w:r>
              <w:rPr>
                <w:rFonts w:ascii="Garamond"/>
                <w:sz w:val="18"/>
              </w:rPr>
              <w:t>1,220,240,489.40</w:t>
            </w:r>
          </w:p>
        </w:tc>
      </w:tr>
      <w:tr>
        <w:trPr>
          <w:trHeight w:val="439"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Garamond" w:hAnsi="Garamond" w:cs="Garamond" w:eastAsia="Garamond" w:hint="default"/>
                <w:sz w:val="18"/>
                <w:szCs w:val="18"/>
              </w:rPr>
            </w:pPr>
            <w:r>
              <w:rPr>
                <w:rFonts w:ascii="Garamond"/>
                <w:sz w:val="18"/>
              </w:rPr>
              <w:t>-</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5" w:right="0"/>
              <w:jc w:val="left"/>
              <w:rPr>
                <w:rFonts w:ascii="Garamond" w:hAnsi="Garamond" w:cs="Garamond" w:eastAsia="Garamond" w:hint="default"/>
                <w:sz w:val="18"/>
                <w:szCs w:val="18"/>
              </w:rPr>
            </w:pPr>
            <w:r>
              <w:rPr>
                <w:rFonts w:ascii="Garamond"/>
                <w:sz w:val="18"/>
              </w:rPr>
              <w:t>-</w:t>
            </w:r>
          </w:p>
        </w:tc>
      </w:tr>
      <w:tr>
        <w:trPr>
          <w:trHeight w:val="44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商誉的账面价值③</w:t>
            </w:r>
            <w:r>
              <w:rPr>
                <w:rFonts w:ascii="Garamond" w:hAnsi="Garamond" w:cs="Garamond" w:eastAsia="Garamond" w:hint="default"/>
                <w:sz w:val="18"/>
                <w:szCs w:val="18"/>
              </w:rPr>
              <w:t>=</w:t>
            </w:r>
            <w:r>
              <w:rPr>
                <w:rFonts w:ascii="宋体" w:hAnsi="宋体" w:cs="宋体" w:eastAsia="宋体" w:hint="default"/>
                <w:sz w:val="18"/>
                <w:szCs w:val="18"/>
              </w:rPr>
              <w:t>①</w:t>
            </w:r>
            <w:r>
              <w:rPr>
                <w:rFonts w:ascii="Garamond" w:hAnsi="Garamond" w:cs="Garamond" w:eastAsia="Garamond" w:hint="default"/>
                <w:sz w:val="18"/>
                <w:szCs w:val="18"/>
              </w:rPr>
              <w:t>-</w:t>
            </w:r>
            <w:r>
              <w:rPr>
                <w:rFonts w:ascii="宋体" w:hAnsi="宋体" w:cs="宋体" w:eastAsia="宋体" w:hint="default"/>
                <w:sz w:val="18"/>
                <w:szCs w:val="18"/>
              </w:rPr>
              <w:t>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Garamond" w:hAnsi="Garamond" w:cs="Garamond" w:eastAsia="Garamond" w:hint="default"/>
                <w:sz w:val="18"/>
                <w:szCs w:val="18"/>
              </w:rPr>
            </w:pPr>
            <w:r>
              <w:rPr>
                <w:rFonts w:ascii="Garamond"/>
                <w:sz w:val="18"/>
              </w:rPr>
              <w:t>359,972.58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5" w:right="0"/>
              <w:jc w:val="left"/>
              <w:rPr>
                <w:rFonts w:ascii="Garamond" w:hAnsi="Garamond" w:cs="Garamond" w:eastAsia="Garamond" w:hint="default"/>
                <w:sz w:val="18"/>
                <w:szCs w:val="18"/>
              </w:rPr>
            </w:pPr>
            <w:r>
              <w:rPr>
                <w:rFonts w:ascii="Garamond"/>
                <w:sz w:val="18"/>
              </w:rPr>
              <w:t>1,220,240,489.40</w:t>
            </w:r>
          </w:p>
        </w:tc>
      </w:tr>
      <w:tr>
        <w:trPr>
          <w:trHeight w:val="439"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未确认归属于少数股东权益的商誉价值④</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Garamond" w:hAnsi="Garamond" w:cs="Garamond" w:eastAsia="Garamond" w:hint="default"/>
                <w:sz w:val="18"/>
                <w:szCs w:val="18"/>
              </w:rPr>
            </w:pPr>
            <w:r>
              <w:rPr>
                <w:rFonts w:ascii="Garamond"/>
                <w:sz w:val="18"/>
              </w:rPr>
              <w:t>-</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5" w:right="0"/>
              <w:jc w:val="left"/>
              <w:rPr>
                <w:rFonts w:ascii="Garamond" w:hAnsi="Garamond" w:cs="Garamond" w:eastAsia="Garamond" w:hint="default"/>
                <w:sz w:val="18"/>
                <w:szCs w:val="18"/>
              </w:rPr>
            </w:pPr>
            <w:r>
              <w:rPr>
                <w:rFonts w:ascii="Garamond"/>
                <w:sz w:val="18"/>
              </w:rPr>
              <w:t>352,842,518.72</w:t>
            </w:r>
          </w:p>
        </w:tc>
      </w:tr>
      <w:tr>
        <w:trPr>
          <w:trHeight w:val="440"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包含未确认归属于少数股东权益的商誉价值⑤</w:t>
            </w:r>
            <w:r>
              <w:rPr>
                <w:rFonts w:ascii="Garamond" w:hAnsi="Garamond" w:cs="Garamond" w:eastAsia="Garamond" w:hint="default"/>
                <w:sz w:val="18"/>
                <w:szCs w:val="18"/>
              </w:rPr>
              <w:t>=</w:t>
            </w:r>
            <w:r>
              <w:rPr>
                <w:rFonts w:ascii="宋体" w:hAnsi="宋体" w:cs="宋体" w:eastAsia="宋体" w:hint="default"/>
                <w:sz w:val="18"/>
                <w:szCs w:val="18"/>
              </w:rPr>
              <w:t>④</w:t>
            </w:r>
            <w:r>
              <w:rPr>
                <w:rFonts w:ascii="Garamond" w:hAnsi="Garamond" w:cs="Garamond" w:eastAsia="Garamond" w:hint="default"/>
                <w:sz w:val="18"/>
                <w:szCs w:val="18"/>
              </w:rPr>
              <w:t>+</w:t>
            </w:r>
            <w:r>
              <w:rPr>
                <w:rFonts w:ascii="宋体" w:hAnsi="宋体" w:cs="宋体" w:eastAsia="宋体" w:hint="default"/>
                <w:sz w:val="18"/>
                <w:szCs w:val="18"/>
              </w:rPr>
              <w:t>③</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Garamond" w:hAnsi="Garamond" w:cs="Garamond" w:eastAsia="Garamond" w:hint="default"/>
                <w:sz w:val="18"/>
                <w:szCs w:val="18"/>
              </w:rPr>
            </w:pPr>
            <w:r>
              <w:rPr>
                <w:rFonts w:ascii="Garamond"/>
                <w:sz w:val="18"/>
              </w:rPr>
              <w:t>359,972.58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5" w:right="0"/>
              <w:jc w:val="left"/>
              <w:rPr>
                <w:rFonts w:ascii="Garamond" w:hAnsi="Garamond" w:cs="Garamond" w:eastAsia="Garamond" w:hint="default"/>
                <w:sz w:val="18"/>
                <w:szCs w:val="18"/>
              </w:rPr>
            </w:pPr>
            <w:r>
              <w:rPr>
                <w:rFonts w:ascii="Garamond"/>
                <w:sz w:val="18"/>
              </w:rPr>
              <w:t>1,573,083,008.12</w:t>
            </w:r>
          </w:p>
        </w:tc>
      </w:tr>
      <w:tr>
        <w:trPr>
          <w:trHeight w:val="44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资产组的账面价值⑥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Garamond" w:hAnsi="Garamond" w:cs="Garamond" w:eastAsia="Garamond" w:hint="default"/>
                <w:sz w:val="18"/>
                <w:szCs w:val="18"/>
              </w:rPr>
            </w:pPr>
            <w:r>
              <w:rPr>
                <w:rFonts w:ascii="Garamond"/>
                <w:sz w:val="18"/>
              </w:rPr>
              <w:t>-</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Garamond" w:hAnsi="Garamond" w:cs="Garamond" w:eastAsia="Garamond" w:hint="default"/>
                <w:sz w:val="18"/>
                <w:szCs w:val="18"/>
              </w:rPr>
            </w:pPr>
            <w:r>
              <w:rPr>
                <w:rFonts w:ascii="Garamond"/>
                <w:sz w:val="18"/>
              </w:rPr>
              <w:t>290,773,697.61</w:t>
            </w:r>
          </w:p>
        </w:tc>
      </w:tr>
      <w:tr>
        <w:trPr>
          <w:trHeight w:val="439"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包含整体商誉的资产组的公允价值⑦</w:t>
            </w:r>
            <w:r>
              <w:rPr>
                <w:rFonts w:ascii="Garamond" w:hAnsi="Garamond" w:cs="Garamond" w:eastAsia="Garamond" w:hint="default"/>
                <w:sz w:val="18"/>
                <w:szCs w:val="18"/>
              </w:rPr>
              <w:t>=</w:t>
            </w:r>
            <w:r>
              <w:rPr>
                <w:rFonts w:ascii="宋体" w:hAnsi="宋体" w:cs="宋体" w:eastAsia="宋体" w:hint="default"/>
                <w:sz w:val="18"/>
                <w:szCs w:val="18"/>
              </w:rPr>
              <w:t>⑤</w:t>
            </w:r>
            <w:r>
              <w:rPr>
                <w:rFonts w:ascii="Garamond" w:hAnsi="Garamond" w:cs="Garamond" w:eastAsia="Garamond" w:hint="default"/>
                <w:sz w:val="18"/>
                <w:szCs w:val="18"/>
              </w:rPr>
              <w:t>+</w:t>
            </w:r>
            <w:r>
              <w:rPr>
                <w:rFonts w:ascii="宋体" w:hAnsi="宋体" w:cs="宋体" w:eastAsia="宋体" w:hint="default"/>
                <w:sz w:val="18"/>
                <w:szCs w:val="18"/>
              </w:rPr>
              <w:t>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Garamond" w:hAnsi="Garamond" w:cs="Garamond" w:eastAsia="Garamond" w:hint="default"/>
                <w:sz w:val="18"/>
                <w:szCs w:val="18"/>
              </w:rPr>
            </w:pPr>
            <w:r>
              <w:rPr>
                <w:rFonts w:ascii="Garamond"/>
                <w:sz w:val="18"/>
              </w:rPr>
              <w:t>359,972.58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5" w:right="0"/>
              <w:jc w:val="left"/>
              <w:rPr>
                <w:rFonts w:ascii="Garamond" w:hAnsi="Garamond" w:cs="Garamond" w:eastAsia="Garamond" w:hint="default"/>
                <w:sz w:val="18"/>
                <w:szCs w:val="18"/>
              </w:rPr>
            </w:pPr>
            <w:r>
              <w:rPr>
                <w:rFonts w:ascii="Garamond"/>
                <w:sz w:val="18"/>
              </w:rPr>
              <w:t>1,863,856,705.73</w:t>
            </w:r>
          </w:p>
        </w:tc>
      </w:tr>
      <w:tr>
        <w:trPr>
          <w:trHeight w:val="44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资产组预计未来现金流量的现值（可收回金额）⑧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Garamond" w:hAnsi="Garamond" w:cs="Garamond" w:eastAsia="Garamond" w:hint="default"/>
                <w:sz w:val="18"/>
                <w:szCs w:val="18"/>
              </w:rPr>
            </w:pPr>
            <w:r>
              <w:rPr>
                <w:rFonts w:ascii="Garamond"/>
                <w:sz w:val="18"/>
              </w:rPr>
              <w:t>360,000.00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5" w:right="0"/>
              <w:jc w:val="left"/>
              <w:rPr>
                <w:rFonts w:ascii="Garamond" w:hAnsi="Garamond" w:cs="Garamond" w:eastAsia="Garamond" w:hint="default"/>
                <w:sz w:val="18"/>
                <w:szCs w:val="18"/>
              </w:rPr>
            </w:pPr>
            <w:r>
              <w:rPr>
                <w:rFonts w:ascii="Garamond"/>
                <w:sz w:val="18"/>
              </w:rPr>
              <w:t>2,885,687,087.53</w:t>
            </w:r>
          </w:p>
        </w:tc>
      </w:tr>
      <w:tr>
        <w:trPr>
          <w:trHeight w:val="439"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商誉减值损失（大于</w:t>
            </w:r>
            <w:r>
              <w:rPr>
                <w:rFonts w:ascii="宋体" w:hAnsi="宋体" w:cs="宋体" w:eastAsia="宋体" w:hint="default"/>
                <w:spacing w:val="-45"/>
                <w:sz w:val="18"/>
                <w:szCs w:val="18"/>
              </w:rPr>
              <w:t> </w:t>
            </w:r>
            <w:r>
              <w:rPr>
                <w:rFonts w:ascii="Garamond" w:hAnsi="Garamond" w:cs="Garamond" w:eastAsia="Garamond" w:hint="default"/>
                <w:sz w:val="18"/>
                <w:szCs w:val="18"/>
              </w:rPr>
              <w:t>0</w:t>
            </w:r>
            <w:r>
              <w:rPr>
                <w:rFonts w:ascii="Garamond" w:hAnsi="Garamond" w:cs="Garamond" w:eastAsia="Garamond" w:hint="default"/>
                <w:spacing w:val="-1"/>
                <w:sz w:val="18"/>
                <w:szCs w:val="18"/>
              </w:rPr>
              <w:t> </w:t>
            </w:r>
            <w:r>
              <w:rPr>
                <w:rFonts w:ascii="宋体" w:hAnsi="宋体" w:cs="宋体" w:eastAsia="宋体" w:hint="default"/>
                <w:sz w:val="18"/>
                <w:szCs w:val="18"/>
              </w:rPr>
              <w:t>时）⑨</w:t>
            </w:r>
            <w:r>
              <w:rPr>
                <w:rFonts w:ascii="Garamond" w:hAnsi="Garamond" w:cs="Garamond" w:eastAsia="Garamond" w:hint="default"/>
                <w:sz w:val="18"/>
                <w:szCs w:val="18"/>
              </w:rPr>
              <w:t>=</w:t>
            </w:r>
            <w:r>
              <w:rPr>
                <w:rFonts w:ascii="宋体" w:hAnsi="宋体" w:cs="宋体" w:eastAsia="宋体" w:hint="default"/>
                <w:sz w:val="18"/>
                <w:szCs w:val="18"/>
              </w:rPr>
              <w:t>⑦</w:t>
            </w:r>
            <w:r>
              <w:rPr>
                <w:rFonts w:ascii="Garamond" w:hAnsi="Garamond" w:cs="Garamond" w:eastAsia="Garamond" w:hint="default"/>
                <w:sz w:val="18"/>
                <w:szCs w:val="18"/>
              </w:rPr>
              <w:t>-</w:t>
            </w:r>
            <w:r>
              <w:rPr>
                <w:rFonts w:ascii="宋体" w:hAnsi="宋体" w:cs="宋体" w:eastAsia="宋体" w:hint="default"/>
                <w:sz w:val="18"/>
                <w:szCs w:val="18"/>
              </w:rPr>
              <w:t>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Garamond" w:hAnsi="Garamond" w:cs="Garamond" w:eastAsia="Garamond" w:hint="default"/>
                <w:sz w:val="18"/>
                <w:szCs w:val="18"/>
              </w:rPr>
            </w:pPr>
            <w:r>
              <w:rPr>
                <w:rFonts w:ascii="Garamond"/>
                <w:sz w:val="18"/>
              </w:rPr>
              <w:t>-</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5" w:right="0"/>
              <w:jc w:val="left"/>
              <w:rPr>
                <w:rFonts w:ascii="Garamond" w:hAnsi="Garamond" w:cs="Garamond" w:eastAsia="Garamond" w:hint="default"/>
                <w:sz w:val="18"/>
                <w:szCs w:val="18"/>
              </w:rPr>
            </w:pPr>
            <w:r>
              <w:rPr>
                <w:rFonts w:ascii="Garamond"/>
                <w:sz w:val="18"/>
              </w:rPr>
              <w:t>-</w:t>
            </w:r>
          </w:p>
        </w:tc>
      </w:tr>
    </w:tbl>
    <w:p>
      <w:pPr>
        <w:pStyle w:val="BodyText"/>
        <w:spacing w:line="348" w:lineRule="auto" w:before="49"/>
        <w:ind w:left="496" w:right="3180" w:hanging="284"/>
        <w:jc w:val="left"/>
      </w:pPr>
      <w:r>
        <w:rPr/>
        <w:t>商誉所在资产组或资产组组合的相关信息： </w:t>
      </w:r>
      <w:r>
        <w:rPr>
          <w:rFonts w:ascii="Times New Roman" w:hAnsi="Times New Roman" w:cs="Times New Roman" w:eastAsia="Times New Roman" w:hint="default"/>
        </w:rPr>
        <w:t>1</w:t>
      </w:r>
      <w:r>
        <w:rPr/>
        <w:t>）中汇同盈：中汇同盈相关资产组与购买日及以前年度商誉减值测试时确定的资产组一致。 中汇同盈资产组，公司管理层根据现行市价法判断资产组现值。</w:t>
      </w:r>
    </w:p>
    <w:p>
      <w:pPr>
        <w:pStyle w:val="BodyText"/>
        <w:spacing w:line="300" w:lineRule="auto" w:before="37"/>
        <w:ind w:left="212" w:right="1131" w:firstLine="283"/>
        <w:jc w:val="both"/>
      </w:pPr>
      <w:r>
        <w:rPr>
          <w:rFonts w:ascii="Times New Roman" w:hAnsi="Times New Roman" w:cs="Times New Roman" w:eastAsia="Times New Roman" w:hint="default"/>
          <w:spacing w:val="-3"/>
        </w:rPr>
        <w:t>2</w:t>
      </w:r>
      <w:r>
        <w:rPr>
          <w:spacing w:val="-3"/>
        </w:rPr>
        <w:t>）哆可梦：公司于</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月完成哆可梦股权收购，形成商誉人民币</w:t>
      </w:r>
      <w:r>
        <w:rPr>
          <w:spacing w:val="-49"/>
        </w:rPr>
        <w:t> </w:t>
      </w:r>
      <w:r>
        <w:rPr>
          <w:rFonts w:ascii="Times New Roman" w:hAnsi="Times New Roman" w:cs="Times New Roman" w:eastAsia="Times New Roman" w:hint="default"/>
        </w:rPr>
        <w:t>12.20</w:t>
      </w:r>
      <w:r>
        <w:rPr>
          <w:rFonts w:ascii="Times New Roman" w:hAnsi="Times New Roman" w:cs="Times New Roman" w:eastAsia="Times New Roman" w:hint="default"/>
          <w:spacing w:val="-3"/>
        </w:rPr>
        <w:t> </w:t>
      </w:r>
      <w:r>
        <w:rPr/>
        <w:t>亿元。此次对合并取得的商誉进行减值测 试，即比较资产组的可收回金额和账面价值，相关资产组与购买日及以前年度商誉减值测试时所确定的资产组一致。</w:t>
      </w:r>
    </w:p>
    <w:p>
      <w:pPr>
        <w:pStyle w:val="BodyText"/>
        <w:spacing w:line="300" w:lineRule="auto" w:before="70"/>
        <w:ind w:left="212" w:right="1128" w:firstLine="283"/>
        <w:jc w:val="both"/>
      </w:pPr>
      <w:r>
        <w:rPr/>
        <w:t>哆可梦资产组预计未来现金流量的现值（可收回金额）利用了天津华夏金信资产评估有限公司</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日出具的 华夏金信评报字</w:t>
      </w:r>
      <w:r>
        <w:rPr>
          <w:rFonts w:ascii="Times New Roman" w:hAnsi="Times New Roman" w:cs="Times New Roman" w:eastAsia="Times New Roman" w:hint="default"/>
        </w:rPr>
        <w:t>[2019]078</w:t>
      </w:r>
      <w:r>
        <w:rPr>
          <w:rFonts w:ascii="Times New Roman" w:hAnsi="Times New Roman" w:cs="Times New Roman" w:eastAsia="Times New Roman" w:hint="default"/>
          <w:spacing w:val="-3"/>
        </w:rPr>
        <w:t> </w:t>
      </w:r>
      <w:r>
        <w:rPr/>
        <w:t>号《深圳市惠程信息科技股份有限公司拟进行商誉减值测试涉及的成都哆可梦网络科技有限公司 资产组可回收价值资产评估报告》的评估结果。</w:t>
      </w:r>
    </w:p>
    <w:p>
      <w:pPr>
        <w:pStyle w:val="BodyText"/>
        <w:spacing w:line="316" w:lineRule="auto" w:before="72"/>
        <w:ind w:left="212" w:right="0"/>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240" w:lineRule="auto" w:before="19"/>
        <w:ind w:left="496" w:right="3180"/>
        <w:jc w:val="left"/>
      </w:pPr>
      <w:r>
        <w:rPr/>
        <w:t>①重要假设及依据</w:t>
      </w:r>
    </w:p>
    <w:p>
      <w:pPr>
        <w:pStyle w:val="BodyText"/>
        <w:spacing w:line="326" w:lineRule="auto" w:before="115"/>
        <w:ind w:left="212" w:right="1130" w:firstLine="283"/>
        <w:jc w:val="both"/>
      </w:pPr>
      <w:r>
        <w:rPr>
          <w:rFonts w:ascii="Garamond" w:hAnsi="Garamond" w:cs="Garamond" w:eastAsia="Garamond" w:hint="default"/>
        </w:rPr>
        <w:t>1)</w:t>
      </w:r>
      <w:r>
        <w:rPr>
          <w:rFonts w:ascii="Garamond" w:hAnsi="Garamond" w:cs="Garamond" w:eastAsia="Garamond" w:hint="default"/>
          <w:spacing w:val="-1"/>
        </w:rPr>
        <w:t> </w:t>
      </w:r>
      <w:r>
        <w:rPr/>
        <w:t>假设被评估单位持续性经营，并在经营范围、销售模式和渠道、管理层等影响到生产和经营的关键方面与目前情况无 重大变化。</w:t>
      </w:r>
    </w:p>
    <w:p>
      <w:pPr>
        <w:pStyle w:val="BodyText"/>
        <w:spacing w:line="324" w:lineRule="auto" w:before="50"/>
        <w:ind w:left="212" w:right="1130" w:firstLine="283"/>
        <w:jc w:val="both"/>
      </w:pPr>
      <w:r>
        <w:rPr>
          <w:rFonts w:ascii="Garamond" w:hAnsi="Garamond" w:cs="Garamond" w:eastAsia="Garamond" w:hint="default"/>
        </w:rPr>
        <w:t>2)</w:t>
      </w:r>
      <w:r>
        <w:rPr>
          <w:rFonts w:ascii="Garamond" w:hAnsi="Garamond" w:cs="Garamond" w:eastAsia="Garamond" w:hint="default"/>
          <w:spacing w:val="-1"/>
        </w:rPr>
        <w:t> </w:t>
      </w:r>
      <w:r>
        <w:rPr/>
        <w:t>假设被评估单位所处的社会经济环境不产生较大的变化，国家及公司所在的地区有关法律、法规、政策与现时无重大 变化。</w:t>
      </w:r>
    </w:p>
    <w:p>
      <w:pPr>
        <w:spacing w:after="0" w:line="324" w:lineRule="auto"/>
        <w:jc w:val="both"/>
        <w:sectPr>
          <w:pgSz w:w="11910" w:h="16840"/>
          <w:pgMar w:header="0" w:footer="979" w:top="1100" w:bottom="1160" w:left="920" w:right="0"/>
        </w:sectPr>
      </w:pPr>
    </w:p>
    <w:p>
      <w:pPr>
        <w:spacing w:line="240" w:lineRule="auto" w:before="9"/>
        <w:rPr>
          <w:rFonts w:ascii="宋体" w:hAnsi="宋体" w:cs="宋体" w:eastAsia="宋体" w:hint="default"/>
          <w:sz w:val="18"/>
          <w:szCs w:val="18"/>
        </w:rPr>
      </w:pPr>
    </w:p>
    <w:p>
      <w:pPr>
        <w:pStyle w:val="BodyText"/>
        <w:spacing w:line="240" w:lineRule="auto" w:before="44"/>
        <w:ind w:left="496" w:right="0"/>
        <w:jc w:val="left"/>
      </w:pPr>
      <w:r>
        <w:rPr>
          <w:rFonts w:ascii="Garamond" w:hAnsi="Garamond" w:cs="Garamond" w:eastAsia="Garamond" w:hint="default"/>
        </w:rPr>
        <w:t>3) </w:t>
      </w:r>
      <w:r>
        <w:rPr>
          <w:rFonts w:ascii="Garamond" w:hAnsi="Garamond" w:cs="Garamond" w:eastAsia="Garamond" w:hint="default"/>
          <w:spacing w:val="1"/>
        </w:rPr>
        <w:t> </w:t>
      </w:r>
      <w:r>
        <w:rPr/>
        <w:t>假设被评估单位在现有的管理方式和管理水平的基础上，经营范围、方式与目前方向保持一致。</w:t>
      </w:r>
    </w:p>
    <w:p>
      <w:pPr>
        <w:pStyle w:val="BodyText"/>
        <w:spacing w:line="240" w:lineRule="auto" w:before="93"/>
        <w:ind w:left="496" w:right="0"/>
        <w:jc w:val="left"/>
      </w:pPr>
      <w:r>
        <w:rPr>
          <w:rFonts w:ascii="Garamond" w:hAnsi="Garamond" w:cs="Garamond" w:eastAsia="Garamond" w:hint="default"/>
        </w:rPr>
        <w:t>4) </w:t>
      </w:r>
      <w:r>
        <w:rPr>
          <w:rFonts w:ascii="Garamond" w:hAnsi="Garamond" w:cs="Garamond" w:eastAsia="Garamond" w:hint="default"/>
          <w:spacing w:val="28"/>
        </w:rPr>
        <w:t> </w:t>
      </w:r>
      <w:r>
        <w:rPr/>
        <w:t>假设被评估单位在未来预测期内的主要游戏产品能够按照企业的计划时间推出，现有游戏的更新、升级能如期实现。</w:t>
      </w:r>
    </w:p>
    <w:p>
      <w:pPr>
        <w:pStyle w:val="BodyText"/>
        <w:spacing w:line="240" w:lineRule="auto" w:before="92"/>
        <w:ind w:left="496" w:right="3180"/>
        <w:jc w:val="left"/>
      </w:pPr>
      <w:r>
        <w:rPr>
          <w:rFonts w:ascii="Garamond" w:hAnsi="Garamond" w:cs="Garamond" w:eastAsia="Garamond" w:hint="default"/>
        </w:rPr>
        <w:t>5) </w:t>
      </w:r>
      <w:r>
        <w:rPr>
          <w:rFonts w:ascii="Garamond" w:hAnsi="Garamond" w:cs="Garamond" w:eastAsia="Garamond" w:hint="default"/>
          <w:spacing w:val="1"/>
        </w:rPr>
        <w:t> </w:t>
      </w:r>
      <w:r>
        <w:rPr/>
        <w:t>假设利率、汇率、赋税基准及税率，在国家规定的正常范围内无重大变化等。</w:t>
      </w:r>
    </w:p>
    <w:p>
      <w:pPr>
        <w:pStyle w:val="BodyText"/>
        <w:spacing w:line="240" w:lineRule="auto" w:before="92"/>
        <w:ind w:left="496" w:right="3180"/>
        <w:jc w:val="left"/>
      </w:pPr>
      <w:r>
        <w:rPr/>
        <w:t>②关键参数</w:t>
      </w:r>
    </w:p>
    <w:p>
      <w:pPr>
        <w:spacing w:line="240" w:lineRule="auto" w:before="4"/>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102"/>
        <w:gridCol w:w="2693"/>
        <w:gridCol w:w="1277"/>
        <w:gridCol w:w="816"/>
        <w:gridCol w:w="1716"/>
        <w:gridCol w:w="2252"/>
      </w:tblGrid>
      <w:tr>
        <w:trPr>
          <w:trHeight w:val="79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单位</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预测期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8"/>
              <w:ind w:left="105" w:right="99"/>
              <w:jc w:val="left"/>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pacing w:val="-50"/>
                <w:sz w:val="18"/>
                <w:szCs w:val="18"/>
              </w:rPr>
              <w:t> </w:t>
            </w:r>
            <w:r>
              <w:rPr>
                <w:rFonts w:ascii="宋体" w:hAnsi="宋体" w:cs="宋体" w:eastAsia="宋体" w:hint="default"/>
                <w:sz w:val="18"/>
                <w:szCs w:val="18"/>
              </w:rPr>
              <w:t>测</w:t>
            </w:r>
            <w:r>
              <w:rPr>
                <w:rFonts w:ascii="宋体" w:hAnsi="宋体" w:cs="宋体" w:eastAsia="宋体" w:hint="default"/>
                <w:spacing w:val="-50"/>
                <w:sz w:val="18"/>
                <w:szCs w:val="18"/>
              </w:rPr>
              <w:t> </w:t>
            </w:r>
            <w:r>
              <w:rPr>
                <w:rFonts w:ascii="宋体" w:hAnsi="宋体" w:cs="宋体" w:eastAsia="宋体" w:hint="default"/>
                <w:sz w:val="18"/>
                <w:szCs w:val="18"/>
              </w:rPr>
              <w:t>期</w:t>
            </w:r>
            <w:r>
              <w:rPr>
                <w:rFonts w:ascii="宋体" w:hAnsi="宋体" w:cs="宋体" w:eastAsia="宋体" w:hint="default"/>
                <w:spacing w:val="-52"/>
                <w:sz w:val="18"/>
                <w:szCs w:val="18"/>
              </w:rPr>
              <w:t> </w:t>
            </w:r>
            <w:r>
              <w:rPr>
                <w:rFonts w:ascii="宋体" w:hAnsi="宋体" w:cs="宋体" w:eastAsia="宋体" w:hint="default"/>
                <w:sz w:val="18"/>
                <w:szCs w:val="18"/>
              </w:rPr>
              <w:t>增</w:t>
            </w:r>
            <w:r>
              <w:rPr>
                <w:rFonts w:ascii="宋体" w:hAnsi="宋体" w:cs="宋体" w:eastAsia="宋体" w:hint="default"/>
                <w:spacing w:val="-50"/>
                <w:sz w:val="18"/>
                <w:szCs w:val="18"/>
              </w:rPr>
              <w:t> </w:t>
            </w:r>
            <w:r>
              <w:rPr>
                <w:rFonts w:ascii="宋体" w:hAnsi="宋体" w:cs="宋体" w:eastAsia="宋体" w:hint="default"/>
                <w:sz w:val="18"/>
                <w:szCs w:val="18"/>
              </w:rPr>
              <w:t>长</w:t>
            </w:r>
            <w:r>
              <w:rPr>
                <w:rFonts w:ascii="宋体" w:hAnsi="宋体" w:cs="宋体" w:eastAsia="宋体" w:hint="default"/>
                <w:sz w:val="18"/>
                <w:szCs w:val="18"/>
              </w:rPr>
              <w:t> 率</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8"/>
              <w:ind w:left="103" w:right="69"/>
              <w:jc w:val="left"/>
              <w:rPr>
                <w:rFonts w:ascii="宋体" w:hAnsi="宋体" w:cs="宋体" w:eastAsia="宋体" w:hint="default"/>
                <w:sz w:val="18"/>
                <w:szCs w:val="18"/>
              </w:rPr>
            </w:pPr>
            <w:r>
              <w:rPr>
                <w:rFonts w:ascii="宋体" w:hAnsi="宋体" w:cs="宋体" w:eastAsia="宋体" w:hint="default"/>
                <w:spacing w:val="20"/>
                <w:sz w:val="18"/>
                <w:szCs w:val="18"/>
              </w:rPr>
              <w:t>稳定期</w:t>
            </w:r>
            <w:r>
              <w:rPr>
                <w:rFonts w:ascii="宋体" w:hAnsi="宋体" w:cs="宋体" w:eastAsia="宋体" w:hint="default"/>
                <w:spacing w:val="-59"/>
                <w:sz w:val="18"/>
                <w:szCs w:val="18"/>
              </w:rPr>
              <w:t> </w:t>
            </w:r>
            <w:r>
              <w:rPr>
                <w:rFonts w:ascii="宋体" w:hAnsi="宋体" w:cs="宋体" w:eastAsia="宋体" w:hint="default"/>
                <w:sz w:val="18"/>
                <w:szCs w:val="18"/>
              </w:rPr>
              <w:t>增长率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利润率</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8"/>
              <w:ind w:left="103" w:right="104"/>
              <w:jc w:val="left"/>
              <w:rPr>
                <w:rFonts w:ascii="宋体" w:hAnsi="宋体" w:cs="宋体" w:eastAsia="宋体" w:hint="default"/>
                <w:sz w:val="18"/>
                <w:szCs w:val="18"/>
              </w:rPr>
            </w:pPr>
            <w:r>
              <w:rPr>
                <w:rFonts w:ascii="宋体" w:hAnsi="宋体" w:cs="宋体" w:eastAsia="宋体" w:hint="default"/>
                <w:spacing w:val="4"/>
                <w:sz w:val="18"/>
                <w:szCs w:val="18"/>
              </w:rPr>
              <w:t>折现率（加权平均资本成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w:t>
            </w:r>
            <w:r>
              <w:rPr>
                <w:rFonts w:ascii="宋体" w:hAnsi="宋体" w:cs="宋体" w:eastAsia="宋体" w:hint="default"/>
                <w:spacing w:val="-41"/>
                <w:sz w:val="18"/>
                <w:szCs w:val="18"/>
              </w:rPr>
              <w:t> </w:t>
            </w:r>
            <w:r>
              <w:rPr>
                <w:rFonts w:ascii="Garamond" w:hAnsi="Garamond" w:cs="Garamond" w:eastAsia="Garamond" w:hint="default"/>
                <w:spacing w:val="-5"/>
                <w:sz w:val="18"/>
                <w:szCs w:val="18"/>
              </w:rPr>
              <w:t>WACC</w:t>
            </w:r>
            <w:r>
              <w:rPr>
                <w:rFonts w:ascii="宋体" w:hAnsi="宋体" w:cs="宋体" w:eastAsia="宋体" w:hint="default"/>
                <w:spacing w:val="-5"/>
                <w:sz w:val="18"/>
                <w:szCs w:val="18"/>
              </w:rPr>
              <w:t>）</w:t>
            </w:r>
          </w:p>
        </w:tc>
      </w:tr>
      <w:tr>
        <w:trPr>
          <w:trHeight w:val="43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中汇同盈</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Garamond" w:hAnsi="Garamond" w:cs="Garamond" w:eastAsia="Garamond" w:hint="default"/>
                <w:sz w:val="18"/>
                <w:szCs w:val="18"/>
              </w:rPr>
              <w:t>2019</w:t>
            </w:r>
            <w:r>
              <w:rPr>
                <w:rFonts w:ascii="Garamond" w:hAnsi="Garamond" w:cs="Garamond" w:eastAsia="Garamond"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Garamond" w:hAnsi="Garamond" w:cs="Garamond" w:eastAsia="Garamond" w:hint="default"/>
                <w:sz w:val="18"/>
                <w:szCs w:val="18"/>
              </w:rPr>
              <w:t>1</w:t>
            </w:r>
            <w:r>
              <w:rPr>
                <w:rFonts w:ascii="Garamond" w:hAnsi="Garamond" w:cs="Garamond" w:eastAsia="Garamond" w:hint="default"/>
                <w:spacing w:val="-1"/>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5" w:right="0"/>
              <w:jc w:val="left"/>
              <w:rPr>
                <w:rFonts w:ascii="Garamond" w:hAnsi="Garamond" w:cs="Garamond" w:eastAsia="Garamond" w:hint="default"/>
                <w:sz w:val="18"/>
                <w:szCs w:val="18"/>
              </w:rPr>
            </w:pPr>
            <w:r>
              <w:rPr>
                <w:rFonts w:ascii="Garamond"/>
                <w:sz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Garamond" w:hAnsi="Garamond" w:cs="Garamond" w:eastAsia="Garamond" w:hint="default"/>
                <w:sz w:val="18"/>
                <w:szCs w:val="18"/>
              </w:rPr>
            </w:pPr>
            <w:r>
              <w:rPr>
                <w:rFonts w:ascii="Garamond"/>
                <w:sz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5" w:right="0"/>
              <w:jc w:val="left"/>
              <w:rPr>
                <w:rFonts w:ascii="Garamond" w:hAnsi="Garamond" w:cs="Garamond" w:eastAsia="Garamond" w:hint="default"/>
                <w:sz w:val="18"/>
                <w:szCs w:val="18"/>
              </w:rPr>
            </w:pPr>
            <w:r>
              <w:rPr>
                <w:rFonts w:ascii="Garamond"/>
                <w:sz w:val="18"/>
              </w:rPr>
              <w:t>-</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Garamond" w:hAnsi="Garamond" w:cs="Garamond" w:eastAsia="Garamond" w:hint="default"/>
                <w:sz w:val="18"/>
                <w:szCs w:val="18"/>
              </w:rPr>
            </w:pPr>
            <w:r>
              <w:rPr>
                <w:rFonts w:ascii="Garamond"/>
                <w:sz w:val="18"/>
              </w:rPr>
              <w:t>-</w:t>
            </w:r>
          </w:p>
        </w:tc>
      </w:tr>
      <w:tr>
        <w:trPr>
          <w:trHeight w:val="79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8"/>
              <w:ind w:left="103" w:right="99"/>
              <w:jc w:val="left"/>
              <w:rPr>
                <w:rFonts w:ascii="宋体" w:hAnsi="宋体" w:cs="宋体" w:eastAsia="宋体" w:hint="default"/>
                <w:sz w:val="18"/>
                <w:szCs w:val="18"/>
              </w:rPr>
            </w:pPr>
            <w:r>
              <w:rPr>
                <w:rFonts w:ascii="Garamond" w:hAnsi="Garamond" w:cs="Garamond" w:eastAsia="Garamond" w:hint="default"/>
                <w:sz w:val="18"/>
                <w:szCs w:val="18"/>
              </w:rPr>
              <w:t>2019 </w:t>
            </w:r>
            <w:r>
              <w:rPr>
                <w:rFonts w:ascii="宋体" w:hAnsi="宋体" w:cs="宋体" w:eastAsia="宋体" w:hint="default"/>
                <w:sz w:val="18"/>
                <w:szCs w:val="18"/>
              </w:rPr>
              <w:t>年</w:t>
            </w:r>
            <w:r>
              <w:rPr>
                <w:rFonts w:ascii="Garamond" w:hAnsi="Garamond" w:cs="Garamond" w:eastAsia="Garamond" w:hint="default"/>
                <w:sz w:val="18"/>
                <w:szCs w:val="18"/>
              </w:rPr>
              <w:t>-2023</w:t>
            </w:r>
            <w:r>
              <w:rPr>
                <w:rFonts w:ascii="Garamond" w:hAnsi="Garamond" w:cs="Garamond" w:eastAsia="Garamond" w:hint="default"/>
                <w:spacing w:val="34"/>
                <w:sz w:val="18"/>
                <w:szCs w:val="18"/>
              </w:rPr>
              <w:t> </w:t>
            </w:r>
            <w:r>
              <w:rPr>
                <w:rFonts w:ascii="宋体" w:hAnsi="宋体" w:cs="宋体" w:eastAsia="宋体" w:hint="default"/>
                <w:sz w:val="18"/>
                <w:szCs w:val="18"/>
              </w:rPr>
              <w:t>年为增长期（之后 年度为稳定期）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left"/>
              <w:rPr>
                <w:rFonts w:ascii="Garamond" w:hAnsi="Garamond" w:cs="Garamond" w:eastAsia="Garamond" w:hint="default"/>
                <w:sz w:val="18"/>
                <w:szCs w:val="18"/>
              </w:rPr>
            </w:pPr>
            <w:r>
              <w:rPr>
                <w:rFonts w:ascii="Garamond"/>
                <w:sz w:val="18"/>
              </w:rPr>
              <w:t>0.39%-14.81%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持平</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8"/>
              <w:ind w:left="105" w:right="96"/>
              <w:jc w:val="left"/>
              <w:rPr>
                <w:rFonts w:ascii="宋体" w:hAnsi="宋体" w:cs="宋体" w:eastAsia="宋体" w:hint="default"/>
                <w:sz w:val="18"/>
                <w:szCs w:val="18"/>
              </w:rPr>
            </w:pPr>
            <w:r>
              <w:rPr>
                <w:rFonts w:ascii="宋体" w:hAnsi="宋体" w:cs="宋体" w:eastAsia="宋体" w:hint="default"/>
                <w:spacing w:val="7"/>
                <w:sz w:val="18"/>
                <w:szCs w:val="18"/>
              </w:rPr>
              <w:t>根据预测的收入、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成本、费用等计算</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Garamond" w:hAnsi="Garamond" w:cs="Garamond" w:eastAsia="Garamond" w:hint="default"/>
                <w:sz w:val="18"/>
                <w:szCs w:val="18"/>
              </w:rPr>
            </w:pPr>
            <w:r>
              <w:rPr>
                <w:rFonts w:ascii="Garamond"/>
                <w:sz w:val="18"/>
              </w:rPr>
              <w:t>14.92%</w:t>
            </w:r>
          </w:p>
        </w:tc>
      </w:tr>
    </w:tbl>
    <w:p>
      <w:pPr>
        <w:pStyle w:val="BodyText"/>
        <w:spacing w:line="240" w:lineRule="auto" w:before="49"/>
        <w:ind w:left="212" w:right="3180"/>
        <w:jc w:val="left"/>
      </w:pPr>
      <w:r>
        <w:rPr/>
        <w:t>商誉减值测试的影响</w:t>
      </w:r>
    </w:p>
    <w:p>
      <w:pPr>
        <w:pStyle w:val="BodyText"/>
        <w:spacing w:line="240" w:lineRule="auto" w:before="115"/>
        <w:ind w:left="496" w:right="3180"/>
        <w:jc w:val="left"/>
      </w:pPr>
      <w:r>
        <w:rPr>
          <w:rFonts w:ascii="Times New Roman" w:hAnsi="Times New Roman" w:cs="Times New Roman" w:eastAsia="Times New Roman" w:hint="default"/>
        </w:rPr>
        <w:t>1</w:t>
      </w:r>
      <w:r>
        <w:rPr/>
        <w:t>）经测试，公司收购中汇同盈形成的商誉本期不存在减值。</w:t>
      </w:r>
    </w:p>
    <w:p>
      <w:pPr>
        <w:pStyle w:val="BodyText"/>
        <w:spacing w:line="240" w:lineRule="auto" w:before="63"/>
        <w:ind w:left="496" w:right="3180"/>
        <w:jc w:val="left"/>
      </w:pPr>
      <w:r>
        <w:rPr>
          <w:rFonts w:ascii="Garamond" w:hAnsi="Garamond" w:cs="Garamond" w:eastAsia="Garamond" w:hint="default"/>
        </w:rPr>
        <w:t>2</w:t>
      </w:r>
      <w:r>
        <w:rPr/>
        <w:t>）哆可梦业绩承诺完成情况：</w:t>
      </w:r>
    </w:p>
    <w:p>
      <w:pPr>
        <w:spacing w:line="240" w:lineRule="auto" w:before="8"/>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287"/>
        <w:gridCol w:w="3286"/>
        <w:gridCol w:w="3284"/>
      </w:tblGrid>
      <w:tr>
        <w:trPr>
          <w:trHeight w:val="439"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对赌期</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8" w:right="0"/>
              <w:jc w:val="left"/>
              <w:rPr>
                <w:rFonts w:ascii="宋体" w:hAnsi="宋体" w:cs="宋体" w:eastAsia="宋体" w:hint="default"/>
                <w:sz w:val="18"/>
                <w:szCs w:val="18"/>
              </w:rPr>
            </w:pPr>
            <w:r>
              <w:rPr>
                <w:rFonts w:ascii="宋体" w:hAnsi="宋体" w:cs="宋体" w:eastAsia="宋体" w:hint="default"/>
                <w:sz w:val="18"/>
                <w:szCs w:val="18"/>
              </w:rPr>
              <w:t>承诺金额</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6" w:right="0"/>
              <w:jc w:val="left"/>
              <w:rPr>
                <w:rFonts w:ascii="Garamond" w:hAnsi="Garamond" w:cs="Garamond" w:eastAsia="Garamond" w:hint="default"/>
                <w:sz w:val="18"/>
                <w:szCs w:val="18"/>
              </w:rPr>
            </w:pPr>
            <w:r>
              <w:rPr>
                <w:rFonts w:ascii="宋体" w:hAnsi="宋体" w:cs="宋体" w:eastAsia="宋体" w:hint="default"/>
                <w:sz w:val="18"/>
                <w:szCs w:val="18"/>
              </w:rPr>
              <w:t>实现金额</w:t>
            </w:r>
            <w:r>
              <w:rPr>
                <w:rFonts w:ascii="Garamond" w:hAnsi="Garamond" w:cs="Garamond" w:eastAsia="Garamond" w:hint="default"/>
                <w:sz w:val="18"/>
                <w:szCs w:val="18"/>
              </w:rPr>
              <w:t>(</w:t>
            </w:r>
            <w:r>
              <w:rPr>
                <w:rFonts w:ascii="宋体" w:hAnsi="宋体" w:cs="宋体" w:eastAsia="宋体" w:hint="default"/>
                <w:sz w:val="18"/>
                <w:szCs w:val="18"/>
              </w:rPr>
              <w:t>扣除非经常性损益</w:t>
            </w:r>
            <w:r>
              <w:rPr>
                <w:rFonts w:ascii="Garamond" w:hAnsi="Garamond" w:cs="Garamond" w:eastAsia="Garamond" w:hint="default"/>
                <w:sz w:val="18"/>
                <w:szCs w:val="18"/>
              </w:rPr>
              <w:t>)</w:t>
            </w:r>
          </w:p>
        </w:tc>
      </w:tr>
      <w:tr>
        <w:trPr>
          <w:trHeight w:val="44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6" w:right="0"/>
              <w:jc w:val="left"/>
              <w:rPr>
                <w:rFonts w:ascii="宋体" w:hAnsi="宋体" w:cs="宋体" w:eastAsia="宋体" w:hint="default"/>
                <w:sz w:val="18"/>
                <w:szCs w:val="18"/>
              </w:rPr>
            </w:pPr>
            <w:r>
              <w:rPr>
                <w:rFonts w:ascii="Garamond" w:hAnsi="Garamond" w:cs="Garamond" w:eastAsia="Garamond" w:hint="default"/>
                <w:sz w:val="18"/>
                <w:szCs w:val="18"/>
              </w:rPr>
              <w:t>2018</w:t>
            </w:r>
            <w:r>
              <w:rPr>
                <w:rFonts w:ascii="Garamond" w:hAnsi="Garamond" w:cs="Garamond" w:eastAsia="Garamond" w:hint="default"/>
                <w:spacing w:val="-3"/>
                <w:sz w:val="18"/>
                <w:szCs w:val="18"/>
              </w:rPr>
              <w:t> </w:t>
            </w:r>
            <w:r>
              <w:rPr>
                <w:rFonts w:ascii="宋体" w:hAnsi="宋体" w:cs="宋体" w:eastAsia="宋体" w:hint="default"/>
                <w:sz w:val="18"/>
                <w:szCs w:val="18"/>
              </w:rPr>
              <w:t>年</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8" w:right="0"/>
              <w:jc w:val="left"/>
              <w:rPr>
                <w:rFonts w:ascii="宋体" w:hAnsi="宋体" w:cs="宋体" w:eastAsia="宋体" w:hint="default"/>
                <w:sz w:val="18"/>
                <w:szCs w:val="18"/>
              </w:rPr>
            </w:pPr>
            <w:r>
              <w:rPr>
                <w:rFonts w:ascii="Garamond" w:hAnsi="Garamond" w:cs="Garamond" w:eastAsia="Garamond" w:hint="default"/>
                <w:sz w:val="18"/>
                <w:szCs w:val="18"/>
              </w:rPr>
              <w:t>18,800</w:t>
            </w:r>
            <w:r>
              <w:rPr>
                <w:rFonts w:ascii="Garamond" w:hAnsi="Garamond" w:cs="Garamond" w:eastAsia="Garamond" w:hint="default"/>
                <w:spacing w:val="-4"/>
                <w:sz w:val="18"/>
                <w:szCs w:val="18"/>
              </w:rPr>
              <w:t> </w:t>
            </w:r>
            <w:r>
              <w:rPr>
                <w:rFonts w:ascii="宋体" w:hAnsi="宋体" w:cs="宋体" w:eastAsia="宋体" w:hint="default"/>
                <w:sz w:val="18"/>
                <w:szCs w:val="18"/>
              </w:rPr>
              <w:t>万元</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6" w:right="0"/>
              <w:jc w:val="left"/>
              <w:rPr>
                <w:rFonts w:ascii="宋体" w:hAnsi="宋体" w:cs="宋体" w:eastAsia="宋体" w:hint="default"/>
                <w:sz w:val="18"/>
                <w:szCs w:val="18"/>
              </w:rPr>
            </w:pPr>
            <w:r>
              <w:rPr>
                <w:rFonts w:ascii="Garamond" w:hAnsi="Garamond" w:cs="Garamond" w:eastAsia="Garamond" w:hint="default"/>
                <w:sz w:val="18"/>
                <w:szCs w:val="18"/>
              </w:rPr>
              <w:t>32,279.43</w:t>
            </w:r>
            <w:r>
              <w:rPr>
                <w:rFonts w:ascii="Garamond" w:hAnsi="Garamond" w:cs="Garamond" w:eastAsia="Garamond" w:hint="default"/>
                <w:spacing w:val="-5"/>
                <w:sz w:val="18"/>
                <w:szCs w:val="18"/>
              </w:rPr>
              <w:t> </w:t>
            </w:r>
            <w:r>
              <w:rPr>
                <w:rFonts w:ascii="宋体" w:hAnsi="宋体" w:cs="宋体" w:eastAsia="宋体" w:hint="default"/>
                <w:sz w:val="18"/>
                <w:szCs w:val="18"/>
              </w:rPr>
              <w:t>万元</w:t>
            </w:r>
          </w:p>
        </w:tc>
      </w:tr>
    </w:tbl>
    <w:p>
      <w:pPr>
        <w:pStyle w:val="BodyText"/>
        <w:spacing w:line="240" w:lineRule="auto" w:before="8"/>
        <w:ind w:left="0" w:right="1132"/>
        <w:jc w:val="right"/>
      </w:pPr>
      <w:r>
        <w:rPr/>
        <w:t>根据天津华夏金信资产评估有限公司</w:t>
      </w:r>
      <w:r>
        <w:rPr>
          <w:spacing w:val="-43"/>
        </w:rPr>
        <w:t> </w:t>
      </w:r>
      <w:r>
        <w:rPr>
          <w:rFonts w:ascii="Garamond" w:hAnsi="Garamond" w:cs="Garamond" w:eastAsia="Garamond" w:hint="default"/>
        </w:rPr>
        <w:t>2019</w:t>
      </w:r>
      <w:r>
        <w:rPr>
          <w:rFonts w:ascii="Garamond" w:hAnsi="Garamond" w:cs="Garamond" w:eastAsia="Garamond" w:hint="default"/>
          <w:spacing w:val="1"/>
        </w:rPr>
        <w:t> </w:t>
      </w:r>
      <w:r>
        <w:rPr/>
        <w:t>年</w:t>
      </w:r>
      <w:r>
        <w:rPr>
          <w:spacing w:val="-43"/>
        </w:rPr>
        <w:t> </w:t>
      </w:r>
      <w:r>
        <w:rPr>
          <w:rFonts w:ascii="Garamond" w:hAnsi="Garamond" w:cs="Garamond" w:eastAsia="Garamond" w:hint="default"/>
        </w:rPr>
        <w:t>4</w:t>
      </w:r>
      <w:r>
        <w:rPr>
          <w:rFonts w:ascii="Garamond" w:hAnsi="Garamond" w:cs="Garamond" w:eastAsia="Garamond" w:hint="default"/>
          <w:spacing w:val="1"/>
        </w:rPr>
        <w:t> </w:t>
      </w:r>
      <w:r>
        <w:rPr/>
        <w:t>月</w:t>
      </w:r>
      <w:r>
        <w:rPr>
          <w:spacing w:val="-43"/>
        </w:rPr>
        <w:t> </w:t>
      </w:r>
      <w:r>
        <w:rPr>
          <w:rFonts w:ascii="Garamond" w:hAnsi="Garamond" w:cs="Garamond" w:eastAsia="Garamond" w:hint="default"/>
        </w:rPr>
        <w:t>19</w:t>
      </w:r>
      <w:r>
        <w:rPr>
          <w:rFonts w:ascii="Garamond" w:hAnsi="Garamond" w:cs="Garamond" w:eastAsia="Garamond" w:hint="default"/>
          <w:spacing w:val="1"/>
        </w:rPr>
        <w:t> </w:t>
      </w:r>
      <w:r>
        <w:rPr/>
        <w:t>日出具的华夏金信评报字</w:t>
      </w:r>
      <w:r>
        <w:rPr>
          <w:rFonts w:ascii="Garamond" w:hAnsi="Garamond" w:cs="Garamond" w:eastAsia="Garamond" w:hint="default"/>
        </w:rPr>
        <w:t>[2019]078</w:t>
      </w:r>
      <w:r>
        <w:rPr>
          <w:rFonts w:ascii="Garamond" w:hAnsi="Garamond" w:cs="Garamond" w:eastAsia="Garamond" w:hint="default"/>
          <w:spacing w:val="1"/>
        </w:rPr>
        <w:t> </w:t>
      </w:r>
      <w:r>
        <w:rPr/>
        <w:t>号《深圳市惠程信息科技股份有</w:t>
      </w:r>
    </w:p>
    <w:p>
      <w:pPr>
        <w:pStyle w:val="BodyText"/>
        <w:spacing w:line="240" w:lineRule="auto" w:before="90"/>
        <w:ind w:left="212" w:right="0"/>
        <w:jc w:val="left"/>
        <w:rPr>
          <w:rFonts w:ascii="Garamond" w:hAnsi="Garamond" w:cs="Garamond" w:eastAsia="Garamond" w:hint="default"/>
        </w:rPr>
      </w:pPr>
      <w:r>
        <w:rPr/>
        <w:t>限公司拟进行商誉减值测试涉及的成都哆可梦网络科技有限公司资产组可回收价值资产评估报告》的评估结果，截至</w:t>
      </w:r>
      <w:r>
        <w:rPr>
          <w:spacing w:val="26"/>
        </w:rPr>
        <w:t> </w:t>
      </w:r>
      <w:r>
        <w:rPr>
          <w:rFonts w:ascii="Garamond" w:hAnsi="Garamond" w:cs="Garamond" w:eastAsia="Garamond" w:hint="default"/>
        </w:rPr>
        <w:t>2018</w:t>
      </w:r>
    </w:p>
    <w:p>
      <w:pPr>
        <w:pStyle w:val="BodyText"/>
        <w:spacing w:line="240" w:lineRule="auto" w:before="92"/>
        <w:ind w:left="212" w:right="0"/>
        <w:jc w:val="left"/>
      </w:pPr>
      <w:r>
        <w:rPr/>
        <w:t>年</w:t>
      </w:r>
      <w:r>
        <w:rPr>
          <w:spacing w:val="-33"/>
        </w:rPr>
        <w:t> </w:t>
      </w:r>
      <w:r>
        <w:rPr>
          <w:rFonts w:ascii="Garamond" w:hAnsi="Garamond" w:cs="Garamond" w:eastAsia="Garamond" w:hint="default"/>
        </w:rPr>
        <w:t>12</w:t>
      </w:r>
      <w:r>
        <w:rPr>
          <w:rFonts w:ascii="Garamond" w:hAnsi="Garamond" w:cs="Garamond" w:eastAsia="Garamond" w:hint="default"/>
          <w:spacing w:val="11"/>
        </w:rPr>
        <w:t> </w:t>
      </w:r>
      <w:r>
        <w:rPr/>
        <w:t>月</w:t>
      </w:r>
      <w:r>
        <w:rPr>
          <w:spacing w:val="-31"/>
        </w:rPr>
        <w:t> </w:t>
      </w:r>
      <w:r>
        <w:rPr>
          <w:rFonts w:ascii="Garamond" w:hAnsi="Garamond" w:cs="Garamond" w:eastAsia="Garamond" w:hint="default"/>
        </w:rPr>
        <w:t>31</w:t>
      </w:r>
      <w:r>
        <w:rPr>
          <w:rFonts w:ascii="Garamond" w:hAnsi="Garamond" w:cs="Garamond" w:eastAsia="Garamond" w:hint="default"/>
          <w:spacing w:val="11"/>
        </w:rPr>
        <w:t> </w:t>
      </w:r>
      <w:r>
        <w:rPr/>
        <w:t>日，哆可梦收购时形成的商誉相关资产组的账面价值为</w:t>
      </w:r>
      <w:r>
        <w:rPr>
          <w:spacing w:val="-33"/>
        </w:rPr>
        <w:t> </w:t>
      </w:r>
      <w:r>
        <w:rPr>
          <w:rFonts w:ascii="Garamond" w:hAnsi="Garamond" w:cs="Garamond" w:eastAsia="Garamond" w:hint="default"/>
        </w:rPr>
        <w:t>29,077.37</w:t>
      </w:r>
      <w:r>
        <w:rPr>
          <w:rFonts w:ascii="Garamond" w:hAnsi="Garamond" w:cs="Garamond" w:eastAsia="Garamond" w:hint="default"/>
          <w:spacing w:val="11"/>
        </w:rPr>
        <w:t> </w:t>
      </w:r>
      <w:r>
        <w:rPr/>
        <w:t>万元，包含未确认归属于少数股东权益的商誉</w:t>
      </w:r>
    </w:p>
    <w:p>
      <w:pPr>
        <w:pStyle w:val="BodyText"/>
        <w:spacing w:line="403" w:lineRule="auto" w:before="92"/>
        <w:ind w:left="496" w:right="3732" w:hanging="284"/>
        <w:jc w:val="left"/>
      </w:pPr>
      <w:r>
        <w:rPr/>
        <w:t>价值为</w:t>
      </w:r>
      <w:r>
        <w:rPr>
          <w:spacing w:val="-46"/>
        </w:rPr>
        <w:t> </w:t>
      </w:r>
      <w:r>
        <w:rPr>
          <w:rFonts w:ascii="Garamond" w:hAnsi="Garamond" w:cs="Garamond" w:eastAsia="Garamond" w:hint="default"/>
        </w:rPr>
        <w:t>157,308.30</w:t>
      </w:r>
      <w:r>
        <w:rPr>
          <w:rFonts w:ascii="Garamond" w:hAnsi="Garamond" w:cs="Garamond" w:eastAsia="Garamond" w:hint="default"/>
          <w:spacing w:val="-2"/>
        </w:rPr>
        <w:t> </w:t>
      </w:r>
      <w:r>
        <w:rPr/>
        <w:t>万元，合计</w:t>
      </w:r>
      <w:r>
        <w:rPr>
          <w:spacing w:val="-47"/>
        </w:rPr>
        <w:t> </w:t>
      </w:r>
      <w:r>
        <w:rPr>
          <w:rFonts w:ascii="Garamond" w:hAnsi="Garamond" w:cs="Garamond" w:eastAsia="Garamond" w:hint="default"/>
        </w:rPr>
        <w:t>186,385.67</w:t>
      </w:r>
      <w:r>
        <w:rPr>
          <w:rFonts w:ascii="Garamond" w:hAnsi="Garamond" w:cs="Garamond" w:eastAsia="Garamond" w:hint="default"/>
          <w:spacing w:val="-1"/>
        </w:rPr>
        <w:t> </w:t>
      </w:r>
      <w:r>
        <w:rPr/>
        <w:t>万元，商誉资产组可收回金额为</w:t>
      </w:r>
      <w:r>
        <w:rPr>
          <w:spacing w:val="-46"/>
        </w:rPr>
        <w:t> </w:t>
      </w:r>
      <w:r>
        <w:rPr>
          <w:rFonts w:ascii="Garamond" w:hAnsi="Garamond" w:cs="Garamond" w:eastAsia="Garamond" w:hint="default"/>
        </w:rPr>
        <w:t>288,568.71</w:t>
      </w:r>
      <w:r>
        <w:rPr>
          <w:rFonts w:ascii="Garamond" w:hAnsi="Garamond" w:cs="Garamond" w:eastAsia="Garamond" w:hint="default"/>
          <w:spacing w:val="-2"/>
        </w:rPr>
        <w:t> </w:t>
      </w:r>
      <w:r>
        <w:rPr/>
        <w:t>万元。 经测试，公司收购哆可梦形成的商誉本期不存在减值。</w:t>
      </w:r>
    </w:p>
    <w:p>
      <w:pPr>
        <w:spacing w:line="240" w:lineRule="auto" w:before="9"/>
        <w:rPr>
          <w:rFonts w:ascii="宋体" w:hAnsi="宋体" w:cs="宋体" w:eastAsia="宋体" w:hint="default"/>
          <w:sz w:val="17"/>
          <w:szCs w:val="17"/>
        </w:rPr>
      </w:pPr>
    </w:p>
    <w:p>
      <w:pPr>
        <w:pStyle w:val="Heading3"/>
        <w:spacing w:line="240" w:lineRule="auto"/>
        <w:ind w:left="212" w:right="3180"/>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房屋改造等</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986,131.10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266,336.28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719,794.82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代言费及版权金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14,221,761.65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917,368.86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6,987,938.72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8,151,191.79</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邮箱服务费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11,320.80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21,698.06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券商持续督导费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515,068.47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1,984,931.53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15,240,911.61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3,417,368.86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7,780,664.27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10,877,616.20</w:t>
            </w:r>
          </w:p>
        </w:tc>
      </w:tr>
    </w:tbl>
    <w:p>
      <w:pPr>
        <w:spacing w:line="240" w:lineRule="auto" w:before="3"/>
        <w:rPr>
          <w:rFonts w:ascii="宋体" w:hAnsi="宋体" w:cs="宋体" w:eastAsia="宋体" w:hint="default"/>
          <w:sz w:val="19"/>
          <w:szCs w:val="19"/>
        </w:rPr>
      </w:pPr>
    </w:p>
    <w:p>
      <w:pPr>
        <w:pStyle w:val="Heading3"/>
        <w:spacing w:line="240" w:lineRule="auto" w:before="36"/>
        <w:ind w:left="212" w:right="3180"/>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212" w:right="318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3048"/>
        <w:gridCol w:w="1766"/>
        <w:gridCol w:w="1558"/>
        <w:gridCol w:w="1769"/>
        <w:gridCol w:w="1555"/>
      </w:tblGrid>
      <w:tr>
        <w:trPr>
          <w:trHeight w:val="401" w:hRule="exact"/>
        </w:trPr>
        <w:tc>
          <w:tcPr>
            <w:tcW w:w="30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048" w:type="dxa"/>
            <w:vMerge/>
            <w:tcBorders>
              <w:left w:val="single" w:sz="4" w:space="0" w:color="000000"/>
              <w:bottom w:val="single" w:sz="4" w:space="0" w:color="000000"/>
              <w:right w:val="single" w:sz="4" w:space="0" w:color="000000"/>
            </w:tcBorders>
            <w:shd w:val="clear" w:color="auto" w:fill="D2D2D2"/>
          </w:tcPr>
          <w:p>
            <w:pPr/>
          </w:p>
        </w:tc>
        <w:tc>
          <w:tcPr>
            <w:tcW w:w="1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after="0" w:line="240" w:lineRule="auto"/>
        <w:jc w:val="left"/>
        <w:rPr>
          <w:rFonts w:ascii="宋体" w:hAnsi="宋体" w:cs="宋体" w:eastAsia="宋体" w:hint="default"/>
          <w:sz w:val="18"/>
          <w:szCs w:val="18"/>
        </w:rPr>
        <w:sectPr>
          <w:pgSz w:w="11910" w:h="16840"/>
          <w:pgMar w:header="0" w:footer="979" w:top="1100" w:bottom="1160" w:left="92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049"/>
        <w:gridCol w:w="1766"/>
        <w:gridCol w:w="1558"/>
        <w:gridCol w:w="1769"/>
        <w:gridCol w:w="1555"/>
      </w:tblGrid>
      <w:tr>
        <w:trPr>
          <w:trHeight w:val="401" w:hRule="exact"/>
        </w:trPr>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7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53,616,431.51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7,890,180.41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37,045,575.27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5,558,942.31</w:t>
            </w:r>
          </w:p>
        </w:tc>
      </w:tr>
      <w:tr>
        <w:trPr>
          <w:trHeight w:val="403" w:hRule="exact"/>
        </w:trPr>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7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7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32,138,764.61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8,034,691.16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7,817,725.08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1,954,431.27</w:t>
            </w:r>
          </w:p>
        </w:tc>
      </w:tr>
      <w:tr>
        <w:trPr>
          <w:trHeight w:val="40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18,862,946.26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2,829,441.94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21,305,331.29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3,195,799.69</w:t>
            </w:r>
          </w:p>
        </w:tc>
      </w:tr>
      <w:tr>
        <w:trPr>
          <w:trHeight w:val="40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76,126,794.17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11,419,019.13</w:t>
            </w:r>
          </w:p>
        </w:tc>
      </w:tr>
      <w:tr>
        <w:trPr>
          <w:trHeight w:val="40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权益法确认的有限合伙企业收益</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26,328,700.11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3,949,305.02</w:t>
            </w:r>
          </w:p>
        </w:tc>
      </w:tr>
      <w:tr>
        <w:trPr>
          <w:trHeight w:val="40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预提利息</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20,007,928.85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3,001,189.33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124,626,071.23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21,755,502.84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168,624,125.92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26,077,497.42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742"/>
        <w:gridCol w:w="1850"/>
        <w:gridCol w:w="1628"/>
        <w:gridCol w:w="1851"/>
        <w:gridCol w:w="1627"/>
      </w:tblGrid>
      <w:tr>
        <w:trPr>
          <w:trHeight w:val="402" w:hRule="exact"/>
        </w:trPr>
        <w:tc>
          <w:tcPr>
            <w:tcW w:w="2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742"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投资性房地产公允价值变动</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75,944,472.73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14,649,496.53</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68,402,039.36</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13,736,651.52</w:t>
            </w:r>
          </w:p>
        </w:tc>
      </w:tr>
      <w:tr>
        <w:trPr>
          <w:trHeight w:val="401"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未实现的理财收益</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2,037,690.30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305,653.54</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3,460,358.70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519,053.81</w:t>
            </w:r>
          </w:p>
        </w:tc>
      </w:tr>
      <w:tr>
        <w:trPr>
          <w:trHeight w:val="403"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有限合伙企业的盈利</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349,335.01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52,400.25</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78,331,498.04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15,007,550.32</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71,862,398.06</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14,255,705.33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16,874,267.53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2,993,565.11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47,627,688.00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209,929,779.59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64,501,955.53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212,923,344.70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54,945,897.72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418,219.11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418,219.11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252,008.62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252,008.62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6,554,742.02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6,554,742.02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20,400,201.01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145,108,583.56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17,240,118.95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无限期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2,762,398.29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2,650,328.56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47,627,688.00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209,929,779.59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19</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5,703,897.85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8,804,092.31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214,500.00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预付的版权金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13,990,566.03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预付装修费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510,394.00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20,204,857.88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9,018,592.31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20</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113,871,471.84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16,481,627.61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113,871,471.84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66,481,627.61</w:t>
            </w:r>
          </w:p>
        </w:tc>
      </w:tr>
    </w:tbl>
    <w:p>
      <w:pPr>
        <w:pStyle w:val="BodyText"/>
        <w:spacing w:line="240" w:lineRule="auto" w:before="49"/>
        <w:ind w:right="1133"/>
        <w:jc w:val="left"/>
      </w:pPr>
      <w:r>
        <w:rPr/>
        <w:t>短期借款分类的说明：</w:t>
      </w:r>
    </w:p>
    <w:p>
      <w:pPr>
        <w:pStyle w:val="BodyText"/>
        <w:spacing w:line="300" w:lineRule="auto" w:before="117"/>
        <w:ind w:right="0" w:firstLine="288"/>
        <w:jc w:val="left"/>
      </w:pPr>
      <w:r>
        <w:rPr>
          <w:rFonts w:ascii="Times New Roman" w:hAnsi="Times New Roman" w:cs="Times New Roman" w:eastAsia="Times New Roman" w:hint="default"/>
        </w:rPr>
        <w:t>1</w:t>
      </w:r>
      <w:r>
        <w:rPr/>
        <w:t>、公司与平安银行股份有限公司深圳分行签订合同编号为《平银深圳综字第</w:t>
      </w:r>
      <w:r>
        <w:rPr>
          <w:rFonts w:ascii="Times New Roman" w:hAnsi="Times New Roman" w:cs="Times New Roman" w:eastAsia="Times New Roman" w:hint="default"/>
        </w:rPr>
        <w:t>A608201711280001</w:t>
      </w:r>
      <w:r>
        <w:rPr/>
        <w:t>》的授信合同，合同约 定公司在</w:t>
      </w:r>
      <w:r>
        <w:rPr>
          <w:rFonts w:ascii="Times New Roman" w:hAnsi="Times New Roman" w:cs="Times New Roman" w:eastAsia="Times New Roman" w:hint="default"/>
        </w:rPr>
        <w:t>2018</w:t>
      </w:r>
      <w:r>
        <w:rPr/>
        <w:t>年到</w:t>
      </w:r>
      <w:r>
        <w:rPr>
          <w:rFonts w:ascii="Times New Roman" w:hAnsi="Times New Roman" w:cs="Times New Roman" w:eastAsia="Times New Roman" w:hint="default"/>
        </w:rPr>
        <w:t>2019</w:t>
      </w:r>
      <w:r>
        <w:rPr/>
        <w:t>年期间，可以向平安银行股份有限公司深圳分行申请不超过</w:t>
      </w:r>
      <w:r>
        <w:rPr>
          <w:rFonts w:ascii="Times New Roman" w:hAnsi="Times New Roman" w:cs="Times New Roman" w:eastAsia="Times New Roman" w:hint="default"/>
        </w:rPr>
        <w:t>170,000,000.00</w:t>
      </w:r>
      <w:r>
        <w:rPr>
          <w:rFonts w:ascii="Times New Roman" w:hAnsi="Times New Roman" w:cs="Times New Roman" w:eastAsia="Times New Roman" w:hint="default"/>
          <w:spacing w:val="16"/>
        </w:rPr>
        <w:t> </w:t>
      </w:r>
      <w:r>
        <w:rPr/>
        <w:t>元综合授信额度，额度使 </w:t>
      </w:r>
      <w:r>
        <w:rPr>
          <w:spacing w:val="-3"/>
        </w:rPr>
        <w:t>用仅限于采购原材料及日常经营周转，贷款利率为贷款发放日的人民银行同档次贷款基准利率上浮</w:t>
      </w:r>
      <w:r>
        <w:rPr>
          <w:rFonts w:ascii="Times New Roman" w:hAnsi="Times New Roman" w:cs="Times New Roman" w:eastAsia="Times New Roman" w:hint="default"/>
          <w:spacing w:val="-3"/>
        </w:rPr>
        <w:t>50%</w:t>
      </w:r>
      <w:r>
        <w:rPr>
          <w:spacing w:val="-3"/>
        </w:rPr>
        <w:t>。截止资产负债表日，</w:t>
      </w:r>
      <w:r>
        <w:rPr>
          <w:spacing w:val="-62"/>
        </w:rPr>
        <w:t> </w:t>
      </w:r>
      <w:r>
        <w:rPr>
          <w:spacing w:val="-62"/>
        </w:rPr>
      </w:r>
      <w:r>
        <w:rPr/>
        <w:t>公司已向平安银行股份有限公司深圳分行申请贷款余额为</w:t>
      </w:r>
      <w:r>
        <w:rPr>
          <w:rFonts w:ascii="Times New Roman" w:hAnsi="Times New Roman" w:cs="Times New Roman" w:eastAsia="Times New Roman" w:hint="default"/>
        </w:rPr>
        <w:t>63,871,471.84</w:t>
      </w:r>
      <w:r>
        <w:rPr/>
        <w:t>元。公司为本次贷款提供信用担保加抵押保证。本次 抵押物为位于深圳市坪山新区大工业区兰景路以东、锦绣路以南惠程科技工业厂区办公楼、</w:t>
      </w:r>
      <w:r>
        <w:rPr>
          <w:rFonts w:ascii="Times New Roman" w:hAnsi="Times New Roman" w:cs="Times New Roman" w:eastAsia="Times New Roman" w:hint="default"/>
        </w:rPr>
        <w:t>1</w:t>
      </w:r>
      <w:r>
        <w:rPr/>
        <w:t>号厂房、厂房、宿舍楼。</w:t>
      </w:r>
    </w:p>
    <w:p>
      <w:pPr>
        <w:pStyle w:val="BodyText"/>
        <w:spacing w:line="304" w:lineRule="auto" w:before="52"/>
        <w:ind w:right="1129" w:firstLine="288"/>
        <w:jc w:val="both"/>
      </w:pPr>
      <w:r>
        <w:rPr>
          <w:rFonts w:ascii="Times New Roman" w:hAnsi="Times New Roman" w:cs="Times New Roman" w:eastAsia="Times New Roman" w:hint="default"/>
        </w:rPr>
        <w:t>2</w:t>
      </w:r>
      <w:r>
        <w:rPr/>
        <w:t>、公司于本年与上海浦东发展银行股份有限公司深圳分行签订合同编号为《</w:t>
      </w:r>
      <w:r>
        <w:rPr>
          <w:rFonts w:ascii="Times New Roman" w:hAnsi="Times New Roman" w:cs="Times New Roman" w:eastAsia="Times New Roman" w:hint="default"/>
        </w:rPr>
        <w:t>BC2018092600000697</w:t>
      </w:r>
      <w:r>
        <w:rPr/>
        <w:t>》的融资额度协议， 协议约定本公司在</w:t>
      </w:r>
      <w:r>
        <w:rPr>
          <w:rFonts w:ascii="Times New Roman" w:hAnsi="Times New Roman" w:cs="Times New Roman" w:eastAsia="Times New Roman" w:hint="default"/>
        </w:rPr>
        <w:t>2018</w:t>
      </w:r>
      <w:r>
        <w:rPr/>
        <w:t>年到</w:t>
      </w:r>
      <w:r>
        <w:rPr>
          <w:rFonts w:ascii="Times New Roman" w:hAnsi="Times New Roman" w:cs="Times New Roman" w:eastAsia="Times New Roman" w:hint="default"/>
        </w:rPr>
        <w:t>2021</w:t>
      </w:r>
      <w:r>
        <w:rPr/>
        <w:t>年期间，可以向上海浦东发展银行股份有限公司深圳分行申请不超过</w:t>
      </w:r>
      <w:r>
        <w:rPr>
          <w:rFonts w:ascii="Times New Roman" w:hAnsi="Times New Roman" w:cs="Times New Roman" w:eastAsia="Times New Roman" w:hint="default"/>
        </w:rPr>
        <w:t>300,000,000.00</w:t>
      </w:r>
      <w:r>
        <w:rPr/>
        <w:t>元融资</w:t>
      </w:r>
      <w:r>
        <w:rPr>
          <w:spacing w:val="-47"/>
        </w:rPr>
        <w:t> </w:t>
      </w:r>
      <w:r>
        <w:rPr>
          <w:spacing w:val="-2"/>
        </w:rPr>
        <w:t>额度，公司为协议提供信用和抵押保证，抵押物为新保辉大厦主楼的多套房产；同时公司子公司豪琛投资管理（上海）有限</w:t>
      </w:r>
      <w:r>
        <w:rPr>
          <w:spacing w:val="-67"/>
        </w:rPr>
        <w:t> </w:t>
      </w:r>
      <w:r>
        <w:rPr>
          <w:spacing w:val="-67"/>
        </w:rPr>
      </w:r>
      <w:r>
        <w:rPr>
          <w:spacing w:val="-2"/>
        </w:rPr>
        <w:t>公司及鹏胤投资管理（上海）有限公司为协议提供抵押保证，抵押物为位于上海申虹路</w:t>
      </w:r>
      <w:r>
        <w:rPr>
          <w:rFonts w:ascii="Times New Roman" w:hAnsi="Times New Roman" w:cs="Times New Roman" w:eastAsia="Times New Roman" w:hint="default"/>
          <w:spacing w:val="-2"/>
        </w:rPr>
        <w:t>1188</w:t>
      </w:r>
      <w:r>
        <w:rPr>
          <w:spacing w:val="-2"/>
        </w:rPr>
        <w:t>弄</w:t>
      </w:r>
      <w:r>
        <w:rPr>
          <w:rFonts w:ascii="Times New Roman" w:hAnsi="Times New Roman" w:cs="Times New Roman" w:eastAsia="Times New Roman" w:hint="default"/>
          <w:spacing w:val="-2"/>
        </w:rPr>
        <w:t>18</w:t>
      </w:r>
      <w:r>
        <w:rPr>
          <w:spacing w:val="-2"/>
        </w:rPr>
        <w:t>号的多套房产及上海市申虹</w:t>
      </w:r>
      <w:r>
        <w:rPr>
          <w:spacing w:val="-61"/>
        </w:rPr>
        <w:t> </w:t>
      </w:r>
      <w:r>
        <w:rPr>
          <w:spacing w:val="-61"/>
        </w:rPr>
      </w:r>
      <w:r>
        <w:rPr>
          <w:spacing w:val="8"/>
        </w:rPr>
        <w:t>路</w:t>
      </w:r>
      <w:r>
        <w:rPr>
          <w:rFonts w:ascii="Times New Roman" w:hAnsi="Times New Roman" w:cs="Times New Roman" w:eastAsia="Times New Roman" w:hint="default"/>
          <w:spacing w:val="8"/>
        </w:rPr>
        <w:t>958</w:t>
      </w:r>
      <w:r>
        <w:rPr>
          <w:spacing w:val="8"/>
        </w:rPr>
        <w:t>弄</w:t>
      </w:r>
      <w:r>
        <w:rPr>
          <w:rFonts w:ascii="Times New Roman" w:hAnsi="Times New Roman" w:cs="Times New Roman" w:eastAsia="Times New Roman" w:hint="default"/>
          <w:spacing w:val="8"/>
        </w:rPr>
        <w:t>6</w:t>
      </w:r>
      <w:r>
        <w:rPr>
          <w:spacing w:val="8"/>
        </w:rPr>
        <w:t>号</w:t>
      </w:r>
      <w:r>
        <w:rPr>
          <w:rFonts w:ascii="Times New Roman" w:hAnsi="Times New Roman" w:cs="Times New Roman" w:eastAsia="Times New Roman" w:hint="default"/>
          <w:spacing w:val="8"/>
        </w:rPr>
        <w:t>902</w:t>
      </w:r>
      <w:r>
        <w:rPr>
          <w:spacing w:val="8"/>
        </w:rPr>
        <w:t>室的房产。截止</w:t>
      </w:r>
      <w:r>
        <w:rPr>
          <w:rFonts w:ascii="Times New Roman" w:hAnsi="Times New Roman" w:cs="Times New Roman" w:eastAsia="Times New Roman" w:hint="default"/>
          <w:spacing w:val="8"/>
        </w:rPr>
        <w:t>2018</w:t>
      </w:r>
      <w:r>
        <w:rPr>
          <w:spacing w:val="8"/>
        </w:rPr>
        <w:t>年</w:t>
      </w:r>
      <w:r>
        <w:rPr>
          <w:rFonts w:ascii="Times New Roman" w:hAnsi="Times New Roman" w:cs="Times New Roman" w:eastAsia="Times New Roman" w:hint="default"/>
          <w:spacing w:val="8"/>
        </w:rPr>
        <w:t>12</w:t>
      </w:r>
      <w:r>
        <w:rPr>
          <w:spacing w:val="8"/>
        </w:rPr>
        <w:t>月</w:t>
      </w:r>
      <w:r>
        <w:rPr>
          <w:rFonts w:ascii="Times New Roman" w:hAnsi="Times New Roman" w:cs="Times New Roman" w:eastAsia="Times New Roman" w:hint="default"/>
          <w:spacing w:val="8"/>
        </w:rPr>
        <w:t>31</w:t>
      </w:r>
      <w:r>
        <w:rPr>
          <w:spacing w:val="8"/>
        </w:rPr>
        <w:t>日，公司已与上海浦东发展银行股份有限公司深圳分行签订合同编号为</w:t>
      </w:r>
    </w:p>
    <w:p>
      <w:pPr>
        <w:pStyle w:val="BodyText"/>
        <w:spacing w:line="300" w:lineRule="auto" w:before="9"/>
        <w:ind w:right="0"/>
        <w:jc w:val="left"/>
      </w:pPr>
      <w:r>
        <w:rPr>
          <w:spacing w:val="-1"/>
        </w:rPr>
        <w:t>《</w:t>
      </w:r>
      <w:r>
        <w:rPr>
          <w:rFonts w:ascii="Times New Roman" w:hAnsi="Times New Roman" w:cs="Times New Roman" w:eastAsia="Times New Roman" w:hint="default"/>
          <w:spacing w:val="-1"/>
        </w:rPr>
        <w:t>79202018280194</w:t>
      </w:r>
      <w:r>
        <w:rPr>
          <w:spacing w:val="-1"/>
        </w:rPr>
        <w:t>》的流动资金借款合同并取得贷款</w:t>
      </w:r>
      <w:r>
        <w:rPr>
          <w:rFonts w:ascii="Times New Roman" w:hAnsi="Times New Roman" w:cs="Times New Roman" w:eastAsia="Times New Roman" w:hint="default"/>
          <w:spacing w:val="-1"/>
        </w:rPr>
        <w:t>50,000,000.00</w:t>
      </w:r>
      <w:r>
        <w:rPr>
          <w:spacing w:val="-1"/>
        </w:rPr>
        <w:t>元，具体用途为发放工资及采购原材料，贷款利率为贷款</w:t>
      </w:r>
      <w:r>
        <w:rPr>
          <w:spacing w:val="-69"/>
        </w:rPr>
        <w:t> </w:t>
      </w:r>
      <w:r>
        <w:rPr>
          <w:spacing w:val="-69"/>
        </w:rPr>
      </w:r>
      <w:r>
        <w:rPr/>
        <w:t>发放日的人民银行同档次贷款基准利率上浮</w:t>
      </w:r>
      <w:r>
        <w:rPr>
          <w:rFonts w:ascii="Times New Roman" w:hAnsi="Times New Roman" w:cs="Times New Roman" w:eastAsia="Times New Roman" w:hint="default"/>
        </w:rPr>
        <w:t>30%</w:t>
      </w:r>
      <w:r>
        <w:rPr/>
        <w:t>。</w:t>
      </w:r>
    </w:p>
    <w:p>
      <w:pPr>
        <w:spacing w:after="0" w:line="300" w:lineRule="auto"/>
        <w:jc w:val="left"/>
        <w:sectPr>
          <w:pgSz w:w="11910" w:h="16840"/>
          <w:pgMar w:header="0"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）已逾期未偿还的短期借款情况：无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21</w:t>
      </w:r>
      <w:r>
        <w:rPr/>
        <w:t>、应付票据及应付账款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42,801,652.55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67,618,736.38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381,692,069.53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129,695,806.58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424,493,722.08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197,314,542.96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15,473,263.87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13,039,418.63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27,328,388.68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54,579,317.75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42,801,652.55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67,618,736.38</w:t>
            </w:r>
          </w:p>
        </w:tc>
      </w:tr>
    </w:tbl>
    <w:p>
      <w:pPr>
        <w:pStyle w:val="BodyText"/>
        <w:spacing w:line="240" w:lineRule="auto" w:before="49"/>
        <w:ind w:right="1133"/>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360,966,375.93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124,600,596.66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18,229,925.02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2,677,992.36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285,531.18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236,383.91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2,210,237.40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2,180,833.65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381,692,069.53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129,695,806.58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喀什某公司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未达到协议约定的付款条件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22</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1,217,212.18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1,722,770.16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349,642.82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524,173.31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3,523.00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1,566,855.00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2,250,466.47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）期末建造合同形成的已结算未完工项目情况：无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23</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3381"/>
        <w:gridCol w:w="1520"/>
        <w:gridCol w:w="1637"/>
        <w:gridCol w:w="1635"/>
        <w:gridCol w:w="1512"/>
      </w:tblGrid>
      <w:tr>
        <w:trPr>
          <w:trHeight w:val="401" w:hRule="exact"/>
        </w:trPr>
        <w:tc>
          <w:tcPr>
            <w:tcW w:w="3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5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15,211,920.07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118,225,883.30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118,172,419.89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15,265,383.48</w:t>
            </w:r>
          </w:p>
        </w:tc>
      </w:tr>
      <w:tr>
        <w:trPr>
          <w:trHeight w:val="401" w:hRule="exact"/>
        </w:trPr>
        <w:tc>
          <w:tcPr>
            <w:tcW w:w="3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5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323,590.39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6,372,877.70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6,294,690.95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401,777.14</w:t>
            </w:r>
          </w:p>
        </w:tc>
      </w:tr>
      <w:tr>
        <w:trPr>
          <w:trHeight w:val="403" w:hRule="exact"/>
        </w:trPr>
        <w:tc>
          <w:tcPr>
            <w:tcW w:w="3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5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496,732.55</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496,732.55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15,535,510.46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125,095,493.55</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124,963,843.39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15,667,160.62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3242"/>
        <w:gridCol w:w="1556"/>
        <w:gridCol w:w="1671"/>
        <w:gridCol w:w="1673"/>
        <w:gridCol w:w="1543"/>
      </w:tblGrid>
      <w:tr>
        <w:trPr>
          <w:trHeight w:val="401" w:hRule="exact"/>
        </w:trPr>
        <w:tc>
          <w:tcPr>
            <w:tcW w:w="3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5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14,855,038.24</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106,502,727.81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106,445,454.93</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14,912,311.12</w:t>
            </w:r>
          </w:p>
        </w:tc>
      </w:tr>
      <w:tr>
        <w:trPr>
          <w:trHeight w:val="401" w:hRule="exact"/>
        </w:trPr>
        <w:tc>
          <w:tcPr>
            <w:tcW w:w="3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5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4,529,064.54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4,529,064.54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5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82,285.53</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3,151,621.22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3,139,037.76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94,868.99</w:t>
            </w:r>
          </w:p>
        </w:tc>
      </w:tr>
      <w:tr>
        <w:trPr>
          <w:trHeight w:val="401" w:hRule="exact"/>
        </w:trPr>
        <w:tc>
          <w:tcPr>
            <w:tcW w:w="3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57,209.78</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2,653,555.04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2,642,233.28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68,531.54</w:t>
            </w:r>
          </w:p>
        </w:tc>
      </w:tr>
      <w:tr>
        <w:trPr>
          <w:trHeight w:val="403" w:hRule="exact"/>
        </w:trPr>
        <w:tc>
          <w:tcPr>
            <w:tcW w:w="3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13,461.85</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213,832.87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214,232.31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13,062.41</w:t>
            </w:r>
          </w:p>
        </w:tc>
      </w:tr>
      <w:tr>
        <w:trPr>
          <w:trHeight w:val="401" w:hRule="exact"/>
        </w:trPr>
        <w:tc>
          <w:tcPr>
            <w:tcW w:w="3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11,613.90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284,233.31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282,572.17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13,275.04</w:t>
            </w:r>
          </w:p>
        </w:tc>
      </w:tr>
      <w:tr>
        <w:trPr>
          <w:trHeight w:val="404" w:hRule="exact"/>
        </w:trPr>
        <w:tc>
          <w:tcPr>
            <w:tcW w:w="3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5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149,771.39</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2,855,817.49</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2,865,145.65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140,443.23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265"/>
        <w:gridCol w:w="1546"/>
        <w:gridCol w:w="1671"/>
        <w:gridCol w:w="1673"/>
        <w:gridCol w:w="1543"/>
      </w:tblGrid>
      <w:tr>
        <w:trPr>
          <w:trHeight w:val="401" w:hRule="exact"/>
        </w:trPr>
        <w:tc>
          <w:tcPr>
            <w:tcW w:w="3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124,824.91</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1,186,056.64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1,193,121.41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117,760.14</w:t>
            </w:r>
          </w:p>
        </w:tc>
      </w:tr>
      <w:tr>
        <w:trPr>
          <w:trHeight w:val="403" w:hRule="exact"/>
        </w:trPr>
        <w:tc>
          <w:tcPr>
            <w:tcW w:w="3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595.60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595.60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15,211,920.07</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118,225,883.30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118,172,419.89</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15,265,383.48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312,737.79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6,188,728.67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6,107,298.84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394,167.62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10,852.60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184,149.03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187,392.11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7,609.52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323,590.39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6,372,877.70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6,294,690.95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401,777.14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24</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10,438,625.98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11,231,177.23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44,600,918.10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6,455,153.81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854,586.39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965,722.36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902,155.89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746,657.60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722,860.04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692,804.59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25,654.52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410,390.55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46,882.97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57,545,263.30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20,548,789.11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25</w:t>
      </w:r>
      <w:r>
        <w:rPr/>
        <w:t>、其他应付款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20,007,928.85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94,929.22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139,715,935.65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440,343,194.41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159,723,864.50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440,438,123.63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19,804,416.74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203,512.11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94,929.22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20,007,928.85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94,929.22</w:t>
            </w:r>
          </w:p>
        </w:tc>
      </w:tr>
    </w:tbl>
    <w:p>
      <w:pPr>
        <w:pStyle w:val="BodyText"/>
        <w:spacing w:line="240" w:lineRule="auto" w:before="49"/>
        <w:ind w:right="1133"/>
        <w:jc w:val="left"/>
      </w:pPr>
      <w:r>
        <w:rPr/>
        <w:t>重要的已逾期未支付的利息情况：无</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t>（</w:t>
      </w:r>
      <w:r>
        <w:rPr>
          <w:rFonts w:ascii="Times New Roman" w:hAnsi="Times New Roman" w:cs="Times New Roman" w:eastAsia="Times New Roman" w:hint="default"/>
        </w:rPr>
        <w:t>2</w:t>
      </w:r>
      <w:r>
        <w:rPr/>
        <w:t>）应付股利：无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759,405.56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1,442,839.31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3,745,474.59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诉讼保证金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18,862,946.26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21,305,331.29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96,610,892.40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407,519,462.80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594,339.62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3,646,840.09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15,074,900.38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968,289.58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784,212.12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749,993.49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157,802.57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139,715,935.65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440,343,194.41</w:t>
            </w:r>
          </w:p>
        </w:tc>
      </w:tr>
    </w:tbl>
    <w:p>
      <w:pPr>
        <w:pStyle w:val="BodyText"/>
        <w:spacing w:line="240" w:lineRule="auto" w:before="49"/>
        <w:ind w:right="1133"/>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pStyle w:val="BodyText"/>
        <w:spacing w:line="240" w:lineRule="auto" w:before="102"/>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463"/>
        <w:gridCol w:w="1601"/>
        <w:gridCol w:w="5634"/>
      </w:tblGrid>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96,610,892.40</w:t>
            </w:r>
          </w:p>
        </w:tc>
        <w:tc>
          <w:tcPr>
            <w:tcW w:w="5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系员工股权激励限制性股票回购义务未解除所致</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96,610,892.40</w:t>
            </w:r>
          </w:p>
        </w:tc>
        <w:tc>
          <w:tcPr>
            <w:tcW w:w="5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26</w:t>
      </w:r>
      <w:r>
        <w:rPr/>
        <w:t>、一年内到期的非流动负债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left="2035" w:right="0"/>
              <w:jc w:val="left"/>
              <w:rPr>
                <w:rFonts w:ascii="Times New Roman" w:hAnsi="Times New Roman" w:cs="Times New Roman" w:eastAsia="Times New Roman" w:hint="default"/>
                <w:sz w:val="18"/>
                <w:szCs w:val="18"/>
              </w:rPr>
            </w:pPr>
            <w:r>
              <w:rPr>
                <w:rFonts w:ascii="Times New Roman"/>
                <w:sz w:val="18"/>
              </w:rPr>
              <w:t>387,154,615.89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0" w:right="0"/>
              <w:jc w:val="left"/>
              <w:rPr>
                <w:rFonts w:ascii="Times New Roman" w:hAnsi="Times New Roman" w:cs="Times New Roman" w:eastAsia="Times New Roman" w:hint="default"/>
                <w:sz w:val="18"/>
                <w:szCs w:val="18"/>
              </w:rPr>
            </w:pPr>
            <w:r>
              <w:rPr>
                <w:rFonts w:ascii="Times New Roman"/>
                <w:sz w:val="18"/>
              </w:rPr>
              <w:t>547,788,574.59</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387,154,615.89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547,788,574.59</w:t>
            </w:r>
          </w:p>
        </w:tc>
      </w:tr>
    </w:tbl>
    <w:p>
      <w:pPr>
        <w:pStyle w:val="BodyText"/>
        <w:spacing w:line="240" w:lineRule="auto" w:before="49"/>
        <w:ind w:right="1133"/>
        <w:jc w:val="left"/>
      </w:pPr>
      <w:r>
        <w:rPr/>
        <w:t>其他说明：报告期内支付部分哆可梦股权受让款致期末余额较期初减少。</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27</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中航信托哆可梦项目并购贷款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289,100,000.00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436" w:right="0" w:hanging="284"/>
        <w:jc w:val="left"/>
      </w:pPr>
      <w:r>
        <w:rPr/>
        <w:t>长期借款分类的说明： </w:t>
      </w:r>
      <w:r>
        <w:rPr>
          <w:spacing w:val="-1"/>
        </w:rPr>
        <w:t>根据公司重大资产重组事项的资金安排，公司为支付收购哆可梦</w:t>
      </w:r>
      <w:r>
        <w:rPr>
          <w:rFonts w:ascii="Times New Roman" w:hAnsi="Times New Roman" w:cs="Times New Roman" w:eastAsia="Times New Roman" w:hint="default"/>
          <w:spacing w:val="-1"/>
        </w:rPr>
        <w:t>77.57%</w:t>
      </w:r>
      <w:r>
        <w:rPr>
          <w:spacing w:val="-1"/>
        </w:rPr>
        <w:t>股权的转让价款，向中航信托申请并购贷款，于</w:t>
      </w:r>
    </w:p>
    <w:p>
      <w:pPr>
        <w:pStyle w:val="BodyText"/>
        <w:spacing w:line="214" w:lineRule="exact"/>
        <w:ind w:right="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日签署了相关并购贷款合同、股权质押合同和信托业保障基金委托认购协议。中航信托通过发起设立中航信托</w:t>
      </w:r>
    </w:p>
    <w:p>
      <w:pPr>
        <w:pStyle w:val="BodyText"/>
        <w:spacing w:line="300" w:lineRule="auto" w:before="63"/>
        <w:ind w:right="1131"/>
        <w:jc w:val="both"/>
      </w:pPr>
      <w:r>
        <w:rPr>
          <w:rFonts w:ascii="Times New Roman" w:hAnsi="Times New Roman" w:cs="Times New Roman" w:eastAsia="Times New Roman" w:hint="default"/>
          <w:spacing w:val="-9"/>
        </w:rPr>
        <w:t>•</w:t>
      </w:r>
      <w:r>
        <w:rPr>
          <w:spacing w:val="-9"/>
        </w:rPr>
        <w:t>天启【</w:t>
      </w:r>
      <w:r>
        <w:rPr>
          <w:rFonts w:ascii="Times New Roman" w:hAnsi="Times New Roman" w:cs="Times New Roman" w:eastAsia="Times New Roman" w:hint="default"/>
          <w:spacing w:val="-9"/>
        </w:rPr>
        <w:t>2017</w:t>
      </w:r>
      <w:r>
        <w:rPr>
          <w:spacing w:val="-9"/>
        </w:rPr>
        <w:t>】</w:t>
      </w:r>
      <w:r>
        <w:rPr>
          <w:rFonts w:ascii="Times New Roman" w:hAnsi="Times New Roman" w:cs="Times New Roman" w:eastAsia="Times New Roman" w:hint="default"/>
          <w:spacing w:val="-9"/>
        </w:rPr>
        <w:t>67</w:t>
      </w:r>
      <w:r>
        <w:rPr>
          <w:rFonts w:ascii="Times New Roman" w:hAnsi="Times New Roman" w:cs="Times New Roman" w:eastAsia="Times New Roman" w:hint="default"/>
        </w:rPr>
        <w:t> </w:t>
      </w:r>
      <w:r>
        <w:rPr>
          <w:spacing w:val="-2"/>
        </w:rPr>
        <w:t>号深圳惠程并购贷款集合资金信托计划，向公司提供并购贷款，该等贷款总金额为不超过</w:t>
      </w:r>
      <w:r>
        <w:rPr>
          <w:rFonts w:ascii="Times New Roman" w:hAnsi="Times New Roman" w:cs="Times New Roman" w:eastAsia="Times New Roman" w:hint="default"/>
          <w:spacing w:val="-2"/>
        </w:rPr>
        <w:t>8.30</w:t>
      </w:r>
      <w:r>
        <w:rPr>
          <w:spacing w:val="-2"/>
        </w:rPr>
        <w:t>亿元人民币，</w:t>
      </w:r>
      <w:r>
        <w:rPr>
          <w:spacing w:val="-89"/>
        </w:rPr>
        <w:t> </w:t>
      </w:r>
      <w:r>
        <w:rPr>
          <w:spacing w:val="-89"/>
        </w:rPr>
      </w:r>
      <w:r>
        <w:rPr/>
        <w:t>并将公司持有的哆可梦</w:t>
      </w:r>
      <w:r>
        <w:rPr>
          <w:rFonts w:ascii="Times New Roman" w:hAnsi="Times New Roman" w:cs="Times New Roman" w:eastAsia="Times New Roman" w:hint="default"/>
        </w:rPr>
        <w:t>77.57%</w:t>
      </w:r>
      <w:r>
        <w:rPr/>
        <w:t>股权作为贷款担保。截止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日，本公司已向中航信托申请信托贷款</w:t>
      </w:r>
      <w:r>
        <w:rPr>
          <w:rFonts w:ascii="Times New Roman" w:hAnsi="Times New Roman" w:cs="Times New Roman" w:eastAsia="Times New Roman" w:hint="default"/>
        </w:rPr>
        <w:t>289,100,000.00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元。</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28</w:t>
      </w:r>
      <w:r>
        <w:rPr/>
        <w:t>、长期应付款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174,864,050.46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520,461,455.17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174,864,050.46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520,461,455.17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哆可梦股权受让款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160,461,866.26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520,461,455.17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远东国际租赁有限公司（售后回租）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14,402,184.20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174,864,050.46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520,461,455.17</w:t>
            </w:r>
          </w:p>
        </w:tc>
      </w:tr>
    </w:tbl>
    <w:p>
      <w:pPr>
        <w:pStyle w:val="BodyText"/>
        <w:spacing w:line="240" w:lineRule="auto" w:before="49"/>
        <w:ind w:right="1133"/>
        <w:jc w:val="left"/>
      </w:pPr>
      <w:r>
        <w:rPr/>
        <w:t>其他说明：</w:t>
      </w:r>
    </w:p>
    <w:p>
      <w:pPr>
        <w:pStyle w:val="BodyText"/>
        <w:spacing w:line="240" w:lineRule="auto" w:before="115"/>
        <w:ind w:left="436" w:right="1133"/>
        <w:jc w:val="left"/>
      </w:pPr>
      <w:r>
        <w:rPr>
          <w:rFonts w:ascii="Times New Roman" w:hAnsi="Times New Roman" w:cs="Times New Roman" w:eastAsia="Times New Roman" w:hint="default"/>
        </w:rPr>
        <w:t>1</w:t>
      </w:r>
      <w:r>
        <w:rPr/>
        <w:t>、收购哆可梦股权，按重组协议约定，在</w:t>
      </w:r>
      <w:r>
        <w:rPr>
          <w:rFonts w:ascii="Times New Roman" w:hAnsi="Times New Roman" w:cs="Times New Roman" w:eastAsia="Times New Roman" w:hint="default"/>
        </w:rPr>
        <w:t>2020</w:t>
      </w:r>
      <w:r>
        <w:rPr/>
        <w:t>年需向交易对手方支付的股权受让款。</w:t>
      </w:r>
    </w:p>
    <w:p>
      <w:pPr>
        <w:pStyle w:val="BodyText"/>
        <w:spacing w:line="300" w:lineRule="auto" w:before="63"/>
        <w:ind w:right="1129" w:firstLine="283"/>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月，公司与远东国际租赁有限公司（以下简称</w:t>
      </w:r>
      <w:r>
        <w:rPr>
          <w:rFonts w:ascii="Times New Roman" w:hAnsi="Times New Roman" w:cs="Times New Roman" w:eastAsia="Times New Roman" w:hint="default"/>
        </w:rPr>
        <w:t>“</w:t>
      </w:r>
      <w:r>
        <w:rPr/>
        <w:t>远东租赁</w:t>
      </w:r>
      <w:r>
        <w:rPr>
          <w:rFonts w:ascii="Times New Roman" w:hAnsi="Times New Roman" w:cs="Times New Roman" w:eastAsia="Times New Roman" w:hint="default"/>
        </w:rPr>
        <w:t>”</w:t>
      </w:r>
      <w:r>
        <w:rPr/>
        <w:t>）签订《所有权转让协议》、《售后回租赁合同》 </w:t>
      </w:r>
      <w:r>
        <w:rPr>
          <w:spacing w:val="-1"/>
        </w:rPr>
        <w:t>等相关文件，分别以售后回租方式进行了两笔合计</w:t>
      </w:r>
      <w:r>
        <w:rPr>
          <w:rFonts w:ascii="Times New Roman" w:hAnsi="Times New Roman" w:cs="Times New Roman" w:eastAsia="Times New Roman" w:hint="default"/>
          <w:spacing w:val="-1"/>
        </w:rPr>
        <w:t>55,000,000.00</w:t>
      </w:r>
      <w:r>
        <w:rPr>
          <w:spacing w:val="-1"/>
        </w:rPr>
        <w:t>元的融资租赁交易，租赁期满后，公司将按照约定购回标的</w:t>
      </w:r>
      <w:r>
        <w:rPr>
          <w:spacing w:val="-70"/>
        </w:rPr>
        <w:t> </w:t>
      </w:r>
      <w:r>
        <w:rPr>
          <w:spacing w:val="-70"/>
        </w:rPr>
      </w:r>
      <w:r>
        <w:rPr/>
        <w:t>物。具体情况如下：</w:t>
      </w:r>
    </w:p>
    <w:p>
      <w:pPr>
        <w:pStyle w:val="BodyText"/>
        <w:spacing w:line="300" w:lineRule="auto" w:before="32"/>
        <w:ind w:right="1128" w:firstLine="283"/>
        <w:jc w:val="both"/>
      </w:pPr>
      <w:r>
        <w:rPr/>
        <w:t>合同</w:t>
      </w:r>
      <w:r>
        <w:rPr>
          <w:rFonts w:ascii="Times New Roman" w:hAnsi="Times New Roman" w:cs="Times New Roman" w:eastAsia="Times New Roman" w:hint="default"/>
        </w:rPr>
        <w:t>1</w:t>
      </w:r>
      <w:r>
        <w:rPr/>
        <w:t>：售后回租标的物为电气事业部氦气气体检验设备等设备，销售金额为</w:t>
      </w:r>
      <w:r>
        <w:rPr>
          <w:rFonts w:ascii="Times New Roman" w:hAnsi="Times New Roman" w:cs="Times New Roman" w:eastAsia="Times New Roman" w:hint="default"/>
        </w:rPr>
        <w:t>28,600,000.00</w:t>
      </w:r>
      <w:r>
        <w:rPr/>
        <w:t>元，售后回租租金分为</w:t>
      </w:r>
      <w:r>
        <w:rPr>
          <w:rFonts w:ascii="Times New Roman" w:hAnsi="Times New Roman" w:cs="Times New Roman" w:eastAsia="Times New Roman" w:hint="default"/>
        </w:rPr>
        <w:t>8</w:t>
      </w:r>
      <w:r>
        <w:rPr/>
        <w:t>期支 付，每期支付</w:t>
      </w:r>
      <w:r>
        <w:rPr>
          <w:rFonts w:ascii="Times New Roman" w:hAnsi="Times New Roman" w:cs="Times New Roman" w:eastAsia="Times New Roman" w:hint="default"/>
        </w:rPr>
        <w:t>3,866,743.12</w:t>
      </w:r>
      <w:r>
        <w:rPr/>
        <w:t>元，租赁期限自起租日起算</w:t>
      </w:r>
      <w:r>
        <w:rPr>
          <w:rFonts w:ascii="Times New Roman" w:hAnsi="Times New Roman" w:cs="Times New Roman" w:eastAsia="Times New Roman" w:hint="default"/>
        </w:rPr>
        <w:t>24</w:t>
      </w:r>
      <w:r>
        <w:rPr/>
        <w:t>个月，租赁期满后，公司将以</w:t>
      </w:r>
      <w:r>
        <w:rPr>
          <w:rFonts w:ascii="Times New Roman" w:hAnsi="Times New Roman" w:cs="Times New Roman" w:eastAsia="Times New Roman" w:hint="default"/>
        </w:rPr>
        <w:t>1,000</w:t>
      </w:r>
      <w:r>
        <w:rPr/>
        <w:t>元的对价购回标的物，累计金额</w:t>
      </w:r>
    </w:p>
    <w:p>
      <w:pPr>
        <w:spacing w:after="0" w:line="300" w:lineRule="auto"/>
        <w:jc w:val="both"/>
        <w:sectPr>
          <w:pgSz w:w="11910" w:h="16840"/>
          <w:pgMar w:header="0"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129"/>
        <w:jc w:val="both"/>
      </w:pPr>
      <w:r>
        <w:rPr>
          <w:spacing w:val="-2"/>
        </w:rPr>
        <w:t>为</w:t>
      </w:r>
      <w:r>
        <w:rPr>
          <w:rFonts w:ascii="Times New Roman" w:hAnsi="Times New Roman" w:cs="Times New Roman" w:eastAsia="Times New Roman" w:hint="default"/>
          <w:spacing w:val="-2"/>
        </w:rPr>
        <w:t>30,934,944.96</w:t>
      </w:r>
      <w:r>
        <w:rPr>
          <w:spacing w:val="-2"/>
        </w:rPr>
        <w:t>元。此外，本合同租赁保证金为</w:t>
      </w:r>
      <w:r>
        <w:rPr>
          <w:rFonts w:ascii="Times New Roman" w:hAnsi="Times New Roman" w:cs="Times New Roman" w:eastAsia="Times New Roman" w:hint="default"/>
          <w:spacing w:val="-2"/>
        </w:rPr>
        <w:t>1,430,000.00</w:t>
      </w:r>
      <w:r>
        <w:rPr>
          <w:spacing w:val="-2"/>
        </w:rPr>
        <w:t>元，保证金在远东租赁按所有权转让协议约定向公司支付的租赁</w:t>
      </w:r>
      <w:r>
        <w:rPr>
          <w:spacing w:val="-44"/>
        </w:rPr>
        <w:t> </w:t>
      </w:r>
      <w:r>
        <w:rPr>
          <w:spacing w:val="-44"/>
        </w:rPr>
      </w:r>
      <w:r>
        <w:rPr/>
        <w:t>物件协议价款中直接抵扣。公司于</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日收到扣除保证金后的设备销售款</w:t>
      </w:r>
      <w:r>
        <w:rPr>
          <w:rFonts w:ascii="Times New Roman" w:hAnsi="Times New Roman" w:cs="Times New Roman" w:eastAsia="Times New Roman" w:hint="default"/>
        </w:rPr>
        <w:t>27,170,000.00</w:t>
      </w:r>
      <w:r>
        <w:rPr/>
        <w:t>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w:t>
      </w:r>
      <w:r>
        <w:rPr>
          <w:spacing w:val="-47"/>
        </w:rPr>
        <w:t> </w:t>
      </w:r>
      <w:r>
        <w:rPr>
          <w:spacing w:val="-47"/>
        </w:rPr>
      </w:r>
      <w:r>
        <w:rPr>
          <w:spacing w:val="-4"/>
        </w:rPr>
        <w:t>累计支付租金</w:t>
      </w:r>
      <w:r>
        <w:rPr>
          <w:rFonts w:ascii="Times New Roman" w:hAnsi="Times New Roman" w:cs="Times New Roman" w:eastAsia="Times New Roman" w:hint="default"/>
          <w:spacing w:val="-4"/>
        </w:rPr>
        <w:t>7,733,486.24</w:t>
      </w:r>
      <w:r>
        <w:rPr>
          <w:spacing w:val="-4"/>
        </w:rPr>
        <w:t>元，剩余长期付款余额</w:t>
      </w:r>
      <w:r>
        <w:rPr>
          <w:rFonts w:ascii="Times New Roman" w:hAnsi="Times New Roman" w:cs="Times New Roman" w:eastAsia="Times New Roman" w:hint="default"/>
          <w:spacing w:val="-4"/>
        </w:rPr>
        <w:t>21,763,754.82</w:t>
      </w:r>
      <w:r>
        <w:rPr>
          <w:spacing w:val="-4"/>
        </w:rPr>
        <w:t>元，其中未付租金</w:t>
      </w:r>
      <w:r>
        <w:rPr>
          <w:rFonts w:ascii="Times New Roman" w:hAnsi="Times New Roman" w:cs="Times New Roman" w:eastAsia="Times New Roman" w:hint="default"/>
          <w:spacing w:val="-4"/>
        </w:rPr>
        <w:t>23,201,458.72</w:t>
      </w:r>
      <w:r>
        <w:rPr>
          <w:spacing w:val="-4"/>
        </w:rPr>
        <w:t>元，未确认融资费用</w:t>
      </w:r>
      <w:r>
        <w:rPr>
          <w:rFonts w:ascii="Times New Roman" w:hAnsi="Times New Roman" w:cs="Times New Roman" w:eastAsia="Times New Roman" w:hint="default"/>
          <w:spacing w:val="-4"/>
        </w:rPr>
        <w:t>1,437,703.90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元。</w:t>
      </w:r>
    </w:p>
    <w:p>
      <w:pPr>
        <w:pStyle w:val="BodyText"/>
        <w:spacing w:line="300" w:lineRule="auto" w:before="31"/>
        <w:ind w:right="1129" w:firstLine="283"/>
        <w:jc w:val="both"/>
      </w:pPr>
      <w:r>
        <w:rPr/>
        <w:t>合同</w:t>
      </w:r>
      <w:r>
        <w:rPr>
          <w:rFonts w:ascii="Times New Roman" w:hAnsi="Times New Roman" w:cs="Times New Roman" w:eastAsia="Times New Roman" w:hint="default"/>
        </w:rPr>
        <w:t>2</w:t>
      </w:r>
      <w:r>
        <w:rPr/>
        <w:t>：售后回租标的物为电气事业部橡胶注射成型机等设备，销售金额为</w:t>
      </w:r>
      <w:r>
        <w:rPr>
          <w:rFonts w:ascii="Times New Roman" w:hAnsi="Times New Roman" w:cs="Times New Roman" w:eastAsia="Times New Roman" w:hint="default"/>
        </w:rPr>
        <w:t>26,400,000.00</w:t>
      </w:r>
      <w:r>
        <w:rPr/>
        <w:t>元，售后回租租金共分为</w:t>
      </w:r>
      <w:r>
        <w:rPr>
          <w:rFonts w:ascii="Times New Roman" w:hAnsi="Times New Roman" w:cs="Times New Roman" w:eastAsia="Times New Roman" w:hint="default"/>
        </w:rPr>
        <w:t>8</w:t>
      </w:r>
      <w:r>
        <w:rPr/>
        <w:t>期支 付，每期支付</w:t>
      </w:r>
      <w:r>
        <w:rPr>
          <w:rFonts w:ascii="Times New Roman" w:hAnsi="Times New Roman" w:cs="Times New Roman" w:eastAsia="Times New Roman" w:hint="default"/>
        </w:rPr>
        <w:t>3,523,256.88</w:t>
      </w:r>
      <w:r>
        <w:rPr/>
        <w:t>元，租赁期限自起租日起算</w:t>
      </w:r>
      <w:r>
        <w:rPr>
          <w:rFonts w:ascii="Times New Roman" w:hAnsi="Times New Roman" w:cs="Times New Roman" w:eastAsia="Times New Roman" w:hint="default"/>
        </w:rPr>
        <w:t>24</w:t>
      </w:r>
      <w:r>
        <w:rPr/>
        <w:t>个月，租赁期满后，公司将以</w:t>
      </w:r>
      <w:r>
        <w:rPr>
          <w:rFonts w:ascii="Times New Roman" w:hAnsi="Times New Roman" w:cs="Times New Roman" w:eastAsia="Times New Roman" w:hint="default"/>
        </w:rPr>
        <w:t>1,000</w:t>
      </w:r>
      <w:r>
        <w:rPr/>
        <w:t>元的对价购回标的物，累计金额 </w:t>
      </w:r>
      <w:r>
        <w:rPr>
          <w:spacing w:val="-2"/>
        </w:rPr>
        <w:t>为</w:t>
      </w:r>
      <w:r>
        <w:rPr>
          <w:rFonts w:ascii="Times New Roman" w:hAnsi="Times New Roman" w:cs="Times New Roman" w:eastAsia="Times New Roman" w:hint="default"/>
          <w:spacing w:val="-2"/>
        </w:rPr>
        <w:t>28,187,055.04</w:t>
      </w:r>
      <w:r>
        <w:rPr>
          <w:spacing w:val="-2"/>
        </w:rPr>
        <w:t>元。此外，本合同租赁保证金为</w:t>
      </w:r>
      <w:r>
        <w:rPr>
          <w:rFonts w:ascii="Times New Roman" w:hAnsi="Times New Roman" w:cs="Times New Roman" w:eastAsia="Times New Roman" w:hint="default"/>
          <w:spacing w:val="-2"/>
        </w:rPr>
        <w:t>3,570,000.00</w:t>
      </w:r>
      <w:r>
        <w:rPr>
          <w:spacing w:val="-2"/>
        </w:rPr>
        <w:t>元，保证金在远东租赁按所有权转让协议约定向公司支付的租赁</w:t>
      </w:r>
      <w:r>
        <w:rPr>
          <w:spacing w:val="-44"/>
        </w:rPr>
        <w:t> </w:t>
      </w:r>
      <w:r>
        <w:rPr>
          <w:spacing w:val="-44"/>
        </w:rPr>
      </w:r>
      <w:r>
        <w:rPr>
          <w:spacing w:val="-3"/>
        </w:rPr>
        <w:t>物件协议价款中直接抵扣。公司于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12</w:t>
      </w:r>
      <w:r>
        <w:rPr>
          <w:spacing w:val="-3"/>
        </w:rPr>
        <w:t>日收到扣除保证金后的设备销售款</w:t>
      </w:r>
      <w:r>
        <w:rPr>
          <w:rFonts w:ascii="Times New Roman" w:hAnsi="Times New Roman" w:cs="Times New Roman" w:eastAsia="Times New Roman" w:hint="default"/>
          <w:spacing w:val="-3"/>
        </w:rPr>
        <w:t>22,830,000.00</w:t>
      </w:r>
      <w:r>
        <w:rPr>
          <w:spacing w:val="-3"/>
        </w:rPr>
        <w:t>万元，截止</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spacing w:val="-23"/>
        </w:rPr>
        <w:t> </w:t>
      </w:r>
      <w:r>
        <w:rPr/>
        <w:t>公司已累计支付租金</w:t>
      </w:r>
      <w:r>
        <w:rPr>
          <w:rFonts w:ascii="Times New Roman" w:hAnsi="Times New Roman" w:cs="Times New Roman" w:eastAsia="Times New Roman" w:hint="default"/>
        </w:rPr>
        <w:t>7,046,513.76</w:t>
      </w:r>
      <w:r>
        <w:rPr/>
        <w:t>元，剩余长期付款余额</w:t>
      </w:r>
      <w:r>
        <w:rPr>
          <w:rFonts w:ascii="Times New Roman" w:hAnsi="Times New Roman" w:cs="Times New Roman" w:eastAsia="Times New Roman" w:hint="default"/>
        </w:rPr>
        <w:t>19,793,456.36</w:t>
      </w:r>
      <w:r>
        <w:rPr/>
        <w:t>元，其中未付租金</w:t>
      </w:r>
      <w:r>
        <w:rPr>
          <w:rFonts w:ascii="Times New Roman" w:hAnsi="Times New Roman" w:cs="Times New Roman" w:eastAsia="Times New Roman" w:hint="default"/>
        </w:rPr>
        <w:t>21,140,541.28</w:t>
      </w:r>
      <w:r>
        <w:rPr/>
        <w:t>元，未确认融资费用</w:t>
      </w:r>
      <w:r>
        <w:rPr>
          <w:spacing w:val="24"/>
        </w:rPr>
        <w:t> </w:t>
      </w:r>
      <w:r>
        <w:rPr>
          <w:spacing w:val="24"/>
        </w:rPr>
      </w:r>
      <w:r>
        <w:rPr>
          <w:rFonts w:ascii="Times New Roman" w:hAnsi="Times New Roman" w:cs="Times New Roman" w:eastAsia="Times New Roman" w:hint="default"/>
        </w:rPr>
        <w:t>1,347,084.92</w:t>
      </w:r>
      <w:r>
        <w:rPr/>
        <w:t>元。</w:t>
      </w:r>
    </w:p>
    <w:p>
      <w:pPr>
        <w:pStyle w:val="BodyText"/>
        <w:spacing w:line="319" w:lineRule="auto" w:before="13"/>
        <w:ind w:right="1130" w:firstLine="283"/>
        <w:jc w:val="both"/>
      </w:pPr>
      <w:r>
        <w:rPr/>
        <w:t>同时，上述交易分别由公司四家全资孙公司豪琛投资管理（上海）有限公司、鹏胤投资管理（上海）有限公司、中行置 </w:t>
      </w:r>
      <w:r>
        <w:rPr>
          <w:spacing w:val="-5"/>
        </w:rPr>
        <w:t>盛投资（北京）有限公司、中融建银投资（北京）有限公司共同为公司开展本次融资租赁业务提供不可撤销的连带责任保证。</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）专项应付款：无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29</w:t>
      </w:r>
      <w:r>
        <w:rPr/>
        <w:t>、递延收益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679"/>
        <w:gridCol w:w="1573"/>
        <w:gridCol w:w="1443"/>
        <w:gridCol w:w="1440"/>
        <w:gridCol w:w="1443"/>
        <w:gridCol w:w="1121"/>
      </w:tblGrid>
      <w:tr>
        <w:trPr>
          <w:trHeight w:val="401"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1,746,483.67</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219,034.20</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1,527,449.47</w:t>
            </w: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未消耗金币（哆可梦）</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9,233,896.82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1,642,738.11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9,233,896.82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1,642,738.11</w:t>
            </w: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尚未实现的版权金</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881,510.83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881,510.83</w:t>
            </w: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10,980,380.49</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2,524,248.94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9,452,931.02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4,051,698.41</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涉及政府补助的项目：</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432"/>
        <w:gridCol w:w="1001"/>
        <w:gridCol w:w="782"/>
        <w:gridCol w:w="1292"/>
        <w:gridCol w:w="912"/>
        <w:gridCol w:w="912"/>
        <w:gridCol w:w="519"/>
        <w:gridCol w:w="1001"/>
        <w:gridCol w:w="847"/>
      </w:tblGrid>
      <w:tr>
        <w:trPr>
          <w:trHeight w:val="1026" w:hRule="exact"/>
        </w:trPr>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6" w:right="24"/>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91" w:right="99" w:hanging="92"/>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1" w:right="89"/>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1" w:right="89"/>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74" w:right="74"/>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0"/>
              <w:ind w:left="35" w:right="29"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713"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产学研合作项目资助资金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2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57"/>
              <w:jc w:val="both"/>
              <w:rPr>
                <w:rFonts w:ascii="宋体" w:hAnsi="宋体" w:cs="宋体" w:eastAsia="宋体" w:hint="default"/>
                <w:sz w:val="18"/>
                <w:szCs w:val="18"/>
              </w:rPr>
            </w:pPr>
            <w:r>
              <w:rPr>
                <w:rFonts w:ascii="宋体" w:hAnsi="宋体" w:cs="宋体" w:eastAsia="宋体" w:hint="default"/>
                <w:sz w:val="18"/>
                <w:szCs w:val="18"/>
              </w:rPr>
              <w:t>高性能聚酰亚胺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打印耗材 的制备与应用开发（新兴产业 发展专项资金）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1,201,483.67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199,034.16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1,002,449.51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6" w:right="8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13"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电动中巴车补贴资金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74,999.96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403"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1,746,483.67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219,034.20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1,527,449.47</w:t>
            </w:r>
          </w:p>
        </w:tc>
        <w:tc>
          <w:tcPr>
            <w:tcW w:w="84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pStyle w:val="BodyText"/>
        <w:spacing w:line="300" w:lineRule="auto" w:before="115"/>
        <w:ind w:right="1199" w:firstLine="425"/>
        <w:jc w:val="left"/>
      </w:pPr>
      <w:r>
        <w:rPr>
          <w:rFonts w:ascii="Times New Roman" w:hAnsi="Times New Roman" w:cs="Times New Roman" w:eastAsia="Times New Roman" w:hint="default"/>
        </w:rPr>
        <w:t>1</w:t>
      </w:r>
      <w:r>
        <w:rPr/>
        <w:t>、本期减少的递延收益高性能聚酰亚胺</w:t>
      </w:r>
      <w:r>
        <w:rPr>
          <w:rFonts w:ascii="Times New Roman" w:hAnsi="Times New Roman" w:cs="Times New Roman" w:eastAsia="Times New Roman" w:hint="default"/>
        </w:rPr>
        <w:t>3D</w:t>
      </w:r>
      <w:r>
        <w:rPr/>
        <w:t>打印耗材的制备与应用开发项目，在</w:t>
      </w:r>
      <w:r>
        <w:rPr>
          <w:rFonts w:ascii="Times New Roman" w:hAnsi="Times New Roman" w:cs="Times New Roman" w:eastAsia="Times New Roman" w:hint="default"/>
        </w:rPr>
        <w:t>2013</w:t>
      </w:r>
      <w:r>
        <w:rPr/>
        <w:t>年度获得深圳市发展和改革委员 会资金补助</w:t>
      </w:r>
      <w:r>
        <w:rPr>
          <w:rFonts w:ascii="Times New Roman" w:hAnsi="Times New Roman" w:cs="Times New Roman" w:eastAsia="Times New Roman" w:hint="default"/>
        </w:rPr>
        <w:t>150</w:t>
      </w:r>
      <w:r>
        <w:rPr/>
        <w:t>万元，在</w:t>
      </w:r>
      <w:r>
        <w:rPr>
          <w:rFonts w:ascii="Times New Roman" w:hAnsi="Times New Roman" w:cs="Times New Roman" w:eastAsia="Times New Roman" w:hint="default"/>
        </w:rPr>
        <w:t>2016</w:t>
      </w:r>
      <w:r>
        <w:rPr/>
        <w:t>年度验收完成，公司按与资产相关的政府补助政策计入营业外收入。</w:t>
      </w:r>
    </w:p>
    <w:p>
      <w:pPr>
        <w:pStyle w:val="BodyText"/>
        <w:spacing w:line="300" w:lineRule="auto" w:before="13"/>
        <w:ind w:right="1149" w:firstLine="425"/>
        <w:jc w:val="left"/>
      </w:pPr>
      <w:r>
        <w:rPr>
          <w:rFonts w:ascii="Times New Roman" w:hAnsi="Times New Roman" w:cs="Times New Roman" w:eastAsia="Times New Roman" w:hint="default"/>
        </w:rPr>
        <w:t>2</w:t>
      </w:r>
      <w:r>
        <w:rPr/>
        <w:t>、本期减少的递延收益电动中巴补贴资金系在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月购入的纯电动中巴车地方补贴款</w:t>
      </w:r>
      <w:r>
        <w:rPr>
          <w:rFonts w:ascii="Times New Roman" w:hAnsi="Times New Roman" w:cs="Times New Roman" w:eastAsia="Times New Roman" w:hint="default"/>
        </w:rPr>
        <w:t>10</w:t>
      </w:r>
      <w:r>
        <w:rPr/>
        <w:t>万元，公司按与资产相关 的政府补助政策计入营业外收入。</w:t>
      </w:r>
    </w:p>
    <w:p>
      <w:pPr>
        <w:spacing w:after="0" w:line="300" w:lineRule="auto"/>
        <w:jc w:val="left"/>
        <w:sectPr>
          <w:pgSz w:w="11910" w:h="16840"/>
          <w:pgMar w:header="0"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30</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820,589,768.00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1,129,800.00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-7,580,000.00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-6,450,200.00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814,139,568.00</w:t>
            </w:r>
          </w:p>
        </w:tc>
      </w:tr>
    </w:tbl>
    <w:p>
      <w:pPr>
        <w:pStyle w:val="BodyText"/>
        <w:spacing w:line="240" w:lineRule="auto" w:before="49"/>
        <w:ind w:right="1133"/>
        <w:jc w:val="left"/>
      </w:pPr>
      <w:r>
        <w:rPr/>
        <w:t>其他说明：</w:t>
      </w:r>
    </w:p>
    <w:p>
      <w:pPr>
        <w:pStyle w:val="BodyText"/>
        <w:spacing w:line="300" w:lineRule="auto" w:before="115"/>
        <w:ind w:right="1130" w:firstLine="283"/>
        <w:jc w:val="both"/>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11</w:t>
      </w:r>
      <w:r>
        <w:rPr>
          <w:spacing w:val="-1"/>
        </w:rPr>
        <w:t>日公司第六届董事会第十一次会议审议通过了《关于回购注销</w:t>
      </w:r>
      <w:r>
        <w:rPr>
          <w:rFonts w:ascii="Times New Roman" w:hAnsi="Times New Roman" w:cs="Times New Roman" w:eastAsia="Times New Roman" w:hint="default"/>
          <w:spacing w:val="-1"/>
        </w:rPr>
        <w:t>2015</w:t>
      </w:r>
      <w:r>
        <w:rPr>
          <w:spacing w:val="-1"/>
        </w:rPr>
        <w:t>年两期股权激励计划部分限制性股</w:t>
      </w:r>
      <w:r>
        <w:rPr/>
        <w:t> 票和股票期权的议案》，鉴于公司</w:t>
      </w:r>
      <w:r>
        <w:rPr>
          <w:rFonts w:ascii="Times New Roman" w:hAnsi="Times New Roman" w:cs="Times New Roman" w:eastAsia="Times New Roman" w:hint="default"/>
        </w:rPr>
        <w:t>2017</w:t>
      </w:r>
      <w:r>
        <w:rPr/>
        <w:t>年业绩未达到公司</w:t>
      </w:r>
      <w:r>
        <w:rPr>
          <w:rFonts w:ascii="Times New Roman" w:hAnsi="Times New Roman" w:cs="Times New Roman" w:eastAsia="Times New Roman" w:hint="default"/>
        </w:rPr>
        <w:t>2015</w:t>
      </w:r>
      <w:r>
        <w:rPr/>
        <w:t>年两期股权激励计划首次授予部分第三个解锁</w:t>
      </w:r>
      <w:r>
        <w:rPr>
          <w:rFonts w:ascii="Times New Roman" w:hAnsi="Times New Roman" w:cs="Times New Roman" w:eastAsia="Times New Roman" w:hint="default"/>
        </w:rPr>
        <w:t>/</w:t>
      </w:r>
      <w:r>
        <w:rPr/>
        <w:t>行权期和预留</w:t>
      </w:r>
      <w:r>
        <w:rPr>
          <w:spacing w:val="-49"/>
        </w:rPr>
        <w:t> </w:t>
      </w:r>
      <w:r>
        <w:rPr>
          <w:spacing w:val="-49"/>
        </w:rPr>
      </w:r>
      <w:r>
        <w:rPr/>
        <w:t>部分第二个解锁</w:t>
      </w:r>
      <w:r>
        <w:rPr>
          <w:rFonts w:ascii="Times New Roman" w:hAnsi="Times New Roman" w:cs="Times New Roman" w:eastAsia="Times New Roman" w:hint="default"/>
        </w:rPr>
        <w:t>/</w:t>
      </w:r>
      <w:r>
        <w:rPr/>
        <w:t>行权期规定的业绩考核条件，根据公司</w:t>
      </w:r>
      <w:r>
        <w:rPr>
          <w:rFonts w:ascii="Times New Roman" w:hAnsi="Times New Roman" w:cs="Times New Roman" w:eastAsia="Times New Roman" w:hint="default"/>
        </w:rPr>
        <w:t>2015</w:t>
      </w:r>
      <w:r>
        <w:rPr/>
        <w:t>年两期股权激励计划的相关规定和股东大会的授权，董事会同</w:t>
      </w:r>
      <w:r>
        <w:rPr>
          <w:spacing w:val="-49"/>
        </w:rPr>
        <w:t> </w:t>
      </w:r>
      <w:r>
        <w:rPr>
          <w:spacing w:val="-49"/>
        </w:rPr>
      </w:r>
      <w:r>
        <w:rPr/>
        <w:t>意对</w:t>
      </w:r>
      <w:r>
        <w:rPr>
          <w:rFonts w:ascii="Times New Roman" w:hAnsi="Times New Roman" w:cs="Times New Roman" w:eastAsia="Times New Roman" w:hint="default"/>
        </w:rPr>
        <w:t>2015</w:t>
      </w:r>
      <w:r>
        <w:rPr/>
        <w:t>年两期股权激励计划首次授予部分第三个解锁</w:t>
      </w:r>
      <w:r>
        <w:rPr>
          <w:rFonts w:ascii="Times New Roman" w:hAnsi="Times New Roman" w:cs="Times New Roman" w:eastAsia="Times New Roman" w:hint="default"/>
        </w:rPr>
        <w:t>/</w:t>
      </w:r>
      <w:r>
        <w:rPr/>
        <w:t>行权期和预留部分第二个解锁行权期由于业绩考核未达标导致不能</w:t>
      </w:r>
      <w:r>
        <w:rPr>
          <w:spacing w:val="-49"/>
        </w:rPr>
        <w:t> </w:t>
      </w:r>
      <w:r>
        <w:rPr>
          <w:spacing w:val="-49"/>
        </w:rPr>
      </w:r>
      <w:r>
        <w:rPr/>
        <w:t>解锁</w:t>
      </w:r>
      <w:r>
        <w:rPr>
          <w:rFonts w:ascii="Times New Roman" w:hAnsi="Times New Roman" w:cs="Times New Roman" w:eastAsia="Times New Roman" w:hint="default"/>
        </w:rPr>
        <w:t>/</w:t>
      </w:r>
      <w:r>
        <w:rPr/>
        <w:t>行权的</w:t>
      </w:r>
      <w:r>
        <w:rPr>
          <w:rFonts w:ascii="Times New Roman" w:hAnsi="Times New Roman" w:cs="Times New Roman" w:eastAsia="Times New Roman" w:hint="default"/>
        </w:rPr>
        <w:t>758</w:t>
      </w:r>
      <w:r>
        <w:rPr/>
        <w:t>万股限制性股票和</w:t>
      </w:r>
      <w:r>
        <w:rPr>
          <w:rFonts w:ascii="Times New Roman" w:hAnsi="Times New Roman" w:cs="Times New Roman" w:eastAsia="Times New Roman" w:hint="default"/>
        </w:rPr>
        <w:t>246</w:t>
      </w:r>
      <w:r>
        <w:rPr/>
        <w:t>万份股票期权进行回购注销，本次回购注销事宜已于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日办理完成，回购注</w:t>
      </w:r>
      <w:r>
        <w:rPr>
          <w:spacing w:val="-48"/>
        </w:rPr>
        <w:t> </w:t>
      </w:r>
      <w:r>
        <w:rPr>
          <w:spacing w:val="-48"/>
        </w:rPr>
      </w:r>
      <w:r>
        <w:rPr/>
        <w:t>销完成后公司总股本由</w:t>
      </w:r>
      <w:r>
        <w:rPr>
          <w:rFonts w:ascii="Times New Roman" w:hAnsi="Times New Roman" w:cs="Times New Roman" w:eastAsia="Times New Roman" w:hint="default"/>
        </w:rPr>
        <w:t>820,589,768</w:t>
      </w:r>
      <w:r>
        <w:rPr/>
        <w:t>股变更为</w:t>
      </w:r>
      <w:r>
        <w:rPr>
          <w:rFonts w:ascii="Times New Roman" w:hAnsi="Times New Roman" w:cs="Times New Roman" w:eastAsia="Times New Roman" w:hint="default"/>
        </w:rPr>
        <w:t>813,009,768</w:t>
      </w:r>
      <w:r>
        <w:rPr/>
        <w:t>股。上述股份减少已经上会会计师事务所（特殊普通合伙）于</w:t>
      </w:r>
      <w:r>
        <w:rPr>
          <w:rFonts w:ascii="Times New Roman" w:hAnsi="Times New Roman" w:cs="Times New Roman" w:eastAsia="Times New Roman" w:hint="default"/>
        </w:rPr>
        <w:t>2018</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日出具上会师报字（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4844</w:t>
      </w:r>
      <w:r>
        <w:rPr/>
        <w:t>号验资报告验证确认。</w:t>
      </w:r>
    </w:p>
    <w:p>
      <w:pPr>
        <w:pStyle w:val="BodyText"/>
        <w:spacing w:line="300" w:lineRule="auto" w:before="53"/>
        <w:ind w:right="1127" w:firstLine="283"/>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日公司第六届董事会第十四次会议审议通过了《关于</w:t>
      </w:r>
      <w:r>
        <w:rPr>
          <w:rFonts w:ascii="Times New Roman" w:hAnsi="Times New Roman" w:cs="Times New Roman" w:eastAsia="Times New Roman" w:hint="default"/>
        </w:rPr>
        <w:t>2015</w:t>
      </w:r>
      <w:r>
        <w:rPr/>
        <w:t>年第二期股权激励计划首次授予的限制性股 票与股票期权第二个解锁</w:t>
      </w:r>
      <w:r>
        <w:rPr>
          <w:rFonts w:ascii="Times New Roman" w:hAnsi="Times New Roman" w:cs="Times New Roman" w:eastAsia="Times New Roman" w:hint="default"/>
        </w:rPr>
        <w:t>/</w:t>
      </w:r>
      <w:r>
        <w:rPr/>
        <w:t>行权期符合解锁</w:t>
      </w:r>
      <w:r>
        <w:rPr>
          <w:rFonts w:ascii="Times New Roman" w:hAnsi="Times New Roman" w:cs="Times New Roman" w:eastAsia="Times New Roman" w:hint="default"/>
        </w:rPr>
        <w:t>/</w:t>
      </w:r>
      <w:r>
        <w:rPr/>
        <w:t>行权条件的议案》和《关于</w:t>
      </w:r>
      <w:r>
        <w:rPr>
          <w:rFonts w:ascii="Times New Roman" w:hAnsi="Times New Roman" w:cs="Times New Roman" w:eastAsia="Times New Roman" w:hint="default"/>
        </w:rPr>
        <w:t>2015</w:t>
      </w:r>
      <w:r>
        <w:rPr/>
        <w:t>年第二期股权激励计划首次授予的股票期权第二 个行权期采用自主行权模式的议案》，鉴于公司</w:t>
      </w:r>
      <w:r>
        <w:rPr>
          <w:rFonts w:ascii="Times New Roman" w:hAnsi="Times New Roman" w:cs="Times New Roman" w:eastAsia="Times New Roman" w:hint="default"/>
        </w:rPr>
        <w:t>2015</w:t>
      </w:r>
      <w:r>
        <w:rPr/>
        <w:t>年第二期股权激励计划首次授予的限制性股票与股票期权第二个解锁</w:t>
      </w:r>
      <w:r>
        <w:rPr>
          <w:rFonts w:ascii="Times New Roman" w:hAnsi="Times New Roman" w:cs="Times New Roman" w:eastAsia="Times New Roman" w:hint="default"/>
        </w:rPr>
        <w:t>/ </w:t>
      </w:r>
      <w:r>
        <w:rPr/>
        <w:t>行权期的解锁</w:t>
      </w:r>
      <w:r>
        <w:rPr>
          <w:rFonts w:ascii="Times New Roman" w:hAnsi="Times New Roman" w:cs="Times New Roman" w:eastAsia="Times New Roman" w:hint="default"/>
        </w:rPr>
        <w:t>/</w:t>
      </w:r>
      <w:r>
        <w:rPr/>
        <w:t>行权条件业已成就，董事会根据公司</w:t>
      </w:r>
      <w:r>
        <w:rPr>
          <w:rFonts w:ascii="Times New Roman" w:hAnsi="Times New Roman" w:cs="Times New Roman" w:eastAsia="Times New Roman" w:hint="default"/>
        </w:rPr>
        <w:t>2015</w:t>
      </w:r>
      <w:r>
        <w:rPr/>
        <w:t>年第六次临时股东大会的授权，同意按照</w:t>
      </w:r>
      <w:r>
        <w:rPr>
          <w:rFonts w:ascii="Times New Roman" w:hAnsi="Times New Roman" w:cs="Times New Roman" w:eastAsia="Times New Roman" w:hint="default"/>
        </w:rPr>
        <w:t>2015</w:t>
      </w:r>
      <w:r>
        <w:rPr/>
        <w:t>年第二期股权激励计 </w:t>
      </w:r>
      <w:r>
        <w:rPr>
          <w:spacing w:val="-2"/>
        </w:rPr>
        <w:t>划的相关规定为激励对象办理解锁和行权事宜，并同意公司</w:t>
      </w:r>
      <w:r>
        <w:rPr>
          <w:rFonts w:ascii="Times New Roman" w:hAnsi="Times New Roman" w:cs="Times New Roman" w:eastAsia="Times New Roman" w:hint="default"/>
          <w:spacing w:val="-2"/>
        </w:rPr>
        <w:t>2015</w:t>
      </w:r>
      <w:r>
        <w:rPr>
          <w:spacing w:val="-2"/>
        </w:rPr>
        <w:t>年第二期股权激励计划首次授予的股票期权第二个行权期采</w:t>
      </w:r>
      <w:r>
        <w:rPr>
          <w:spacing w:val="-62"/>
        </w:rPr>
        <w:t> </w:t>
      </w:r>
      <w:r>
        <w:rPr>
          <w:spacing w:val="-62"/>
        </w:rPr>
      </w:r>
      <w:r>
        <w:rPr>
          <w:spacing w:val="-4"/>
        </w:rPr>
        <w:t>用自主行权模式，本次可申请解锁的限制性股票数量总计为</w:t>
      </w:r>
      <w:r>
        <w:rPr>
          <w:rFonts w:ascii="Times New Roman" w:hAnsi="Times New Roman" w:cs="Times New Roman" w:eastAsia="Times New Roman" w:hint="default"/>
          <w:spacing w:val="-4"/>
        </w:rPr>
        <w:t>300</w:t>
      </w:r>
      <w:r>
        <w:rPr>
          <w:spacing w:val="-4"/>
        </w:rPr>
        <w:t>万股，本次可申请行权的股票期权数量总计为</w:t>
      </w:r>
      <w:r>
        <w:rPr>
          <w:rFonts w:ascii="Times New Roman" w:hAnsi="Times New Roman" w:cs="Times New Roman" w:eastAsia="Times New Roman" w:hint="default"/>
          <w:spacing w:val="-4"/>
        </w:rPr>
        <w:t>139.5</w:t>
      </w:r>
      <w:r>
        <w:rPr>
          <w:spacing w:val="-4"/>
        </w:rPr>
        <w:t>万份。</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日，公司董事会完成了</w:t>
      </w:r>
      <w:r>
        <w:rPr>
          <w:rFonts w:ascii="Times New Roman" w:hAnsi="Times New Roman" w:cs="Times New Roman" w:eastAsia="Times New Roman" w:hint="default"/>
        </w:rPr>
        <w:t>2015</w:t>
      </w:r>
      <w:r>
        <w:rPr/>
        <w:t>年第二期股权激励计划首次授予的股票期权第二个行权期自主行权登记工作，自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 </w:t>
      </w:r>
      <w:r>
        <w:rPr>
          <w:spacing w:val="-2"/>
        </w:rPr>
        <w:t>月</w:t>
      </w:r>
      <w:r>
        <w:rPr>
          <w:rFonts w:ascii="Times New Roman" w:hAnsi="Times New Roman" w:cs="Times New Roman" w:eastAsia="Times New Roman" w:hint="default"/>
          <w:spacing w:val="-2"/>
        </w:rPr>
        <w:t>7</w:t>
      </w:r>
      <w:r>
        <w:rPr>
          <w:spacing w:val="-2"/>
        </w:rPr>
        <w:t>日起</w:t>
      </w:r>
      <w:r>
        <w:rPr>
          <w:rFonts w:ascii="Times New Roman" w:hAnsi="Times New Roman" w:cs="Times New Roman" w:eastAsia="Times New Roman" w:hint="default"/>
          <w:spacing w:val="-2"/>
        </w:rPr>
        <w:t>9</w:t>
      </w:r>
      <w:r>
        <w:rPr>
          <w:spacing w:val="-2"/>
        </w:rPr>
        <w:t>名激励对象共计</w:t>
      </w:r>
      <w:r>
        <w:rPr>
          <w:rFonts w:ascii="Times New Roman" w:hAnsi="Times New Roman" w:cs="Times New Roman" w:eastAsia="Times New Roman" w:hint="default"/>
          <w:spacing w:val="-2"/>
        </w:rPr>
        <w:t>139.5</w:t>
      </w:r>
      <w:r>
        <w:rPr>
          <w:spacing w:val="-2"/>
        </w:rPr>
        <w:t>万份股票期权自主行权事宜可实施，截止行权期限届满共有</w:t>
      </w:r>
      <w:r>
        <w:rPr>
          <w:rFonts w:ascii="Times New Roman" w:hAnsi="Times New Roman" w:cs="Times New Roman" w:eastAsia="Times New Roman" w:hint="default"/>
          <w:spacing w:val="-2"/>
        </w:rPr>
        <w:t>112.98</w:t>
      </w:r>
      <w:r>
        <w:rPr>
          <w:spacing w:val="-2"/>
        </w:rPr>
        <w:t>万份股票期权已经行权，公</w:t>
      </w:r>
      <w:r>
        <w:rPr>
          <w:spacing w:val="-55"/>
        </w:rPr>
        <w:t> </w:t>
      </w:r>
      <w:r>
        <w:rPr>
          <w:spacing w:val="-55"/>
        </w:rPr>
      </w:r>
      <w:r>
        <w:rPr>
          <w:spacing w:val="-1"/>
        </w:rPr>
        <w:t>司新增</w:t>
      </w:r>
      <w:r>
        <w:rPr>
          <w:rFonts w:ascii="Times New Roman" w:hAnsi="Times New Roman" w:cs="Times New Roman" w:eastAsia="Times New Roman" w:hint="default"/>
          <w:spacing w:val="-1"/>
        </w:rPr>
        <w:t>112.98</w:t>
      </w:r>
      <w:r>
        <w:rPr>
          <w:spacing w:val="-1"/>
        </w:rPr>
        <w:t>万股无限售条件股份，公司总股本由</w:t>
      </w:r>
      <w:r>
        <w:rPr>
          <w:rFonts w:ascii="Times New Roman" w:hAnsi="Times New Roman" w:cs="Times New Roman" w:eastAsia="Times New Roman" w:hint="default"/>
          <w:spacing w:val="-1"/>
        </w:rPr>
        <w:t>813,009,768</w:t>
      </w:r>
      <w:r>
        <w:rPr>
          <w:spacing w:val="-1"/>
        </w:rPr>
        <w:t>股变更为</w:t>
      </w:r>
      <w:r>
        <w:rPr>
          <w:rFonts w:ascii="Times New Roman" w:hAnsi="Times New Roman" w:cs="Times New Roman" w:eastAsia="Times New Roman" w:hint="default"/>
          <w:spacing w:val="-1"/>
        </w:rPr>
        <w:t>814,139,568</w:t>
      </w:r>
      <w:r>
        <w:rPr>
          <w:spacing w:val="-1"/>
        </w:rPr>
        <w:t>股。上述股份增加已经上会会计师事务所</w:t>
      </w:r>
    </w:p>
    <w:p>
      <w:pPr>
        <w:pStyle w:val="BodyText"/>
        <w:spacing w:line="240" w:lineRule="auto" w:before="13"/>
        <w:ind w:right="1133"/>
        <w:jc w:val="left"/>
      </w:pPr>
      <w:r>
        <w:rPr/>
        <w:t>（特殊普通合伙）于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日出具上会师报字（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6568</w:t>
      </w:r>
      <w:r>
        <w:rPr/>
        <w:t>号验资报告验证确认。</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31</w:t>
      </w:r>
      <w:r>
        <w:rPr/>
        <w:t>、资本公积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406,966,028.52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87,353,591.12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42,558,756.00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451,760,863.64</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76,126,794.17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1,899,716.21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78,026,510.38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483,092,822.69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89,253,307.33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120,585,266.38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451,760,863.64</w:t>
            </w:r>
          </w:p>
        </w:tc>
      </w:tr>
    </w:tbl>
    <w:p>
      <w:pPr>
        <w:pStyle w:val="BodyText"/>
        <w:spacing w:line="240" w:lineRule="auto" w:before="49"/>
        <w:ind w:right="1133"/>
        <w:jc w:val="left"/>
      </w:pPr>
      <w:r>
        <w:rPr/>
        <w:t>其他说明，包括本期增减变动情况、变动原因说明：</w:t>
      </w:r>
    </w:p>
    <w:p>
      <w:pPr>
        <w:pStyle w:val="BodyText"/>
        <w:spacing w:line="300" w:lineRule="auto" w:before="117"/>
        <w:ind w:right="1114" w:firstLine="283"/>
        <w:jc w:val="both"/>
      </w:pPr>
      <w:r>
        <w:rPr/>
        <w:t>（</w:t>
      </w:r>
      <w:r>
        <w:rPr>
          <w:rFonts w:ascii="Times New Roman" w:hAnsi="Times New Roman" w:cs="Times New Roman" w:eastAsia="Times New Roman" w:hint="default"/>
        </w:rPr>
        <w:t>1</w:t>
      </w:r>
      <w:r>
        <w:rPr/>
        <w:t>）股本溢价本期增加</w:t>
      </w:r>
      <w:r>
        <w:rPr>
          <w:rFonts w:ascii="Times New Roman" w:hAnsi="Times New Roman" w:cs="Times New Roman" w:eastAsia="Times New Roman" w:hint="default"/>
        </w:rPr>
        <w:t>87,353,591.12</w:t>
      </w:r>
      <w:r>
        <w:rPr/>
        <w:t>元：其中因股权激励行权或解锁从其他资本公积转入</w:t>
      </w:r>
      <w:r>
        <w:rPr>
          <w:rFonts w:ascii="Times New Roman" w:hAnsi="Times New Roman" w:cs="Times New Roman" w:eastAsia="Times New Roman" w:hint="default"/>
        </w:rPr>
        <w:t>78,026,510.38</w:t>
      </w:r>
      <w:r>
        <w:rPr/>
        <w:t>元；因公司</w:t>
      </w:r>
      <w:r>
        <w:rPr>
          <w:rFonts w:ascii="Times New Roman" w:hAnsi="Times New Roman" w:cs="Times New Roman" w:eastAsia="Times New Roman" w:hint="default"/>
        </w:rPr>
        <w:t>2015 </w:t>
      </w:r>
      <w:r>
        <w:rPr>
          <w:spacing w:val="16"/>
        </w:rPr>
        <w:t>年第二期股权激励计划部分授予对象截止本年末已自主行权完成股份登记增加股本溢价</w:t>
      </w:r>
      <w:r>
        <w:rPr>
          <w:spacing w:val="-60"/>
        </w:rPr>
        <w:t> </w:t>
      </w:r>
      <w:r>
        <w:rPr>
          <w:rFonts w:ascii="Times New Roman" w:hAnsi="Times New Roman" w:cs="Times New Roman" w:eastAsia="Times New Roman" w:hint="default"/>
        </w:rPr>
        <w:t>9,327,080.74</w:t>
      </w:r>
      <w:r>
        <w:rPr>
          <w:rFonts w:ascii="Times New Roman" w:hAnsi="Times New Roman" w:cs="Times New Roman" w:eastAsia="Times New Roman" w:hint="default"/>
          <w:spacing w:val="-21"/>
        </w:rPr>
        <w:t> </w:t>
      </w:r>
      <w:r>
        <w:rPr>
          <w:spacing w:val="13"/>
        </w:rPr>
        <w:t>元。本期减少</w:t>
      </w:r>
      <w:r>
        <w:rPr>
          <w:spacing w:val="-80"/>
        </w:rPr>
        <w:t> </w:t>
      </w:r>
      <w:r>
        <w:rPr>
          <w:rFonts w:ascii="Times New Roman" w:hAnsi="Times New Roman" w:cs="Times New Roman" w:eastAsia="Times New Roman" w:hint="default"/>
          <w:spacing w:val="-1"/>
        </w:rPr>
        <w:t>42,558,756.00</w:t>
      </w:r>
      <w:r>
        <w:rPr>
          <w:spacing w:val="-1"/>
        </w:rPr>
        <w:t>元，系回购注销</w:t>
      </w:r>
      <w:r>
        <w:rPr>
          <w:rFonts w:ascii="Times New Roman" w:hAnsi="Times New Roman" w:cs="Times New Roman" w:eastAsia="Times New Roman" w:hint="default"/>
          <w:spacing w:val="-1"/>
        </w:rPr>
        <w:t>2015</w:t>
      </w:r>
      <w:r>
        <w:rPr>
          <w:spacing w:val="-1"/>
        </w:rPr>
        <w:t>年第一期、第二期股权激励计划首次授予的部分限制性股票和预留的部分限制性股票中已</w:t>
      </w:r>
      <w:r>
        <w:rPr>
          <w:spacing w:val="-71"/>
        </w:rPr>
        <w:t> </w:t>
      </w:r>
      <w:r>
        <w:rPr>
          <w:spacing w:val="-71"/>
        </w:rPr>
      </w:r>
      <w:r>
        <w:rPr/>
        <w:t>获授未解锁的限制性股票导致。</w:t>
      </w:r>
    </w:p>
    <w:p>
      <w:pPr>
        <w:pStyle w:val="BodyText"/>
        <w:spacing w:line="300" w:lineRule="auto" w:before="70"/>
        <w:ind w:right="1128" w:firstLine="283"/>
        <w:jc w:val="both"/>
      </w:pPr>
      <w:r>
        <w:rPr>
          <w:spacing w:val="-1"/>
        </w:rPr>
        <w:t>（</w:t>
      </w:r>
      <w:r>
        <w:rPr>
          <w:rFonts w:ascii="Times New Roman" w:hAnsi="Times New Roman" w:cs="Times New Roman" w:eastAsia="Times New Roman" w:hint="default"/>
          <w:spacing w:val="-1"/>
        </w:rPr>
        <w:t>2</w:t>
      </w:r>
      <w:r>
        <w:rPr>
          <w:spacing w:val="-1"/>
        </w:rPr>
        <w:t>）其他资本公积本期增加系股权激励确认期权费用所致。本期减少</w:t>
      </w:r>
      <w:r>
        <w:rPr>
          <w:rFonts w:ascii="Times New Roman" w:hAnsi="Times New Roman" w:cs="Times New Roman" w:eastAsia="Times New Roman" w:hint="default"/>
          <w:spacing w:val="-1"/>
        </w:rPr>
        <w:t>78,026,510.38</w:t>
      </w:r>
      <w:r>
        <w:rPr>
          <w:spacing w:val="-1"/>
        </w:rPr>
        <w:t>元：其中因公司</w:t>
      </w:r>
      <w:r>
        <w:rPr>
          <w:rFonts w:ascii="Times New Roman" w:hAnsi="Times New Roman" w:cs="Times New Roman" w:eastAsia="Times New Roman" w:hint="default"/>
          <w:spacing w:val="-1"/>
        </w:rPr>
        <w:t>2015</w:t>
      </w:r>
      <w:r>
        <w:rPr>
          <w:spacing w:val="-1"/>
        </w:rPr>
        <w:t>年第一期股权激</w:t>
      </w:r>
      <w:r>
        <w:rPr/>
        <w:t> 励计划首次授予和预留的部分限制性股票解锁转入股本溢价</w:t>
      </w:r>
      <w:r>
        <w:rPr>
          <w:rFonts w:ascii="Times New Roman" w:hAnsi="Times New Roman" w:cs="Times New Roman" w:eastAsia="Times New Roman" w:hint="default"/>
        </w:rPr>
        <w:t>4,740,673.05</w:t>
      </w:r>
      <w:r>
        <w:rPr/>
        <w:t>元，</w:t>
      </w:r>
      <w:r>
        <w:rPr>
          <w:rFonts w:ascii="Times New Roman" w:hAnsi="Times New Roman" w:cs="Times New Roman" w:eastAsia="Times New Roman" w:hint="default"/>
        </w:rPr>
        <w:t>2015</w:t>
      </w:r>
      <w:r>
        <w:rPr/>
        <w:t>年第二期股权激励计划首次授予和预留的</w:t>
      </w:r>
      <w:r>
        <w:rPr>
          <w:spacing w:val="-48"/>
        </w:rPr>
        <w:t> </w:t>
      </w:r>
      <w:r>
        <w:rPr>
          <w:spacing w:val="-48"/>
        </w:rPr>
      </w:r>
      <w:r>
        <w:rPr>
          <w:spacing w:val="5"/>
        </w:rPr>
        <w:t>部分限制性股票解锁以及股票期权行权转入股本溢价</w:t>
      </w:r>
      <w:r>
        <w:rPr>
          <w:rFonts w:ascii="Times New Roman" w:hAnsi="Times New Roman" w:cs="Times New Roman" w:eastAsia="Times New Roman" w:hint="default"/>
          <w:spacing w:val="5"/>
        </w:rPr>
        <w:t>16,055,499.32</w:t>
      </w:r>
      <w:r>
        <w:rPr>
          <w:spacing w:val="5"/>
        </w:rPr>
        <w:t>元，</w:t>
      </w:r>
      <w:r>
        <w:rPr>
          <w:rFonts w:ascii="Times New Roman" w:hAnsi="Times New Roman" w:cs="Times New Roman" w:eastAsia="Times New Roman" w:hint="default"/>
          <w:spacing w:val="5"/>
        </w:rPr>
        <w:t>2016</w:t>
      </w:r>
      <w:r>
        <w:rPr>
          <w:spacing w:val="5"/>
        </w:rPr>
        <w:t>年股权激励的限制性股票解锁转入股本溢价</w:t>
      </w:r>
      <w:r>
        <w:rPr>
          <w:spacing w:val="-88"/>
        </w:rPr>
        <w:t> </w:t>
      </w:r>
      <w:r>
        <w:rPr>
          <w:spacing w:val="-88"/>
        </w:rPr>
      </w:r>
      <w:r>
        <w:rPr>
          <w:rFonts w:ascii="Times New Roman" w:hAnsi="Times New Roman" w:cs="Times New Roman" w:eastAsia="Times New Roman" w:hint="default"/>
        </w:rPr>
        <w:t>57,230,338.01</w:t>
      </w:r>
      <w:r>
        <w:rPr/>
        <w:t>元。</w:t>
      </w:r>
    </w:p>
    <w:p>
      <w:pPr>
        <w:spacing w:after="0" w:line="300" w:lineRule="auto"/>
        <w:jc w:val="both"/>
        <w:sectPr>
          <w:pgSz w:w="11910" w:h="16840"/>
          <w:pgMar w:header="0"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32</w:t>
      </w:r>
      <w:r>
        <w:rPr/>
        <w:t>、库存股</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股份回购义务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407,519,462.80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310,908,570.40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96,610,892.40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407,519,462.80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310,908,570.40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96,610,892.40</w:t>
            </w:r>
          </w:p>
        </w:tc>
      </w:tr>
    </w:tbl>
    <w:p>
      <w:pPr>
        <w:pStyle w:val="BodyText"/>
        <w:spacing w:line="240" w:lineRule="auto" w:before="49"/>
        <w:ind w:right="1133"/>
        <w:jc w:val="left"/>
      </w:pPr>
      <w:r>
        <w:rPr/>
        <w:t>其他说明，包括本期增减变动情况、变动原因说明：</w:t>
      </w:r>
    </w:p>
    <w:p>
      <w:pPr>
        <w:pStyle w:val="BodyText"/>
        <w:spacing w:line="240" w:lineRule="auto" w:before="115"/>
        <w:ind w:left="436" w:right="1133"/>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年第一期股权激励计划首次授予的部分限制性股票解锁导致本期减少股份回购义务</w:t>
      </w:r>
      <w:r>
        <w:rPr>
          <w:rFonts w:ascii="Times New Roman" w:hAnsi="Times New Roman" w:cs="Times New Roman" w:eastAsia="Times New Roman" w:hint="default"/>
        </w:rPr>
        <w:t>10,934,352.00</w:t>
      </w:r>
      <w:r>
        <w:rPr/>
        <w:t>元。</w:t>
      </w:r>
    </w:p>
    <w:p>
      <w:pPr>
        <w:pStyle w:val="BodyText"/>
        <w:spacing w:line="240" w:lineRule="auto" w:before="63"/>
        <w:ind w:left="436" w:right="1133"/>
        <w:jc w:val="left"/>
      </w:pPr>
      <w:r>
        <w:rPr>
          <w:spacing w:val="4"/>
        </w:rPr>
        <w:t>（</w:t>
      </w:r>
      <w:r>
        <w:rPr>
          <w:rFonts w:ascii="宋体" w:hAnsi="宋体" w:cs="宋体" w:eastAsia="宋体" w:hint="default"/>
          <w:spacing w:val="4"/>
        </w:rPr>
        <w:t>2</w:t>
      </w:r>
      <w:r>
        <w:rPr>
          <w:spacing w:val="4"/>
        </w:rPr>
        <w:t>）因回购注销</w:t>
      </w:r>
      <w:r>
        <w:rPr>
          <w:rFonts w:ascii="Times New Roman" w:hAnsi="Times New Roman" w:cs="Times New Roman" w:eastAsia="Times New Roman" w:hint="default"/>
          <w:spacing w:val="4"/>
        </w:rPr>
        <w:t>2015</w:t>
      </w:r>
      <w:r>
        <w:rPr>
          <w:spacing w:val="4"/>
        </w:rPr>
        <w:t>年第一期股权激励计划首次授予的部分已获授未解锁的限制性股票导致本期减少股份回购义务</w:t>
      </w:r>
      <w:r>
        <w:rPr/>
      </w:r>
    </w:p>
    <w:p>
      <w:pPr>
        <w:pStyle w:val="BodyText"/>
        <w:spacing w:line="240" w:lineRule="auto" w:before="63"/>
        <w:ind w:right="1133"/>
        <w:jc w:val="left"/>
      </w:pPr>
      <w:r>
        <w:rPr>
          <w:rFonts w:ascii="Times New Roman" w:hAnsi="Times New Roman" w:cs="Times New Roman" w:eastAsia="Times New Roman" w:hint="default"/>
        </w:rPr>
        <w:t>15,691,104.00</w:t>
      </w:r>
      <w:r>
        <w:rPr/>
        <w:t>元。</w:t>
      </w:r>
    </w:p>
    <w:p>
      <w:pPr>
        <w:pStyle w:val="BodyText"/>
        <w:spacing w:line="240" w:lineRule="auto" w:before="63"/>
        <w:ind w:left="436" w:right="1133"/>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年第一期股权激励预留授予的部分限制性股票解锁导致本期减少股份回购义务</w:t>
      </w:r>
      <w:r>
        <w:rPr>
          <w:rFonts w:ascii="Times New Roman" w:hAnsi="Times New Roman" w:cs="Times New Roman" w:eastAsia="Times New Roman" w:hint="default"/>
        </w:rPr>
        <w:t>6,531,280.00</w:t>
      </w:r>
      <w:r>
        <w:rPr/>
        <w:t>元。</w:t>
      </w:r>
    </w:p>
    <w:p>
      <w:pPr>
        <w:pStyle w:val="BodyText"/>
        <w:spacing w:line="240" w:lineRule="auto" w:before="63"/>
        <w:ind w:left="436" w:right="1133"/>
        <w:jc w:val="left"/>
      </w:pPr>
      <w:r>
        <w:rPr>
          <w:spacing w:val="4"/>
        </w:rPr>
        <w:t>（</w:t>
      </w:r>
      <w:r>
        <w:rPr>
          <w:rFonts w:ascii="宋体" w:hAnsi="宋体" w:cs="宋体" w:eastAsia="宋体" w:hint="default"/>
          <w:spacing w:val="4"/>
        </w:rPr>
        <w:t>4</w:t>
      </w:r>
      <w:r>
        <w:rPr>
          <w:spacing w:val="4"/>
        </w:rPr>
        <w:t>）因回购注销</w:t>
      </w:r>
      <w:r>
        <w:rPr>
          <w:rFonts w:ascii="Times New Roman" w:hAnsi="Times New Roman" w:cs="Times New Roman" w:eastAsia="Times New Roman" w:hint="default"/>
          <w:spacing w:val="4"/>
        </w:rPr>
        <w:t>2015</w:t>
      </w:r>
      <w:r>
        <w:rPr>
          <w:spacing w:val="4"/>
        </w:rPr>
        <w:t>年第一期股权激励计划预留授予的部分已获授未解锁的限制性股票导致本期减少股份回购义务</w:t>
      </w:r>
      <w:r>
        <w:rPr/>
      </w:r>
    </w:p>
    <w:p>
      <w:pPr>
        <w:pStyle w:val="BodyText"/>
        <w:spacing w:line="240" w:lineRule="auto" w:before="63"/>
        <w:ind w:right="1133"/>
        <w:jc w:val="left"/>
      </w:pPr>
      <w:r>
        <w:rPr>
          <w:rFonts w:ascii="Times New Roman" w:hAnsi="Times New Roman" w:cs="Times New Roman" w:eastAsia="Times New Roman" w:hint="default"/>
        </w:rPr>
        <w:t>7,070,560.00</w:t>
      </w:r>
      <w:r>
        <w:rPr/>
        <w:t>元。</w:t>
      </w:r>
    </w:p>
    <w:p>
      <w:pPr>
        <w:pStyle w:val="BodyText"/>
        <w:spacing w:line="240" w:lineRule="auto" w:before="63"/>
        <w:ind w:left="436" w:right="1133"/>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t>年第二期股权激励计划首次授予的部分限制性股票解锁导致本期减少股份回购义务</w:t>
      </w:r>
      <w:r>
        <w:rPr>
          <w:rFonts w:ascii="Times New Roman" w:hAnsi="Times New Roman" w:cs="Times New Roman" w:eastAsia="Times New Roman" w:hint="default"/>
        </w:rPr>
        <w:t>15,505,200.00</w:t>
      </w:r>
      <w:r>
        <w:rPr/>
        <w:t>元。</w:t>
      </w:r>
    </w:p>
    <w:p>
      <w:pPr>
        <w:pStyle w:val="BodyText"/>
        <w:spacing w:line="240" w:lineRule="auto" w:before="63"/>
        <w:ind w:left="436" w:right="1133"/>
        <w:jc w:val="left"/>
      </w:pPr>
      <w:r>
        <w:rPr>
          <w:spacing w:val="4"/>
        </w:rPr>
        <w:t>（</w:t>
      </w:r>
      <w:r>
        <w:rPr>
          <w:rFonts w:ascii="宋体" w:hAnsi="宋体" w:cs="宋体" w:eastAsia="宋体" w:hint="default"/>
          <w:spacing w:val="4"/>
        </w:rPr>
        <w:t>6</w:t>
      </w:r>
      <w:r>
        <w:rPr>
          <w:spacing w:val="4"/>
        </w:rPr>
        <w:t>）因回购注销</w:t>
      </w:r>
      <w:r>
        <w:rPr>
          <w:rFonts w:ascii="Times New Roman" w:hAnsi="Times New Roman" w:cs="Times New Roman" w:eastAsia="Times New Roman" w:hint="default"/>
          <w:spacing w:val="4"/>
        </w:rPr>
        <w:t>2015</w:t>
      </w:r>
      <w:r>
        <w:rPr>
          <w:spacing w:val="4"/>
        </w:rPr>
        <w:t>年第二期股权激励计划首次授予的部分已获授未解锁的限制性股票导致本期减少股份回购义务</w:t>
      </w:r>
      <w:r>
        <w:rPr/>
      </w:r>
    </w:p>
    <w:p>
      <w:pPr>
        <w:pStyle w:val="BodyText"/>
        <w:spacing w:line="240" w:lineRule="auto" w:before="63"/>
        <w:ind w:right="1133"/>
        <w:jc w:val="left"/>
      </w:pPr>
      <w:r>
        <w:rPr>
          <w:rFonts w:ascii="Times New Roman" w:hAnsi="Times New Roman" w:cs="Times New Roman" w:eastAsia="Times New Roman" w:hint="default"/>
        </w:rPr>
        <w:t>22,250,400.00</w:t>
      </w:r>
      <w:r>
        <w:rPr/>
        <w:t>元。</w:t>
      </w:r>
    </w:p>
    <w:p>
      <w:pPr>
        <w:pStyle w:val="BodyText"/>
        <w:spacing w:line="240" w:lineRule="auto" w:before="63"/>
        <w:ind w:left="436" w:right="1133"/>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2015</w:t>
      </w:r>
      <w:r>
        <w:rPr/>
        <w:t>年第二期股权激励预留授予的部分限制性股票解锁导致本期减少股份回购义务</w:t>
      </w:r>
      <w:r>
        <w:rPr>
          <w:rFonts w:ascii="Times New Roman" w:hAnsi="Times New Roman" w:cs="Times New Roman" w:eastAsia="Times New Roman" w:hint="default"/>
        </w:rPr>
        <w:t>6,531,280.00</w:t>
      </w:r>
      <w:r>
        <w:rPr/>
        <w:t>元。</w:t>
      </w:r>
    </w:p>
    <w:p>
      <w:pPr>
        <w:pStyle w:val="BodyText"/>
        <w:spacing w:line="240" w:lineRule="auto" w:before="63"/>
        <w:ind w:left="436" w:right="1133"/>
        <w:jc w:val="left"/>
      </w:pPr>
      <w:r>
        <w:rPr>
          <w:spacing w:val="4"/>
        </w:rPr>
        <w:t>（</w:t>
      </w:r>
      <w:r>
        <w:rPr>
          <w:rFonts w:ascii="宋体" w:hAnsi="宋体" w:cs="宋体" w:eastAsia="宋体" w:hint="default"/>
          <w:spacing w:val="4"/>
        </w:rPr>
        <w:t>8</w:t>
      </w:r>
      <w:r>
        <w:rPr>
          <w:spacing w:val="4"/>
        </w:rPr>
        <w:t>）因回购注销</w:t>
      </w:r>
      <w:r>
        <w:rPr>
          <w:rFonts w:ascii="Times New Roman" w:hAnsi="Times New Roman" w:cs="Times New Roman" w:eastAsia="Times New Roman" w:hint="default"/>
          <w:spacing w:val="4"/>
        </w:rPr>
        <w:t>2015</w:t>
      </w:r>
      <w:r>
        <w:rPr>
          <w:spacing w:val="4"/>
        </w:rPr>
        <w:t>年第二期股权激励计划预留授予的部分已获授未解锁的限制性股票导致本期减少股份回购义务</w:t>
      </w:r>
      <w:r>
        <w:rPr/>
      </w:r>
    </w:p>
    <w:p>
      <w:pPr>
        <w:pStyle w:val="BodyText"/>
        <w:spacing w:line="240" w:lineRule="auto" w:before="63"/>
        <w:ind w:right="1133"/>
        <w:jc w:val="left"/>
      </w:pPr>
      <w:r>
        <w:rPr>
          <w:rFonts w:ascii="Times New Roman" w:hAnsi="Times New Roman" w:cs="Times New Roman" w:eastAsia="Times New Roman" w:hint="default"/>
        </w:rPr>
        <w:t>7,070,560.00</w:t>
      </w:r>
      <w:r>
        <w:rPr/>
        <w:t>元。</w:t>
      </w:r>
    </w:p>
    <w:p>
      <w:pPr>
        <w:pStyle w:val="BodyText"/>
        <w:spacing w:line="240" w:lineRule="auto" w:before="63"/>
        <w:ind w:left="436" w:right="1133"/>
        <w:jc w:val="left"/>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2016</w:t>
      </w:r>
      <w:r>
        <w:rPr/>
        <w:t>年股权激励计划的部分限制性股票解锁导致本期减少股份回购义务</w:t>
      </w:r>
      <w:r>
        <w:rPr>
          <w:rFonts w:ascii="Times New Roman" w:hAnsi="Times New Roman" w:cs="Times New Roman" w:eastAsia="Times New Roman" w:hint="default"/>
        </w:rPr>
        <w:t>219,323,834.40</w:t>
      </w:r>
      <w:r>
        <w:rPr/>
        <w:t>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33</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402"/>
        <w:gridCol w:w="1150"/>
        <w:gridCol w:w="1277"/>
        <w:gridCol w:w="1085"/>
        <w:gridCol w:w="1244"/>
        <w:gridCol w:w="718"/>
        <w:gridCol w:w="1092"/>
      </w:tblGrid>
      <w:tr>
        <w:trPr>
          <w:trHeight w:val="398" w:hRule="exact"/>
        </w:trPr>
        <w:tc>
          <w:tcPr>
            <w:tcW w:w="1702" w:type="dxa"/>
            <w:vMerge w:val="restart"/>
            <w:tcBorders>
              <w:top w:val="single" w:sz="4" w:space="0" w:color="000000"/>
              <w:left w:val="single" w:sz="4" w:space="0" w:color="000000"/>
              <w:right w:val="single" w:sz="4" w:space="0" w:color="000000"/>
            </w:tcBorders>
            <w:shd w:val="clear" w:color="auto" w:fill="D2D2D2"/>
          </w:tcPr>
          <w:p>
            <w:pPr/>
          </w:p>
        </w:tc>
        <w:tc>
          <w:tcPr>
            <w:tcW w:w="1402" w:type="dxa"/>
            <w:vMerge w:val="restart"/>
            <w:tcBorders>
              <w:top w:val="single" w:sz="4" w:space="0" w:color="000000"/>
              <w:left w:val="single" w:sz="4" w:space="0" w:color="000000"/>
              <w:right w:val="single" w:sz="4" w:space="0" w:color="000000"/>
            </w:tcBorders>
            <w:shd w:val="clear" w:color="auto" w:fill="D2D2D2"/>
          </w:tcPr>
          <w:p>
            <w:pPr/>
          </w:p>
        </w:tc>
        <w:tc>
          <w:tcPr>
            <w:tcW w:w="54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92"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1702" w:type="dxa"/>
            <w:vMerge/>
            <w:tcBorders>
              <w:left w:val="single" w:sz="4" w:space="0" w:color="000000"/>
              <w:bottom w:val="nil" w:sz="6" w:space="0" w:color="auto"/>
              <w:right w:val="single" w:sz="4" w:space="0" w:color="000000"/>
            </w:tcBorders>
            <w:shd w:val="clear" w:color="auto" w:fill="D2D2D2"/>
          </w:tcPr>
          <w:p>
            <w:pPr/>
          </w:p>
        </w:tc>
        <w:tc>
          <w:tcPr>
            <w:tcW w:w="1402" w:type="dxa"/>
            <w:vMerge/>
            <w:tcBorders>
              <w:left w:val="single" w:sz="4" w:space="0" w:color="000000"/>
              <w:bottom w:val="nil" w:sz="6" w:space="0" w:color="auto"/>
              <w:right w:val="single" w:sz="4" w:space="0" w:color="000000"/>
            </w:tcBorders>
            <w:shd w:val="clear" w:color="auto" w:fill="D2D2D2"/>
          </w:tcPr>
          <w:p>
            <w:pPr/>
          </w:p>
        </w:tc>
        <w:tc>
          <w:tcPr>
            <w:tcW w:w="11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4" w:right="22"/>
              <w:jc w:val="center"/>
              <w:rPr>
                <w:rFonts w:ascii="宋体" w:hAnsi="宋体" w:cs="宋体" w:eastAsia="宋体" w:hint="default"/>
                <w:sz w:val="18"/>
                <w:szCs w:val="18"/>
              </w:rPr>
            </w:pPr>
            <w:r>
              <w:rPr>
                <w:rFonts w:ascii="宋体" w:hAnsi="宋体" w:cs="宋体" w:eastAsia="宋体" w:hint="default"/>
                <w:spacing w:val="-6"/>
                <w:sz w:val="18"/>
                <w:szCs w:val="18"/>
              </w:rPr>
              <w:t>减：前期计入其</w:t>
            </w:r>
            <w:r>
              <w:rPr>
                <w:rFonts w:ascii="宋体" w:hAnsi="宋体" w:cs="宋体" w:eastAsia="宋体" w:hint="default"/>
                <w:sz w:val="18"/>
                <w:szCs w:val="18"/>
              </w:rPr>
              <w:t> 他综合收益当 期转入损益</w:t>
            </w:r>
          </w:p>
        </w:tc>
        <w:tc>
          <w:tcPr>
            <w:tcW w:w="10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3" w:right="83"/>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092" w:type="dxa"/>
            <w:vMerge/>
            <w:tcBorders>
              <w:left w:val="single" w:sz="4" w:space="0" w:color="000000"/>
              <w:bottom w:val="nil" w:sz="6" w:space="0" w:color="auto"/>
              <w:right w:val="single" w:sz="4" w:space="0" w:color="000000"/>
            </w:tcBorders>
            <w:shd w:val="clear" w:color="auto" w:fill="D2D2D2"/>
          </w:tcPr>
          <w:p>
            <w:pPr/>
          </w:p>
        </w:tc>
      </w:tr>
      <w:tr>
        <w:trPr>
          <w:trHeight w:val="371"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4"/>
              <w:ind w:left="299" w:right="26" w:hanging="269"/>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277" w:type="dxa"/>
            <w:vMerge/>
            <w:tcBorders>
              <w:left w:val="single" w:sz="4" w:space="0" w:color="000000"/>
              <w:right w:val="single" w:sz="4" w:space="0" w:color="000000"/>
            </w:tcBorders>
            <w:shd w:val="clear" w:color="auto" w:fill="D2D2D2"/>
          </w:tcPr>
          <w:p>
            <w:pPr/>
          </w:p>
        </w:tc>
        <w:tc>
          <w:tcPr>
            <w:tcW w:w="10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448" w:right="19" w:hanging="425"/>
              <w:jc w:val="left"/>
              <w:rPr>
                <w:rFonts w:ascii="宋体" w:hAnsi="宋体" w:cs="宋体" w:eastAsia="宋体" w:hint="default"/>
                <w:sz w:val="18"/>
                <w:szCs w:val="18"/>
              </w:rPr>
            </w:pPr>
            <w:r>
              <w:rPr>
                <w:rFonts w:ascii="宋体" w:hAnsi="宋体" w:cs="宋体" w:eastAsia="宋体" w:hint="default"/>
                <w:spacing w:val="-9"/>
                <w:sz w:val="18"/>
                <w:szCs w:val="18"/>
              </w:rPr>
              <w:t>减：所得税费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w:t>
            </w:r>
          </w:p>
        </w:tc>
        <w:tc>
          <w:tcPr>
            <w:tcW w:w="124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436" w:right="75"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718" w:type="dxa"/>
            <w:vMerge/>
            <w:tcBorders>
              <w:left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8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5" w:hRule="exact"/>
        </w:trPr>
        <w:tc>
          <w:tcPr>
            <w:tcW w:w="1702" w:type="dxa"/>
            <w:vMerge w:val="restart"/>
            <w:tcBorders>
              <w:top w:val="nil" w:sz="6" w:space="0" w:color="auto"/>
              <w:left w:val="single" w:sz="4" w:space="0" w:color="000000"/>
              <w:right w:val="single" w:sz="4" w:space="0" w:color="000000"/>
            </w:tcBorders>
            <w:shd w:val="clear" w:color="auto" w:fill="D2D2D2"/>
          </w:tcPr>
          <w:p>
            <w:pPr/>
          </w:p>
        </w:tc>
        <w:tc>
          <w:tcPr>
            <w:tcW w:w="1402" w:type="dxa"/>
            <w:vMerge w:val="restart"/>
            <w:tcBorders>
              <w:top w:val="nil" w:sz="6" w:space="0" w:color="auto"/>
              <w:left w:val="single" w:sz="4" w:space="0" w:color="000000"/>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1244" w:type="dxa"/>
            <w:vMerge/>
            <w:tcBorders>
              <w:left w:val="single" w:sz="4" w:space="0" w:color="000000"/>
              <w:bottom w:val="nil" w:sz="6" w:space="0" w:color="auto"/>
              <w:right w:val="single" w:sz="4" w:space="0" w:color="000000"/>
            </w:tcBorders>
            <w:shd w:val="clear" w:color="auto" w:fill="D2D2D2"/>
          </w:tcPr>
          <w:p>
            <w:pPr/>
          </w:p>
        </w:tc>
        <w:tc>
          <w:tcPr>
            <w:tcW w:w="718"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402" w:type="dxa"/>
            <w:vMerge/>
            <w:tcBorders>
              <w:left w:val="single" w:sz="4" w:space="0" w:color="000000"/>
              <w:bottom w:val="single" w:sz="4" w:space="0" w:color="000000"/>
              <w:right w:val="single" w:sz="4" w:space="0" w:color="000000"/>
            </w:tcBorders>
            <w:shd w:val="clear" w:color="auto" w:fill="D2D2D2"/>
          </w:tcPr>
          <w:p>
            <w:pPr/>
          </w:p>
        </w:tc>
        <w:tc>
          <w:tcPr>
            <w:tcW w:w="11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0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二、将重分类进损益 的其他综合收益</w:t>
            </w:r>
          </w:p>
        </w:tc>
        <w:tc>
          <w:tcPr>
            <w:tcW w:w="14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56,911,858.59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-3,295,926.89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10,799,355.00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1,158,290.01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-15,253,571.90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41,658,286.69</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其中：权益法下可转 损益的其他综合收益</w:t>
            </w:r>
          </w:p>
        </w:tc>
        <w:tc>
          <w:tcPr>
            <w:tcW w:w="14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10,799,355.00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10,799,355.00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-10,799,355.00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5" w:firstLine="540"/>
              <w:jc w:val="both"/>
              <w:rPr>
                <w:rFonts w:ascii="宋体" w:hAnsi="宋体" w:cs="宋体" w:eastAsia="宋体" w:hint="default"/>
                <w:sz w:val="18"/>
                <w:szCs w:val="18"/>
              </w:rPr>
            </w:pPr>
            <w:r>
              <w:rPr>
                <w:rFonts w:ascii="宋体" w:hAnsi="宋体" w:cs="宋体" w:eastAsia="宋体" w:hint="default"/>
                <w:sz w:val="18"/>
                <w:szCs w:val="18"/>
              </w:rPr>
              <w:t>可供出售金融 资产公允价值变动损 益</w:t>
            </w:r>
          </w:p>
        </w:tc>
        <w:tc>
          <w:tcPr>
            <w:tcW w:w="14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27,477,700.71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-10,968,537.74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-10,968,537.74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16,509,162.97</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5" w:firstLine="540"/>
              <w:jc w:val="left"/>
              <w:rPr>
                <w:rFonts w:ascii="宋体" w:hAnsi="宋体" w:cs="宋体" w:eastAsia="宋体" w:hint="default"/>
                <w:sz w:val="18"/>
                <w:szCs w:val="18"/>
              </w:rPr>
            </w:pPr>
            <w:r>
              <w:rPr>
                <w:rFonts w:ascii="宋体" w:hAnsi="宋体" w:cs="宋体" w:eastAsia="宋体" w:hint="default"/>
                <w:sz w:val="18"/>
                <w:szCs w:val="18"/>
              </w:rPr>
              <w:t>外币财务报表 折算差额</w:t>
            </w:r>
          </w:p>
        </w:tc>
        <w:tc>
          <w:tcPr>
            <w:tcW w:w="14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-81,990.80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-49,322.57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-49,322.57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-131,313.37</w:t>
            </w:r>
          </w:p>
        </w:tc>
      </w:tr>
      <w:tr>
        <w:trPr>
          <w:trHeight w:val="10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z w:val="18"/>
                <w:szCs w:val="18"/>
              </w:rPr>
              <w:t>自有房屋及建筑物转 投资性房地产产生的 其他综合收益</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18,716,793.68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7,721,933.42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1,158,290.01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6,563,643.41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25,280,437.09</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56,911,858.59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-3,295,926.89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10,799,355.00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1,158,290.01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-15,253,571.90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41,658,286.69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其他说明，包括对现金流量套期损益的有效部分转为被套期项目初始确认金额调整：无。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34</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65,497,325.92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13,139,822.47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78,637,148.39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12,154,775.66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12,154,775.66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77,652,101.58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13,139,822.47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90,791,924.05</w:t>
            </w:r>
          </w:p>
        </w:tc>
      </w:tr>
    </w:tbl>
    <w:p>
      <w:pPr>
        <w:pStyle w:val="BodyText"/>
        <w:spacing w:line="240" w:lineRule="auto" w:before="49"/>
        <w:ind w:right="1133"/>
        <w:jc w:val="left"/>
      </w:pPr>
      <w:r>
        <w:rPr/>
        <w:t>盈余公积说明，包括本期增减变动情况、变动原因说明：无。</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35</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318,910,068.88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426,517,704.65</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318,910,068.88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426,517,704.65</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336,389,804.53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-107,607,635.77</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13,139,822.47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642,160,050.94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318,910,068.88</w:t>
            </w:r>
          </w:p>
        </w:tc>
      </w:tr>
    </w:tbl>
    <w:p>
      <w:pPr>
        <w:pStyle w:val="BodyText"/>
        <w:spacing w:line="240" w:lineRule="auto" w:before="49"/>
        <w:ind w:right="1133"/>
        <w:jc w:val="left"/>
      </w:pPr>
      <w:r>
        <w:rPr/>
        <w:t>调整期初未分配利润明细：</w:t>
      </w:r>
    </w:p>
    <w:p>
      <w:pPr>
        <w:pStyle w:val="BodyText"/>
        <w:spacing w:line="240" w:lineRule="auto" w:before="117"/>
        <w:ind w:left="436" w:right="113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left="436" w:right="1133"/>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436" w:right="113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436" w:right="113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left="436" w:right="113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36</w:t>
      </w:r>
      <w:r>
        <w:rPr/>
        <w:t>、营业收入和营业成本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电气业务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1"/>
              <w:jc w:val="right"/>
              <w:rPr>
                <w:rFonts w:ascii="Garamond" w:hAnsi="Garamond" w:cs="Garamond" w:eastAsia="Garamond" w:hint="default"/>
                <w:sz w:val="18"/>
                <w:szCs w:val="18"/>
              </w:rPr>
            </w:pPr>
            <w:r>
              <w:rPr>
                <w:rFonts w:ascii="Garamond"/>
                <w:spacing w:val="-1"/>
                <w:sz w:val="18"/>
              </w:rPr>
              <w:t>323,568,620.60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Garamond" w:hAnsi="Garamond" w:cs="Garamond" w:eastAsia="Garamond" w:hint="default"/>
                <w:sz w:val="18"/>
                <w:szCs w:val="18"/>
              </w:rPr>
            </w:pPr>
            <w:r>
              <w:rPr>
                <w:rFonts w:ascii="Garamond"/>
                <w:spacing w:val="-1"/>
                <w:sz w:val="18"/>
              </w:rPr>
              <w:t>222,108,357.09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Garamond" w:hAnsi="Garamond" w:cs="Garamond" w:eastAsia="Garamond" w:hint="default"/>
                <w:sz w:val="18"/>
                <w:szCs w:val="18"/>
              </w:rPr>
            </w:pPr>
            <w:r>
              <w:rPr>
                <w:rFonts w:ascii="Garamond"/>
                <w:spacing w:val="-1"/>
                <w:sz w:val="18"/>
              </w:rPr>
              <w:t>313,522,139.09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Garamond" w:hAnsi="Garamond" w:cs="Garamond" w:eastAsia="Garamond" w:hint="default"/>
                <w:sz w:val="18"/>
                <w:szCs w:val="18"/>
              </w:rPr>
            </w:pPr>
            <w:r>
              <w:rPr>
                <w:rFonts w:ascii="Garamond"/>
                <w:spacing w:val="-1"/>
                <w:sz w:val="18"/>
              </w:rPr>
              <w:t>222,532,515.27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游戏业务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3"/>
              <w:jc w:val="right"/>
              <w:rPr>
                <w:rFonts w:ascii="Garamond" w:hAnsi="Garamond" w:cs="Garamond" w:eastAsia="Garamond" w:hint="default"/>
                <w:sz w:val="18"/>
                <w:szCs w:val="18"/>
              </w:rPr>
            </w:pPr>
            <w:r>
              <w:rPr>
                <w:rFonts w:ascii="Garamond"/>
                <w:spacing w:val="-1"/>
                <w:sz w:val="18"/>
              </w:rPr>
              <w:t>1,572,809,999.93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Garamond" w:hAnsi="Garamond" w:cs="Garamond" w:eastAsia="Garamond" w:hint="default"/>
                <w:sz w:val="18"/>
                <w:szCs w:val="18"/>
              </w:rPr>
            </w:pPr>
            <w:r>
              <w:rPr>
                <w:rFonts w:ascii="Garamond"/>
                <w:spacing w:val="-1"/>
                <w:sz w:val="18"/>
              </w:rPr>
              <w:t>321,540,391.75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Garamond" w:hAnsi="Garamond" w:cs="Garamond" w:eastAsia="Garamond" w:hint="default"/>
                <w:sz w:val="18"/>
                <w:szCs w:val="18"/>
              </w:rPr>
            </w:pPr>
            <w:r>
              <w:rPr>
                <w:rFonts w:ascii="Garamond"/>
                <w:spacing w:val="-1"/>
                <w:sz w:val="18"/>
              </w:rPr>
              <w:t>46,979,219.61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Garamond" w:hAnsi="Garamond" w:cs="Garamond" w:eastAsia="Garamond" w:hint="default"/>
                <w:sz w:val="18"/>
                <w:szCs w:val="18"/>
              </w:rPr>
            </w:pPr>
            <w:r>
              <w:rPr>
                <w:rFonts w:ascii="Garamond"/>
                <w:spacing w:val="-1"/>
                <w:sz w:val="18"/>
              </w:rPr>
              <w:t>7,084,967.74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2"/>
              <w:jc w:val="right"/>
              <w:rPr>
                <w:rFonts w:ascii="Garamond" w:hAnsi="Garamond" w:cs="Garamond" w:eastAsia="Garamond" w:hint="default"/>
                <w:sz w:val="18"/>
                <w:szCs w:val="18"/>
              </w:rPr>
            </w:pPr>
            <w:r>
              <w:rPr>
                <w:rFonts w:ascii="Garamond"/>
                <w:spacing w:val="-1"/>
                <w:sz w:val="18"/>
              </w:rPr>
              <w:t>1,779,762.00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Garamond" w:hAnsi="Garamond" w:cs="Garamond" w:eastAsia="Garamond" w:hint="default"/>
                <w:sz w:val="18"/>
                <w:szCs w:val="18"/>
              </w:rPr>
            </w:pPr>
            <w:r>
              <w:rPr>
                <w:rFonts w:ascii="Garamond"/>
                <w:sz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Garamond" w:hAnsi="Garamond" w:cs="Garamond" w:eastAsia="Garamond" w:hint="default"/>
                <w:sz w:val="18"/>
                <w:szCs w:val="18"/>
              </w:rPr>
            </w:pPr>
            <w:r>
              <w:rPr>
                <w:rFonts w:ascii="Garamond"/>
                <w:spacing w:val="-1"/>
                <w:sz w:val="18"/>
              </w:rPr>
              <w:t>12,671,367.55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Garamond" w:hAnsi="Garamond" w:cs="Garamond" w:eastAsia="Garamond" w:hint="default"/>
                <w:sz w:val="18"/>
                <w:szCs w:val="18"/>
              </w:rPr>
            </w:pPr>
            <w:r>
              <w:rPr>
                <w:rFonts w:ascii="Garamond"/>
                <w:spacing w:val="-1"/>
                <w:sz w:val="18"/>
              </w:rPr>
              <w:t>6,064,401.15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3"/>
              <w:jc w:val="right"/>
              <w:rPr>
                <w:rFonts w:ascii="Garamond" w:hAnsi="Garamond" w:cs="Garamond" w:eastAsia="Garamond" w:hint="default"/>
                <w:sz w:val="18"/>
                <w:szCs w:val="18"/>
              </w:rPr>
            </w:pPr>
            <w:r>
              <w:rPr>
                <w:rFonts w:ascii="Garamond"/>
                <w:spacing w:val="-1"/>
                <w:sz w:val="18"/>
              </w:rPr>
              <w:t>1,898,158,382.53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Garamond" w:hAnsi="Garamond" w:cs="Garamond" w:eastAsia="Garamond" w:hint="default"/>
                <w:sz w:val="18"/>
                <w:szCs w:val="18"/>
              </w:rPr>
            </w:pPr>
            <w:r>
              <w:rPr>
                <w:rFonts w:ascii="Garamond"/>
                <w:spacing w:val="-1"/>
                <w:sz w:val="18"/>
              </w:rPr>
              <w:t>543,648,748.84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Garamond" w:hAnsi="Garamond" w:cs="Garamond" w:eastAsia="Garamond" w:hint="default"/>
                <w:sz w:val="18"/>
                <w:szCs w:val="18"/>
              </w:rPr>
            </w:pPr>
            <w:r>
              <w:rPr>
                <w:rFonts w:ascii="Garamond"/>
                <w:spacing w:val="-1"/>
                <w:sz w:val="18"/>
              </w:rPr>
              <w:t>373,172,726.25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Garamond" w:hAnsi="Garamond" w:cs="Garamond" w:eastAsia="Garamond" w:hint="default"/>
                <w:sz w:val="18"/>
                <w:szCs w:val="18"/>
              </w:rPr>
            </w:pPr>
            <w:r>
              <w:rPr>
                <w:rFonts w:ascii="Garamond"/>
                <w:spacing w:val="-1"/>
                <w:sz w:val="18"/>
              </w:rPr>
              <w:t>235,681,884.16</w:t>
            </w:r>
          </w:p>
        </w:tc>
      </w:tr>
    </w:tbl>
    <w:p>
      <w:pPr>
        <w:spacing w:after="0" w:line="240" w:lineRule="auto"/>
        <w:jc w:val="right"/>
        <w:rPr>
          <w:rFonts w:ascii="Garamond" w:hAnsi="Garamond" w:cs="Garamond" w:eastAsia="Garamond" w:hint="default"/>
          <w:sz w:val="18"/>
          <w:szCs w:val="18"/>
        </w:rPr>
        <w:sectPr>
          <w:pgSz w:w="11910" w:h="16840"/>
          <w:pgMar w:header="0"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37</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3,065,007.58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1,205,730.41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1,537,095.84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537,661.61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1,570,825.12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1,881,914.28</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102,353.08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103,337.68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29,314.08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37,042.48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947,206.33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1,030,819.91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901,496.23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359,020.67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45,216.33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288.91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8,198,514.59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5,155,815.95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38</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866,599,008.00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64,284,679.66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20,926,090.99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7,863,849.26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3,547,616.64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3,673,555.75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1,118,299.73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1,691,187.54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111,973.38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195,659.33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907,552.39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1,259,226.93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115,163.61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工程施工费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471,113.55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972,373.97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1,141,915.35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1,252,485.74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894,903,570.23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81,308,181.79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39</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期权费用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1,899,716.21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43,238,439.94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36,231,274.84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29,632,536.37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7,580,460.14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8,174,506.29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10,801,224.80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6,639,091.56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12,539,402.93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9,611,917.40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4,269,587.31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2,004,915.54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1,082,643.48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813,752.91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2,284,624.50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619,245.96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车辆交通费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1,020,557.43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1,034,406.62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907,874.37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582,726.01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446,112.42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427,769.66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17,183.96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235,325.23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劳保用品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68,266.28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11,261.72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4,778,747.50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6,260,069.18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3,959,233.03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1,806,759.99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87,886,909.20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111,092,724.38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40</w:t>
      </w:r>
      <w:r>
        <w:rPr/>
        <w:t>、研发费用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46,439,526.17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9,306,191.87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美术外包制作费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3,904,082.04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141,498.48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试验检测外协加工等测试费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1,112,299.48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1,182,436.44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860,966.12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1,097,876.21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468,767.44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2,324,179.46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132,555.87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138,279.83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194,927.09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86,942.37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748,843.41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429,143.96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53,861,967.62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14,706,548.62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41</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24,226,413.67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5,096,051.98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8,047,674.05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4,091,984.94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-799,110.85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163,840.55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359,805.95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241,642.86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15,739,434.72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1,409,550.45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42</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16,203,895.89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2,905,224.00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602,942.71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-1,967,440.27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16,806,838.60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937,783.73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43</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704,535.71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1,410,124.00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2,114,659.71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44</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6898"/>
        <w:gridCol w:w="1418"/>
        <w:gridCol w:w="1370"/>
      </w:tblGrid>
      <w:tr>
        <w:trPr>
          <w:trHeight w:val="401" w:hRule="exact"/>
        </w:trPr>
        <w:tc>
          <w:tcPr>
            <w:tcW w:w="6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6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109,207,520.91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-57,936,057.63</w:t>
            </w:r>
          </w:p>
        </w:tc>
      </w:tr>
      <w:tr>
        <w:trPr>
          <w:trHeight w:val="401" w:hRule="exact"/>
        </w:trPr>
        <w:tc>
          <w:tcPr>
            <w:tcW w:w="6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83,964,228.06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6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以公允价值计量且其变动计入当期损益的金融资产在持有期间的投资收益</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-871,933.79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-851,963.34</w:t>
            </w:r>
          </w:p>
        </w:tc>
      </w:tr>
      <w:tr>
        <w:trPr>
          <w:trHeight w:val="401" w:hRule="exact"/>
        </w:trPr>
        <w:tc>
          <w:tcPr>
            <w:tcW w:w="6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处置以公允价值计量且其变动计入当期损益的金融资产取得的投资收益</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-4,605,719.94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-30,421,455.30</w:t>
            </w:r>
          </w:p>
        </w:tc>
      </w:tr>
      <w:tr>
        <w:trPr>
          <w:trHeight w:val="403" w:hRule="exact"/>
        </w:trPr>
        <w:tc>
          <w:tcPr>
            <w:tcW w:w="6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1,432,200.00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6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25,400,000.00</w:t>
            </w:r>
          </w:p>
        </w:tc>
      </w:tr>
      <w:tr>
        <w:trPr>
          <w:trHeight w:val="403" w:hRule="exact"/>
        </w:trPr>
        <w:tc>
          <w:tcPr>
            <w:tcW w:w="6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3,120,003.53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19,161,858.64</w:t>
            </w:r>
          </w:p>
        </w:tc>
      </w:tr>
      <w:tr>
        <w:trPr>
          <w:trHeight w:val="401" w:hRule="exact"/>
        </w:trPr>
        <w:tc>
          <w:tcPr>
            <w:tcW w:w="6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192,246,298.77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-44,647,617.63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45</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6337"/>
        <w:gridCol w:w="1754"/>
        <w:gridCol w:w="1606"/>
      </w:tblGrid>
      <w:tr>
        <w:trPr>
          <w:trHeight w:val="402" w:hRule="exact"/>
        </w:trPr>
        <w:tc>
          <w:tcPr>
            <w:tcW w:w="6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9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6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以公允价值计量的且其变动计入当期损益的金融资产</w:t>
            </w:r>
          </w:p>
        </w:tc>
        <w:tc>
          <w:tcPr>
            <w:tcW w:w="17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-15,385,358.48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-1,070,891.90</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6337"/>
        <w:gridCol w:w="1754"/>
        <w:gridCol w:w="1606"/>
      </w:tblGrid>
      <w:tr>
        <w:trPr>
          <w:trHeight w:val="402" w:hRule="exact"/>
        </w:trPr>
        <w:tc>
          <w:tcPr>
            <w:tcW w:w="6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17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-179,500.00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970,119.73</w:t>
            </w:r>
          </w:p>
        </w:tc>
      </w:tr>
      <w:tr>
        <w:trPr>
          <w:trHeight w:val="402" w:hRule="exact"/>
        </w:trPr>
        <w:tc>
          <w:tcPr>
            <w:tcW w:w="6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-15,564,858.48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-100,772.17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46</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1,052,454.07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2,560,428.35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47</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1,749,296.18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712,443.23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1,749,296.18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无法支付的应付款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20,393.10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400,877.41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20,393.10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129,736.27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违约金收入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40,184.70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40,184.70</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57,620.60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10,624.32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57,620.60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1,867,494.58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1,351,681.23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1,867,494.58</w:t>
            </w:r>
          </w:p>
        </w:tc>
      </w:tr>
    </w:tbl>
    <w:p>
      <w:pPr>
        <w:pStyle w:val="BodyText"/>
        <w:spacing w:line="240" w:lineRule="auto" w:before="49"/>
        <w:ind w:right="1133"/>
        <w:jc w:val="left"/>
      </w:pPr>
      <w:r>
        <w:rPr/>
        <w:t>计入当期损益的政府补助：</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911"/>
        <w:gridCol w:w="1949"/>
        <w:gridCol w:w="422"/>
        <w:gridCol w:w="1702"/>
        <w:gridCol w:w="833"/>
        <w:gridCol w:w="430"/>
        <w:gridCol w:w="927"/>
        <w:gridCol w:w="929"/>
        <w:gridCol w:w="595"/>
      </w:tblGrid>
      <w:tr>
        <w:trPr>
          <w:trHeight w:val="355" w:hRule="exact"/>
        </w:trPr>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49" w:type="dxa"/>
            <w:tcBorders>
              <w:top w:val="single" w:sz="4" w:space="0" w:color="000000"/>
              <w:left w:val="single" w:sz="4" w:space="0" w:color="000000"/>
              <w:bottom w:val="nil" w:sz="6" w:space="0" w:color="auto"/>
              <w:right w:val="single" w:sz="4" w:space="0" w:color="000000"/>
            </w:tcBorders>
            <w:shd w:val="clear" w:color="auto" w:fill="D2D2D2"/>
          </w:tcPr>
          <w:p>
            <w:pPr/>
          </w:p>
        </w:tc>
        <w:tc>
          <w:tcPr>
            <w:tcW w:w="4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927" w:type="dxa"/>
            <w:tcBorders>
              <w:top w:val="single" w:sz="4" w:space="0" w:color="000000"/>
              <w:left w:val="single" w:sz="4" w:space="0" w:color="000000"/>
              <w:bottom w:val="nil" w:sz="6" w:space="0" w:color="auto"/>
              <w:right w:val="single" w:sz="4" w:space="0" w:color="000000"/>
            </w:tcBorders>
            <w:shd w:val="clear" w:color="auto" w:fill="D2D2D2"/>
          </w:tcPr>
          <w:p>
            <w:pPr/>
          </w:p>
        </w:tc>
        <w:tc>
          <w:tcPr>
            <w:tcW w:w="9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110"/>
              <w:jc w:val="right"/>
              <w:rPr>
                <w:rFonts w:ascii="宋体" w:hAnsi="宋体" w:cs="宋体" w:eastAsia="宋体" w:hint="default"/>
                <w:sz w:val="18"/>
                <w:szCs w:val="18"/>
              </w:rPr>
            </w:pPr>
            <w:r>
              <w:rPr>
                <w:rFonts w:ascii="宋体" w:hAnsi="宋体" w:cs="宋体" w:eastAsia="宋体" w:hint="default"/>
                <w:sz w:val="18"/>
                <w:szCs w:val="18"/>
              </w:rPr>
              <w:t>与资</w:t>
            </w:r>
          </w:p>
        </w:tc>
      </w:tr>
      <w:tr>
        <w:trPr>
          <w:trHeight w:val="935" w:hRule="exact"/>
        </w:trPr>
        <w:tc>
          <w:tcPr>
            <w:tcW w:w="19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9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09"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4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314" w:lineRule="auto"/>
              <w:ind w:left="26" w:right="24"/>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8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1"/>
              <w:ind w:left="50" w:right="50"/>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1"/>
              <w:ind w:left="31" w:right="26"/>
              <w:jc w:val="both"/>
              <w:rPr>
                <w:rFonts w:ascii="宋体" w:hAnsi="宋体" w:cs="宋体" w:eastAsia="宋体" w:hint="default"/>
                <w:sz w:val="18"/>
                <w:szCs w:val="18"/>
              </w:rPr>
            </w:pPr>
            <w:r>
              <w:rPr>
                <w:rFonts w:ascii="宋体" w:hAnsi="宋体" w:cs="宋体" w:eastAsia="宋体" w:hint="default"/>
                <w:sz w:val="18"/>
                <w:szCs w:val="18"/>
              </w:rPr>
              <w:t>是否 特殊 补贴</w:t>
            </w:r>
          </w:p>
        </w:tc>
        <w:tc>
          <w:tcPr>
            <w:tcW w:w="9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314" w:lineRule="auto"/>
              <w:ind w:left="278" w:right="98"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314" w:lineRule="auto"/>
              <w:ind w:left="278" w:right="98"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9" w:lineRule="auto" w:before="9"/>
              <w:ind w:left="88" w:right="84" w:firstLine="24"/>
              <w:jc w:val="both"/>
              <w:rPr>
                <w:rFonts w:ascii="宋体" w:hAnsi="宋体" w:cs="宋体" w:eastAsia="宋体" w:hint="default"/>
                <w:sz w:val="18"/>
                <w:szCs w:val="18"/>
              </w:rPr>
            </w:pPr>
            <w:r>
              <w:rPr>
                <w:rFonts w:ascii="宋体" w:hAnsi="宋体" w:cs="宋体" w:eastAsia="宋体" w:hint="default"/>
                <w:sz w:val="18"/>
                <w:szCs w:val="18"/>
              </w:rPr>
              <w:t>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w:t>
            </w:r>
          </w:p>
        </w:tc>
      </w:tr>
      <w:tr>
        <w:trPr>
          <w:trHeight w:val="360" w:hRule="exact"/>
        </w:trPr>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49" w:type="dxa"/>
            <w:tcBorders>
              <w:top w:val="nil" w:sz="6" w:space="0" w:color="auto"/>
              <w:left w:val="single" w:sz="4" w:space="0" w:color="000000"/>
              <w:bottom w:val="single" w:sz="4" w:space="0" w:color="000000"/>
              <w:right w:val="single" w:sz="4" w:space="0" w:color="000000"/>
            </w:tcBorders>
            <w:shd w:val="clear" w:color="auto" w:fill="D2D2D2"/>
          </w:tcPr>
          <w:p>
            <w:pPr/>
          </w:p>
        </w:tc>
        <w:tc>
          <w:tcPr>
            <w:tcW w:w="4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927" w:type="dxa"/>
            <w:tcBorders>
              <w:top w:val="nil" w:sz="6" w:space="0" w:color="auto"/>
              <w:left w:val="single" w:sz="4" w:space="0" w:color="000000"/>
              <w:bottom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9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10"/>
              <w:jc w:val="right"/>
              <w:rPr>
                <w:rFonts w:ascii="宋体" w:hAnsi="宋体" w:cs="宋体" w:eastAsia="宋体" w:hint="default"/>
                <w:sz w:val="18"/>
                <w:szCs w:val="18"/>
              </w:rPr>
            </w:pPr>
            <w:r>
              <w:rPr>
                <w:rFonts w:ascii="宋体" w:hAnsi="宋体" w:cs="宋体" w:eastAsia="宋体" w:hint="default"/>
                <w:sz w:val="18"/>
                <w:szCs w:val="18"/>
              </w:rPr>
              <w:t>相关</w:t>
            </w:r>
          </w:p>
        </w:tc>
      </w:tr>
      <w:tr>
        <w:trPr>
          <w:trHeight w:val="356" w:hRule="exact"/>
        </w:trPr>
        <w:tc>
          <w:tcPr>
            <w:tcW w:w="1911" w:type="dxa"/>
            <w:tcBorders>
              <w:top w:val="single" w:sz="4" w:space="0" w:color="000000"/>
              <w:left w:val="single" w:sz="4" w:space="0" w:color="000000"/>
              <w:bottom w:val="nil" w:sz="6" w:space="0" w:color="auto"/>
              <w:right w:val="single" w:sz="4" w:space="0" w:color="000000"/>
            </w:tcBorders>
          </w:tcPr>
          <w:p>
            <w:pPr/>
          </w:p>
        </w:tc>
        <w:tc>
          <w:tcPr>
            <w:tcW w:w="19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成都高新技术产业开发</w:t>
            </w:r>
          </w:p>
        </w:tc>
        <w:tc>
          <w:tcPr>
            <w:tcW w:w="422"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因符合地方政府招商</w:t>
            </w:r>
          </w:p>
        </w:tc>
        <w:tc>
          <w:tcPr>
            <w:tcW w:w="833" w:type="dxa"/>
            <w:tcBorders>
              <w:top w:val="single" w:sz="4" w:space="0" w:color="000000"/>
              <w:left w:val="single" w:sz="4" w:space="0" w:color="000000"/>
              <w:bottom w:val="nil" w:sz="6" w:space="0" w:color="auto"/>
              <w:right w:val="single" w:sz="4" w:space="0" w:color="000000"/>
            </w:tcBorders>
          </w:tcPr>
          <w:p>
            <w:pPr/>
          </w:p>
        </w:tc>
        <w:tc>
          <w:tcPr>
            <w:tcW w:w="430" w:type="dxa"/>
            <w:tcBorders>
              <w:top w:val="single" w:sz="4" w:space="0" w:color="000000"/>
              <w:left w:val="single" w:sz="4" w:space="0" w:color="000000"/>
              <w:bottom w:val="nil" w:sz="6" w:space="0" w:color="auto"/>
              <w:right w:val="single" w:sz="4" w:space="0" w:color="000000"/>
            </w:tcBorders>
          </w:tcPr>
          <w:p>
            <w:pPr/>
          </w:p>
        </w:tc>
        <w:tc>
          <w:tcPr>
            <w:tcW w:w="927" w:type="dxa"/>
            <w:tcBorders>
              <w:top w:val="single" w:sz="4" w:space="0" w:color="000000"/>
              <w:left w:val="single" w:sz="4" w:space="0" w:color="000000"/>
              <w:bottom w:val="nil" w:sz="6" w:space="0" w:color="auto"/>
              <w:right w:val="single" w:sz="4" w:space="0" w:color="000000"/>
            </w:tcBorders>
          </w:tcPr>
          <w:p>
            <w:pPr/>
          </w:p>
        </w:tc>
        <w:tc>
          <w:tcPr>
            <w:tcW w:w="929" w:type="dxa"/>
            <w:tcBorders>
              <w:top w:val="single" w:sz="4" w:space="0" w:color="000000"/>
              <w:left w:val="single" w:sz="4" w:space="0" w:color="000000"/>
              <w:bottom w:val="nil" w:sz="6" w:space="0" w:color="auto"/>
              <w:right w:val="single" w:sz="4" w:space="0" w:color="000000"/>
            </w:tcBorders>
          </w:tcPr>
          <w:p>
            <w:pPr/>
          </w:p>
        </w:tc>
        <w:tc>
          <w:tcPr>
            <w:tcW w:w="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w:t>
            </w:r>
          </w:p>
        </w:tc>
      </w:tr>
      <w:tr>
        <w:trPr>
          <w:trHeight w:val="317" w:hRule="exact"/>
        </w:trPr>
        <w:tc>
          <w:tcPr>
            <w:tcW w:w="19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年稳岗补贴</w:t>
            </w: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区基层治理和社会事业</w:t>
            </w:r>
          </w:p>
        </w:tc>
        <w:tc>
          <w:tcPr>
            <w:tcW w:w="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引资等地方性扶持政</w:t>
            </w:r>
          </w:p>
        </w:tc>
        <w:tc>
          <w:tcPr>
            <w:tcW w:w="8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18,583.84</w:t>
            </w:r>
          </w:p>
        </w:tc>
        <w:tc>
          <w:tcPr>
            <w:tcW w:w="929"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益相</w:t>
            </w:r>
          </w:p>
        </w:tc>
      </w:tr>
      <w:tr>
        <w:trPr>
          <w:trHeight w:val="353" w:hRule="exact"/>
        </w:trPr>
        <w:tc>
          <w:tcPr>
            <w:tcW w:w="1911" w:type="dxa"/>
            <w:tcBorders>
              <w:top w:val="nil" w:sz="6" w:space="0" w:color="auto"/>
              <w:left w:val="single" w:sz="4" w:space="0" w:color="000000"/>
              <w:bottom w:val="single" w:sz="4" w:space="0" w:color="000000"/>
              <w:right w:val="single" w:sz="4" w:space="0" w:color="000000"/>
            </w:tcBorders>
          </w:tcPr>
          <w:p>
            <w:pPr/>
          </w:p>
        </w:tc>
        <w:tc>
          <w:tcPr>
            <w:tcW w:w="19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局</w:t>
            </w:r>
          </w:p>
        </w:tc>
        <w:tc>
          <w:tcPr>
            <w:tcW w:w="422"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策而获得的补助</w:t>
            </w:r>
          </w:p>
        </w:tc>
        <w:tc>
          <w:tcPr>
            <w:tcW w:w="833" w:type="dxa"/>
            <w:tcBorders>
              <w:top w:val="nil" w:sz="6" w:space="0" w:color="auto"/>
              <w:left w:val="single" w:sz="4" w:space="0" w:color="000000"/>
              <w:bottom w:val="single" w:sz="4" w:space="0" w:color="000000"/>
              <w:right w:val="single" w:sz="4" w:space="0" w:color="000000"/>
            </w:tcBorders>
          </w:tcPr>
          <w:p>
            <w:pPr/>
          </w:p>
        </w:tc>
        <w:tc>
          <w:tcPr>
            <w:tcW w:w="430" w:type="dxa"/>
            <w:tcBorders>
              <w:top w:val="nil" w:sz="6" w:space="0" w:color="auto"/>
              <w:left w:val="single" w:sz="4" w:space="0" w:color="000000"/>
              <w:bottom w:val="single" w:sz="4" w:space="0" w:color="000000"/>
              <w:right w:val="single" w:sz="4" w:space="0" w:color="000000"/>
            </w:tcBorders>
          </w:tcPr>
          <w:p>
            <w:pPr/>
          </w:p>
        </w:tc>
        <w:tc>
          <w:tcPr>
            <w:tcW w:w="927" w:type="dxa"/>
            <w:tcBorders>
              <w:top w:val="nil" w:sz="6" w:space="0" w:color="auto"/>
              <w:left w:val="single" w:sz="4" w:space="0" w:color="000000"/>
              <w:bottom w:val="single" w:sz="4" w:space="0" w:color="000000"/>
              <w:right w:val="single" w:sz="4" w:space="0" w:color="000000"/>
            </w:tcBorders>
          </w:tcPr>
          <w:p>
            <w:pPr/>
          </w:p>
        </w:tc>
        <w:tc>
          <w:tcPr>
            <w:tcW w:w="929" w:type="dxa"/>
            <w:tcBorders>
              <w:top w:val="nil" w:sz="6" w:space="0" w:color="auto"/>
              <w:left w:val="single" w:sz="4" w:space="0" w:color="000000"/>
              <w:bottom w:val="single" w:sz="4" w:space="0" w:color="000000"/>
              <w:right w:val="single" w:sz="4" w:space="0" w:color="000000"/>
            </w:tcBorders>
          </w:tcPr>
          <w:p>
            <w:pPr/>
          </w:p>
        </w:tc>
        <w:tc>
          <w:tcPr>
            <w:tcW w:w="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1027"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17"/>
              <w:jc w:val="left"/>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年度稳岗补 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13"/>
              <w:jc w:val="left"/>
              <w:rPr>
                <w:rFonts w:ascii="宋体" w:hAnsi="宋体" w:cs="宋体" w:eastAsia="宋体" w:hint="default"/>
                <w:sz w:val="18"/>
                <w:szCs w:val="18"/>
              </w:rPr>
            </w:pPr>
            <w:r>
              <w:rPr>
                <w:rFonts w:ascii="宋体" w:hAnsi="宋体" w:cs="宋体" w:eastAsia="宋体" w:hint="default"/>
                <w:sz w:val="18"/>
                <w:szCs w:val="18"/>
              </w:rPr>
              <w:t>深圳市社会保险基金管 理局</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81,894.64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72,721.73</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9"/>
              <w:jc w:val="both"/>
              <w:rPr>
                <w:rFonts w:ascii="宋体" w:hAnsi="宋体" w:cs="宋体" w:eastAsia="宋体" w:hint="default"/>
                <w:sz w:val="18"/>
                <w:szCs w:val="18"/>
              </w:rPr>
            </w:pPr>
            <w:r>
              <w:rPr>
                <w:rFonts w:ascii="宋体" w:hAnsi="宋体" w:cs="宋体" w:eastAsia="宋体" w:hint="default"/>
                <w:sz w:val="18"/>
                <w:szCs w:val="18"/>
              </w:rPr>
              <w:t>与收 益相 关</w:t>
            </w:r>
          </w:p>
        </w:tc>
      </w:tr>
      <w:tr>
        <w:trPr>
          <w:trHeight w:val="102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深圳市生育保险津贴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3"/>
              <w:jc w:val="left"/>
              <w:rPr>
                <w:rFonts w:ascii="宋体" w:hAnsi="宋体" w:cs="宋体" w:eastAsia="宋体" w:hint="default"/>
                <w:sz w:val="18"/>
                <w:szCs w:val="18"/>
              </w:rPr>
            </w:pPr>
            <w:r>
              <w:rPr>
                <w:rFonts w:ascii="宋体" w:hAnsi="宋体" w:cs="宋体" w:eastAsia="宋体" w:hint="default"/>
                <w:sz w:val="18"/>
                <w:szCs w:val="18"/>
              </w:rPr>
              <w:t>深圳市社会保险基金管 理局</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76,644.93</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9"/>
              <w:jc w:val="both"/>
              <w:rPr>
                <w:rFonts w:ascii="宋体" w:hAnsi="宋体" w:cs="宋体" w:eastAsia="宋体" w:hint="default"/>
                <w:sz w:val="18"/>
                <w:szCs w:val="18"/>
              </w:rPr>
            </w:pPr>
            <w:r>
              <w:rPr>
                <w:rFonts w:ascii="宋体" w:hAnsi="宋体" w:cs="宋体" w:eastAsia="宋体" w:hint="default"/>
                <w:sz w:val="18"/>
                <w:szCs w:val="18"/>
              </w:rPr>
              <w:t>与收 益相 关</w:t>
            </w:r>
          </w:p>
        </w:tc>
      </w:tr>
      <w:tr>
        <w:trPr>
          <w:trHeight w:val="102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高性能聚酰亚胺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打 印耗材的制备与应用开 发</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13"/>
              <w:jc w:val="left"/>
              <w:rPr>
                <w:rFonts w:ascii="宋体" w:hAnsi="宋体" w:cs="宋体" w:eastAsia="宋体" w:hint="default"/>
                <w:sz w:val="18"/>
                <w:szCs w:val="18"/>
              </w:rPr>
            </w:pPr>
            <w:r>
              <w:rPr>
                <w:rFonts w:ascii="宋体" w:hAnsi="宋体" w:cs="宋体" w:eastAsia="宋体" w:hint="default"/>
                <w:sz w:val="18"/>
                <w:szCs w:val="18"/>
              </w:rPr>
              <w:t>（深圳市科技创新委员 会）深圳国库</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0"/>
              <w:ind w:left="24" w:right="46"/>
              <w:jc w:val="both"/>
              <w:rPr>
                <w:rFonts w:ascii="宋体" w:hAnsi="宋体" w:cs="宋体" w:eastAsia="宋体" w:hint="default"/>
                <w:sz w:val="18"/>
                <w:szCs w:val="18"/>
              </w:rPr>
            </w:pPr>
            <w:r>
              <w:rPr>
                <w:rFonts w:ascii="宋体" w:hAnsi="宋体" w:cs="宋体" w:eastAsia="宋体" w:hint="default"/>
                <w:sz w:val="18"/>
                <w:szCs w:val="18"/>
              </w:rPr>
              <w:t>因从事国家鼓励和扶 持特定行业、产业而 获得的补助（按国家</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199,034.16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199,034.20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9"/>
              <w:jc w:val="both"/>
              <w:rPr>
                <w:rFonts w:ascii="宋体" w:hAnsi="宋体" w:cs="宋体" w:eastAsia="宋体" w:hint="default"/>
                <w:sz w:val="18"/>
                <w:szCs w:val="18"/>
              </w:rPr>
            </w:pPr>
            <w:r>
              <w:rPr>
                <w:rFonts w:ascii="宋体" w:hAnsi="宋体" w:cs="宋体" w:eastAsia="宋体" w:hint="default"/>
                <w:sz w:val="18"/>
                <w:szCs w:val="18"/>
              </w:rPr>
              <w:t>与资 产相 关</w:t>
            </w:r>
          </w:p>
        </w:tc>
      </w:tr>
    </w:tbl>
    <w:p>
      <w:pPr>
        <w:spacing w:after="0" w:line="316" w:lineRule="auto"/>
        <w:jc w:val="both"/>
        <w:rPr>
          <w:rFonts w:ascii="宋体" w:hAnsi="宋体" w:cs="宋体" w:eastAsia="宋体"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911"/>
        <w:gridCol w:w="1949"/>
        <w:gridCol w:w="422"/>
        <w:gridCol w:w="1702"/>
        <w:gridCol w:w="833"/>
        <w:gridCol w:w="430"/>
        <w:gridCol w:w="927"/>
        <w:gridCol w:w="929"/>
        <w:gridCol w:w="595"/>
      </w:tblGrid>
      <w:tr>
        <w:trPr>
          <w:trHeight w:val="675"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26"/>
              <w:jc w:val="left"/>
              <w:rPr>
                <w:rFonts w:ascii="宋体" w:hAnsi="宋体" w:cs="宋体" w:eastAsia="宋体" w:hint="default"/>
                <w:sz w:val="18"/>
                <w:szCs w:val="18"/>
              </w:rPr>
            </w:pPr>
            <w:r>
              <w:rPr>
                <w:rFonts w:ascii="宋体" w:hAnsi="宋体" w:cs="宋体" w:eastAsia="宋体" w:hint="default"/>
                <w:sz w:val="18"/>
                <w:szCs w:val="18"/>
              </w:rPr>
              <w:t>级政策规定依法取 得）</w:t>
            </w:r>
          </w:p>
        </w:tc>
        <w:tc>
          <w:tcPr>
            <w:tcW w:w="8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成都市软件著作权登记 资助</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3"/>
              <w:jc w:val="left"/>
              <w:rPr>
                <w:rFonts w:ascii="宋体" w:hAnsi="宋体" w:cs="宋体" w:eastAsia="宋体" w:hint="default"/>
                <w:sz w:val="18"/>
                <w:szCs w:val="18"/>
              </w:rPr>
            </w:pPr>
            <w:r>
              <w:rPr>
                <w:rFonts w:ascii="宋体" w:hAnsi="宋体" w:cs="宋体" w:eastAsia="宋体" w:hint="default"/>
                <w:sz w:val="18"/>
                <w:szCs w:val="18"/>
              </w:rPr>
              <w:t>成都高新技术产业开发 区科技与新经济发展局</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因研究开发、技术更 新及改造等获得的补 助</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13,800.00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9"/>
              <w:jc w:val="both"/>
              <w:rPr>
                <w:rFonts w:ascii="宋体" w:hAnsi="宋体" w:cs="宋体" w:eastAsia="宋体" w:hint="default"/>
                <w:sz w:val="18"/>
                <w:szCs w:val="18"/>
              </w:rPr>
            </w:pPr>
            <w:r>
              <w:rPr>
                <w:rFonts w:ascii="宋体" w:hAnsi="宋体" w:cs="宋体" w:eastAsia="宋体" w:hint="default"/>
                <w:sz w:val="18"/>
                <w:szCs w:val="18"/>
              </w:rPr>
              <w:t>与收 益相 关</w:t>
            </w:r>
          </w:p>
        </w:tc>
      </w:tr>
      <w:tr>
        <w:trPr>
          <w:trHeight w:val="1027"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企业缴纳个人所得税款 按照地方留存部分的 </w:t>
            </w:r>
            <w:r>
              <w:rPr>
                <w:rFonts w:ascii="Times New Roman" w:hAnsi="Times New Roman" w:cs="Times New Roman" w:eastAsia="Times New Roman" w:hint="default"/>
                <w:sz w:val="18"/>
                <w:szCs w:val="18"/>
              </w:rPr>
              <w:t>50%</w:t>
            </w:r>
            <w:r>
              <w:rPr>
                <w:rFonts w:ascii="宋体" w:hAnsi="宋体" w:cs="宋体" w:eastAsia="宋体" w:hint="default"/>
                <w:sz w:val="18"/>
                <w:szCs w:val="18"/>
              </w:rPr>
              <w:t>申请兑现奖励资金</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喀什经济开发区财政局</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奖励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300,414.37</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9"/>
              <w:jc w:val="both"/>
              <w:rPr>
                <w:rFonts w:ascii="宋体" w:hAnsi="宋体" w:cs="宋体" w:eastAsia="宋体" w:hint="default"/>
                <w:sz w:val="18"/>
                <w:szCs w:val="18"/>
              </w:rPr>
            </w:pPr>
            <w:r>
              <w:rPr>
                <w:rFonts w:ascii="宋体" w:hAnsi="宋体" w:cs="宋体" w:eastAsia="宋体" w:hint="default"/>
                <w:sz w:val="18"/>
                <w:szCs w:val="18"/>
              </w:rPr>
              <w:t>与收 益相 关</w:t>
            </w:r>
          </w:p>
        </w:tc>
      </w:tr>
      <w:tr>
        <w:trPr>
          <w:trHeight w:val="1337"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深圳市高技能人才公共 实训管理服务中心 </w:t>
            </w:r>
            <w:r>
              <w:rPr>
                <w:rFonts w:ascii="Times New Roman" w:hAnsi="Times New Roman" w:cs="Times New Roman" w:eastAsia="Times New Roman" w:hint="default"/>
                <w:sz w:val="18"/>
                <w:szCs w:val="18"/>
              </w:rPr>
              <w:t>2017-2018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年企业岗前 培训补贴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深圳市高技能人才公共 实训管理服务中心</w:t>
            </w:r>
            <w:r>
              <w:rPr>
                <w:rFonts w:ascii="Times New Roman" w:hAnsi="Times New Roman" w:cs="Times New Roman" w:eastAsia="Times New Roman" w:hint="default"/>
                <w:sz w:val="18"/>
                <w:szCs w:val="18"/>
              </w:rPr>
              <w:t>-</w:t>
            </w:r>
            <w:r>
              <w:rPr>
                <w:rFonts w:ascii="宋体" w:hAnsi="宋体" w:cs="宋体" w:eastAsia="宋体" w:hint="default"/>
                <w:sz w:val="18"/>
                <w:szCs w:val="18"/>
              </w:rPr>
              <w:t>人事 行政部申请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2017-2018 </w:t>
            </w:r>
            <w:r>
              <w:rPr>
                <w:rFonts w:ascii="宋体" w:hAnsi="宋体" w:cs="宋体" w:eastAsia="宋体" w:hint="default"/>
                <w:sz w:val="18"/>
                <w:szCs w:val="18"/>
              </w:rPr>
              <w:t>年企业岗前培训补贴</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11,000.00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9,800.00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99"/>
              <w:jc w:val="both"/>
              <w:rPr>
                <w:rFonts w:ascii="宋体" w:hAnsi="宋体" w:cs="宋体" w:eastAsia="宋体" w:hint="default"/>
                <w:sz w:val="18"/>
                <w:szCs w:val="18"/>
              </w:rPr>
            </w:pPr>
            <w:r>
              <w:rPr>
                <w:rFonts w:ascii="宋体" w:hAnsi="宋体" w:cs="宋体" w:eastAsia="宋体" w:hint="default"/>
                <w:sz w:val="18"/>
                <w:szCs w:val="18"/>
              </w:rPr>
              <w:t>与收 益相 关</w:t>
            </w:r>
          </w:p>
        </w:tc>
      </w:tr>
      <w:tr>
        <w:trPr>
          <w:trHeight w:val="1027"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深圳市经济贸易和信息 化委员会展会补贴费</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3"/>
              <w:jc w:val="left"/>
              <w:rPr>
                <w:rFonts w:ascii="宋体" w:hAnsi="宋体" w:cs="宋体" w:eastAsia="宋体" w:hint="default"/>
                <w:sz w:val="18"/>
                <w:szCs w:val="18"/>
              </w:rPr>
            </w:pPr>
            <w:r>
              <w:rPr>
                <w:rFonts w:ascii="宋体" w:hAnsi="宋体" w:cs="宋体" w:eastAsia="宋体" w:hint="default"/>
                <w:sz w:val="18"/>
                <w:szCs w:val="18"/>
              </w:rPr>
              <w:t>深圳市经济贸易和信息 化委员会</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35,028.00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9"/>
              <w:jc w:val="both"/>
              <w:rPr>
                <w:rFonts w:ascii="宋体" w:hAnsi="宋体" w:cs="宋体" w:eastAsia="宋体" w:hint="default"/>
                <w:sz w:val="18"/>
                <w:szCs w:val="18"/>
              </w:rPr>
            </w:pPr>
            <w:r>
              <w:rPr>
                <w:rFonts w:ascii="宋体" w:hAnsi="宋体" w:cs="宋体" w:eastAsia="宋体" w:hint="default"/>
                <w:sz w:val="18"/>
                <w:szCs w:val="18"/>
              </w:rPr>
              <w:t>与收 益相 关</w:t>
            </w:r>
          </w:p>
        </w:tc>
      </w:tr>
      <w:tr>
        <w:trPr>
          <w:trHeight w:val="355" w:hRule="exact"/>
        </w:trPr>
        <w:tc>
          <w:tcPr>
            <w:tcW w:w="1911" w:type="dxa"/>
            <w:tcBorders>
              <w:top w:val="single" w:sz="4" w:space="0" w:color="000000"/>
              <w:left w:val="single" w:sz="4" w:space="0" w:color="000000"/>
              <w:bottom w:val="nil" w:sz="6" w:space="0" w:color="auto"/>
              <w:right w:val="single" w:sz="4" w:space="0" w:color="000000"/>
            </w:tcBorders>
          </w:tcPr>
          <w:p>
            <w:pPr/>
          </w:p>
        </w:tc>
        <w:tc>
          <w:tcPr>
            <w:tcW w:w="1949" w:type="dxa"/>
            <w:tcBorders>
              <w:top w:val="single" w:sz="4" w:space="0" w:color="000000"/>
              <w:left w:val="single" w:sz="4" w:space="0" w:color="000000"/>
              <w:bottom w:val="nil" w:sz="6" w:space="0" w:color="auto"/>
              <w:right w:val="single" w:sz="4" w:space="0" w:color="000000"/>
            </w:tcBorders>
          </w:tcPr>
          <w:p>
            <w:pPr/>
          </w:p>
        </w:tc>
        <w:tc>
          <w:tcPr>
            <w:tcW w:w="422"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因符合地方政府招商</w:t>
            </w:r>
          </w:p>
        </w:tc>
        <w:tc>
          <w:tcPr>
            <w:tcW w:w="833" w:type="dxa"/>
            <w:tcBorders>
              <w:top w:val="single" w:sz="4" w:space="0" w:color="000000"/>
              <w:left w:val="single" w:sz="4" w:space="0" w:color="000000"/>
              <w:bottom w:val="nil" w:sz="6" w:space="0" w:color="auto"/>
              <w:right w:val="single" w:sz="4" w:space="0" w:color="000000"/>
            </w:tcBorders>
          </w:tcPr>
          <w:p>
            <w:pPr/>
          </w:p>
        </w:tc>
        <w:tc>
          <w:tcPr>
            <w:tcW w:w="430" w:type="dxa"/>
            <w:tcBorders>
              <w:top w:val="single" w:sz="4" w:space="0" w:color="000000"/>
              <w:left w:val="single" w:sz="4" w:space="0" w:color="000000"/>
              <w:bottom w:val="nil" w:sz="6" w:space="0" w:color="auto"/>
              <w:right w:val="single" w:sz="4" w:space="0" w:color="000000"/>
            </w:tcBorders>
          </w:tcPr>
          <w:p>
            <w:pPr/>
          </w:p>
        </w:tc>
        <w:tc>
          <w:tcPr>
            <w:tcW w:w="927" w:type="dxa"/>
            <w:tcBorders>
              <w:top w:val="single" w:sz="4" w:space="0" w:color="000000"/>
              <w:left w:val="single" w:sz="4" w:space="0" w:color="000000"/>
              <w:bottom w:val="nil" w:sz="6" w:space="0" w:color="auto"/>
              <w:right w:val="single" w:sz="4" w:space="0" w:color="000000"/>
            </w:tcBorders>
          </w:tcPr>
          <w:p>
            <w:pPr/>
          </w:p>
        </w:tc>
        <w:tc>
          <w:tcPr>
            <w:tcW w:w="929" w:type="dxa"/>
            <w:tcBorders>
              <w:top w:val="single" w:sz="4" w:space="0" w:color="000000"/>
              <w:left w:val="single" w:sz="4" w:space="0" w:color="000000"/>
              <w:bottom w:val="nil" w:sz="6" w:space="0" w:color="auto"/>
              <w:right w:val="single" w:sz="4" w:space="0" w:color="000000"/>
            </w:tcBorders>
          </w:tcPr>
          <w:p>
            <w:pPr/>
          </w:p>
        </w:tc>
        <w:tc>
          <w:tcPr>
            <w:tcW w:w="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w:t>
            </w:r>
          </w:p>
        </w:tc>
      </w:tr>
      <w:tr>
        <w:trPr>
          <w:trHeight w:val="317" w:hRule="exact"/>
        </w:trPr>
        <w:tc>
          <w:tcPr>
            <w:tcW w:w="19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电动中巴车补贴</w:t>
            </w: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深圳市发改委</w:t>
            </w:r>
          </w:p>
        </w:tc>
        <w:tc>
          <w:tcPr>
            <w:tcW w:w="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引资等地方性扶持政</w:t>
            </w:r>
          </w:p>
        </w:tc>
        <w:tc>
          <w:tcPr>
            <w:tcW w:w="8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20,000.04</w:t>
            </w:r>
          </w:p>
        </w:tc>
        <w:tc>
          <w:tcPr>
            <w:tcW w:w="92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w w:val="95"/>
                <w:sz w:val="18"/>
              </w:rPr>
              <w:t>5,000.00</w:t>
            </w:r>
          </w:p>
        </w:tc>
        <w:tc>
          <w:tcPr>
            <w:tcW w:w="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产相</w:t>
            </w:r>
          </w:p>
        </w:tc>
      </w:tr>
      <w:tr>
        <w:trPr>
          <w:trHeight w:val="353" w:hRule="exact"/>
        </w:trPr>
        <w:tc>
          <w:tcPr>
            <w:tcW w:w="1911" w:type="dxa"/>
            <w:tcBorders>
              <w:top w:val="nil" w:sz="6" w:space="0" w:color="auto"/>
              <w:left w:val="single" w:sz="4" w:space="0" w:color="000000"/>
              <w:bottom w:val="single" w:sz="4" w:space="0" w:color="000000"/>
              <w:right w:val="single" w:sz="4" w:space="0" w:color="000000"/>
            </w:tcBorders>
          </w:tcPr>
          <w:p>
            <w:pPr/>
          </w:p>
        </w:tc>
        <w:tc>
          <w:tcPr>
            <w:tcW w:w="1949" w:type="dxa"/>
            <w:tcBorders>
              <w:top w:val="nil" w:sz="6" w:space="0" w:color="auto"/>
              <w:left w:val="single" w:sz="4" w:space="0" w:color="000000"/>
              <w:bottom w:val="single" w:sz="4" w:space="0" w:color="000000"/>
              <w:right w:val="single" w:sz="4" w:space="0" w:color="000000"/>
            </w:tcBorders>
          </w:tcPr>
          <w:p>
            <w:pPr/>
          </w:p>
        </w:tc>
        <w:tc>
          <w:tcPr>
            <w:tcW w:w="422"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策而获得的补助</w:t>
            </w:r>
          </w:p>
        </w:tc>
        <w:tc>
          <w:tcPr>
            <w:tcW w:w="833" w:type="dxa"/>
            <w:tcBorders>
              <w:top w:val="nil" w:sz="6" w:space="0" w:color="auto"/>
              <w:left w:val="single" w:sz="4" w:space="0" w:color="000000"/>
              <w:bottom w:val="single" w:sz="4" w:space="0" w:color="000000"/>
              <w:right w:val="single" w:sz="4" w:space="0" w:color="000000"/>
            </w:tcBorders>
          </w:tcPr>
          <w:p>
            <w:pPr/>
          </w:p>
        </w:tc>
        <w:tc>
          <w:tcPr>
            <w:tcW w:w="430" w:type="dxa"/>
            <w:tcBorders>
              <w:top w:val="nil" w:sz="6" w:space="0" w:color="auto"/>
              <w:left w:val="single" w:sz="4" w:space="0" w:color="000000"/>
              <w:bottom w:val="single" w:sz="4" w:space="0" w:color="000000"/>
              <w:right w:val="single" w:sz="4" w:space="0" w:color="000000"/>
            </w:tcBorders>
          </w:tcPr>
          <w:p>
            <w:pPr/>
          </w:p>
        </w:tc>
        <w:tc>
          <w:tcPr>
            <w:tcW w:w="927" w:type="dxa"/>
            <w:tcBorders>
              <w:top w:val="nil" w:sz="6" w:space="0" w:color="auto"/>
              <w:left w:val="single" w:sz="4" w:space="0" w:color="000000"/>
              <w:bottom w:val="single" w:sz="4" w:space="0" w:color="000000"/>
              <w:right w:val="single" w:sz="4" w:space="0" w:color="000000"/>
            </w:tcBorders>
          </w:tcPr>
          <w:p>
            <w:pPr/>
          </w:p>
        </w:tc>
        <w:tc>
          <w:tcPr>
            <w:tcW w:w="929" w:type="dxa"/>
            <w:tcBorders>
              <w:top w:val="nil" w:sz="6" w:space="0" w:color="auto"/>
              <w:left w:val="single" w:sz="4" w:space="0" w:color="000000"/>
              <w:bottom w:val="single" w:sz="4" w:space="0" w:color="000000"/>
              <w:right w:val="single" w:sz="4" w:space="0" w:color="000000"/>
            </w:tcBorders>
          </w:tcPr>
          <w:p>
            <w:pPr/>
          </w:p>
        </w:tc>
        <w:tc>
          <w:tcPr>
            <w:tcW w:w="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355" w:hRule="exact"/>
        </w:trPr>
        <w:tc>
          <w:tcPr>
            <w:tcW w:w="1911" w:type="dxa"/>
            <w:tcBorders>
              <w:top w:val="single" w:sz="4" w:space="0" w:color="000000"/>
              <w:left w:val="single" w:sz="4" w:space="0" w:color="000000"/>
              <w:bottom w:val="nil" w:sz="6" w:space="0" w:color="auto"/>
              <w:right w:val="single" w:sz="4" w:space="0" w:color="000000"/>
            </w:tcBorders>
          </w:tcPr>
          <w:p>
            <w:pPr/>
          </w:p>
        </w:tc>
        <w:tc>
          <w:tcPr>
            <w:tcW w:w="1949" w:type="dxa"/>
            <w:tcBorders>
              <w:top w:val="single" w:sz="4" w:space="0" w:color="000000"/>
              <w:left w:val="single" w:sz="4" w:space="0" w:color="000000"/>
              <w:bottom w:val="nil" w:sz="6" w:space="0" w:color="auto"/>
              <w:right w:val="single" w:sz="4" w:space="0" w:color="000000"/>
            </w:tcBorders>
          </w:tcPr>
          <w:p>
            <w:pPr/>
          </w:p>
        </w:tc>
        <w:tc>
          <w:tcPr>
            <w:tcW w:w="422"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因符合地方政府招商</w:t>
            </w:r>
          </w:p>
        </w:tc>
        <w:tc>
          <w:tcPr>
            <w:tcW w:w="833" w:type="dxa"/>
            <w:tcBorders>
              <w:top w:val="single" w:sz="4" w:space="0" w:color="000000"/>
              <w:left w:val="single" w:sz="4" w:space="0" w:color="000000"/>
              <w:bottom w:val="nil" w:sz="6" w:space="0" w:color="auto"/>
              <w:right w:val="single" w:sz="4" w:space="0" w:color="000000"/>
            </w:tcBorders>
          </w:tcPr>
          <w:p>
            <w:pPr/>
          </w:p>
        </w:tc>
        <w:tc>
          <w:tcPr>
            <w:tcW w:w="430" w:type="dxa"/>
            <w:tcBorders>
              <w:top w:val="single" w:sz="4" w:space="0" w:color="000000"/>
              <w:left w:val="single" w:sz="4" w:space="0" w:color="000000"/>
              <w:bottom w:val="nil" w:sz="6" w:space="0" w:color="auto"/>
              <w:right w:val="single" w:sz="4" w:space="0" w:color="000000"/>
            </w:tcBorders>
          </w:tcPr>
          <w:p>
            <w:pPr/>
          </w:p>
        </w:tc>
        <w:tc>
          <w:tcPr>
            <w:tcW w:w="927" w:type="dxa"/>
            <w:tcBorders>
              <w:top w:val="single" w:sz="4" w:space="0" w:color="000000"/>
              <w:left w:val="single" w:sz="4" w:space="0" w:color="000000"/>
              <w:bottom w:val="nil" w:sz="6" w:space="0" w:color="auto"/>
              <w:right w:val="single" w:sz="4" w:space="0" w:color="000000"/>
            </w:tcBorders>
          </w:tcPr>
          <w:p>
            <w:pPr/>
          </w:p>
        </w:tc>
        <w:tc>
          <w:tcPr>
            <w:tcW w:w="929" w:type="dxa"/>
            <w:tcBorders>
              <w:top w:val="single" w:sz="4" w:space="0" w:color="000000"/>
              <w:left w:val="single" w:sz="4" w:space="0" w:color="000000"/>
              <w:bottom w:val="nil" w:sz="6" w:space="0" w:color="auto"/>
              <w:right w:val="single" w:sz="4" w:space="0" w:color="000000"/>
            </w:tcBorders>
          </w:tcPr>
          <w:p>
            <w:pPr/>
          </w:p>
        </w:tc>
        <w:tc>
          <w:tcPr>
            <w:tcW w:w="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w:t>
            </w:r>
          </w:p>
        </w:tc>
      </w:tr>
      <w:tr>
        <w:trPr>
          <w:trHeight w:val="317" w:hRule="exact"/>
        </w:trPr>
        <w:tc>
          <w:tcPr>
            <w:tcW w:w="19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年电费补贴</w:t>
            </w: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深圳市供电局</w:t>
            </w:r>
          </w:p>
        </w:tc>
        <w:tc>
          <w:tcPr>
            <w:tcW w:w="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引资等地方性扶持政</w:t>
            </w:r>
          </w:p>
        </w:tc>
        <w:tc>
          <w:tcPr>
            <w:tcW w:w="8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452,602.50</w:t>
            </w:r>
          </w:p>
        </w:tc>
        <w:tc>
          <w:tcPr>
            <w:tcW w:w="92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益相</w:t>
            </w:r>
          </w:p>
        </w:tc>
      </w:tr>
      <w:tr>
        <w:trPr>
          <w:trHeight w:val="355" w:hRule="exact"/>
        </w:trPr>
        <w:tc>
          <w:tcPr>
            <w:tcW w:w="1911" w:type="dxa"/>
            <w:tcBorders>
              <w:top w:val="nil" w:sz="6" w:space="0" w:color="auto"/>
              <w:left w:val="single" w:sz="4" w:space="0" w:color="000000"/>
              <w:bottom w:val="single" w:sz="4" w:space="0" w:color="000000"/>
              <w:right w:val="single" w:sz="4" w:space="0" w:color="000000"/>
            </w:tcBorders>
          </w:tcPr>
          <w:p>
            <w:pPr/>
          </w:p>
        </w:tc>
        <w:tc>
          <w:tcPr>
            <w:tcW w:w="1949" w:type="dxa"/>
            <w:tcBorders>
              <w:top w:val="nil" w:sz="6" w:space="0" w:color="auto"/>
              <w:left w:val="single" w:sz="4" w:space="0" w:color="000000"/>
              <w:bottom w:val="single" w:sz="4" w:space="0" w:color="000000"/>
              <w:right w:val="single" w:sz="4" w:space="0" w:color="000000"/>
            </w:tcBorders>
          </w:tcPr>
          <w:p>
            <w:pPr/>
          </w:p>
        </w:tc>
        <w:tc>
          <w:tcPr>
            <w:tcW w:w="422"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策而获得的补助</w:t>
            </w:r>
          </w:p>
        </w:tc>
        <w:tc>
          <w:tcPr>
            <w:tcW w:w="833" w:type="dxa"/>
            <w:tcBorders>
              <w:top w:val="nil" w:sz="6" w:space="0" w:color="auto"/>
              <w:left w:val="single" w:sz="4" w:space="0" w:color="000000"/>
              <w:bottom w:val="single" w:sz="4" w:space="0" w:color="000000"/>
              <w:right w:val="single" w:sz="4" w:space="0" w:color="000000"/>
            </w:tcBorders>
          </w:tcPr>
          <w:p>
            <w:pPr/>
          </w:p>
        </w:tc>
        <w:tc>
          <w:tcPr>
            <w:tcW w:w="430" w:type="dxa"/>
            <w:tcBorders>
              <w:top w:val="nil" w:sz="6" w:space="0" w:color="auto"/>
              <w:left w:val="single" w:sz="4" w:space="0" w:color="000000"/>
              <w:bottom w:val="single" w:sz="4" w:space="0" w:color="000000"/>
              <w:right w:val="single" w:sz="4" w:space="0" w:color="000000"/>
            </w:tcBorders>
          </w:tcPr>
          <w:p>
            <w:pPr/>
          </w:p>
        </w:tc>
        <w:tc>
          <w:tcPr>
            <w:tcW w:w="927" w:type="dxa"/>
            <w:tcBorders>
              <w:top w:val="nil" w:sz="6" w:space="0" w:color="auto"/>
              <w:left w:val="single" w:sz="4" w:space="0" w:color="000000"/>
              <w:bottom w:val="single" w:sz="4" w:space="0" w:color="000000"/>
              <w:right w:val="single" w:sz="4" w:space="0" w:color="000000"/>
            </w:tcBorders>
          </w:tcPr>
          <w:p>
            <w:pPr/>
          </w:p>
        </w:tc>
        <w:tc>
          <w:tcPr>
            <w:tcW w:w="929" w:type="dxa"/>
            <w:tcBorders>
              <w:top w:val="nil" w:sz="6" w:space="0" w:color="auto"/>
              <w:left w:val="single" w:sz="4" w:space="0" w:color="000000"/>
              <w:bottom w:val="single" w:sz="4" w:space="0" w:color="000000"/>
              <w:right w:val="single" w:sz="4" w:space="0" w:color="000000"/>
            </w:tcBorders>
          </w:tcPr>
          <w:p>
            <w:pPr/>
          </w:p>
        </w:tc>
        <w:tc>
          <w:tcPr>
            <w:tcW w:w="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102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年度经济发展专项 资金补助</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深圳市坪山新区财政局</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369,778.00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9"/>
              <w:jc w:val="both"/>
              <w:rPr>
                <w:rFonts w:ascii="宋体" w:hAnsi="宋体" w:cs="宋体" w:eastAsia="宋体" w:hint="default"/>
                <w:sz w:val="18"/>
                <w:szCs w:val="18"/>
              </w:rPr>
            </w:pPr>
            <w:r>
              <w:rPr>
                <w:rFonts w:ascii="宋体" w:hAnsi="宋体" w:cs="宋体" w:eastAsia="宋体" w:hint="default"/>
                <w:sz w:val="18"/>
                <w:szCs w:val="18"/>
              </w:rPr>
              <w:t>与收 益相 关</w:t>
            </w:r>
          </w:p>
        </w:tc>
      </w:tr>
      <w:tr>
        <w:trPr>
          <w:trHeight w:val="1027"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科技创新专项资金</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3"/>
              <w:jc w:val="left"/>
              <w:rPr>
                <w:rFonts w:ascii="宋体" w:hAnsi="宋体" w:cs="宋体" w:eastAsia="宋体" w:hint="default"/>
                <w:sz w:val="18"/>
                <w:szCs w:val="18"/>
              </w:rPr>
            </w:pPr>
            <w:r>
              <w:rPr>
                <w:rFonts w:ascii="宋体" w:hAnsi="宋体" w:cs="宋体" w:eastAsia="宋体" w:hint="default"/>
                <w:sz w:val="18"/>
                <w:szCs w:val="18"/>
              </w:rPr>
              <w:t>深圳市坪山区科技创新 服务署</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9"/>
              <w:jc w:val="both"/>
              <w:rPr>
                <w:rFonts w:ascii="宋体" w:hAnsi="宋体" w:cs="宋体" w:eastAsia="宋体" w:hint="default"/>
                <w:sz w:val="18"/>
                <w:szCs w:val="18"/>
              </w:rPr>
            </w:pPr>
            <w:r>
              <w:rPr>
                <w:rFonts w:ascii="宋体" w:hAnsi="宋体" w:cs="宋体" w:eastAsia="宋体" w:hint="default"/>
                <w:sz w:val="18"/>
                <w:szCs w:val="18"/>
              </w:rPr>
              <w:t>与收 益相 关</w:t>
            </w:r>
          </w:p>
        </w:tc>
      </w:tr>
      <w:tr>
        <w:trPr>
          <w:trHeight w:val="102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年第一批科技创新 专项资金（国高认定）</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3"/>
              <w:jc w:val="left"/>
              <w:rPr>
                <w:rFonts w:ascii="宋体" w:hAnsi="宋体" w:cs="宋体" w:eastAsia="宋体" w:hint="default"/>
                <w:sz w:val="18"/>
                <w:szCs w:val="18"/>
              </w:rPr>
            </w:pPr>
            <w:r>
              <w:rPr>
                <w:rFonts w:ascii="宋体" w:hAnsi="宋体" w:cs="宋体" w:eastAsia="宋体" w:hint="default"/>
                <w:sz w:val="18"/>
                <w:szCs w:val="18"/>
              </w:rPr>
              <w:t>深圳市坪山区科技创新 服务署</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9"/>
              <w:jc w:val="both"/>
              <w:rPr>
                <w:rFonts w:ascii="宋体" w:hAnsi="宋体" w:cs="宋体" w:eastAsia="宋体" w:hint="default"/>
                <w:sz w:val="18"/>
                <w:szCs w:val="18"/>
              </w:rPr>
            </w:pPr>
            <w:r>
              <w:rPr>
                <w:rFonts w:ascii="宋体" w:hAnsi="宋体" w:cs="宋体" w:eastAsia="宋体" w:hint="default"/>
                <w:sz w:val="18"/>
                <w:szCs w:val="18"/>
              </w:rPr>
              <w:t>与收 益相 关</w:t>
            </w:r>
          </w:p>
        </w:tc>
      </w:tr>
      <w:tr>
        <w:trPr>
          <w:trHeight w:val="1027"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5"/>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年国家 高新技术企业认定企业 奖补资金</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3"/>
              <w:jc w:val="left"/>
              <w:rPr>
                <w:rFonts w:ascii="宋体" w:hAnsi="宋体" w:cs="宋体" w:eastAsia="宋体" w:hint="default"/>
                <w:sz w:val="18"/>
                <w:szCs w:val="18"/>
              </w:rPr>
            </w:pPr>
            <w:r>
              <w:rPr>
                <w:rFonts w:ascii="宋体" w:hAnsi="宋体" w:cs="宋体" w:eastAsia="宋体" w:hint="default"/>
                <w:sz w:val="18"/>
                <w:szCs w:val="18"/>
              </w:rPr>
              <w:t>深圳市坪山区科技创新 服务署</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9"/>
              <w:jc w:val="both"/>
              <w:rPr>
                <w:rFonts w:ascii="宋体" w:hAnsi="宋体" w:cs="宋体" w:eastAsia="宋体" w:hint="default"/>
                <w:sz w:val="18"/>
                <w:szCs w:val="18"/>
              </w:rPr>
            </w:pPr>
            <w:r>
              <w:rPr>
                <w:rFonts w:ascii="宋体" w:hAnsi="宋体" w:cs="宋体" w:eastAsia="宋体" w:hint="default"/>
                <w:sz w:val="18"/>
                <w:szCs w:val="18"/>
              </w:rPr>
              <w:t>与收 益相 关</w:t>
            </w:r>
          </w:p>
        </w:tc>
      </w:tr>
      <w:tr>
        <w:trPr>
          <w:trHeight w:val="102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年第四批科技创新 专项资金（贷款贴息）</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3"/>
              <w:jc w:val="left"/>
              <w:rPr>
                <w:rFonts w:ascii="宋体" w:hAnsi="宋体" w:cs="宋体" w:eastAsia="宋体" w:hint="default"/>
                <w:sz w:val="18"/>
                <w:szCs w:val="18"/>
              </w:rPr>
            </w:pPr>
            <w:r>
              <w:rPr>
                <w:rFonts w:ascii="宋体" w:hAnsi="宋体" w:cs="宋体" w:eastAsia="宋体" w:hint="default"/>
                <w:sz w:val="18"/>
                <w:szCs w:val="18"/>
              </w:rPr>
              <w:t>深圳市坪山区科技创新 服务署</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114,403.00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9"/>
              <w:jc w:val="both"/>
              <w:rPr>
                <w:rFonts w:ascii="宋体" w:hAnsi="宋体" w:cs="宋体" w:eastAsia="宋体" w:hint="default"/>
                <w:sz w:val="18"/>
                <w:szCs w:val="18"/>
              </w:rPr>
            </w:pPr>
            <w:r>
              <w:rPr>
                <w:rFonts w:ascii="宋体" w:hAnsi="宋体" w:cs="宋体" w:eastAsia="宋体" w:hint="default"/>
                <w:sz w:val="18"/>
                <w:szCs w:val="18"/>
              </w:rPr>
              <w:t>与收 益相 关</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48</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19,177.50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18,989.63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29,137.18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18,989.63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53,694.00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49,914.83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49,914.83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473,906.76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102,008.68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473,906.76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49</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51,971,601.87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-1,562,977.02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3,915,549.56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-10,127,767.50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55,887,151.43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-11,690,744.52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7947"/>
        <w:gridCol w:w="1739"/>
      </w:tblGrid>
      <w:tr>
        <w:trPr>
          <w:trHeight w:val="403" w:hRule="exact"/>
        </w:trPr>
        <w:tc>
          <w:tcPr>
            <w:tcW w:w="7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7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7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458,354,540.62</w:t>
            </w:r>
          </w:p>
        </w:tc>
      </w:tr>
      <w:tr>
        <w:trPr>
          <w:trHeight w:val="403" w:hRule="exact"/>
        </w:trPr>
        <w:tc>
          <w:tcPr>
            <w:tcW w:w="7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17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68,753,181.09</w:t>
            </w:r>
          </w:p>
        </w:tc>
      </w:tr>
      <w:tr>
        <w:trPr>
          <w:trHeight w:val="401" w:hRule="exact"/>
        </w:trPr>
        <w:tc>
          <w:tcPr>
            <w:tcW w:w="7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17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8,250,521.22</w:t>
            </w:r>
          </w:p>
        </w:tc>
      </w:tr>
      <w:tr>
        <w:trPr>
          <w:trHeight w:val="404" w:hRule="exact"/>
        </w:trPr>
        <w:tc>
          <w:tcPr>
            <w:tcW w:w="7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17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-556,930.59</w:t>
            </w:r>
          </w:p>
        </w:tc>
      </w:tr>
      <w:tr>
        <w:trPr>
          <w:trHeight w:val="401" w:hRule="exact"/>
        </w:trPr>
        <w:tc>
          <w:tcPr>
            <w:tcW w:w="7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17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7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17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-3,961,577.70</w:t>
            </w:r>
          </w:p>
        </w:tc>
      </w:tr>
      <w:tr>
        <w:trPr>
          <w:trHeight w:val="401" w:hRule="exact"/>
        </w:trPr>
        <w:tc>
          <w:tcPr>
            <w:tcW w:w="7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17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-21,707,328.47</w:t>
            </w:r>
          </w:p>
        </w:tc>
      </w:tr>
      <w:tr>
        <w:trPr>
          <w:trHeight w:val="403" w:hRule="exact"/>
        </w:trPr>
        <w:tc>
          <w:tcPr>
            <w:tcW w:w="7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17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5,109,285.88</w:t>
            </w:r>
          </w:p>
        </w:tc>
      </w:tr>
      <w:tr>
        <w:trPr>
          <w:trHeight w:val="401" w:hRule="exact"/>
        </w:trPr>
        <w:tc>
          <w:tcPr>
            <w:tcW w:w="7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7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55,887,151.43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50</w:t>
      </w:r>
      <w:r>
        <w:rPr/>
        <w:t>、其他综合收益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详见附注七、</w:t>
      </w:r>
      <w:r>
        <w:rPr>
          <w:rFonts w:ascii="Times New Roman" w:hAnsi="Times New Roman" w:cs="Times New Roman" w:eastAsia="Times New Roman" w:hint="default"/>
        </w:rPr>
        <w:t>33</w:t>
      </w:r>
      <w:r>
        <w:rPr/>
        <w:t>。</w:t>
      </w:r>
    </w:p>
    <w:p>
      <w:pPr>
        <w:spacing w:after="0" w:line="240" w:lineRule="auto"/>
        <w:jc w:val="left"/>
        <w:sectPr>
          <w:pgSz w:w="11910" w:h="16840"/>
          <w:pgMar w:header="0"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51</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收到的保函保证金、票据保证金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44,760,796.40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收回的投标保证金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18,346,631.69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50,443,399.28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7,825,640.01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3,951,664.03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诉讼保证金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收到与收益相关的政府补助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1,530,261.98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608,409.03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534,338.89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497,059.44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收到的赔款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42,784.70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75,413.70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138,360.59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78,565,867.37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55,638,892.37</w:t>
            </w:r>
          </w:p>
        </w:tc>
      </w:tr>
    </w:tbl>
    <w:p>
      <w:pPr>
        <w:pStyle w:val="BodyText"/>
        <w:spacing w:line="240" w:lineRule="auto" w:before="49"/>
        <w:ind w:right="1133"/>
        <w:jc w:val="left"/>
      </w:pPr>
      <w:r>
        <w:rPr/>
        <w:t>收到的其他与经营活动有关的现金说明：无。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付现销售、管理和研发费用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819,494,160.38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80,993,301.44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支付的保函保证金、票据保证金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3,840,837.46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40,437,223.65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16,064,776.44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23,197,046.66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外部单位往来款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2,566,091.64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6,495,950.63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358,253.20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241,642.86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2,245,978.97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49,092.23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884,151.30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303,558.10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845,454,249.39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151,717,815.57</w:t>
            </w:r>
          </w:p>
        </w:tc>
      </w:tr>
    </w:tbl>
    <w:p>
      <w:pPr>
        <w:pStyle w:val="BodyText"/>
        <w:spacing w:line="240" w:lineRule="auto" w:before="49"/>
        <w:ind w:right="1133"/>
        <w:jc w:val="left"/>
      </w:pPr>
      <w:r>
        <w:rPr/>
        <w:t>支付的其他与经营活动有关的现金说明：无。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3</w:t>
      </w:r>
      <w:r>
        <w:rPr/>
        <w:t>）收到的其他与投资活动有关的现金：无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爱酷游诚意金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支付的其他与投资活动有关的现金说明：无。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5</w:t>
      </w:r>
      <w:r>
        <w:rPr/>
        <w:t>）收到的其他与筹资活动有关的现金：无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哆可梦股权受让款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547,788,574.59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股份回购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50,138,756.00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34,972,414.05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597,927,330.59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34,972,414.05</w:t>
            </w:r>
          </w:p>
        </w:tc>
      </w:tr>
    </w:tbl>
    <w:p>
      <w:pPr>
        <w:pStyle w:val="BodyText"/>
        <w:spacing w:line="240" w:lineRule="auto" w:before="49"/>
        <w:ind w:right="1133"/>
        <w:jc w:val="left"/>
      </w:pPr>
      <w:r>
        <w:rPr/>
        <w:t>支付的其他与筹资活动有关的现金说明：无。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52</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6714"/>
        <w:gridCol w:w="1497"/>
        <w:gridCol w:w="1486"/>
      </w:tblGrid>
      <w:tr>
        <w:trPr>
          <w:trHeight w:val="401"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402,467,389.19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-106,367,307.21</w:t>
            </w:r>
          </w:p>
        </w:tc>
      </w:tr>
      <w:tr>
        <w:trPr>
          <w:trHeight w:val="403"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16,806,838.60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937,783.73</w:t>
            </w:r>
          </w:p>
        </w:tc>
      </w:tr>
      <w:tr>
        <w:trPr>
          <w:trHeight w:val="401"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9,885,416.77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10,179,052.25</w:t>
            </w:r>
          </w:p>
        </w:tc>
      </w:tr>
      <w:tr>
        <w:trPr>
          <w:trHeight w:val="403"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2,427,668.08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3,389,049.13</w:t>
            </w:r>
          </w:p>
        </w:tc>
      </w:tr>
      <w:tr>
        <w:trPr>
          <w:trHeight w:val="401"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7,780,664.27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402,062.39</w:t>
            </w:r>
          </w:p>
        </w:tc>
      </w:tr>
      <w:tr>
        <w:trPr>
          <w:trHeight w:val="403"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-1,052,454.07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-2,330,689.74</w:t>
            </w:r>
          </w:p>
        </w:tc>
      </w:tr>
      <w:tr>
        <w:trPr>
          <w:trHeight w:val="401"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49,914.83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15,564,858.48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100,772.17</w:t>
            </w:r>
          </w:p>
        </w:tc>
      </w:tr>
      <w:tr>
        <w:trPr>
          <w:trHeight w:val="401"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23,427,302.82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5,259,892.53</w:t>
            </w:r>
          </w:p>
        </w:tc>
      </w:tr>
      <w:tr>
        <w:trPr>
          <w:trHeight w:val="403"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-192,246,298.77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44,647,617.63</w:t>
            </w:r>
          </w:p>
        </w:tc>
      </w:tr>
      <w:tr>
        <w:trPr>
          <w:trHeight w:val="401"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4,321,994.58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-8,203,745.27</w:t>
            </w:r>
          </w:p>
        </w:tc>
      </w:tr>
      <w:tr>
        <w:trPr>
          <w:trHeight w:val="403"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-406,445.02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-2,114,818.05</w:t>
            </w:r>
          </w:p>
        </w:tc>
      </w:tr>
      <w:tr>
        <w:trPr>
          <w:trHeight w:val="401"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-3,461,728.69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6,190,595.29</w:t>
            </w:r>
          </w:p>
        </w:tc>
      </w:tr>
      <w:tr>
        <w:trPr>
          <w:trHeight w:val="403"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-44,151,334.27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-62,703,644.61</w:t>
            </w:r>
          </w:p>
        </w:tc>
      </w:tr>
      <w:tr>
        <w:trPr>
          <w:trHeight w:val="401"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65,637,380.61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62,117,809.26</w:t>
            </w:r>
          </w:p>
        </w:tc>
      </w:tr>
      <w:tr>
        <w:trPr>
          <w:trHeight w:val="403"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1,898,836.22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43,025,023.70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6714"/>
        <w:gridCol w:w="1497"/>
        <w:gridCol w:w="1486"/>
      </w:tblGrid>
      <w:tr>
        <w:trPr>
          <w:trHeight w:val="402"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308,950,003.63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-5,470,546.80</w:t>
            </w:r>
          </w:p>
        </w:tc>
      </w:tr>
      <w:tr>
        <w:trPr>
          <w:trHeight w:val="402"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733,303,657.33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289,312,815.48</w:t>
            </w:r>
          </w:p>
        </w:tc>
      </w:tr>
      <w:tr>
        <w:trPr>
          <w:trHeight w:val="402"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289,312,815.48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50,592,813.82</w:t>
            </w:r>
          </w:p>
        </w:tc>
      </w:tr>
      <w:tr>
        <w:trPr>
          <w:trHeight w:val="402"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443,990,841.85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238,720,001.66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）本期支付的取得子公司的现金净额：无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）本期收到的处置子公司的现金净额：无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733,303,657.33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289,312,815.48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3,653.31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2,843.67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731,823,083.18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272,620,373.68</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1,476,920.84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16,689,598.13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733,303,657.33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289,312,815.48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53</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5"/>
        <w:gridCol w:w="3058"/>
        <w:gridCol w:w="3185"/>
      </w:tblGrid>
      <w:tr>
        <w:trPr>
          <w:trHeight w:val="401"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16,327,184.41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保函、银行承兑汇票保证金</w:t>
            </w:r>
          </w:p>
        </w:tc>
      </w:tr>
      <w:tr>
        <w:trPr>
          <w:trHeight w:val="401"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65,833,037.79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借款抵押、融资租赁</w:t>
            </w:r>
          </w:p>
        </w:tc>
      </w:tr>
      <w:tr>
        <w:trPr>
          <w:trHeight w:val="404"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3,594,279.35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1"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1,383,460,950.00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并购贷款项目股权质押</w:t>
            </w:r>
          </w:p>
        </w:tc>
      </w:tr>
      <w:tr>
        <w:trPr>
          <w:trHeight w:val="40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149,041,600.00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1"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1,618,257,051.55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54</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5,188,870.06</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518,793.64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3,560,584.51</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173,984.33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1,365,307.23</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300,135.04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262,978.32</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763,780.00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46,720.16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320,649.80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56,469.13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443,130.20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145,370.25</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11,485.19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78,825.16</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0"/>
              <w:jc w:val="center"/>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8,480.00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66,545.09</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0"/>
              <w:jc w:val="center"/>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11,369,436.36</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1,499,998.08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10,294,786.82</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0"/>
              <w:jc w:val="center"/>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0"/>
              <w:jc w:val="center"/>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1,226,488.86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1,074,649.54</w:t>
            </w:r>
          </w:p>
        </w:tc>
      </w:tr>
    </w:tbl>
    <w:p>
      <w:pPr>
        <w:spacing w:line="240" w:lineRule="auto" w:before="3"/>
        <w:rPr>
          <w:rFonts w:ascii="宋体" w:hAnsi="宋体" w:cs="宋体" w:eastAsia="宋体" w:hint="default"/>
          <w:sz w:val="19"/>
          <w:szCs w:val="19"/>
        </w:rPr>
      </w:pPr>
    </w:p>
    <w:p>
      <w:pPr>
        <w:pStyle w:val="Heading3"/>
        <w:spacing w:line="259" w:lineRule="auto" w:before="36"/>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0"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55</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5132"/>
        <w:gridCol w:w="1560"/>
        <w:gridCol w:w="1136"/>
        <w:gridCol w:w="1870"/>
      </w:tblGrid>
      <w:tr>
        <w:trPr>
          <w:trHeight w:val="401" w:hRule="exact"/>
        </w:trPr>
        <w:tc>
          <w:tcPr>
            <w:tcW w:w="5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5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1,485,662.02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1,485,662.02</w:t>
            </w:r>
          </w:p>
        </w:tc>
      </w:tr>
      <w:tr>
        <w:trPr>
          <w:trHeight w:val="713" w:hRule="exact"/>
        </w:trPr>
        <w:tc>
          <w:tcPr>
            <w:tcW w:w="51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6"/>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因从事国家鼓励和扶持特定行业、产业而获得的补助（按国家级 政策规定依法取得）</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199,034.16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199,034.16</w:t>
            </w:r>
          </w:p>
        </w:tc>
      </w:tr>
      <w:tr>
        <w:trPr>
          <w:trHeight w:val="404" w:hRule="exact"/>
        </w:trPr>
        <w:tc>
          <w:tcPr>
            <w:tcW w:w="5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64,600.00</w:t>
            </w:r>
          </w:p>
        </w:tc>
      </w:tr>
      <w:tr>
        <w:trPr>
          <w:trHeight w:val="401" w:hRule="exact"/>
        </w:trPr>
        <w:tc>
          <w:tcPr>
            <w:tcW w:w="5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704,535.71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704,535.71</w:t>
            </w:r>
          </w:p>
        </w:tc>
      </w:tr>
      <w:tr>
        <w:trPr>
          <w:trHeight w:val="403" w:hRule="exact"/>
        </w:trPr>
        <w:tc>
          <w:tcPr>
            <w:tcW w:w="5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1,410,124.00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1,410,124.00</w:t>
            </w:r>
          </w:p>
        </w:tc>
      </w:tr>
      <w:tr>
        <w:trPr>
          <w:trHeight w:val="401" w:hRule="exact"/>
        </w:trPr>
        <w:tc>
          <w:tcPr>
            <w:tcW w:w="5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3,863,955.89</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3,863,955.89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spacing w:line="487" w:lineRule="auto" w:before="0"/>
        <w:ind w:left="152" w:right="8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、其他：无</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right="113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720"/>
        <w:gridCol w:w="1025"/>
        <w:gridCol w:w="785"/>
        <w:gridCol w:w="939"/>
        <w:gridCol w:w="720"/>
        <w:gridCol w:w="1025"/>
        <w:gridCol w:w="1205"/>
        <w:gridCol w:w="1462"/>
        <w:gridCol w:w="1817"/>
      </w:tblGrid>
      <w:tr>
        <w:trPr>
          <w:trHeight w:val="713"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4"/>
              <w:jc w:val="left"/>
              <w:rPr>
                <w:rFonts w:ascii="宋体" w:hAnsi="宋体" w:cs="宋体" w:eastAsia="宋体" w:hint="default"/>
                <w:sz w:val="18"/>
                <w:szCs w:val="18"/>
              </w:rPr>
            </w:pPr>
            <w:r>
              <w:rPr>
                <w:rFonts w:ascii="宋体" w:hAnsi="宋体" w:cs="宋体" w:eastAsia="宋体" w:hint="default"/>
                <w:sz w:val="18"/>
                <w:szCs w:val="18"/>
              </w:rPr>
              <w:t>被购买 方名称</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7" w:right="55"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8" w:right="24"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6" w:right="101" w:hanging="181"/>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3"/>
              <w:jc w:val="left"/>
              <w:rPr>
                <w:rFonts w:ascii="宋体" w:hAnsi="宋体" w:cs="宋体" w:eastAsia="宋体" w:hint="default"/>
                <w:sz w:val="18"/>
                <w:szCs w:val="18"/>
              </w:rPr>
            </w:pPr>
            <w:r>
              <w:rPr>
                <w:rFonts w:ascii="宋体" w:hAnsi="宋体" w:cs="宋体" w:eastAsia="宋体" w:hint="default"/>
                <w:sz w:val="18"/>
                <w:szCs w:val="18"/>
              </w:rPr>
              <w:t>股权取 得方式</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8" w:right="55" w:hanging="360"/>
              <w:jc w:val="left"/>
              <w:rPr>
                <w:rFonts w:ascii="宋体" w:hAnsi="宋体" w:cs="宋体" w:eastAsia="宋体" w:hint="default"/>
                <w:sz w:val="18"/>
                <w:szCs w:val="18"/>
              </w:rPr>
            </w:pPr>
            <w:r>
              <w:rPr>
                <w:rFonts w:ascii="宋体" w:hAnsi="宋体" w:cs="宋体" w:eastAsia="宋体" w:hint="default"/>
                <w:sz w:val="18"/>
                <w:szCs w:val="18"/>
              </w:rPr>
              <w:t>购买日的确定 依据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7" w:right="94" w:hanging="92"/>
              <w:jc w:val="left"/>
              <w:rPr>
                <w:rFonts w:ascii="宋体" w:hAnsi="宋体" w:cs="宋体" w:eastAsia="宋体" w:hint="default"/>
                <w:sz w:val="18"/>
                <w:szCs w:val="18"/>
              </w:rPr>
            </w:pPr>
            <w:r>
              <w:rPr>
                <w:rFonts w:ascii="宋体" w:hAnsi="宋体" w:cs="宋体" w:eastAsia="宋体" w:hint="default"/>
                <w:sz w:val="18"/>
                <w:szCs w:val="18"/>
              </w:rPr>
              <w:t>购买日至期末被 购买方的收入</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3" w:right="91" w:hanging="360"/>
              <w:jc w:val="left"/>
              <w:rPr>
                <w:rFonts w:ascii="宋体" w:hAnsi="宋体" w:cs="宋体" w:eastAsia="宋体" w:hint="default"/>
                <w:sz w:val="18"/>
                <w:szCs w:val="18"/>
              </w:rPr>
            </w:pPr>
            <w:r>
              <w:rPr>
                <w:rFonts w:ascii="宋体" w:hAnsi="宋体" w:cs="宋体" w:eastAsia="宋体" w:hint="default"/>
                <w:sz w:val="18"/>
                <w:szCs w:val="18"/>
              </w:rPr>
              <w:t>购买日至期末被购买 方的净利润</w:t>
            </w:r>
          </w:p>
        </w:tc>
      </w:tr>
      <w:tr>
        <w:trPr>
          <w:trHeight w:val="71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翔瑞科 技</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受让</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能够对被购买 方实施控制</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1" w:right="0"/>
              <w:jc w:val="left"/>
              <w:rPr>
                <w:rFonts w:ascii="Times New Roman" w:hAnsi="Times New Roman" w:cs="Times New Roman" w:eastAsia="Times New Roman" w:hint="default"/>
                <w:sz w:val="18"/>
                <w:szCs w:val="18"/>
              </w:rPr>
            </w:pPr>
            <w:r>
              <w:rPr>
                <w:rFonts w:ascii="Times New Roman"/>
                <w:sz w:val="18"/>
              </w:rPr>
              <w:t>-418,215.84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）合并成本及商誉：无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）被购买方于购买日可辨认资产、负债：无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是否存在通过多次交易分步实现企业合并且在报告期内取得控制权的交易</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0" w:footer="979" w:top="1100" w:bottom="1160" w:left="980" w:right="0"/>
        </w:sectPr>
      </w:pPr>
    </w:p>
    <w:p>
      <w:pPr>
        <w:spacing w:line="240" w:lineRule="auto" w:before="12"/>
        <w:rPr>
          <w:rFonts w:ascii="宋体" w:hAnsi="宋体" w:cs="宋体" w:eastAsia="宋体" w:hint="default"/>
          <w:sz w:val="20"/>
          <w:szCs w:val="20"/>
        </w:rPr>
      </w:pPr>
    </w:p>
    <w:p>
      <w:pPr>
        <w:pStyle w:val="Heading3"/>
        <w:spacing w:line="259" w:lineRule="auto" w:before="36"/>
        <w:ind w:right="1133"/>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spacing w:val="-61"/>
        </w:rPr>
        <w:t> </w:t>
      </w:r>
      <w:r>
        <w:rPr>
          <w:spacing w:val="-61"/>
        </w:rPr>
      </w:r>
      <w:r>
        <w:rPr/>
        <w:t>无</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3" w:firstLine="283"/>
        <w:jc w:val="left"/>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4</w:t>
      </w:r>
      <w:r>
        <w:rPr>
          <w:spacing w:val="-5"/>
        </w:rPr>
        <w:t>月，经公司总裁办公会审议批准，公司出资</w:t>
      </w:r>
      <w:r>
        <w:rPr>
          <w:rFonts w:ascii="Times New Roman" w:hAnsi="Times New Roman" w:cs="Times New Roman" w:eastAsia="Times New Roman" w:hint="default"/>
          <w:spacing w:val="-5"/>
        </w:rPr>
        <w:t>510</w:t>
      </w:r>
      <w:r>
        <w:rPr>
          <w:spacing w:val="-5"/>
        </w:rPr>
        <w:t>万元设立上海季娱，公司持股比例为</w:t>
      </w:r>
      <w:r>
        <w:rPr>
          <w:rFonts w:ascii="Times New Roman" w:hAnsi="Times New Roman" w:cs="Times New Roman" w:eastAsia="Times New Roman" w:hint="default"/>
          <w:spacing w:val="-5"/>
        </w:rPr>
        <w:t>51%</w:t>
      </w:r>
      <w:r>
        <w:rPr>
          <w:spacing w:val="-5"/>
        </w:rPr>
        <w:t>。截至本报告披露日，</w:t>
      </w:r>
      <w:r>
        <w:rPr/>
        <w:t> 上海季娱已完成工商登记。</w:t>
      </w:r>
    </w:p>
    <w:p>
      <w:pPr>
        <w:pStyle w:val="BodyText"/>
        <w:spacing w:line="300" w:lineRule="auto" w:before="31"/>
        <w:ind w:right="1201" w:firstLine="28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月，经公司总裁办公会审议批准，控股子公司哆可梦出资</w:t>
      </w:r>
      <w:r>
        <w:rPr>
          <w:rFonts w:ascii="Times New Roman" w:hAnsi="Times New Roman" w:cs="Times New Roman" w:eastAsia="Times New Roman" w:hint="default"/>
        </w:rPr>
        <w:t>100</w:t>
      </w:r>
      <w:r>
        <w:rPr/>
        <w:t>万元设立共创网络，截至本报告披露日，共创 网络已完成工商登记。</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月，经公司总裁办公会审议批准，哆可梦已注销共创网络。</w:t>
      </w:r>
    </w:p>
    <w:p>
      <w:pPr>
        <w:pStyle w:val="BodyText"/>
        <w:spacing w:line="300" w:lineRule="auto" w:before="13"/>
        <w:ind w:right="1201" w:firstLine="28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月，经公司总裁办公会审议批准，控股子公司上海季娱出资</w:t>
      </w:r>
      <w:r>
        <w:rPr>
          <w:rFonts w:ascii="Times New Roman" w:hAnsi="Times New Roman" w:cs="Times New Roman" w:eastAsia="Times New Roman" w:hint="default"/>
        </w:rPr>
        <w:t>100</w:t>
      </w:r>
      <w:r>
        <w:rPr/>
        <w:t>万元设立珂星网络，截至本报告披露日，珂 星网络已完成工商登记。</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、同一控制下企业合并：无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、反向购买：无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是否存在单次处置对子公司投资即丧失控制权的情形</w:t>
      </w:r>
    </w:p>
    <w:p>
      <w:pPr>
        <w:pStyle w:val="BodyText"/>
        <w:spacing w:line="340" w:lineRule="auto" w:before="117"/>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39"/>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、其他原因的合并范围变动：无</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、其他：无</w:t>
      </w:r>
      <w:r>
        <w:rPr>
          <w:rFonts w:ascii="宋体" w:hAnsi="宋体" w:cs="宋体" w:eastAsia="宋体" w:hint="default"/>
          <w:b/>
          <w:bCs/>
          <w:spacing w:val="-104"/>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1"/>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462"/>
        <w:gridCol w:w="1231"/>
        <w:gridCol w:w="769"/>
        <w:gridCol w:w="2158"/>
        <w:gridCol w:w="902"/>
        <w:gridCol w:w="787"/>
        <w:gridCol w:w="2389"/>
      </w:tblGrid>
      <w:tr>
        <w:trPr>
          <w:trHeight w:val="402" w:hRule="exact"/>
        </w:trPr>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1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6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462" w:type="dxa"/>
            <w:vMerge/>
            <w:tcBorders>
              <w:left w:val="single" w:sz="4" w:space="0" w:color="000000"/>
              <w:bottom w:val="single" w:sz="4" w:space="0" w:color="000000"/>
              <w:right w:val="single" w:sz="4" w:space="0" w:color="000000"/>
            </w:tcBorders>
            <w:shd w:val="clear" w:color="auto" w:fill="D2D2D2"/>
          </w:tcPr>
          <w:p>
            <w:pPr/>
          </w:p>
        </w:tc>
        <w:tc>
          <w:tcPr>
            <w:tcW w:w="1231" w:type="dxa"/>
            <w:vMerge/>
            <w:tcBorders>
              <w:left w:val="single" w:sz="4" w:space="0" w:color="000000"/>
              <w:bottom w:val="single" w:sz="4" w:space="0" w:color="000000"/>
              <w:right w:val="single" w:sz="4" w:space="0" w:color="000000"/>
            </w:tcBorders>
            <w:shd w:val="clear" w:color="auto" w:fill="D2D2D2"/>
          </w:tcPr>
          <w:p>
            <w:pPr/>
          </w:p>
        </w:tc>
        <w:tc>
          <w:tcPr>
            <w:tcW w:w="769" w:type="dxa"/>
            <w:vMerge/>
            <w:tcBorders>
              <w:left w:val="single" w:sz="4" w:space="0" w:color="000000"/>
              <w:bottom w:val="single" w:sz="4" w:space="0" w:color="000000"/>
              <w:right w:val="single" w:sz="4" w:space="0" w:color="000000"/>
            </w:tcBorders>
            <w:shd w:val="clear" w:color="auto" w:fill="D2D2D2"/>
          </w:tcPr>
          <w:p>
            <w:pPr/>
          </w:p>
        </w:tc>
        <w:tc>
          <w:tcPr>
            <w:tcW w:w="2158" w:type="dxa"/>
            <w:vMerge/>
            <w:tcBorders>
              <w:left w:val="single" w:sz="4" w:space="0" w:color="000000"/>
              <w:bottom w:val="single" w:sz="4" w:space="0" w:color="000000"/>
              <w:right w:val="single" w:sz="4" w:space="0" w:color="000000"/>
            </w:tcBorders>
            <w:shd w:val="clear" w:color="auto" w:fill="D2D2D2"/>
          </w:tcPr>
          <w:p>
            <w:pP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6"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8"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惠程智能</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1"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中汇联银</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喀什中汇联银</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喀什市</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喀什市</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中汇联鑫</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互联网及相关服务业</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77.57%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3"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上海季娱</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互联网及相关服务业</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11"/>
        <w:rPr>
          <w:rFonts w:ascii="宋体" w:hAnsi="宋体" w:cs="宋体" w:eastAsia="宋体" w:hint="default"/>
          <w:b/>
          <w:bCs/>
          <w:sz w:val="21"/>
          <w:szCs w:val="21"/>
        </w:rPr>
      </w:pPr>
    </w:p>
    <w:p>
      <w:pPr>
        <w:pStyle w:val="BodyText"/>
        <w:spacing w:line="357" w:lineRule="auto" w:before="44"/>
        <w:ind w:right="2474"/>
        <w:jc w:val="left"/>
      </w:pPr>
      <w:r>
        <w:rPr/>
        <w:t>在子公司的持股比例不同于表决权比例的说明：无。 持有半数或以下表决权但仍控制被投资单位、以及持有半数以上表决权但不控制被投资单位的依据：无。 对于纳入合并范围的重要的结构化主体，控制的依据：无。</w:t>
      </w:r>
    </w:p>
    <w:p>
      <w:pPr>
        <w:pStyle w:val="BodyText"/>
        <w:spacing w:line="360" w:lineRule="auto" w:before="29"/>
        <w:ind w:right="7334"/>
        <w:jc w:val="left"/>
      </w:pPr>
      <w:r>
        <w:rPr/>
        <w:t>确定公司是代理人还是委托人的依据：无。 其他说明：无。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020"/>
        <w:gridCol w:w="1594"/>
        <w:gridCol w:w="2360"/>
        <w:gridCol w:w="2744"/>
        <w:gridCol w:w="1981"/>
      </w:tblGrid>
      <w:tr>
        <w:trPr>
          <w:trHeight w:val="764" w:hRule="exact"/>
        </w:trPr>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本期归属于少数股东的损益</w:t>
            </w:r>
          </w:p>
        </w:tc>
        <w:tc>
          <w:tcPr>
            <w:tcW w:w="2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本期向少数股东宣告分派的股利</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22.43%</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72,484,360.46</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120,921,220.31</w:t>
            </w:r>
          </w:p>
        </w:tc>
      </w:tr>
      <w:tr>
        <w:trPr>
          <w:trHeight w:val="401"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上海季娱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49.00%</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-6,406,775.80</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-6,406,775.80</w:t>
            </w:r>
          </w:p>
        </w:tc>
      </w:tr>
    </w:tbl>
    <w:p>
      <w:pPr>
        <w:pStyle w:val="BodyText"/>
        <w:spacing w:line="360" w:lineRule="auto" w:before="49"/>
        <w:ind w:right="6074"/>
        <w:jc w:val="left"/>
      </w:pPr>
      <w:r>
        <w:rPr/>
        <w:t>子公司少数股东的持股比例不同于表决权比例的说明：无。 其他说明：无。</w:t>
      </w:r>
    </w:p>
    <w:p>
      <w:pPr>
        <w:spacing w:after="0" w:line="360" w:lineRule="auto"/>
        <w:jc w:val="left"/>
        <w:sectPr>
          <w:pgSz w:w="11910" w:h="16840"/>
          <w:pgMar w:header="0" w:footer="979" w:top="1100" w:bottom="1160" w:left="980" w:right="0"/>
        </w:sectPr>
      </w:pPr>
    </w:p>
    <w:p>
      <w:pPr>
        <w:spacing w:line="240" w:lineRule="auto" w:before="0"/>
        <w:rPr>
          <w:rFonts w:ascii="宋体" w:hAnsi="宋体" w:cs="宋体" w:eastAsia="宋体" w:hint="default"/>
          <w:sz w:val="24"/>
          <w:szCs w:val="24"/>
        </w:rPr>
      </w:pPr>
    </w:p>
    <w:p>
      <w:pPr>
        <w:pStyle w:val="Heading3"/>
        <w:spacing w:line="240" w:lineRule="auto"/>
        <w:ind w:left="140" w:right="0"/>
        <w:jc w:val="left"/>
        <w:rPr>
          <w:b w:val="0"/>
          <w:bCs w:val="0"/>
        </w:rPr>
      </w:pPr>
      <w:r>
        <w:rPr/>
        <w:pict>
          <v:group style="position:absolute;margin-left:70.559998pt;margin-top:-.476309pt;width:700.95pt;height:.1pt;mso-position-horizontal-relative:page;mso-position-vertical-relative:paragraph;z-index:2200" coordorigin="1411,-10" coordsize="14019,2">
            <v:shape style="position:absolute;left:1411;top:-10;width:14019;height:2" coordorigin="1411,-10" coordsize="14019,0" path="m1411,-10l15430,-10e" filled="false" stroked="true" strokeweight=".72pt" strokecolor="#000000">
              <v:path arrowok="t"/>
            </v:shape>
            <w10:wrap type="none"/>
          </v:group>
        </w:pict>
      </w:r>
      <w:r>
        <w:rPr>
          <w:spacing w:val="-1"/>
        </w:rPr>
        <w:t>（</w:t>
      </w:r>
      <w:r>
        <w:rPr>
          <w:rFonts w:ascii="Times New Roman" w:hAnsi="Times New Roman" w:cs="Times New Roman" w:eastAsia="Times New Roman" w:hint="default"/>
          <w:spacing w:val="-1"/>
        </w:rPr>
        <w:t>3</w:t>
      </w:r>
      <w:r>
        <w:rPr>
          <w:spacing w:val="-1"/>
        </w:rPr>
        <w:t>）重要非全资子公司的主要财务信息</w:t>
      </w:r>
      <w:r>
        <w:rPr>
          <w:b w:val="0"/>
          <w:bCs w:val="0"/>
          <w:spacing w:val="-1"/>
        </w:rPr>
      </w:r>
    </w:p>
    <w:p>
      <w:pPr>
        <w:pStyle w:val="BodyText"/>
        <w:spacing w:line="240" w:lineRule="auto" w:before="15"/>
        <w:ind w:left="140" w:right="0"/>
        <w:jc w:val="left"/>
      </w:pPr>
      <w:r>
        <w:rPr/>
        <w:br w:type="column"/>
      </w:r>
      <w:r>
        <w:rPr/>
        <w:t>深圳市惠程信息科技股份有限公司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p>
      <w:pPr>
        <w:spacing w:after="0" w:line="240" w:lineRule="auto"/>
        <w:jc w:val="left"/>
        <w:sectPr>
          <w:headerReference w:type="default" r:id="rId51"/>
          <w:footerReference w:type="default" r:id="rId52"/>
          <w:pgSz w:w="16840" w:h="11910" w:orient="landscape"/>
          <w:pgMar w:header="0" w:footer="0" w:top="800" w:bottom="0" w:left="1300" w:right="1280"/>
          <w:cols w:num="2" w:equalWidth="0">
            <w:col w:w="3832" w:space="5716"/>
            <w:col w:w="4712"/>
          </w:cols>
        </w:sectPr>
      </w:pPr>
    </w:p>
    <w:p>
      <w:pPr>
        <w:spacing w:line="240" w:lineRule="auto" w:before="12"/>
        <w:rPr>
          <w:rFonts w:ascii="宋体" w:hAnsi="宋体" w:cs="宋体" w:eastAsia="宋体" w:hint="default"/>
          <w:sz w:val="22"/>
          <w:szCs w:val="22"/>
        </w:rPr>
      </w:pPr>
    </w:p>
    <w:p>
      <w:pPr>
        <w:pStyle w:val="BodyText"/>
        <w:spacing w:line="240" w:lineRule="auto" w:before="44"/>
        <w:ind w:left="0" w:right="155"/>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73"/>
        <w:gridCol w:w="1181"/>
        <w:gridCol w:w="1092"/>
        <w:gridCol w:w="1181"/>
        <w:gridCol w:w="1181"/>
        <w:gridCol w:w="1001"/>
        <w:gridCol w:w="1181"/>
        <w:gridCol w:w="1181"/>
        <w:gridCol w:w="1092"/>
        <w:gridCol w:w="1181"/>
        <w:gridCol w:w="1090"/>
        <w:gridCol w:w="1001"/>
        <w:gridCol w:w="1184"/>
      </w:tblGrid>
      <w:tr>
        <w:trPr>
          <w:trHeight w:val="401" w:hRule="exact"/>
        </w:trPr>
        <w:tc>
          <w:tcPr>
            <w:tcW w:w="47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0" w:right="51"/>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68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72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624" w:hRule="exact"/>
        </w:trPr>
        <w:tc>
          <w:tcPr>
            <w:tcW w:w="473"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2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9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2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2"/>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47"/>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2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3"/>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2"/>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4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716" w:hRule="exact"/>
        </w:trPr>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哆可 梦</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871,823,000.86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29,163,604.08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900,986,604.94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359,357,495.07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2,524,248.94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361,881,744.01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296,437,060.40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21,604,579.50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318,041,639.90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92,860,976.04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9,233,896.82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102,094,872.86</w:t>
            </w:r>
          </w:p>
        </w:tc>
      </w:tr>
      <w:tr>
        <w:trPr>
          <w:trHeight w:val="713" w:hRule="exact"/>
        </w:trPr>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上海 季娱</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6,035,451.60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4,823,181.91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10,858,633.51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18,833,686.17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18,833,686.17</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877,858,452.46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33,986,785.99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911,845,238.45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378,191,181.24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2,524,248.94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380,715,430.18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296,437,060.40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21,604,579.50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318,041,639.90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92,860,976.04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9,233,896.82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102,094,872.86</w:t>
            </w:r>
          </w:p>
        </w:tc>
      </w:tr>
    </w:tbl>
    <w:p>
      <w:pPr>
        <w:pStyle w:val="BodyText"/>
        <w:spacing w:line="240" w:lineRule="auto" w:before="49"/>
        <w:ind w:left="0" w:right="155"/>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556"/>
        <w:gridCol w:w="1553"/>
        <w:gridCol w:w="1556"/>
        <w:gridCol w:w="1558"/>
        <w:gridCol w:w="1563"/>
        <w:gridCol w:w="1555"/>
        <w:gridCol w:w="1558"/>
        <w:gridCol w:w="1555"/>
        <w:gridCol w:w="1565"/>
      </w:tblGrid>
      <w:tr>
        <w:trPr>
          <w:trHeight w:val="403" w:hRule="exact"/>
        </w:trPr>
        <w:tc>
          <w:tcPr>
            <w:tcW w:w="15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2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23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556" w:type="dxa"/>
            <w:vMerge/>
            <w:tcBorders>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righ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righ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0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1,560,185,210.70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323,158,093.89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323,158,093.89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320,681,545.40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46,979,219.61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5,529,775.15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5,529,775.15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64,848,338.73</w:t>
            </w:r>
          </w:p>
        </w:tc>
      </w:tr>
      <w:tr>
        <w:trPr>
          <w:trHeight w:val="40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上海季娱</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13,092,253.38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-13,075,052.66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-13,075,052.66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-1,473,443.65</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1,573,277,464.08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310,083,041.23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310,083,041.23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319,208,101.75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46,979,219.61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5,529,775.15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5,529,775.15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64,848,338.73</w:t>
            </w:r>
          </w:p>
        </w:tc>
      </w:tr>
    </w:tbl>
    <w:p>
      <w:pPr>
        <w:pStyle w:val="BodyText"/>
        <w:spacing w:line="357" w:lineRule="auto" w:before="49"/>
        <w:ind w:left="140" w:right="8338"/>
        <w:jc w:val="left"/>
      </w:pPr>
      <w:r>
        <w:rPr/>
        <w:t>其他说明： 哆可梦上期发生额为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日形成的损益部分。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ind w:left="6966" w:right="6981"/>
        <w:jc w:val="center"/>
        <w:rPr>
          <w:rFonts w:ascii="Times New Roman" w:hAnsi="Times New Roman" w:cs="Times New Roman" w:eastAsia="Times New Roman" w:hint="default"/>
        </w:rPr>
      </w:pPr>
      <w:r>
        <w:rPr>
          <w:rFonts w:ascii="Times New Roman"/>
        </w:rPr>
        <w:t>179</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3" name="image1.jpeg" descr=""/>
            <wp:cNvGraphicFramePr>
              <a:graphicFrameLocks noChangeAspect="1"/>
            </wp:cNvGraphicFramePr>
            <a:graphic>
              <a:graphicData uri="http://schemas.openxmlformats.org/drawingml/2006/picture">
                <pic:pic>
                  <pic:nvPicPr>
                    <pic:cNvPr id="14" name="image1.jpeg"/>
                    <pic:cNvPicPr/>
                  </pic:nvPicPr>
                  <pic:blipFill>
                    <a:blip r:embed="rId2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2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6"/>
          <w:szCs w:val="26"/>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）使用企业集团资产和清偿企业集团债务的重大限制：无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、在子公司的所有者权益份额发生变化且仍控制子公司的交易：无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2136"/>
        <w:gridCol w:w="1001"/>
        <w:gridCol w:w="624"/>
        <w:gridCol w:w="1003"/>
        <w:gridCol w:w="641"/>
        <w:gridCol w:w="643"/>
        <w:gridCol w:w="3649"/>
      </w:tblGrid>
      <w:tr>
        <w:trPr>
          <w:trHeight w:val="404" w:hRule="exact"/>
        </w:trPr>
        <w:tc>
          <w:tcPr>
            <w:tcW w:w="2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6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36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对合营企业或联营企业投资的会计处理方法</w:t>
            </w:r>
          </w:p>
        </w:tc>
      </w:tr>
      <w:tr>
        <w:trPr>
          <w:trHeight w:val="401" w:hRule="exact"/>
        </w:trPr>
        <w:tc>
          <w:tcPr>
            <w:tcW w:w="213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624"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36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永耀惠程</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40.00%</w:t>
            </w:r>
          </w:p>
        </w:tc>
        <w:tc>
          <w:tcPr>
            <w:tcW w:w="643" w:type="dxa"/>
            <w:tcBorders>
              <w:top w:val="single" w:sz="4" w:space="0" w:color="000000"/>
              <w:left w:val="single" w:sz="4" w:space="0" w:color="000000"/>
              <w:bottom w:val="single" w:sz="4" w:space="0" w:color="000000"/>
              <w:right w:val="single" w:sz="4" w:space="0" w:color="000000"/>
            </w:tcBorders>
          </w:tcPr>
          <w:p>
            <w:pP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1"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惠智网联</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共青城</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共青城</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投资业</w:t>
            </w: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25.00%</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真机智能</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智能制造业</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15.00%</w:t>
            </w:r>
          </w:p>
        </w:tc>
        <w:tc>
          <w:tcPr>
            <w:tcW w:w="643" w:type="dxa"/>
            <w:tcBorders>
              <w:top w:val="single" w:sz="4" w:space="0" w:color="000000"/>
              <w:left w:val="single" w:sz="4" w:space="0" w:color="000000"/>
              <w:bottom w:val="single" w:sz="4" w:space="0" w:color="000000"/>
              <w:right w:val="single" w:sz="4" w:space="0" w:color="000000"/>
            </w:tcBorders>
          </w:tcPr>
          <w:p>
            <w:pP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0"/>
        <w:jc w:val="both"/>
      </w:pPr>
      <w:r>
        <w:rPr/>
        <w:t>在合营企业或联营企业的持股比例不同于表决权比例的说明：无。</w:t>
      </w:r>
    </w:p>
    <w:p>
      <w:pPr>
        <w:pStyle w:val="BodyText"/>
        <w:spacing w:line="309" w:lineRule="auto" w:before="115"/>
        <w:ind w:right="1131"/>
        <w:jc w:val="both"/>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或以上表决权但不具有重大影响的依据：持有真机智能</w:t>
      </w:r>
      <w:r>
        <w:rPr>
          <w:spacing w:val="-46"/>
        </w:rPr>
        <w:t> </w:t>
      </w:r>
      <w:r>
        <w:rPr>
          <w:rFonts w:ascii="Times New Roman" w:hAnsi="Times New Roman" w:cs="Times New Roman" w:eastAsia="Times New Roman" w:hint="default"/>
        </w:rPr>
        <w:t>20%</w:t>
      </w:r>
      <w:r>
        <w:rPr/>
        <w:t>以下表决 </w:t>
      </w:r>
      <w:r>
        <w:rPr>
          <w:spacing w:val="-2"/>
        </w:rPr>
        <w:t>权但具有重大影响的依据为公司是真机智能研发和设计的无人配送机器人及其他智能机器人的唯一生产制造商，相关交易行</w:t>
      </w:r>
      <w:r>
        <w:rPr>
          <w:spacing w:val="-63"/>
        </w:rPr>
        <w:t> </w:t>
      </w:r>
      <w:r>
        <w:rPr>
          <w:spacing w:val="-63"/>
        </w:rPr>
      </w:r>
      <w:r>
        <w:rPr/>
        <w:t>为在一定程度上会对真机智能的日常生产经营决策产生重大影响，具有重要性，因此采用权益法核算。</w:t>
      </w:r>
    </w:p>
    <w:p>
      <w:pPr>
        <w:spacing w:line="240" w:lineRule="auto" w:before="3"/>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）重要合营企业的主要财务信息：无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970,592,481.69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1,013,259,856.12</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1,983,852,337.81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150,899,432.07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32,493,485.00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183,392,917.07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1,800,459,420.73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574,865,344.52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-10,863,684.73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-10,863,684.73</w:t>
            </w:r>
          </w:p>
        </w:tc>
      </w:tr>
    </w:tbl>
    <w:p>
      <w:pPr>
        <w:pStyle w:val="BodyText"/>
        <w:spacing w:line="240" w:lineRule="auto" w:before="49"/>
        <w:ind w:right="1133"/>
        <w:jc w:val="left"/>
      </w:pPr>
      <w:r>
        <w:rPr/>
        <w:t>其他说明</w:t>
      </w:r>
    </w:p>
    <w:p>
      <w:pPr>
        <w:pStyle w:val="BodyText"/>
        <w:spacing w:line="240" w:lineRule="auto" w:before="117"/>
        <w:ind w:left="513" w:right="1133"/>
        <w:jc w:val="left"/>
      </w:pPr>
      <w:r>
        <w:rPr/>
        <w:t>以上为信中利赞信的主要财务信息，报告期内信中利赞信两次调整出资额，出资总额由</w:t>
      </w:r>
      <w:r>
        <w:rPr>
          <w:rFonts w:ascii="Times New Roman" w:hAnsi="Times New Roman" w:cs="Times New Roman" w:eastAsia="Times New Roman" w:hint="default"/>
        </w:rPr>
        <w:t>18</w:t>
      </w:r>
      <w:r>
        <w:rPr/>
        <w:t>亿元调整至</w:t>
      </w:r>
      <w:r>
        <w:rPr>
          <w:rFonts w:ascii="Times New Roman" w:hAnsi="Times New Roman" w:cs="Times New Roman" w:eastAsia="Times New Roman" w:hint="default"/>
        </w:rPr>
        <w:t>9.1</w:t>
      </w:r>
      <w:r>
        <w:rPr/>
        <w:t>亿元，其中公</w:t>
      </w:r>
    </w:p>
    <w:p>
      <w:pPr>
        <w:spacing w:after="0" w:line="240" w:lineRule="auto"/>
        <w:jc w:val="left"/>
        <w:sectPr>
          <w:footerReference w:type="default" r:id="rId53"/>
          <w:pgSz w:w="11910" w:h="16840"/>
          <w:pgMar w:footer="979" w:header="0" w:top="1100" w:bottom="1160" w:left="980" w:right="0"/>
          <w:pgNumType w:start="180"/>
        </w:sectPr>
      </w:pPr>
    </w:p>
    <w:p>
      <w:pPr>
        <w:spacing w:line="240" w:lineRule="auto" w:before="11"/>
        <w:rPr>
          <w:rFonts w:ascii="宋体" w:hAnsi="宋体" w:cs="宋体" w:eastAsia="宋体" w:hint="default"/>
          <w:sz w:val="21"/>
          <w:szCs w:val="21"/>
        </w:rPr>
      </w:pPr>
    </w:p>
    <w:p>
      <w:pPr>
        <w:pStyle w:val="BodyText"/>
        <w:spacing w:line="300" w:lineRule="auto" w:before="44"/>
        <w:ind w:right="1131"/>
        <w:jc w:val="both"/>
      </w:pPr>
      <w:r>
        <w:rPr>
          <w:spacing w:val="-2"/>
        </w:rPr>
        <w:t>司对信中利赞信出资额由</w:t>
      </w:r>
      <w:r>
        <w:rPr>
          <w:rFonts w:ascii="Times New Roman" w:hAnsi="Times New Roman" w:cs="Times New Roman" w:eastAsia="Times New Roman" w:hint="default"/>
          <w:spacing w:val="-2"/>
        </w:rPr>
        <w:t>5.8</w:t>
      </w:r>
      <w:r>
        <w:rPr>
          <w:spacing w:val="-2"/>
        </w:rPr>
        <w:t>亿元调整至</w:t>
      </w:r>
      <w:r>
        <w:rPr>
          <w:rFonts w:ascii="Times New Roman" w:hAnsi="Times New Roman" w:cs="Times New Roman" w:eastAsia="Times New Roman" w:hint="default"/>
          <w:spacing w:val="-2"/>
        </w:rPr>
        <w:t>2.9</w:t>
      </w:r>
      <w:r>
        <w:rPr>
          <w:spacing w:val="-2"/>
        </w:rPr>
        <w:t>亿元，中航信托对信中利赞信出资额由</w:t>
      </w:r>
      <w:r>
        <w:rPr>
          <w:rFonts w:ascii="Times New Roman" w:hAnsi="Times New Roman" w:cs="Times New Roman" w:eastAsia="Times New Roman" w:hint="default"/>
          <w:spacing w:val="-2"/>
        </w:rPr>
        <w:t>12</w:t>
      </w:r>
      <w:r>
        <w:rPr>
          <w:spacing w:val="-2"/>
        </w:rPr>
        <w:t>亿元调整至</w:t>
      </w:r>
      <w:r>
        <w:rPr>
          <w:rFonts w:ascii="Times New Roman" w:hAnsi="Times New Roman" w:cs="Times New Roman" w:eastAsia="Times New Roman" w:hint="default"/>
          <w:spacing w:val="-2"/>
        </w:rPr>
        <w:t>6</w:t>
      </w:r>
      <w:r>
        <w:rPr>
          <w:spacing w:val="-2"/>
        </w:rPr>
        <w:t>亿元；经</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8</w:t>
      </w:r>
      <w:r>
        <w:rPr>
          <w:spacing w:val="-2"/>
        </w:rPr>
        <w:t>日公司</w:t>
      </w:r>
      <w:r>
        <w:rPr>
          <w:spacing w:val="-57"/>
        </w:rPr>
        <w:t> </w:t>
      </w:r>
      <w:r>
        <w:rPr>
          <w:spacing w:val="-57"/>
        </w:rPr>
      </w:r>
      <w:r>
        <w:rPr/>
        <w:t>第六届董事会第十八次会议、</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25</w:t>
      </w:r>
      <w:r>
        <w:rPr/>
        <w:t>日公司</w:t>
      </w:r>
      <w:r>
        <w:rPr>
          <w:rFonts w:ascii="Times New Roman" w:hAnsi="Times New Roman" w:cs="Times New Roman" w:eastAsia="Times New Roman" w:hint="default"/>
        </w:rPr>
        <w:t>2018</w:t>
      </w:r>
      <w:r>
        <w:rPr/>
        <w:t>年第四次临时股东大会审议批准，公司将持有的剩余全部出资份额对</w:t>
      </w:r>
      <w:r>
        <w:rPr>
          <w:spacing w:val="-87"/>
        </w:rPr>
        <w:t> </w:t>
      </w:r>
      <w:r>
        <w:rPr>
          <w:spacing w:val="-87"/>
        </w:rPr>
      </w:r>
      <w:r>
        <w:rPr/>
        <w:t>外转让。截止本报告期末，公司不再持有信中利赞信出资份额，故无需列示信中利赞信本报告期末相关财务信息。</w:t>
      </w:r>
    </w:p>
    <w:p>
      <w:pPr>
        <w:pStyle w:val="BodyText"/>
        <w:spacing w:line="240" w:lineRule="auto" w:before="31"/>
        <w:ind w:left="513" w:right="1133"/>
        <w:jc w:val="left"/>
      </w:pPr>
      <w:r>
        <w:rPr/>
        <w:t>以下为惠智网联的主要财务信息：</w:t>
      </w:r>
    </w:p>
    <w:p>
      <w:pPr>
        <w:pStyle w:val="BodyText"/>
        <w:spacing w:line="240" w:lineRule="auto" w:before="76"/>
        <w:ind w:left="0" w:right="1131"/>
        <w:jc w:val="right"/>
      </w:pPr>
      <w:r>
        <w:rPr/>
        <w:t>单位：元</w:t>
      </w:r>
    </w:p>
    <w:p>
      <w:pPr>
        <w:spacing w:line="240" w:lineRule="auto" w:before="8"/>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3608"/>
        <w:gridCol w:w="3077"/>
        <w:gridCol w:w="2974"/>
      </w:tblGrid>
      <w:tr>
        <w:trPr>
          <w:trHeight w:val="342" w:hRule="exact"/>
        </w:trPr>
        <w:tc>
          <w:tcPr>
            <w:tcW w:w="360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0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69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64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47" w:hRule="exact"/>
        </w:trPr>
        <w:tc>
          <w:tcPr>
            <w:tcW w:w="36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077"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158,004,906.70</w:t>
            </w:r>
          </w:p>
        </w:tc>
        <w:tc>
          <w:tcPr>
            <w:tcW w:w="2974"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6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36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158,004,906.70</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6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1,000.00</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36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6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1,000.00</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6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158,003,906.70</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36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158,000,976.68</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6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36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3,906.70</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6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6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3,906.70</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8"/>
        <w:ind w:left="441" w:right="1133"/>
        <w:jc w:val="left"/>
      </w:pPr>
      <w:r>
        <w:rPr/>
        <w:t>以下为永耀惠程的主要财务信息：</w:t>
      </w:r>
    </w:p>
    <w:p>
      <w:pPr>
        <w:pStyle w:val="BodyText"/>
        <w:spacing w:line="240" w:lineRule="auto" w:before="76"/>
        <w:ind w:left="0" w:right="1131"/>
        <w:jc w:val="right"/>
      </w:pPr>
      <w:r>
        <w:rPr/>
        <w:t>单位：元</w:t>
      </w:r>
    </w:p>
    <w:p>
      <w:pPr>
        <w:spacing w:line="240" w:lineRule="auto" w:before="2"/>
        <w:rPr>
          <w:rFonts w:ascii="宋体" w:hAnsi="宋体" w:cs="宋体" w:eastAsia="宋体" w:hint="default"/>
          <w:sz w:val="6"/>
          <w:szCs w:val="6"/>
        </w:rPr>
      </w:pPr>
    </w:p>
    <w:tbl>
      <w:tblPr>
        <w:tblW w:w="0" w:type="auto"/>
        <w:jc w:val="left"/>
        <w:tblInd w:w="136" w:type="dxa"/>
        <w:tblLayout w:type="fixed"/>
        <w:tblCellMar>
          <w:top w:w="0" w:type="dxa"/>
          <w:left w:w="0" w:type="dxa"/>
          <w:bottom w:w="0" w:type="dxa"/>
          <w:right w:w="0" w:type="dxa"/>
        </w:tblCellMar>
        <w:tblLook w:val="01E0"/>
      </w:tblPr>
      <w:tblGrid>
        <w:gridCol w:w="3555"/>
        <w:gridCol w:w="3120"/>
        <w:gridCol w:w="2984"/>
      </w:tblGrid>
      <w:tr>
        <w:trPr>
          <w:trHeight w:val="334" w:hRule="exact"/>
        </w:trPr>
        <w:tc>
          <w:tcPr>
            <w:tcW w:w="355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left="71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9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left="647"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48" w:hRule="exact"/>
        </w:trPr>
        <w:tc>
          <w:tcPr>
            <w:tcW w:w="35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2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7,722,392.68</w:t>
            </w:r>
          </w:p>
        </w:tc>
        <w:tc>
          <w:tcPr>
            <w:tcW w:w="298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10,566,573.07</w:t>
            </w:r>
          </w:p>
        </w:tc>
      </w:tr>
      <w:tr>
        <w:trPr>
          <w:trHeight w:val="348" w:hRule="exact"/>
        </w:trPr>
        <w:tc>
          <w:tcPr>
            <w:tcW w:w="35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337,171.49</w:t>
            </w:r>
          </w:p>
        </w:tc>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441,305.10</w:t>
            </w:r>
          </w:p>
        </w:tc>
      </w:tr>
      <w:tr>
        <w:trPr>
          <w:trHeight w:val="346" w:hRule="exact"/>
        </w:trPr>
        <w:tc>
          <w:tcPr>
            <w:tcW w:w="35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8,059,564.17</w:t>
            </w:r>
          </w:p>
        </w:tc>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11,007,878.17</w:t>
            </w:r>
          </w:p>
        </w:tc>
      </w:tr>
      <w:tr>
        <w:trPr>
          <w:trHeight w:val="348" w:hRule="exact"/>
        </w:trPr>
        <w:tc>
          <w:tcPr>
            <w:tcW w:w="35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284,093.99</w:t>
            </w:r>
          </w:p>
        </w:tc>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1,961,573.96</w:t>
            </w:r>
          </w:p>
        </w:tc>
      </w:tr>
      <w:tr>
        <w:trPr>
          <w:trHeight w:val="346" w:hRule="exact"/>
        </w:trPr>
        <w:tc>
          <w:tcPr>
            <w:tcW w:w="35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5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284,093.99</w:t>
            </w:r>
          </w:p>
        </w:tc>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1,961,573.96</w:t>
            </w:r>
          </w:p>
        </w:tc>
      </w:tr>
      <w:tr>
        <w:trPr>
          <w:trHeight w:val="346" w:hRule="exact"/>
        </w:trPr>
        <w:tc>
          <w:tcPr>
            <w:tcW w:w="35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7,775,470.18</w:t>
            </w:r>
          </w:p>
        </w:tc>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9,046,304.21</w:t>
            </w:r>
          </w:p>
        </w:tc>
      </w:tr>
      <w:tr>
        <w:trPr>
          <w:trHeight w:val="348" w:hRule="exact"/>
        </w:trPr>
        <w:tc>
          <w:tcPr>
            <w:tcW w:w="35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3,110,188.07</w:t>
            </w:r>
          </w:p>
        </w:tc>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3,618,521.68</w:t>
            </w:r>
          </w:p>
        </w:tc>
      </w:tr>
      <w:tr>
        <w:trPr>
          <w:trHeight w:val="349" w:hRule="exact"/>
        </w:trPr>
        <w:tc>
          <w:tcPr>
            <w:tcW w:w="35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6,138,002.54</w:t>
            </w:r>
          </w:p>
        </w:tc>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3,407,008.56</w:t>
            </w:r>
          </w:p>
        </w:tc>
      </w:tr>
      <w:tr>
        <w:trPr>
          <w:trHeight w:val="346" w:hRule="exact"/>
        </w:trPr>
        <w:tc>
          <w:tcPr>
            <w:tcW w:w="35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-1,270,834.03</w:t>
            </w:r>
          </w:p>
        </w:tc>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-953,695.79</w:t>
            </w:r>
          </w:p>
        </w:tc>
      </w:tr>
      <w:tr>
        <w:trPr>
          <w:trHeight w:val="348" w:hRule="exact"/>
        </w:trPr>
        <w:tc>
          <w:tcPr>
            <w:tcW w:w="35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5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-1,270,834.03</w:t>
            </w:r>
          </w:p>
        </w:tc>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-953,695.79</w:t>
            </w:r>
          </w:p>
        </w:tc>
      </w:tr>
    </w:tbl>
    <w:p>
      <w:pPr>
        <w:pStyle w:val="BodyText"/>
        <w:spacing w:line="240" w:lineRule="auto" w:before="8"/>
        <w:ind w:right="1133"/>
        <w:jc w:val="left"/>
      </w:pPr>
      <w:r>
        <w:rPr/>
        <w:t>以下为真机智能的主要财务信息：</w:t>
      </w:r>
    </w:p>
    <w:p>
      <w:pPr>
        <w:pStyle w:val="BodyText"/>
        <w:spacing w:line="240" w:lineRule="auto" w:before="76"/>
        <w:ind w:left="0" w:right="1131"/>
        <w:jc w:val="right"/>
      </w:pPr>
      <w:r>
        <w:rPr/>
        <w:t>单位：元</w:t>
      </w:r>
    </w:p>
    <w:p>
      <w:pPr>
        <w:spacing w:line="240" w:lineRule="auto" w:before="8"/>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751"/>
        <w:gridCol w:w="3488"/>
        <w:gridCol w:w="3421"/>
      </w:tblGrid>
      <w:tr>
        <w:trPr>
          <w:trHeight w:val="341" w:hRule="exact"/>
        </w:trPr>
        <w:tc>
          <w:tcPr>
            <w:tcW w:w="2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4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90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4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868"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48" w:hRule="exact"/>
        </w:trPr>
        <w:tc>
          <w:tcPr>
            <w:tcW w:w="2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8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5,843,912.04</w:t>
            </w:r>
          </w:p>
        </w:tc>
        <w:tc>
          <w:tcPr>
            <w:tcW w:w="342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2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41,416.89</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5,885,328.93</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72,734.64</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2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36" w:type="dxa"/>
        <w:tblLayout w:type="fixed"/>
        <w:tblCellMar>
          <w:top w:w="0" w:type="dxa"/>
          <w:left w:w="0" w:type="dxa"/>
          <w:bottom w:w="0" w:type="dxa"/>
          <w:right w:w="0" w:type="dxa"/>
        </w:tblCellMar>
        <w:tblLook w:val="01E0"/>
      </w:tblPr>
      <w:tblGrid>
        <w:gridCol w:w="2749"/>
        <w:gridCol w:w="3490"/>
        <w:gridCol w:w="3421"/>
      </w:tblGrid>
      <w:tr>
        <w:trPr>
          <w:trHeight w:val="348" w:hRule="exact"/>
        </w:trPr>
        <w:tc>
          <w:tcPr>
            <w:tcW w:w="27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72,734.64</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27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5,812,594.29</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7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6,695,095.42</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27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297,087.38</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7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-3,308,807.82</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27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7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-3,308,807.82</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）不重要的合营企业和联营企业的汇总财务信息：无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）合营企业或联营企业发生的超额亏损：无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）与合营企业投资相关的未确认承诺：无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8</w:t>
      </w:r>
      <w:r>
        <w:rPr/>
        <w:t>）与合营企业或联营企业投资相关的或有负债：无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、重要的共同经营：无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、在未纳入合并财务报表范围的结构化主体中的权益：无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、其他：无</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133"/>
        <w:jc w:val="left"/>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本公司在经营过程中面临各种金融风险：信用风险、市场风险和流动性风险。公司董事会全面负责风险管理目标和政策</w:t>
      </w:r>
      <w:r>
        <w:rPr/>
        <w:t> </w:t>
      </w:r>
      <w:r>
        <w:rPr>
          <w:spacing w:val="-2"/>
        </w:rPr>
        <w:t>的确定，并对风险管理目标和政策承担最终责任，但是董事会已授权本公司战略部门设计和实施能够确保风险管理目标和政</w:t>
      </w:r>
      <w:r>
        <w:rPr>
          <w:spacing w:val="-64"/>
        </w:rPr>
        <w:t> </w:t>
      </w:r>
      <w:r>
        <w:rPr>
          <w:spacing w:val="-64"/>
        </w:rPr>
      </w:r>
      <w:r>
        <w:rPr/>
        <w:t>策得以有效执行的程序。本公司的内部审计师审查风险管理的政策和程序，并且将有关发现汇报给审计委员会。</w:t>
      </w:r>
    </w:p>
    <w:p>
      <w:pPr>
        <w:pStyle w:val="BodyText"/>
        <w:spacing w:line="309" w:lineRule="auto" w:before="19"/>
        <w:ind w:left="513" w:right="1034"/>
        <w:jc w:val="left"/>
      </w:pPr>
      <w:r>
        <w:rPr/>
        <w:t>本公司风险管理的总体目标是在不过度影响公司竞争力和应变力的情况下，制定尽可能降低风险的风险管理政策。 </w:t>
      </w: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b/>
          <w:bCs/>
          <w:w w:val="99"/>
        </w:rPr>
        <w:t> </w:t>
      </w:r>
      <w:r>
        <w:rPr>
          <w:spacing w:val="-4"/>
        </w:rPr>
        <w:t>信用风险是指金融工具的一方不履行义务，造成另一方发生财务损失的风险。本公司主要面临赊销导致的客户信用风险。</w:t>
      </w:r>
    </w:p>
    <w:p>
      <w:pPr>
        <w:pStyle w:val="BodyText"/>
        <w:spacing w:line="316" w:lineRule="auto" w:before="24"/>
        <w:ind w:right="1119"/>
        <w:jc w:val="left"/>
      </w:pPr>
      <w:r>
        <w:rPr>
          <w:spacing w:val="-2"/>
        </w:rPr>
        <w:t>在签订新合同之前，本公司会对新客户的信用风险进行评估，包括外部信用评级和在某些情况下的银行资信证明（当此信息</w:t>
      </w:r>
      <w:r>
        <w:rPr>
          <w:spacing w:val="-63"/>
        </w:rPr>
        <w:t> </w:t>
      </w:r>
      <w:r>
        <w:rPr>
          <w:spacing w:val="-63"/>
        </w:rPr>
      </w:r>
      <w:r>
        <w:rPr/>
        <w:t>可获取时）。</w:t>
      </w:r>
    </w:p>
    <w:p>
      <w:pPr>
        <w:pStyle w:val="BodyText"/>
        <w:spacing w:line="309" w:lineRule="auto" w:before="19"/>
        <w:ind w:right="1125" w:firstLine="360"/>
        <w:jc w:val="both"/>
      </w:pPr>
      <w:r>
        <w:rPr/>
        <w:t>公司通过对已有客户信用评级的季度监控以及应收账款账龄分析的月度审核来确保公司的整体信用风险在可控的范围</w:t>
      </w:r>
      <w:r>
        <w:rPr>
          <w:spacing w:val="2"/>
        </w:rPr>
        <w:t>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1"/>
        </w:rPr>
        <w:t> </w:t>
      </w:r>
      <w:r>
        <w:rPr>
          <w:spacing w:val="-41"/>
        </w:rPr>
      </w:r>
      <w:r>
        <w:rPr/>
        <w:t>只有在额外批准的前提下，公司才可在未来期间内对其赊销，否则必须要求其提前支付相应款项。</w:t>
      </w:r>
    </w:p>
    <w:p>
      <w:pPr>
        <w:pStyle w:val="BodyText"/>
        <w:spacing w:line="300" w:lineRule="auto" w:before="24"/>
        <w:ind w:left="513" w:right="1119"/>
        <w:jc w:val="left"/>
      </w:pPr>
      <w:r>
        <w:rPr>
          <w:rFonts w:ascii="Times New Roman" w:hAnsi="Times New Roman" w:cs="Times New Roman" w:eastAsia="Times New Roman" w:hint="default"/>
          <w:b/>
          <w:bCs/>
        </w:rPr>
        <w:t>2</w:t>
      </w:r>
      <w:r>
        <w:rPr>
          <w:rFonts w:ascii="宋体" w:hAnsi="宋体" w:cs="宋体" w:eastAsia="宋体" w:hint="default"/>
          <w:b/>
          <w:bCs/>
        </w:rPr>
        <w:t>、市场风险</w:t>
      </w:r>
      <w:r>
        <w:rPr>
          <w:rFonts w:ascii="宋体" w:hAnsi="宋体" w:cs="宋体" w:eastAsia="宋体" w:hint="default"/>
          <w:b/>
          <w:bCs/>
          <w:w w:val="99"/>
        </w:rPr>
        <w:t> </w:t>
      </w:r>
      <w:r>
        <w:rPr>
          <w:spacing w:val="-2"/>
        </w:rPr>
        <w:t>金融工具的市场风险，是指金融工具的公允价值或未来现金流量因市场价格变动而发生波动的风险，包括汇率风险、利</w:t>
      </w:r>
    </w:p>
    <w:p>
      <w:pPr>
        <w:pStyle w:val="BodyText"/>
        <w:spacing w:line="240" w:lineRule="auto" w:before="31"/>
        <w:ind w:right="1133"/>
        <w:jc w:val="left"/>
      </w:pPr>
      <w:r>
        <w:rPr/>
        <w:t>率风险和其他价格风险。</w:t>
      </w:r>
    </w:p>
    <w:p>
      <w:pPr>
        <w:pStyle w:val="BodyText"/>
        <w:spacing w:line="300" w:lineRule="auto" w:before="76"/>
        <w:ind w:left="513" w:right="1119"/>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利率风险，是指金融工具的公允价值或未来现金流量因市场利率变动而发生波动的风险。本公司面临的利率风险主要来</w:t>
      </w:r>
    </w:p>
    <w:p>
      <w:pPr>
        <w:pStyle w:val="BodyText"/>
        <w:spacing w:line="240" w:lineRule="auto" w:before="32"/>
        <w:ind w:right="1133"/>
        <w:jc w:val="left"/>
      </w:pPr>
      <w:r>
        <w:rPr/>
        <w:t>源于银行短期借款。公司目前短期借款是固定利率借款，因此不存在利率风险。</w:t>
      </w:r>
    </w:p>
    <w:p>
      <w:pPr>
        <w:pStyle w:val="BodyText"/>
        <w:spacing w:line="240" w:lineRule="auto" w:before="76"/>
        <w:ind w:left="513" w:right="1133"/>
        <w:jc w:val="left"/>
      </w:pPr>
      <w:r>
        <w:rPr/>
        <w:t>（</w:t>
      </w:r>
      <w:r>
        <w:rPr>
          <w:rFonts w:ascii="Times New Roman" w:hAnsi="Times New Roman" w:cs="Times New Roman" w:eastAsia="Times New Roman" w:hint="default"/>
        </w:rPr>
        <w:t>2</w:t>
      </w:r>
      <w:r>
        <w:rPr/>
        <w:t>）汇率风险</w:t>
      </w:r>
    </w:p>
    <w:p>
      <w:pPr>
        <w:spacing w:after="0" w:line="240" w:lineRule="auto"/>
        <w:jc w:val="left"/>
        <w:sectPr>
          <w:pgSz w:w="11910" w:h="16840"/>
          <w:pgMar w:header="0"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31" w:firstLine="288"/>
        <w:jc w:val="both"/>
      </w:pPr>
      <w:r>
        <w:rPr>
          <w:spacing w:val="-1"/>
        </w:rPr>
        <w:t>汇率风险，是指金融工具的公允价值或未来现金流量因外汇汇率变动而发生波动的风险。本公司尽可能将外币收入与外</w:t>
      </w:r>
      <w:r>
        <w:rPr/>
        <w:t> </w:t>
      </w:r>
      <w:r>
        <w:rPr>
          <w:spacing w:val="-2"/>
        </w:rPr>
        <w:t>币支出相匹配以降低汇率风险。本公司未签署任何远期外汇合约或货币互换合约。本公司以外币计价的金融资产和金融负债</w:t>
      </w:r>
      <w:r>
        <w:rPr>
          <w:spacing w:val="-63"/>
        </w:rPr>
        <w:t> </w:t>
      </w:r>
      <w:r>
        <w:rPr>
          <w:spacing w:val="-63"/>
        </w:rPr>
      </w:r>
      <w:r>
        <w:rPr/>
        <w:t>金额较小，因此不存在重大汇率风险。</w:t>
      </w:r>
    </w:p>
    <w:p>
      <w:pPr>
        <w:pStyle w:val="BodyText"/>
        <w:spacing w:line="240" w:lineRule="auto" w:before="19"/>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1018"/>
        <w:gridCol w:w="1164"/>
        <w:gridCol w:w="1066"/>
        <w:gridCol w:w="1066"/>
        <w:gridCol w:w="1169"/>
        <w:gridCol w:w="1066"/>
        <w:gridCol w:w="898"/>
        <w:gridCol w:w="1148"/>
        <w:gridCol w:w="1066"/>
      </w:tblGrid>
      <w:tr>
        <w:trPr>
          <w:trHeight w:val="427" w:hRule="exact"/>
        </w:trPr>
        <w:tc>
          <w:tcPr>
            <w:tcW w:w="1018" w:type="dxa"/>
            <w:vMerge w:val="restart"/>
            <w:tcBorders>
              <w:top w:val="single" w:sz="6" w:space="0" w:color="000000"/>
              <w:left w:val="single" w:sz="6" w:space="0" w:color="000000"/>
              <w:right w:val="single" w:sz="6" w:space="0" w:color="000000"/>
            </w:tcBorders>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46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77"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7" w:hRule="exact"/>
        </w:trPr>
        <w:tc>
          <w:tcPr>
            <w:tcW w:w="1018" w:type="dxa"/>
            <w:vMerge/>
            <w:tcBorders>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48"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48"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4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6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4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2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3,560,584.51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1,365,307.23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262,978.32</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5,188,870.06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645,784.92</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2,378.72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648,163.64</w:t>
            </w:r>
          </w:p>
        </w:tc>
      </w:tr>
      <w:tr>
        <w:trPr>
          <w:trHeight w:val="42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320,649.80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443,130.20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763,780.01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8,488,624.37</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38,539.15</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8,527,163.52</w:t>
            </w:r>
          </w:p>
        </w:tc>
      </w:tr>
      <w:tr>
        <w:trPr>
          <w:trHeight w:val="42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78,825.16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66,545.09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145,370.26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160,520.40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52,334.16</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212,854.56</w:t>
            </w:r>
          </w:p>
        </w:tc>
      </w:tr>
      <w:tr>
        <w:trPr>
          <w:trHeight w:val="425"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10,294,786.82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1,074,649.54</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
              <w:jc w:val="right"/>
              <w:rPr>
                <w:rFonts w:ascii="Times New Roman" w:hAnsi="Times New Roman" w:cs="Times New Roman" w:eastAsia="Times New Roman" w:hint="default"/>
                <w:sz w:val="18"/>
                <w:szCs w:val="18"/>
              </w:rPr>
            </w:pPr>
            <w:r>
              <w:rPr>
                <w:rFonts w:ascii="Times New Roman"/>
                <w:spacing w:val="-1"/>
                <w:sz w:val="18"/>
              </w:rPr>
              <w:t>11,369,436.36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1,023,008.10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1,023,008.10</w:t>
            </w:r>
          </w:p>
        </w:tc>
      </w:tr>
      <w:tr>
        <w:trPr>
          <w:trHeight w:val="430"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-6,492,377.67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1,741,892.34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-811,671.22</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-5,562,156.55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8,973,888.89</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-13,795.01</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-1,020,629.38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7,939,464.50</w:t>
            </w:r>
          </w:p>
        </w:tc>
      </w:tr>
    </w:tbl>
    <w:p>
      <w:pPr>
        <w:pStyle w:val="BodyText"/>
        <w:spacing w:line="300" w:lineRule="auto" w:before="8"/>
        <w:ind w:left="513" w:right="0" w:hanging="72"/>
        <w:jc w:val="left"/>
      </w:pPr>
      <w:r>
        <w:rPr/>
        <w:t>（</w:t>
      </w:r>
      <w:r>
        <w:rPr>
          <w:rFonts w:ascii="Times New Roman" w:hAnsi="Times New Roman" w:cs="Times New Roman" w:eastAsia="Times New Roman" w:hint="default"/>
        </w:rPr>
        <w:t>3</w:t>
      </w:r>
      <w:r>
        <w:rPr/>
        <w:t>）流动性风险 </w:t>
      </w:r>
      <w:r>
        <w:rPr>
          <w:spacing w:val="-2"/>
        </w:rPr>
        <w:t>流动风险，是指企业在履行以交付现金或其他金融资产的方式结算的义务时发生资金短缺的风险。本公司的政策是确保</w:t>
      </w:r>
    </w:p>
    <w:p>
      <w:pPr>
        <w:pStyle w:val="BodyText"/>
        <w:spacing w:line="316" w:lineRule="auto" w:before="31"/>
        <w:ind w:right="0"/>
        <w:jc w:val="left"/>
      </w:pPr>
      <w:r>
        <w:rPr>
          <w:spacing w:val="-2"/>
        </w:rPr>
        <w:t>拥有充足的现金以偿还到期债务。流动性风险由本公司的财务部门集中控制。财务部门通过监控现金余额、可随时变现的有</w:t>
      </w:r>
      <w:r>
        <w:rPr>
          <w:spacing w:val="-63"/>
        </w:rPr>
        <w:t> </w:t>
      </w:r>
      <w:r>
        <w:rPr>
          <w:spacing w:val="-63"/>
        </w:rPr>
      </w:r>
      <w:r>
        <w:rPr/>
        <w:t>价证券以及对未来现金流量的滚动预测，确保公司在所有合理预测的情况下拥有充足的资金偿还债务。 本公司各项金融负债以未折现的合同现金流量按到期日列示如下：</w:t>
      </w:r>
    </w:p>
    <w:p>
      <w:pPr>
        <w:pStyle w:val="BodyText"/>
        <w:spacing w:line="240" w:lineRule="auto" w:before="19"/>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821"/>
        <w:gridCol w:w="1906"/>
        <w:gridCol w:w="1592"/>
        <w:gridCol w:w="619"/>
        <w:gridCol w:w="917"/>
        <w:gridCol w:w="1805"/>
      </w:tblGrid>
      <w:tr>
        <w:trPr>
          <w:trHeight w:val="346" w:hRule="exact"/>
        </w:trPr>
        <w:tc>
          <w:tcPr>
            <w:tcW w:w="2821" w:type="dxa"/>
            <w:vMerge w:val="restart"/>
            <w:tcBorders>
              <w:top w:val="single" w:sz="6" w:space="0" w:color="000000"/>
              <w:left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83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2821" w:type="dxa"/>
            <w:vMerge/>
            <w:tcBorders>
              <w:left w:val="single" w:sz="6" w:space="0" w:color="000000"/>
              <w:bottom w:val="single" w:sz="6" w:space="0" w:color="000000"/>
              <w:right w:val="single" w:sz="6" w:space="0" w:color="000000"/>
            </w:tcBorders>
          </w:tcPr>
          <w:p>
            <w:pP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6" w:hRule="exact"/>
        </w:trPr>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33,257,570.20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80,613,901.64</w:t>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113,871,471.84</w:t>
            </w:r>
          </w:p>
        </w:tc>
      </w:tr>
      <w:tr>
        <w:trPr>
          <w:trHeight w:val="348" w:hRule="exact"/>
        </w:trPr>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42,801,652.55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42,801,652.55</w:t>
            </w:r>
          </w:p>
        </w:tc>
      </w:tr>
      <w:tr>
        <w:trPr>
          <w:trHeight w:val="348" w:hRule="exact"/>
        </w:trPr>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381,692,069.53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381,692,069.53</w:t>
            </w:r>
          </w:p>
        </w:tc>
      </w:tr>
      <w:tr>
        <w:trPr>
          <w:trHeight w:val="346" w:hRule="exact"/>
        </w:trPr>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应付职工薪酬</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15,667,160.62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15,667,160.62</w:t>
            </w:r>
          </w:p>
        </w:tc>
      </w:tr>
      <w:tr>
        <w:trPr>
          <w:trHeight w:val="348" w:hRule="exact"/>
        </w:trPr>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139,715,935.65</w:t>
            </w:r>
          </w:p>
        </w:tc>
        <w:tc>
          <w:tcPr>
            <w:tcW w:w="1592" w:type="dxa"/>
            <w:tcBorders>
              <w:top w:val="single" w:sz="6" w:space="0" w:color="000000"/>
              <w:left w:val="single" w:sz="6" w:space="0" w:color="000000"/>
              <w:bottom w:val="single" w:sz="6" w:space="0" w:color="000000"/>
              <w:right w:val="single" w:sz="6" w:space="0" w:color="000000"/>
            </w:tcBorders>
          </w:tcPr>
          <w:p>
            <w:pPr/>
          </w:p>
        </w:tc>
        <w:tc>
          <w:tcPr>
            <w:tcW w:w="619"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139,715,935.65</w:t>
            </w:r>
          </w:p>
        </w:tc>
      </w:tr>
      <w:tr>
        <w:trPr>
          <w:trHeight w:val="346" w:hRule="exact"/>
        </w:trPr>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6,875,234.35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13,132,694.50</w:t>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20,007,928.85</w:t>
            </w:r>
          </w:p>
        </w:tc>
      </w:tr>
      <w:tr>
        <w:trPr>
          <w:trHeight w:val="348" w:hRule="exact"/>
        </w:trPr>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387,154,615.89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387,154,615.89</w:t>
            </w:r>
          </w:p>
        </w:tc>
      </w:tr>
      <w:tr>
        <w:trPr>
          <w:trHeight w:val="348" w:hRule="exact"/>
        </w:trPr>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1,007,164,238.79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93,746,596.14</w:t>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1,100,910,834.93</w:t>
            </w:r>
          </w:p>
        </w:tc>
      </w:tr>
    </w:tbl>
    <w:p>
      <w:pPr>
        <w:pStyle w:val="BodyText"/>
        <w:spacing w:line="240" w:lineRule="auto" w:before="8"/>
        <w:ind w:right="1133"/>
        <w:jc w:val="left"/>
      </w:pPr>
      <w:r>
        <w:rPr/>
        <w:t>注：其他应付款包含股权激励回购义务</w:t>
      </w:r>
      <w:r>
        <w:rPr>
          <w:rFonts w:ascii="Times New Roman" w:hAnsi="Times New Roman" w:cs="Times New Roman" w:eastAsia="Times New Roman" w:hint="default"/>
        </w:rPr>
        <w:t>96,610,892.40</w:t>
      </w:r>
      <w:r>
        <w:rPr/>
        <w:t>元。</w:t>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sz w:val="19"/>
          <w:szCs w:val="19"/>
        </w:rPr>
      </w:pPr>
    </w:p>
    <w:p>
      <w:pPr>
        <w:pStyle w:val="Heading2"/>
        <w:spacing w:line="240" w:lineRule="auto" w:before="26"/>
        <w:ind w:right="1133"/>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3561"/>
        <w:gridCol w:w="1706"/>
        <w:gridCol w:w="1718"/>
        <w:gridCol w:w="1517"/>
        <w:gridCol w:w="1183"/>
      </w:tblGrid>
      <w:tr>
        <w:trPr>
          <w:trHeight w:val="396" w:hRule="exact"/>
        </w:trPr>
        <w:tc>
          <w:tcPr>
            <w:tcW w:w="3561" w:type="dxa"/>
            <w:tcBorders>
              <w:top w:val="single" w:sz="4" w:space="0" w:color="000000"/>
              <w:left w:val="single" w:sz="4" w:space="0" w:color="000000"/>
              <w:bottom w:val="nil" w:sz="6" w:space="0" w:color="auto"/>
              <w:right w:val="single" w:sz="4" w:space="0" w:color="000000"/>
            </w:tcBorders>
            <w:shd w:val="clear" w:color="auto" w:fill="D2D2D2"/>
          </w:tcPr>
          <w:p>
            <w:pPr/>
          </w:p>
        </w:tc>
        <w:tc>
          <w:tcPr>
            <w:tcW w:w="61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6" w:hRule="exact"/>
        </w:trPr>
        <w:tc>
          <w:tcPr>
            <w:tcW w:w="35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764" w:right="29"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7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765" w:right="41" w:hanging="720"/>
              <w:jc w:val="left"/>
              <w:rPr>
                <w:rFonts w:ascii="宋体" w:hAnsi="宋体" w:cs="宋体" w:eastAsia="宋体" w:hint="default"/>
                <w:sz w:val="18"/>
                <w:szCs w:val="18"/>
              </w:rPr>
            </w:pPr>
            <w:r>
              <w:rPr>
                <w:rFonts w:ascii="宋体" w:hAnsi="宋体" w:cs="宋体" w:eastAsia="宋体" w:hint="default"/>
                <w:sz w:val="18"/>
                <w:szCs w:val="18"/>
              </w:rPr>
              <w:t>第二层次公允价值计 量</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73" w:right="32" w:hanging="540"/>
              <w:jc w:val="left"/>
              <w:rPr>
                <w:rFonts w:ascii="宋体" w:hAnsi="宋体" w:cs="宋体" w:eastAsia="宋体" w:hint="default"/>
                <w:sz w:val="18"/>
                <w:szCs w:val="18"/>
              </w:rPr>
            </w:pPr>
            <w:r>
              <w:rPr>
                <w:rFonts w:ascii="宋体" w:hAnsi="宋体" w:cs="宋体" w:eastAsia="宋体" w:hint="default"/>
                <w:sz w:val="18"/>
                <w:szCs w:val="18"/>
              </w:rPr>
              <w:t>第三层次公允价值 计量</w:t>
            </w:r>
          </w:p>
        </w:tc>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3561" w:type="dxa"/>
            <w:vMerge/>
            <w:tcBorders>
              <w:left w:val="single" w:sz="4" w:space="0" w:color="000000"/>
              <w:bottom w:val="nil" w:sz="6" w:space="0" w:color="auto"/>
              <w:right w:val="single" w:sz="4" w:space="0" w:color="000000"/>
            </w:tcBorders>
            <w:shd w:val="clear" w:color="auto" w:fill="D2D2D2"/>
          </w:tcPr>
          <w:p>
            <w:pPr/>
          </w:p>
        </w:tc>
        <w:tc>
          <w:tcPr>
            <w:tcW w:w="1706" w:type="dxa"/>
            <w:vMerge/>
            <w:tcBorders>
              <w:left w:val="single" w:sz="4" w:space="0" w:color="000000"/>
              <w:right w:val="single" w:sz="4" w:space="0" w:color="000000"/>
            </w:tcBorders>
            <w:shd w:val="clear" w:color="auto" w:fill="D2D2D2"/>
          </w:tcPr>
          <w:p>
            <w:pPr/>
          </w:p>
        </w:tc>
        <w:tc>
          <w:tcPr>
            <w:tcW w:w="1718"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1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3561" w:type="dxa"/>
            <w:vMerge w:val="restart"/>
            <w:tcBorders>
              <w:top w:val="nil" w:sz="6" w:space="0" w:color="auto"/>
              <w:left w:val="single" w:sz="4" w:space="0" w:color="000000"/>
              <w:right w:val="single" w:sz="4" w:space="0" w:color="000000"/>
            </w:tcBorders>
            <w:shd w:val="clear" w:color="auto" w:fill="D2D2D2"/>
          </w:tcPr>
          <w:p>
            <w:pPr/>
          </w:p>
        </w:tc>
        <w:tc>
          <w:tcPr>
            <w:tcW w:w="1706" w:type="dxa"/>
            <w:vMerge/>
            <w:tcBorders>
              <w:left w:val="single" w:sz="4" w:space="0" w:color="000000"/>
              <w:right w:val="single" w:sz="4" w:space="0" w:color="000000"/>
            </w:tcBorders>
            <w:shd w:val="clear" w:color="auto" w:fill="D2D2D2"/>
          </w:tcPr>
          <w:p>
            <w:pPr/>
          </w:p>
        </w:tc>
        <w:tc>
          <w:tcPr>
            <w:tcW w:w="1718"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3561" w:type="dxa"/>
            <w:vMerge/>
            <w:tcBorders>
              <w:left w:val="single" w:sz="4" w:space="0" w:color="000000"/>
              <w:bottom w:val="single" w:sz="4" w:space="0" w:color="000000"/>
              <w:right w:val="single" w:sz="4" w:space="0" w:color="000000"/>
            </w:tcBorders>
            <w:shd w:val="clear" w:color="auto" w:fill="D2D2D2"/>
          </w:tcPr>
          <w:p>
            <w:pPr/>
          </w:p>
        </w:tc>
        <w:tc>
          <w:tcPr>
            <w:tcW w:w="1706" w:type="dxa"/>
            <w:vMerge/>
            <w:tcBorders>
              <w:left w:val="single" w:sz="4" w:space="0" w:color="000000"/>
              <w:bottom w:val="single" w:sz="4" w:space="0" w:color="000000"/>
              <w:right w:val="single" w:sz="4" w:space="0" w:color="000000"/>
            </w:tcBorders>
            <w:shd w:val="clear" w:color="auto" w:fill="D2D2D2"/>
          </w:tcPr>
          <w:p>
            <w:pPr/>
          </w:p>
        </w:tc>
        <w:tc>
          <w:tcPr>
            <w:tcW w:w="1718"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3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2"/>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（一）以公允价值计量且变动计入当期损益的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金融资产</w:t>
            </w:r>
          </w:p>
        </w:tc>
        <w:tc>
          <w:tcPr>
            <w:tcW w:w="17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47,111,134.92</w:t>
            </w:r>
          </w:p>
        </w:tc>
        <w:tc>
          <w:tcPr>
            <w:tcW w:w="171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47,111,134.92</w:t>
            </w:r>
          </w:p>
        </w:tc>
      </w:tr>
      <w:tr>
        <w:trPr>
          <w:trHeight w:val="401" w:hRule="exact"/>
        </w:trPr>
        <w:tc>
          <w:tcPr>
            <w:tcW w:w="3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17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47,111,134.92</w:t>
            </w:r>
          </w:p>
        </w:tc>
        <w:tc>
          <w:tcPr>
            <w:tcW w:w="171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47,111,134.92</w:t>
            </w:r>
          </w:p>
        </w:tc>
      </w:tr>
      <w:tr>
        <w:trPr>
          <w:trHeight w:val="403" w:hRule="exact"/>
        </w:trPr>
        <w:tc>
          <w:tcPr>
            <w:tcW w:w="3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7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47,111,134.92</w:t>
            </w:r>
          </w:p>
        </w:tc>
        <w:tc>
          <w:tcPr>
            <w:tcW w:w="171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47,111,134.92</w:t>
            </w:r>
          </w:p>
        </w:tc>
      </w:tr>
      <w:tr>
        <w:trPr>
          <w:trHeight w:val="401" w:hRule="exact"/>
        </w:trPr>
        <w:tc>
          <w:tcPr>
            <w:tcW w:w="3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（二）可供出售金融资产</w:t>
            </w:r>
          </w:p>
        </w:tc>
        <w:tc>
          <w:tcPr>
            <w:tcW w:w="1706" w:type="dxa"/>
            <w:tcBorders>
              <w:top w:val="single" w:sz="4" w:space="0" w:color="000000"/>
              <w:left w:val="single" w:sz="9" w:space="0" w:color="D2D2D2"/>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56,549,462.26</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56,549,462.26</w:t>
            </w:r>
          </w:p>
        </w:tc>
      </w:tr>
      <w:tr>
        <w:trPr>
          <w:trHeight w:val="403" w:hRule="exact"/>
        </w:trPr>
        <w:tc>
          <w:tcPr>
            <w:tcW w:w="3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706" w:type="dxa"/>
            <w:tcBorders>
              <w:top w:val="single" w:sz="4" w:space="0" w:color="000000"/>
              <w:left w:val="single" w:sz="9" w:space="0" w:color="D2D2D2"/>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56,549,462.26</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56,549,462.26</w:t>
            </w:r>
          </w:p>
        </w:tc>
      </w:tr>
      <w:tr>
        <w:trPr>
          <w:trHeight w:val="401" w:hRule="exact"/>
        </w:trPr>
        <w:tc>
          <w:tcPr>
            <w:tcW w:w="3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（三）投资性房地产</w:t>
            </w:r>
          </w:p>
        </w:tc>
        <w:tc>
          <w:tcPr>
            <w:tcW w:w="1706" w:type="dxa"/>
            <w:tcBorders>
              <w:top w:val="single" w:sz="4" w:space="0" w:color="000000"/>
              <w:left w:val="single" w:sz="9" w:space="0" w:color="D2D2D2"/>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277,298,900.00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277,298,900.00</w:t>
            </w:r>
          </w:p>
        </w:tc>
      </w:tr>
      <w:tr>
        <w:trPr>
          <w:trHeight w:val="403" w:hRule="exact"/>
        </w:trPr>
        <w:tc>
          <w:tcPr>
            <w:tcW w:w="3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706" w:type="dxa"/>
            <w:tcBorders>
              <w:top w:val="single" w:sz="4" w:space="0" w:color="000000"/>
              <w:left w:val="single" w:sz="9" w:space="0" w:color="D2D2D2"/>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277,298,900.00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277,298,900.00</w:t>
            </w:r>
          </w:p>
        </w:tc>
      </w:tr>
      <w:tr>
        <w:trPr>
          <w:trHeight w:val="401" w:hRule="exact"/>
        </w:trPr>
        <w:tc>
          <w:tcPr>
            <w:tcW w:w="3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持续以公允价值计量的资产总额</w:t>
            </w:r>
          </w:p>
        </w:tc>
        <w:tc>
          <w:tcPr>
            <w:tcW w:w="17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47,111,134.92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333,848,362.26</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380,959,497.18</w:t>
            </w:r>
          </w:p>
        </w:tc>
      </w:tr>
      <w:tr>
        <w:trPr>
          <w:trHeight w:val="404" w:hRule="exact"/>
        </w:trPr>
        <w:tc>
          <w:tcPr>
            <w:tcW w:w="3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firstLine="283"/>
        <w:jc w:val="left"/>
      </w:pPr>
      <w:r>
        <w:rPr/>
        <w:t>第一层输入值是企业在计量日能够取得的相同资产或负债在活跃市场上未经调整的报价。活跃市场，是指相关资产或负 债交易量及交易量足以持续提供定价信息的市场。</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3" w:firstLine="283"/>
        <w:jc w:val="left"/>
      </w:pPr>
      <w:r>
        <w:rPr/>
        <w:t>第二层输入值是除第一层输入值外相关资产或负债直接或间接客户安插的输入值。对于具有特定期限</w:t>
      </w:r>
      <w:r>
        <w:rPr>
          <w:rFonts w:ascii="Times New Roman" w:hAnsi="Times New Roman" w:cs="Times New Roman" w:eastAsia="Times New Roman" w:hint="default"/>
        </w:rPr>
        <w:t>(</w:t>
      </w:r>
      <w:r>
        <w:rPr/>
        <w:t>如合同期限</w:t>
      </w:r>
      <w:r>
        <w:rPr>
          <w:rFonts w:ascii="Times New Roman" w:hAnsi="Times New Roman" w:cs="Times New Roman" w:eastAsia="Times New Roman" w:hint="default"/>
        </w:rPr>
        <w:t>)</w:t>
      </w:r>
      <w:r>
        <w:rPr/>
        <w:t>的相 关资产或负债，第二层输入值必须在其几乎整个期限内是可观察的。第二层输入值包括：</w:t>
      </w:r>
    </w:p>
    <w:p>
      <w:pPr>
        <w:pStyle w:val="BodyText"/>
        <w:spacing w:line="240" w:lineRule="auto" w:before="31"/>
        <w:ind w:left="436" w:right="1133"/>
        <w:jc w:val="left"/>
      </w:pPr>
      <w:r>
        <w:rPr/>
        <w:t>（</w:t>
      </w:r>
      <w:r>
        <w:rPr>
          <w:rFonts w:ascii="Times New Roman" w:hAnsi="Times New Roman" w:cs="Times New Roman" w:eastAsia="Times New Roman" w:hint="default"/>
        </w:rPr>
        <w:t>1</w:t>
      </w:r>
      <w:r>
        <w:rPr/>
        <w:t>）活跃市场中类似资产或负债的报价；</w:t>
      </w:r>
    </w:p>
    <w:p>
      <w:pPr>
        <w:pStyle w:val="BodyText"/>
        <w:spacing w:line="240" w:lineRule="auto" w:before="63"/>
        <w:ind w:left="436" w:right="1133"/>
        <w:jc w:val="left"/>
      </w:pPr>
      <w:r>
        <w:rPr/>
        <w:t>（</w:t>
      </w:r>
      <w:r>
        <w:rPr>
          <w:rFonts w:ascii="Times New Roman" w:hAnsi="Times New Roman" w:cs="Times New Roman" w:eastAsia="Times New Roman" w:hint="default"/>
        </w:rPr>
        <w:t>2</w:t>
      </w:r>
      <w:r>
        <w:rPr/>
        <w:t>）</w:t>
      </w:r>
      <w:r>
        <w:rPr>
          <w:spacing w:val="-17"/>
        </w:rPr>
        <w:t> </w:t>
      </w:r>
      <w:r>
        <w:rPr/>
        <w:t>非活跃市场中相同或类似资产或负债的报价；</w:t>
      </w:r>
    </w:p>
    <w:p>
      <w:pPr>
        <w:pStyle w:val="BodyText"/>
        <w:spacing w:line="240" w:lineRule="auto" w:before="63"/>
        <w:ind w:left="436" w:right="1133"/>
        <w:jc w:val="left"/>
      </w:pPr>
      <w:r>
        <w:rPr/>
        <w:t>（</w:t>
      </w:r>
      <w:r>
        <w:rPr>
          <w:rFonts w:ascii="Times New Roman" w:hAnsi="Times New Roman" w:cs="Times New Roman" w:eastAsia="Times New Roman" w:hint="default"/>
        </w:rPr>
        <w:t>3</w:t>
      </w:r>
      <w:r>
        <w:rPr/>
        <w:t>）</w:t>
      </w:r>
      <w:r>
        <w:rPr>
          <w:spacing w:val="-17"/>
        </w:rPr>
        <w:t> </w:t>
      </w:r>
      <w:r>
        <w:rPr/>
        <w:t>除报价以外的其他可观察输入值，包括在正常报价间隔期间内可观察的利率和收益率曲线等。</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283"/>
        <w:jc w:val="left"/>
      </w:pPr>
      <w:r>
        <w:rPr/>
        <w:t>第三层输入值是相关资产或负债的不可观察输入值。第三层输入值包括不能直接观察和无法由可观察市场数据验证的利 率、股票波动率、企业合并中承担的弃置义务的未来现金流量、企业使用给自身数据作出的财务预测等。</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36" w:right="0"/>
        <w:jc w:val="left"/>
      </w:pPr>
      <w:r>
        <w:rPr/>
        <w:t>权益工具的估值系管理层综合考虑未来的回报和折现以及经营判断而预计该等权利的价值，管理层认为，该权益工具的</w:t>
      </w:r>
    </w:p>
    <w:p>
      <w:pPr>
        <w:spacing w:after="0" w:line="240" w:lineRule="auto"/>
        <w:jc w:val="left"/>
        <w:sectPr>
          <w:pgSz w:w="11910" w:h="16840"/>
          <w:pgMar w:header="0"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账面价值与公允价值相当。</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、本期内发生的估值技术变更及变更原因：无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、不以公允价值计量的金融资产和金融负债的公允价值情况：无</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、其他：无</w:t>
      </w:r>
      <w:r>
        <w:rPr>
          <w:rFonts w:ascii="宋体" w:hAnsi="宋体" w:cs="宋体" w:eastAsia="宋体" w:hint="default"/>
          <w:b/>
          <w:bCs/>
          <w:spacing w:val="-104"/>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19" w:type="dxa"/>
        <w:tblLayout w:type="fixed"/>
        <w:tblCellMar>
          <w:top w:w="0" w:type="dxa"/>
          <w:left w:w="0" w:type="dxa"/>
          <w:bottom w:w="0" w:type="dxa"/>
          <w:right w:w="0" w:type="dxa"/>
        </w:tblCellMar>
        <w:tblLook w:val="01E0"/>
      </w:tblPr>
      <w:tblGrid>
        <w:gridCol w:w="2290"/>
        <w:gridCol w:w="617"/>
        <w:gridCol w:w="802"/>
        <w:gridCol w:w="1222"/>
        <w:gridCol w:w="2290"/>
        <w:gridCol w:w="2477"/>
      </w:tblGrid>
      <w:tr>
        <w:trPr>
          <w:trHeight w:val="403" w:hRule="exact"/>
        </w:trPr>
        <w:tc>
          <w:tcPr>
            <w:tcW w:w="2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2"/>
              <w:jc w:val="right"/>
              <w:rPr>
                <w:rFonts w:ascii="宋体" w:hAnsi="宋体" w:cs="宋体" w:eastAsia="宋体" w:hint="default"/>
                <w:sz w:val="18"/>
                <w:szCs w:val="18"/>
              </w:rPr>
            </w:pPr>
            <w:r>
              <w:rPr>
                <w:rFonts w:ascii="宋体" w:hAnsi="宋体" w:cs="宋体" w:eastAsia="宋体" w:hint="default"/>
                <w:sz w:val="18"/>
                <w:szCs w:val="18"/>
              </w:rPr>
              <w:t>注册地</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8"/>
              <w:jc w:val="right"/>
              <w:rPr>
                <w:rFonts w:ascii="宋体" w:hAnsi="宋体" w:cs="宋体" w:eastAsia="宋体" w:hint="default"/>
                <w:sz w:val="18"/>
                <w:szCs w:val="18"/>
              </w:rPr>
            </w:pPr>
            <w:r>
              <w:rPr>
                <w:rFonts w:ascii="宋体" w:hAnsi="宋体" w:cs="宋体" w:eastAsia="宋体" w:hint="default"/>
                <w:sz w:val="18"/>
                <w:szCs w:val="18"/>
              </w:rPr>
              <w:t>母公司对本企业的持股比例</w:t>
            </w:r>
          </w:p>
        </w:tc>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3"/>
              <w:jc w:val="right"/>
              <w:rPr>
                <w:rFonts w:ascii="宋体" w:hAnsi="宋体" w:cs="宋体" w:eastAsia="宋体" w:hint="default"/>
                <w:sz w:val="18"/>
                <w:szCs w:val="18"/>
              </w:rPr>
            </w:pPr>
            <w:r>
              <w:rPr>
                <w:rFonts w:ascii="宋体" w:hAnsi="宋体" w:cs="宋体" w:eastAsia="宋体" w:hint="default"/>
                <w:sz w:val="18"/>
                <w:szCs w:val="18"/>
              </w:rPr>
              <w:t>母公司对本企业的表决权比例</w:t>
            </w:r>
          </w:p>
        </w:tc>
      </w:tr>
      <w:tr>
        <w:trPr>
          <w:trHeight w:val="401"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0"/>
              <w:jc w:val="center"/>
              <w:rPr>
                <w:rFonts w:ascii="宋体" w:hAnsi="宋体" w:cs="宋体" w:eastAsia="宋体" w:hint="default"/>
                <w:sz w:val="18"/>
                <w:szCs w:val="18"/>
              </w:rPr>
            </w:pPr>
            <w:r>
              <w:rPr>
                <w:rFonts w:ascii="宋体" w:hAnsi="宋体" w:cs="宋体" w:eastAsia="宋体" w:hint="default"/>
                <w:sz w:val="18"/>
                <w:szCs w:val="18"/>
              </w:rPr>
              <w:t>中驰惠程企业管理有限公司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北京市</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企业管理</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25,000.00 </w:t>
            </w:r>
            <w:r>
              <w:rPr>
                <w:rFonts w:ascii="宋体" w:hAnsi="宋体" w:cs="宋体" w:eastAsia="宋体" w:hint="default"/>
                <w:sz w:val="18"/>
                <w:szCs w:val="18"/>
              </w:rPr>
              <w:t>万元</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10.39%</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10.39%</w:t>
            </w:r>
          </w:p>
        </w:tc>
      </w:tr>
    </w:tbl>
    <w:p>
      <w:pPr>
        <w:pStyle w:val="BodyText"/>
        <w:spacing w:line="240" w:lineRule="auto" w:before="49"/>
        <w:ind w:right="1133"/>
        <w:jc w:val="left"/>
      </w:pPr>
      <w:r>
        <w:rPr/>
        <w:t>本企业的母公司情况的说明</w:t>
      </w:r>
    </w:p>
    <w:p>
      <w:pPr>
        <w:pStyle w:val="BodyText"/>
        <w:spacing w:line="304" w:lineRule="auto" w:before="117"/>
        <w:ind w:right="1128" w:firstLine="283"/>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月，公司原实际控制人何平女士和任金生先生与中驰惠程企业管理有限公司（以下简称</w:t>
      </w:r>
      <w:r>
        <w:rPr>
          <w:rFonts w:ascii="Times New Roman" w:hAnsi="Times New Roman" w:cs="Times New Roman" w:eastAsia="Times New Roman" w:hint="default"/>
          <w:spacing w:val="-2"/>
        </w:rPr>
        <w:t>“</w:t>
      </w:r>
      <w:r>
        <w:rPr>
          <w:spacing w:val="-2"/>
        </w:rPr>
        <w:t>中驰惠程</w:t>
      </w:r>
      <w:r>
        <w:rPr>
          <w:rFonts w:ascii="Times New Roman" w:hAnsi="Times New Roman" w:cs="Times New Roman" w:eastAsia="Times New Roman" w:hint="default"/>
          <w:spacing w:val="-2"/>
        </w:rPr>
        <w:t>”</w:t>
      </w:r>
      <w:r>
        <w:rPr>
          <w:spacing w:val="-2"/>
        </w:rPr>
        <w:t>，原中驰极速</w:t>
      </w:r>
      <w:r>
        <w:rPr/>
        <w:t> </w:t>
      </w:r>
      <w:r>
        <w:rPr>
          <w:spacing w:val="-2"/>
        </w:rPr>
        <w:t>体育文化发展有限公司）、共青城中源信投资管理合伙企业（有限合伙）（以下简称</w:t>
      </w:r>
      <w:r>
        <w:rPr>
          <w:rFonts w:ascii="Times New Roman" w:hAnsi="Times New Roman" w:cs="Times New Roman" w:eastAsia="Times New Roman" w:hint="default"/>
          <w:spacing w:val="-2"/>
        </w:rPr>
        <w:t>“</w:t>
      </w:r>
      <w:r>
        <w:rPr>
          <w:spacing w:val="-2"/>
        </w:rPr>
        <w:t>中源信</w:t>
      </w:r>
      <w:r>
        <w:rPr>
          <w:rFonts w:ascii="Times New Roman" w:hAnsi="Times New Roman" w:cs="Times New Roman" w:eastAsia="Times New Roman" w:hint="default"/>
          <w:spacing w:val="-2"/>
        </w:rPr>
        <w:t>”</w:t>
      </w:r>
      <w:r>
        <w:rPr>
          <w:spacing w:val="-2"/>
        </w:rPr>
        <w:t>）签署了股份转让协议及补充</w:t>
      </w:r>
      <w:r>
        <w:rPr>
          <w:spacing w:val="-48"/>
        </w:rPr>
        <w:t> </w:t>
      </w:r>
      <w:r>
        <w:rPr>
          <w:spacing w:val="-48"/>
        </w:rPr>
      </w:r>
      <w:r>
        <w:rPr>
          <w:spacing w:val="-2"/>
        </w:rPr>
        <w:t>协议，何平女士将持有的本公司</w:t>
      </w:r>
      <w:r>
        <w:rPr>
          <w:rFonts w:ascii="Times New Roman" w:hAnsi="Times New Roman" w:cs="Times New Roman" w:eastAsia="Times New Roman" w:hint="default"/>
          <w:spacing w:val="-2"/>
        </w:rPr>
        <w:t>70,167,755</w:t>
      </w:r>
      <w:r>
        <w:rPr>
          <w:spacing w:val="-2"/>
        </w:rPr>
        <w:t>股股份转让给中驰惠程，任金生先生将持有的本公司</w:t>
      </w:r>
      <w:r>
        <w:rPr>
          <w:rFonts w:ascii="Times New Roman" w:hAnsi="Times New Roman" w:cs="Times New Roman" w:eastAsia="Times New Roman" w:hint="default"/>
          <w:spacing w:val="-2"/>
        </w:rPr>
        <w:t>16,568,662</w:t>
      </w:r>
      <w:r>
        <w:rPr>
          <w:spacing w:val="-2"/>
        </w:rPr>
        <w:t>股股份转让给中源</w:t>
      </w:r>
      <w:r>
        <w:rPr>
          <w:spacing w:val="-47"/>
        </w:rPr>
        <w:t> </w:t>
      </w:r>
      <w:r>
        <w:rPr>
          <w:spacing w:val="-47"/>
        </w:rPr>
      </w:r>
      <w:r>
        <w:rPr/>
        <w:t>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月完成上述股份转让，公司控股股东变为中驰惠程。截止报告期末，公司母公司中驰惠程及其一致行动人中源 </w:t>
      </w:r>
      <w:r>
        <w:rPr>
          <w:spacing w:val="-2"/>
        </w:rPr>
        <w:t>信、北京信中利投资股份有限公司（以下简称“信中利”）、共青城信中利宝信投资合伙企业（有限合伙）（以下简称“信</w:t>
      </w:r>
      <w:r>
        <w:rPr>
          <w:spacing w:val="-65"/>
        </w:rPr>
        <w:t> </w:t>
      </w:r>
      <w:r>
        <w:rPr>
          <w:spacing w:val="-65"/>
        </w:rPr>
      </w:r>
      <w:r>
        <w:rPr/>
        <w:t>中利宝信”）合计持有公司股份</w:t>
      </w:r>
      <w:r>
        <w:rPr>
          <w:rFonts w:ascii="Times New Roman" w:hAnsi="Times New Roman" w:cs="Times New Roman" w:eastAsia="Times New Roman" w:hint="default"/>
        </w:rPr>
        <w:t>233,864,633</w:t>
      </w:r>
      <w:r>
        <w:rPr/>
        <w:t>股，占公司总股本的比例为</w:t>
      </w:r>
      <w:r>
        <w:rPr>
          <w:rFonts w:ascii="Times New Roman" w:hAnsi="Times New Roman" w:cs="Times New Roman" w:eastAsia="Times New Roman" w:hint="default"/>
        </w:rPr>
        <w:t>28.73%</w:t>
      </w:r>
      <w:r>
        <w:rPr/>
        <w:t>。</w:t>
      </w:r>
    </w:p>
    <w:p>
      <w:pPr>
        <w:pStyle w:val="BodyText"/>
        <w:spacing w:line="357" w:lineRule="auto" w:before="50"/>
        <w:ind w:right="6691" w:firstLine="283"/>
        <w:jc w:val="left"/>
      </w:pPr>
      <w:r>
        <w:rPr/>
        <w:t>本企业最终控制方是汪超涌先生、李亦非女士。 其他说明：</w:t>
      </w:r>
    </w:p>
    <w:p>
      <w:pPr>
        <w:pStyle w:val="BodyText"/>
        <w:spacing w:line="309" w:lineRule="auto" w:before="29"/>
        <w:ind w:right="1134" w:firstLine="283"/>
        <w:jc w:val="both"/>
      </w:pPr>
      <w:r>
        <w:rPr>
          <w:spacing w:val="-1"/>
        </w:rPr>
        <w:t>中驰惠程企业管理有限公司成立于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02</w:t>
      </w:r>
      <w:r>
        <w:rPr>
          <w:spacing w:val="-1"/>
        </w:rPr>
        <w:t>月</w:t>
      </w:r>
      <w:r>
        <w:rPr>
          <w:rFonts w:ascii="Times New Roman" w:hAnsi="Times New Roman" w:cs="Times New Roman" w:eastAsia="Times New Roman" w:hint="default"/>
          <w:spacing w:val="-1"/>
        </w:rPr>
        <w:t>17</w:t>
      </w:r>
      <w:r>
        <w:rPr>
          <w:spacing w:val="-1"/>
        </w:rPr>
        <w:t>日，注册资本为</w:t>
      </w:r>
      <w:r>
        <w:rPr>
          <w:rFonts w:ascii="Times New Roman" w:hAnsi="Times New Roman" w:cs="Times New Roman" w:eastAsia="Times New Roman" w:hint="default"/>
          <w:spacing w:val="-1"/>
        </w:rPr>
        <w:t>25,000.00</w:t>
      </w:r>
      <w:r>
        <w:rPr>
          <w:spacing w:val="-1"/>
        </w:rPr>
        <w:t>万元，公司的经营范围为企业管理；企业营销</w:t>
      </w:r>
      <w:r>
        <w:rPr/>
        <w:t> </w:t>
      </w:r>
      <w:r>
        <w:rPr>
          <w:spacing w:val="-2"/>
        </w:rPr>
        <w:t>策划；企业管理咨询；技术开发、技术转让、技术咨询、技术服务。（企业依法自主选择经营项目，开展经营活动；依法须</w:t>
      </w:r>
      <w:r>
        <w:rPr>
          <w:spacing w:val="-70"/>
        </w:rPr>
        <w:t> </w:t>
      </w:r>
      <w:r>
        <w:rPr>
          <w:spacing w:val="-70"/>
        </w:rPr>
      </w:r>
      <w:r>
        <w:rPr/>
        <w:t>经批准的项目，经相关部门批准后依批准的内容开展经营活动；不得从事本市产业政策禁止和限制类项目的经营活动。）</w:t>
      </w:r>
    </w:p>
    <w:p>
      <w:pPr>
        <w:pStyle w:val="BodyText"/>
        <w:spacing w:line="240" w:lineRule="auto" w:before="65"/>
        <w:ind w:left="436" w:right="1133"/>
        <w:jc w:val="left"/>
      </w:pPr>
      <w:r>
        <w:rPr/>
        <w:t>中驰惠程实际控制人为汪超涌先生与李亦非女士。</w:t>
      </w:r>
    </w:p>
    <w:p>
      <w:pPr>
        <w:spacing w:line="240" w:lineRule="auto" w:before="0"/>
        <w:rPr>
          <w:rFonts w:ascii="宋体" w:hAnsi="宋体" w:cs="宋体" w:eastAsia="宋体" w:hint="default"/>
          <w:sz w:val="18"/>
          <w:szCs w:val="18"/>
        </w:rPr>
      </w:pPr>
    </w:p>
    <w:p>
      <w:pPr>
        <w:spacing w:line="547" w:lineRule="auto" w:before="118"/>
        <w:ind w:left="152" w:right="67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pacing w:val="-13"/>
          <w:sz w:val="18"/>
          <w:szCs w:val="18"/>
        </w:rPr>
        <w:t>本企业子公司的情况详见附注九、</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pacing w:val="-92"/>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44"/>
        <w:ind w:right="2294"/>
        <w:jc w:val="left"/>
      </w:pPr>
      <w:r>
        <w:rPr/>
        <w:t>本企业重要的合营或联营企业详见附注九、</w:t>
      </w:r>
      <w:r>
        <w:rPr>
          <w:rFonts w:ascii="Times New Roman" w:hAnsi="Times New Roman" w:cs="Times New Roman" w:eastAsia="Times New Roman" w:hint="default"/>
        </w:rPr>
        <w:t>3</w:t>
      </w:r>
      <w:r>
        <w:rPr/>
        <w:t>。 本期与本公司发生关联方交易，或前期与本公司发生关联方交易形成余额的其他合营或联营企业情况如下：</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真机智能</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49"/>
        <w:ind w:right="1133"/>
        <w:jc w:val="left"/>
      </w:pPr>
      <w:r>
        <w:rPr/>
        <w:t>其他说明：</w:t>
      </w:r>
    </w:p>
    <w:p>
      <w:pPr>
        <w:pStyle w:val="BodyText"/>
        <w:spacing w:line="240" w:lineRule="auto" w:before="115"/>
        <w:ind w:left="0" w:right="1131"/>
        <w:jc w:val="right"/>
      </w:pPr>
      <w:r>
        <w:rPr/>
        <w:t>单位：元</w:t>
      </w:r>
    </w:p>
    <w:p>
      <w:pPr>
        <w:spacing w:after="0" w:line="240" w:lineRule="auto"/>
        <w:jc w:val="right"/>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5500"/>
        <w:gridCol w:w="1426"/>
        <w:gridCol w:w="1385"/>
        <w:gridCol w:w="1385"/>
      </w:tblGrid>
      <w:tr>
        <w:trPr>
          <w:trHeight w:val="428" w:hRule="exact"/>
        </w:trPr>
        <w:tc>
          <w:tcPr>
            <w:tcW w:w="5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科目</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宋体" w:hAnsi="宋体" w:cs="宋体" w:eastAsia="宋体" w:hint="default"/>
                <w:sz w:val="18"/>
                <w:szCs w:val="18"/>
              </w:rPr>
            </w:pPr>
            <w:r>
              <w:rPr>
                <w:rFonts w:ascii="宋体" w:hAnsi="宋体" w:cs="宋体" w:eastAsia="宋体" w:hint="default"/>
                <w:sz w:val="18"/>
                <w:szCs w:val="18"/>
              </w:rPr>
              <w:t>关联方</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7" w:hRule="exact"/>
        </w:trPr>
        <w:tc>
          <w:tcPr>
            <w:tcW w:w="5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hAnsi="宋体" w:cs="宋体" w:eastAsia="宋体" w:hint="default"/>
                <w:sz w:val="18"/>
                <w:szCs w:val="18"/>
              </w:rPr>
              <w:t>真机智能</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4,875.00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5869"/>
        <w:gridCol w:w="3829"/>
      </w:tblGrid>
      <w:tr>
        <w:trPr>
          <w:trHeight w:val="401" w:hRule="exact"/>
        </w:trPr>
        <w:tc>
          <w:tcPr>
            <w:tcW w:w="5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共青城中源信投资管理合伙企业（有限合伙）</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同一控制下关联企业</w:t>
            </w:r>
          </w:p>
        </w:tc>
      </w:tr>
      <w:tr>
        <w:trPr>
          <w:trHeight w:val="401"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共青城信中利宝信投资合伙企业（有限合伙）</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同一控制下关联企业</w:t>
            </w:r>
          </w:p>
        </w:tc>
      </w:tr>
      <w:tr>
        <w:trPr>
          <w:trHeight w:val="403"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田勇</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控股股东前一致行动人</w:t>
            </w:r>
          </w:p>
        </w:tc>
      </w:tr>
      <w:tr>
        <w:trPr>
          <w:trHeight w:val="401"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同一控制下关联企业</w:t>
            </w:r>
          </w:p>
        </w:tc>
      </w:tr>
      <w:tr>
        <w:trPr>
          <w:trHeight w:val="403"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北京信中利股权投资管理有限公司</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同一控制下关联企业</w:t>
            </w:r>
          </w:p>
        </w:tc>
      </w:tr>
      <w:tr>
        <w:trPr>
          <w:trHeight w:val="401"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北京九立方投资管理有限公司（原名</w:t>
            </w:r>
            <w:r>
              <w:rPr>
                <w:rFonts w:ascii="Times New Roman" w:hAnsi="Times New Roman" w:cs="Times New Roman" w:eastAsia="Times New Roman" w:hint="default"/>
                <w:sz w:val="18"/>
                <w:szCs w:val="18"/>
              </w:rPr>
              <w:t>"</w:t>
            </w:r>
            <w:r>
              <w:rPr>
                <w:rFonts w:ascii="宋体" w:hAnsi="宋体" w:cs="宋体" w:eastAsia="宋体" w:hint="default"/>
                <w:sz w:val="18"/>
                <w:szCs w:val="18"/>
              </w:rPr>
              <w:t>北京博利恒投资管理有限公司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控股股东前一致行动人田勇控制的企业</w:t>
            </w:r>
          </w:p>
        </w:tc>
      </w:tr>
      <w:tr>
        <w:trPr>
          <w:trHeight w:val="403"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北京京城九方酒店管理有限责任公司</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控股股东前一致行动人田勇控制的企业</w:t>
            </w:r>
          </w:p>
        </w:tc>
      </w:tr>
      <w:tr>
        <w:trPr>
          <w:trHeight w:val="401"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403"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李亦非</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401"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张晶</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公司董事、副总裁</w:t>
            </w:r>
          </w:p>
        </w:tc>
      </w:tr>
      <w:tr>
        <w:trPr>
          <w:trHeight w:val="403"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徐海啸</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公司董事长、总裁</w:t>
            </w:r>
          </w:p>
        </w:tc>
      </w:tr>
      <w:tr>
        <w:trPr>
          <w:trHeight w:val="401"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w:t>
            </w:r>
          </w:p>
        </w:tc>
      </w:tr>
      <w:tr>
        <w:trPr>
          <w:trHeight w:val="403"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WAN </w:t>
            </w:r>
            <w:r>
              <w:rPr>
                <w:rFonts w:ascii="Times New Roman" w:hAnsi="Times New Roman" w:cs="Times New Roman" w:eastAsia="Times New Roman" w:hint="default"/>
                <w:sz w:val="18"/>
                <w:szCs w:val="18"/>
              </w:rPr>
              <w:t>XIAO</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YANG</w:t>
            </w:r>
            <w:r>
              <w:rPr>
                <w:rFonts w:ascii="宋体" w:hAnsi="宋体" w:cs="宋体" w:eastAsia="宋体" w:hint="default"/>
                <w:sz w:val="18"/>
                <w:szCs w:val="18"/>
              </w:rPr>
              <w:t>（中文名：万晓阳）</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w:t>
            </w:r>
          </w:p>
        </w:tc>
      </w:tr>
      <w:tr>
        <w:trPr>
          <w:trHeight w:val="401"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w:t>
            </w:r>
          </w:p>
        </w:tc>
      </w:tr>
      <w:tr>
        <w:trPr>
          <w:trHeight w:val="403"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叶陈刚</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01"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03"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Key Ke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Liu</w:t>
            </w:r>
            <w:r>
              <w:rPr>
                <w:rFonts w:ascii="宋体" w:hAnsi="宋体" w:cs="宋体" w:eastAsia="宋体" w:hint="default"/>
                <w:sz w:val="18"/>
                <w:szCs w:val="18"/>
              </w:rPr>
              <w:t>（中文名：刘科）</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01"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公司副总裁</w:t>
            </w:r>
          </w:p>
        </w:tc>
      </w:tr>
      <w:tr>
        <w:trPr>
          <w:trHeight w:val="403"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刘扬</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公司财务总监、董事会秘书、副总裁</w:t>
            </w:r>
          </w:p>
        </w:tc>
      </w:tr>
      <w:tr>
        <w:trPr>
          <w:trHeight w:val="401"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公司副总裁</w:t>
            </w:r>
          </w:p>
        </w:tc>
      </w:tr>
      <w:tr>
        <w:trPr>
          <w:trHeight w:val="403"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迟永军</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公司原副总裁</w:t>
            </w:r>
          </w:p>
        </w:tc>
      </w:tr>
      <w:tr>
        <w:trPr>
          <w:trHeight w:val="401"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梅绍华</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公司监事会主席</w:t>
            </w:r>
          </w:p>
        </w:tc>
      </w:tr>
      <w:tr>
        <w:trPr>
          <w:trHeight w:val="403"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夏云飞</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公司监事</w:t>
            </w:r>
          </w:p>
        </w:tc>
      </w:tr>
      <w:tr>
        <w:trPr>
          <w:trHeight w:val="401"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温秋萍</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公司职工代表监事</w:t>
            </w:r>
          </w:p>
        </w:tc>
      </w:tr>
      <w:tr>
        <w:trPr>
          <w:trHeight w:val="403"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刘小峰</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信中利董事</w:t>
            </w:r>
          </w:p>
        </w:tc>
      </w:tr>
      <w:tr>
        <w:trPr>
          <w:trHeight w:val="401"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刘朝晨</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信中利副总经理</w:t>
            </w:r>
          </w:p>
        </w:tc>
      </w:tr>
      <w:tr>
        <w:trPr>
          <w:trHeight w:val="403"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王旭东</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信中利董事、副总经理</w:t>
            </w:r>
          </w:p>
        </w:tc>
      </w:tr>
      <w:tr>
        <w:trPr>
          <w:trHeight w:val="401"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魏勤</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信中利监事会主席</w:t>
            </w:r>
          </w:p>
        </w:tc>
      </w:tr>
      <w:tr>
        <w:trPr>
          <w:trHeight w:val="403"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刘俊辉</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信中利原监事</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19" w:type="dxa"/>
        <w:tblLayout w:type="fixed"/>
        <w:tblCellMar>
          <w:top w:w="0" w:type="dxa"/>
          <w:left w:w="0" w:type="dxa"/>
          <w:bottom w:w="0" w:type="dxa"/>
          <w:right w:w="0" w:type="dxa"/>
        </w:tblCellMar>
        <w:tblLook w:val="01E0"/>
      </w:tblPr>
      <w:tblGrid>
        <w:gridCol w:w="5869"/>
        <w:gridCol w:w="3829"/>
      </w:tblGrid>
      <w:tr>
        <w:trPr>
          <w:trHeight w:val="401"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张洁</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信中利原副总经理</w:t>
            </w:r>
          </w:p>
        </w:tc>
      </w:tr>
      <w:tr>
        <w:trPr>
          <w:trHeight w:val="403"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赵丽</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信中利董事、董事会秘书</w:t>
            </w:r>
          </w:p>
        </w:tc>
      </w:tr>
      <w:tr>
        <w:trPr>
          <w:trHeight w:val="401"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崔诗禹</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信中利监事</w:t>
            </w:r>
          </w:p>
        </w:tc>
      </w:tr>
      <w:tr>
        <w:trPr>
          <w:trHeight w:val="403"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李朝岭</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母公司中驰惠程法定代表人、执行董事、经理</w:t>
            </w:r>
          </w:p>
        </w:tc>
      </w:tr>
      <w:tr>
        <w:trPr>
          <w:trHeight w:val="403" w:hRule="exact"/>
        </w:trPr>
        <w:tc>
          <w:tcPr>
            <w:tcW w:w="5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彭寸玲</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信中利宝信执行事务合伙人委派代表</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真机智能</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货物销售</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54,568.96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真机智能</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128,962.26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3"/>
        <w:jc w:val="left"/>
      </w:pPr>
      <w:r>
        <w:rPr/>
        <w:t>购销商品、提供和接受劳务的关联交易说明：无。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本公司作为承租方：</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5521"/>
        <w:gridCol w:w="1152"/>
        <w:gridCol w:w="1513"/>
        <w:gridCol w:w="1512"/>
      </w:tblGrid>
      <w:tr>
        <w:trPr>
          <w:trHeight w:val="401"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9"/>
              <w:jc w:val="righ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9"/>
              <w:jc w:val="righ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5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1,980,000.00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1,941,500.00</w:t>
            </w:r>
          </w:p>
        </w:tc>
      </w:tr>
      <w:tr>
        <w:trPr>
          <w:trHeight w:val="401" w:hRule="exact"/>
        </w:trPr>
        <w:tc>
          <w:tcPr>
            <w:tcW w:w="5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北京九立方投资管理有限公司、北京京城九方酒店管理有限责任公司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2,488,200.00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1,669,200.00</w:t>
            </w:r>
          </w:p>
        </w:tc>
      </w:tr>
    </w:tbl>
    <w:p>
      <w:pPr>
        <w:pStyle w:val="BodyText"/>
        <w:spacing w:line="240" w:lineRule="auto" w:before="49"/>
        <w:ind w:right="1133"/>
        <w:jc w:val="left"/>
      </w:pPr>
      <w:r>
        <w:rPr/>
        <w:t>关联租赁情况说明：无。</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t>（</w:t>
      </w:r>
      <w:r>
        <w:rPr>
          <w:rFonts w:ascii="Times New Roman" w:hAnsi="Times New Roman" w:cs="Times New Roman" w:eastAsia="Times New Roman" w:hint="default"/>
        </w:rPr>
        <w:t>4</w:t>
      </w:r>
      <w:r>
        <w:rPr/>
        <w:t>）关联担保情况：无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）关联方资金拆借：无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）关联方资产转让、债务重组情况：无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9,448,423.96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9,707,349.74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36" w:right="0"/>
        <w:jc w:val="left"/>
      </w:pPr>
      <w:r>
        <w:rPr/>
        <w:t>经</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日公司第五届董事会第二十九次会议、</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日公司 </w:t>
      </w:r>
      <w:r>
        <w:rPr>
          <w:rFonts w:ascii="Times New Roman" w:hAnsi="Times New Roman" w:cs="Times New Roman" w:eastAsia="Times New Roman" w:hint="default"/>
        </w:rPr>
        <w:t>2016 </w:t>
      </w:r>
      <w:r>
        <w:rPr>
          <w:rFonts w:ascii="Times New Roman" w:hAnsi="Times New Roman" w:cs="Times New Roman" w:eastAsia="Times New Roman" w:hint="default"/>
          <w:spacing w:val="1"/>
        </w:rPr>
        <w:t> </w:t>
      </w:r>
      <w:r>
        <w:rPr/>
        <w:t>年第三次临时股东大会审议批准，</w:t>
      </w:r>
    </w:p>
    <w:p>
      <w:pPr>
        <w:pStyle w:val="BodyText"/>
        <w:spacing w:line="240" w:lineRule="auto" w:before="63"/>
        <w:ind w:right="0"/>
        <w:jc w:val="left"/>
      </w:pPr>
      <w:r>
        <w:rPr/>
        <w:t>公司出资</w:t>
      </w:r>
      <w:r>
        <w:rPr>
          <w:spacing w:val="1"/>
        </w:rPr>
        <w:t> </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w:t>
      </w:r>
      <w:r>
        <w:rPr>
          <w:rFonts w:ascii="Times New Roman" w:hAnsi="Times New Roman" w:cs="Times New Roman" w:eastAsia="Times New Roman" w:hint="default"/>
        </w:rPr>
        <w:t>8 </w:t>
      </w:r>
      <w:r>
        <w:rPr>
          <w:rFonts w:ascii="Times New Roman" w:hAnsi="Times New Roman" w:cs="Times New Roman" w:eastAsia="Times New Roman" w:hint="default"/>
          <w:spacing w:val="2"/>
        </w:rPr>
        <w:t> </w:t>
      </w:r>
      <w:r>
        <w:rPr/>
        <w:t>亿元</w:t>
      </w:r>
      <w:r>
        <w:rPr>
          <w:spacing w:val="-22"/>
        </w:rPr>
        <w:t>、</w:t>
      </w:r>
      <w:r>
        <w:rPr/>
        <w:t>信中利</w:t>
      </w:r>
      <w:r>
        <w:rPr>
          <w:spacing w:val="-3"/>
        </w:rPr>
        <w:t>控</w:t>
      </w:r>
      <w:r>
        <w:rPr/>
        <w:t>股子公司北京信中利股权投资管理有限公</w:t>
      </w:r>
      <w:r>
        <w:rPr>
          <w:spacing w:val="-22"/>
        </w:rPr>
        <w:t>司</w:t>
      </w:r>
      <w:r>
        <w:rPr/>
        <w:t>（以下简</w:t>
      </w:r>
      <w:r>
        <w:rPr>
          <w:spacing w:val="-22"/>
        </w:rPr>
        <w:t>称</w:t>
      </w:r>
      <w:r>
        <w:rPr/>
        <w:t>“</w:t>
      </w:r>
      <w:r>
        <w:rPr>
          <w:spacing w:val="2"/>
        </w:rPr>
        <w:t>信</w:t>
      </w:r>
      <w:r>
        <w:rPr/>
        <w:t>中利股权管理公司</w:t>
      </w:r>
      <w:r>
        <w:rPr>
          <w:spacing w:val="-92"/>
        </w:rPr>
        <w:t>”</w:t>
      </w:r>
      <w:r>
        <w:rPr>
          <w:spacing w:val="-22"/>
        </w:rPr>
        <w:t>）</w:t>
      </w:r>
      <w:r>
        <w:rPr/>
        <w:t>出资</w:t>
      </w:r>
      <w:r>
        <w:rPr>
          <w:spacing w:val="3"/>
        </w:rPr>
        <w:t> </w:t>
      </w:r>
      <w:r>
        <w:rPr>
          <w:rFonts w:ascii="Times New Roman" w:hAnsi="Times New Roman" w:cs="Times New Roman" w:eastAsia="Times New Roman" w:hint="default"/>
          <w:spacing w:val="1"/>
        </w:rPr>
        <w:t>0</w:t>
      </w:r>
      <w:r>
        <w:rPr>
          <w:rFonts w:ascii="Times New Roman" w:hAnsi="Times New Roman" w:cs="Times New Roman" w:eastAsia="Times New Roman" w:hint="default"/>
        </w:rPr>
        <w:t>.2  </w:t>
      </w:r>
      <w:r>
        <w:rPr/>
        <w:t>亿</w:t>
      </w:r>
    </w:p>
    <w:p>
      <w:pPr>
        <w:pStyle w:val="BodyText"/>
        <w:spacing w:line="240" w:lineRule="auto" w:before="63"/>
        <w:ind w:right="1133"/>
        <w:jc w:val="left"/>
      </w:pPr>
      <w:r>
        <w:rPr/>
        <w:t>元、中航信托出资</w:t>
      </w:r>
      <w:r>
        <w:rPr>
          <w:spacing w:val="-45"/>
        </w:rPr>
        <w:t> </w:t>
      </w:r>
      <w:r>
        <w:rPr>
          <w:rFonts w:ascii="Times New Roman" w:hAnsi="Times New Roman" w:cs="Times New Roman" w:eastAsia="Times New Roman" w:hint="default"/>
        </w:rPr>
        <w:t>12 </w:t>
      </w:r>
      <w:r>
        <w:rPr/>
        <w:t>亿元，三方合作发起设立产业并购基金。</w:t>
      </w:r>
    </w:p>
    <w:p>
      <w:pPr>
        <w:pStyle w:val="BodyText"/>
        <w:spacing w:line="240" w:lineRule="auto" w:before="101"/>
        <w:ind w:left="436" w:right="0"/>
        <w:jc w:val="left"/>
      </w:pPr>
      <w:r>
        <w:rPr/>
        <w:t>经</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日公司第六届董事会第九次会议、</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3"/>
        </w:rPr>
        <w:t> </w:t>
      </w:r>
      <w:r>
        <w:rPr>
          <w:rFonts w:ascii="Times New Roman" w:hAnsi="Times New Roman" w:cs="Times New Roman" w:eastAsia="Times New Roman" w:hint="default"/>
        </w:rPr>
        <w:t>3 </w:t>
      </w:r>
      <w:r>
        <w:rPr/>
        <w:t>月</w:t>
      </w:r>
      <w:r>
        <w:rPr>
          <w:spacing w:val="-43"/>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日公司</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年第三次临时股东大会审议批准，产业</w:t>
      </w:r>
    </w:p>
    <w:p>
      <w:pPr>
        <w:pStyle w:val="BodyText"/>
        <w:spacing w:line="240" w:lineRule="auto" w:before="63"/>
        <w:ind w:right="0"/>
        <w:jc w:val="left"/>
      </w:pPr>
      <w:r>
        <w:rPr/>
        <w:t>并购基金出资总额由</w:t>
      </w:r>
      <w:r>
        <w:rPr>
          <w:spacing w:val="-40"/>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亿元调整至</w:t>
      </w:r>
      <w:r>
        <w:rPr>
          <w:spacing w:val="-40"/>
        </w:rPr>
        <w:t> </w:t>
      </w:r>
      <w:r>
        <w:rPr>
          <w:rFonts w:ascii="Times New Roman" w:hAnsi="Times New Roman" w:cs="Times New Roman" w:eastAsia="Times New Roman" w:hint="default"/>
        </w:rPr>
        <w:t>13.55</w:t>
      </w:r>
      <w:r>
        <w:rPr>
          <w:rFonts w:ascii="Times New Roman" w:hAnsi="Times New Roman" w:cs="Times New Roman" w:eastAsia="Times New Roman" w:hint="default"/>
          <w:spacing w:val="6"/>
        </w:rPr>
        <w:t> </w:t>
      </w:r>
      <w:r>
        <w:rPr/>
        <w:t>亿元，其中公司对产业并购基金出资额由</w:t>
      </w:r>
      <w:r>
        <w:rPr>
          <w:spacing w:val="-40"/>
        </w:rPr>
        <w:t> </w:t>
      </w:r>
      <w:r>
        <w:rPr>
          <w:rFonts w:ascii="Times New Roman" w:hAnsi="Times New Roman" w:cs="Times New Roman" w:eastAsia="Times New Roman" w:hint="default"/>
        </w:rPr>
        <w:t>5.8</w:t>
      </w:r>
      <w:r>
        <w:rPr>
          <w:rFonts w:ascii="Times New Roman" w:hAnsi="Times New Roman" w:cs="Times New Roman" w:eastAsia="Times New Roman" w:hint="default"/>
          <w:spacing w:val="6"/>
        </w:rPr>
        <w:t> </w:t>
      </w:r>
      <w:r>
        <w:rPr/>
        <w:t>亿元调整至</w:t>
      </w:r>
      <w:r>
        <w:rPr>
          <w:spacing w:val="-40"/>
        </w:rPr>
        <w:t> </w:t>
      </w:r>
      <w:r>
        <w:rPr>
          <w:rFonts w:ascii="Times New Roman" w:hAnsi="Times New Roman" w:cs="Times New Roman" w:eastAsia="Times New Roman" w:hint="default"/>
        </w:rPr>
        <w:t>4.35</w:t>
      </w:r>
      <w:r>
        <w:rPr>
          <w:rFonts w:ascii="Times New Roman" w:hAnsi="Times New Roman" w:cs="Times New Roman" w:eastAsia="Times New Roman" w:hint="default"/>
          <w:spacing w:val="6"/>
        </w:rPr>
        <w:t> </w:t>
      </w:r>
      <w:r>
        <w:rPr/>
        <w:t>亿元，中航信托对</w:t>
      </w:r>
    </w:p>
    <w:p>
      <w:pPr>
        <w:pStyle w:val="BodyText"/>
        <w:spacing w:line="240" w:lineRule="auto" w:before="63"/>
        <w:ind w:right="1133"/>
        <w:jc w:val="left"/>
      </w:pPr>
      <w:r>
        <w:rPr/>
        <w:t>产业并购基金出资额由</w:t>
      </w:r>
      <w:r>
        <w:rPr>
          <w:spacing w:val="-45"/>
        </w:rPr>
        <w:t> </w:t>
      </w:r>
      <w:r>
        <w:rPr>
          <w:rFonts w:ascii="Times New Roman" w:hAnsi="Times New Roman" w:cs="Times New Roman" w:eastAsia="Times New Roman" w:hint="default"/>
        </w:rPr>
        <w:t>12 </w:t>
      </w:r>
      <w:r>
        <w:rPr/>
        <w:t>亿元调整至</w:t>
      </w:r>
      <w:r>
        <w:rPr>
          <w:spacing w:val="-45"/>
        </w:rPr>
        <w:t> </w:t>
      </w:r>
      <w:r>
        <w:rPr>
          <w:rFonts w:ascii="Times New Roman" w:hAnsi="Times New Roman" w:cs="Times New Roman" w:eastAsia="Times New Roman" w:hint="default"/>
        </w:rPr>
        <w:t>9 </w:t>
      </w:r>
      <w:r>
        <w:rPr/>
        <w:t>亿元。</w:t>
      </w:r>
    </w:p>
    <w:p>
      <w:pPr>
        <w:pStyle w:val="BodyText"/>
        <w:spacing w:line="240" w:lineRule="auto" w:before="103"/>
        <w:ind w:left="436" w:right="0"/>
        <w:jc w:val="left"/>
      </w:pPr>
      <w:r>
        <w:rPr/>
        <w:t>经</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日公司第六届董事会第十三次会议、</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日公司</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年年度股东大会审议批准，产业并购</w:t>
      </w:r>
    </w:p>
    <w:p>
      <w:pPr>
        <w:pStyle w:val="BodyText"/>
        <w:spacing w:line="240" w:lineRule="auto" w:before="63"/>
        <w:ind w:right="0"/>
        <w:jc w:val="left"/>
      </w:pPr>
      <w:r>
        <w:rPr/>
        <w:t>基金出资总额由</w:t>
      </w:r>
      <w:r>
        <w:rPr>
          <w:spacing w:val="-45"/>
        </w:rPr>
        <w:t> </w:t>
      </w:r>
      <w:r>
        <w:rPr>
          <w:rFonts w:ascii="Times New Roman" w:hAnsi="Times New Roman" w:cs="Times New Roman" w:eastAsia="Times New Roman" w:hint="default"/>
        </w:rPr>
        <w:t>13.55</w:t>
      </w:r>
      <w:r>
        <w:rPr>
          <w:rFonts w:ascii="Times New Roman" w:hAnsi="Times New Roman" w:cs="Times New Roman" w:eastAsia="Times New Roman" w:hint="default"/>
          <w:spacing w:val="1"/>
        </w:rPr>
        <w:t> </w:t>
      </w:r>
      <w:r>
        <w:rPr/>
        <w:t>亿元调整至</w:t>
      </w:r>
      <w:r>
        <w:rPr>
          <w:spacing w:val="-45"/>
        </w:rPr>
        <w:t> </w:t>
      </w:r>
      <w:r>
        <w:rPr>
          <w:rFonts w:ascii="Times New Roman" w:hAnsi="Times New Roman" w:cs="Times New Roman" w:eastAsia="Times New Roman" w:hint="default"/>
        </w:rPr>
        <w:t>9.1</w:t>
      </w:r>
      <w:r>
        <w:rPr>
          <w:rFonts w:ascii="Times New Roman" w:hAnsi="Times New Roman" w:cs="Times New Roman" w:eastAsia="Times New Roman" w:hint="default"/>
          <w:spacing w:val="1"/>
        </w:rPr>
        <w:t> </w:t>
      </w:r>
      <w:r>
        <w:rPr/>
        <w:t>亿元，其中公司对产业并购基金出资额由</w:t>
      </w:r>
      <w:r>
        <w:rPr>
          <w:spacing w:val="-46"/>
        </w:rPr>
        <w:t> </w:t>
      </w:r>
      <w:r>
        <w:rPr>
          <w:rFonts w:ascii="Times New Roman" w:hAnsi="Times New Roman" w:cs="Times New Roman" w:eastAsia="Times New Roman" w:hint="default"/>
        </w:rPr>
        <w:t>4.35</w:t>
      </w:r>
      <w:r>
        <w:rPr>
          <w:rFonts w:ascii="Times New Roman" w:hAnsi="Times New Roman" w:cs="Times New Roman" w:eastAsia="Times New Roman" w:hint="default"/>
          <w:spacing w:val="1"/>
        </w:rPr>
        <w:t> </w:t>
      </w:r>
      <w:r>
        <w:rPr/>
        <w:t>亿元调整至</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亿元，中航信托对产业</w:t>
      </w:r>
    </w:p>
    <w:p>
      <w:pPr>
        <w:pStyle w:val="BodyText"/>
        <w:spacing w:line="240" w:lineRule="auto" w:before="63"/>
        <w:ind w:right="1133"/>
        <w:jc w:val="left"/>
      </w:pPr>
      <w:r>
        <w:rPr/>
        <w:t>并购基金出资额由</w:t>
      </w:r>
      <w:r>
        <w:rPr>
          <w:spacing w:val="-45"/>
        </w:rPr>
        <w:t> </w:t>
      </w:r>
      <w:r>
        <w:rPr>
          <w:rFonts w:ascii="Times New Roman" w:hAnsi="Times New Roman" w:cs="Times New Roman" w:eastAsia="Times New Roman" w:hint="default"/>
        </w:rPr>
        <w:t>9 </w:t>
      </w:r>
      <w:r>
        <w:rPr/>
        <w:t>亿元调整至</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亿元。</w:t>
      </w:r>
    </w:p>
    <w:p>
      <w:pPr>
        <w:pStyle w:val="BodyText"/>
        <w:spacing w:line="300" w:lineRule="auto" w:before="104"/>
        <w:ind w:right="1124" w:firstLine="283"/>
        <w:jc w:val="left"/>
      </w:pPr>
      <w:r>
        <w:rPr/>
        <w:t>截止</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日，产业并购基金两次调整产业并购基金出资额的事项已办理完成相关工商变更登记手续，公司已 收到上述两次调整出资额的相关款项。</w:t>
      </w:r>
    </w:p>
    <w:p>
      <w:pPr>
        <w:pStyle w:val="BodyText"/>
        <w:spacing w:line="316" w:lineRule="auto" w:before="70"/>
        <w:ind w:right="1133" w:firstLine="283"/>
        <w:jc w:val="left"/>
      </w:pPr>
      <w:r>
        <w:rPr/>
        <w:t>信中利为公司控股股东中驰惠程的母公司，信中利股权管理公司为信中利的控股子公司，上述两次调整产业并购基金出 资额事项构成关联交易。</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）应收项目：无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6844"/>
        <w:gridCol w:w="497"/>
        <w:gridCol w:w="1174"/>
        <w:gridCol w:w="1183"/>
      </w:tblGrid>
      <w:tr>
        <w:trPr>
          <w:trHeight w:val="714" w:hRule="exact"/>
        </w:trPr>
        <w:tc>
          <w:tcPr>
            <w:tcW w:w="6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53" w:right="62" w:hanging="92"/>
              <w:jc w:val="left"/>
              <w:rPr>
                <w:rFonts w:ascii="宋体" w:hAnsi="宋体" w:cs="宋体" w:eastAsia="宋体" w:hint="default"/>
                <w:sz w:val="18"/>
                <w:szCs w:val="18"/>
              </w:rPr>
            </w:pPr>
            <w:r>
              <w:rPr>
                <w:rFonts w:ascii="宋体" w:hAnsi="宋体" w:cs="宋体" w:eastAsia="宋体" w:hint="default"/>
                <w:sz w:val="18"/>
                <w:szCs w:val="18"/>
              </w:rPr>
              <w:t>关联 方</w:t>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期末账面余额</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6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代收成都市人才奖励计划奖金</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6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尚未到期的哆可梦股权受让款</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473,711,698.51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763,174,788.61</w:t>
            </w:r>
          </w:p>
        </w:tc>
      </w:tr>
      <w:tr>
        <w:trPr>
          <w:trHeight w:val="401" w:hRule="exact"/>
        </w:trPr>
        <w:tc>
          <w:tcPr>
            <w:tcW w:w="6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以前年度寇汉代垫哆可梦广告费用</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2,581,597.82</w:t>
            </w:r>
          </w:p>
        </w:tc>
      </w:tr>
      <w:tr>
        <w:trPr>
          <w:trHeight w:val="715" w:hRule="exact"/>
        </w:trPr>
        <w:tc>
          <w:tcPr>
            <w:tcW w:w="684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55"/>
              <w:jc w:val="left"/>
              <w:rPr>
                <w:rFonts w:ascii="宋体" w:hAnsi="宋体" w:cs="宋体" w:eastAsia="宋体" w:hint="default"/>
                <w:sz w:val="18"/>
                <w:szCs w:val="18"/>
              </w:rPr>
            </w:pPr>
            <w:r>
              <w:rPr>
                <w:rFonts w:ascii="宋体" w:hAnsi="宋体" w:cs="宋体" w:eastAsia="宋体" w:hint="default"/>
                <w:sz w:val="18"/>
                <w:szCs w:val="18"/>
              </w:rPr>
              <w:t>根据哆可梦前控股股东、实际控制人寇汉在公司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年重大资产重组时出具承诺，公 司向寇汉预收的诉讼赔偿保证金</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、关联方承诺：无</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、其他：无</w:t>
      </w:r>
      <w:r>
        <w:rPr>
          <w:rFonts w:ascii="宋体" w:hAnsi="宋体" w:cs="宋体" w:eastAsia="宋体" w:hint="default"/>
          <w:b/>
          <w:bCs/>
          <w:spacing w:val="-104"/>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w:t>
      </w:r>
      <w:r>
        <w:rPr>
          <w:spacing w:val="1"/>
        </w:rPr>
        <w:t> </w:t>
      </w:r>
      <w:r>
        <w:rPr/>
        <w:t>股</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5445;top:14;width:2;height:392" coordorigin="5445,14" coordsize="2,392">
              <v:shape style="position:absolute;left:5445;top:14;width:2;height:392" coordorigin="5445,14" coordsize="0,392" path="m5445,14l5445,406e" filled="false" stroked="true" strokeweight="1.2pt" strokecolor="#d2d2d2">
                <v:path arrowok="t"/>
              </v:shape>
            </v:group>
            <v:group style="position:absolute;left:34;top:14;width:5399;height:392" coordorigin="34,14" coordsize="5399,392">
              <v:shape style="position:absolute;left:34;top:14;width:5399;height:392" coordorigin="34,14" coordsize="5399,392" path="m34,406l5433,406,5433,14,34,14,34,406xe" filled="true" fillcolor="#d2d2d2" stroked="false">
                <v:path arrowok="t"/>
                <v:fill type="solid"/>
              </v:shape>
            </v:group>
            <v:group style="position:absolute;left:10;top:10;width:5447;height:2" coordorigin="10,10" coordsize="5447,2">
              <v:shape style="position:absolute;left:10;top:10;width:5447;height:2" coordorigin="10,10" coordsize="5447,0" path="m10,10l5457,10e" filled="false" stroked="true" strokeweight=".47998pt" strokecolor="#000000">
                <v:path arrowok="t"/>
              </v:shape>
            </v:group>
            <v:group style="position:absolute;left:5466;top:10;width:4105;height:2" coordorigin="5466,10" coordsize="4105,2">
              <v:shape style="position:absolute;left:5466;top:10;width:4105;height:2" coordorigin="5466,10" coordsize="4105,0" path="m5466,10l9571,10e" filled="false" stroked="true" strokeweight=".4799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5447;height:2" coordorigin="10,410" coordsize="5447,2">
              <v:shape style="position:absolute;left:10;top:410;width:5447;height:2" coordorigin="10,410" coordsize="5447,0" path="m10,410l5457,410e" filled="false" stroked="true" strokeweight=".47998pt" strokecolor="#000000">
                <v:path arrowok="t"/>
              </v:shape>
            </v:group>
            <v:group style="position:absolute;left:5461;top:5;width:2;height:411" coordorigin="5461,5" coordsize="2,411">
              <v:shape style="position:absolute;left:5461;top:5;width:2;height:411" coordorigin="5461,5" coordsize="0,411" path="m5461,5l5461,415e" filled="false" stroked="true" strokeweight=".48001pt" strokecolor="#000000">
                <v:path arrowok="t"/>
              </v:shape>
            </v:group>
            <v:group style="position:absolute;left:5466;top:410;width:4105;height:2" coordorigin="5466,410" coordsize="4105,2">
              <v:shape style="position:absolute;left:5466;top:410;width:4105;height:2" coordorigin="5466,410" coordsize="4105,0" path="m5466,410l9571,410e" filled="false" stroked="true" strokeweight=".4799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5456;height:401" type="#_x0000_t202" filled="false" stroked="false">
                <v:textbox inset="0,0,0,0">
                  <w:txbxContent>
                    <w:p>
                      <w:pPr>
                        <w:spacing w:before="53"/>
                        <w:ind w:left="27" w:right="0" w:firstLine="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xbxContent>
                </v:textbox>
                <w10:wrap type="none"/>
              </v:shape>
              <v:shape style="position:absolute;left:9235;top:129;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0.00</w:t>
                      </w:r>
                    </w:p>
                  </w:txbxContent>
                </v:textbox>
                <w10:wrap type="none"/>
              </v:shape>
            </v:group>
          </v:group>
        </w:pict>
      </w:r>
      <w:r>
        <w:rPr>
          <w:rFonts w:ascii="宋体" w:hAnsi="宋体" w:cs="宋体" w:eastAsia="宋体" w:hint="default"/>
          <w:position w:val="-7"/>
          <w:sz w:val="20"/>
          <w:szCs w:val="20"/>
        </w:rPr>
      </w:r>
    </w:p>
    <w:p>
      <w:pPr>
        <w:spacing w:after="0" w:line="420" w:lineRule="exact"/>
        <w:rPr>
          <w:rFonts w:ascii="宋体" w:hAnsi="宋体" w:cs="宋体" w:eastAsia="宋体" w:hint="default"/>
          <w:sz w:val="20"/>
          <w:szCs w:val="20"/>
        </w:rPr>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35,704,800.00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10,905,200.00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详见以下说明</w:t>
            </w:r>
          </w:p>
        </w:tc>
      </w:tr>
    </w:tbl>
    <w:p>
      <w:pPr>
        <w:pStyle w:val="BodyText"/>
        <w:spacing w:line="240" w:lineRule="auto" w:before="49"/>
        <w:ind w:right="1133"/>
        <w:jc w:val="left"/>
      </w:pPr>
      <w:r>
        <w:rPr/>
        <w:t>其他说明</w:t>
      </w:r>
    </w:p>
    <w:p>
      <w:pPr>
        <w:pStyle w:val="BodyText"/>
        <w:spacing w:line="300" w:lineRule="auto" w:before="115"/>
        <w:ind w:left="513" w:right="4633"/>
        <w:jc w:val="left"/>
      </w:pPr>
      <w:r>
        <w:rPr/>
        <w:t>公司</w:t>
      </w:r>
      <w:r>
        <w:rPr>
          <w:rFonts w:ascii="Times New Roman" w:hAnsi="Times New Roman" w:cs="Times New Roman" w:eastAsia="Times New Roman" w:hint="default"/>
        </w:rPr>
        <w:t>2016</w:t>
      </w:r>
      <w:r>
        <w:rPr/>
        <w:t>年共实施一期股权激励计划、</w:t>
      </w:r>
      <w:r>
        <w:rPr>
          <w:rFonts w:ascii="Times New Roman" w:hAnsi="Times New Roman" w:cs="Times New Roman" w:eastAsia="Times New Roman" w:hint="default"/>
        </w:rPr>
        <w:t>2015</w:t>
      </w:r>
      <w:r>
        <w:rPr/>
        <w:t>年共实施两期股权激励计划。 公司本期无授予的各项权益工具。</w:t>
      </w:r>
    </w:p>
    <w:p>
      <w:pPr>
        <w:pStyle w:val="BodyText"/>
        <w:spacing w:line="300" w:lineRule="auto" w:before="31"/>
        <w:ind w:right="0" w:firstLine="360"/>
        <w:jc w:val="left"/>
      </w:pPr>
      <w:r>
        <w:rPr/>
        <w:t>公司本期解锁或行权的各项权益工具为：</w:t>
      </w:r>
      <w:r>
        <w:rPr>
          <w:rFonts w:ascii="Times New Roman" w:hAnsi="Times New Roman" w:cs="Times New Roman" w:eastAsia="Times New Roman" w:hint="default"/>
        </w:rPr>
        <w:t>2015</w:t>
      </w:r>
      <w:r>
        <w:rPr/>
        <w:t>年第一期股权激励计划首次授予的限制性股票于报告期内解锁上市流通 </w:t>
      </w:r>
      <w:r>
        <w:rPr>
          <w:rFonts w:ascii="Times New Roman" w:hAnsi="Times New Roman" w:cs="Times New Roman" w:eastAsia="Times New Roman" w:hint="default"/>
        </w:rPr>
        <w:t>148.5</w:t>
      </w:r>
      <w:r>
        <w:rPr/>
        <w:t>万股，其授予价格为</w:t>
      </w:r>
      <w:r>
        <w:rPr>
          <w:rFonts w:ascii="Times New Roman" w:hAnsi="Times New Roman" w:cs="Times New Roman" w:eastAsia="Times New Roman" w:hint="default"/>
        </w:rPr>
        <w:t>6.24</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2015</w:t>
      </w:r>
      <w:r>
        <w:rPr/>
        <w:t>年第二期股权激励计划首次授予的限制性股票于报告期内解锁上市流通</w:t>
      </w:r>
      <w:r>
        <w:rPr>
          <w:rFonts w:ascii="Times New Roman" w:hAnsi="Times New Roman" w:cs="Times New Roman" w:eastAsia="Times New Roman" w:hint="default"/>
        </w:rPr>
        <w:t>300</w:t>
      </w:r>
      <w:r>
        <w:rPr/>
        <w:t>万股，</w:t>
      </w:r>
      <w:r>
        <w:rPr>
          <w:spacing w:val="-55"/>
        </w:rPr>
        <w:t> </w:t>
      </w:r>
      <w:r>
        <w:rPr>
          <w:spacing w:val="-55"/>
        </w:rPr>
      </w:r>
      <w:r>
        <w:rPr/>
        <w:t>其授予价格为</w:t>
      </w:r>
      <w:r>
        <w:rPr>
          <w:rFonts w:ascii="Times New Roman" w:hAnsi="Times New Roman" w:cs="Times New Roman" w:eastAsia="Times New Roman" w:hint="default"/>
        </w:rPr>
        <w:t>4.38</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2015</w:t>
      </w:r>
      <w:r>
        <w:rPr/>
        <w:t>年两期股权激励计划预留授予的限制性股票于报告期内解锁上市流通</w:t>
      </w:r>
      <w:r>
        <w:rPr>
          <w:rFonts w:ascii="Times New Roman" w:hAnsi="Times New Roman" w:cs="Times New Roman" w:eastAsia="Times New Roman" w:hint="default"/>
        </w:rPr>
        <w:t>160</w:t>
      </w:r>
      <w:r>
        <w:rPr/>
        <w:t>万股，其授予价格为 </w:t>
      </w:r>
      <w:r>
        <w:rPr>
          <w:rFonts w:ascii="Times New Roman" w:hAnsi="Times New Roman" w:cs="Times New Roman" w:eastAsia="Times New Roman" w:hint="default"/>
        </w:rPr>
        <w:t>7.49</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2015</w:t>
      </w:r>
      <w:r>
        <w:rPr/>
        <w:t>年第二期股权激励计划首次授予的股票期权于本年行权的</w:t>
      </w:r>
      <w:r>
        <w:rPr>
          <w:rFonts w:ascii="Times New Roman" w:hAnsi="Times New Roman" w:cs="Times New Roman" w:eastAsia="Times New Roman" w:hint="default"/>
        </w:rPr>
        <w:t>112.98</w:t>
      </w:r>
      <w:r>
        <w:rPr/>
        <w:t>万份，行权价格为</w:t>
      </w:r>
      <w:r>
        <w:rPr>
          <w:rFonts w:ascii="Times New Roman" w:hAnsi="Times New Roman" w:cs="Times New Roman" w:eastAsia="Times New Roman" w:hint="default"/>
        </w:rPr>
        <w:t>9.25</w:t>
      </w:r>
      <w:r>
        <w:rPr/>
        <w:t>元</w:t>
      </w:r>
      <w:r>
        <w:rPr>
          <w:rFonts w:ascii="Times New Roman" w:hAnsi="Times New Roman" w:cs="Times New Roman" w:eastAsia="Times New Roman" w:hint="default"/>
        </w:rPr>
        <w:t>/</w:t>
      </w:r>
      <w:r>
        <w:rPr/>
        <w:t>份，</w:t>
      </w:r>
      <w:r>
        <w:rPr>
          <w:rFonts w:ascii="Times New Roman" w:hAnsi="Times New Roman" w:cs="Times New Roman" w:eastAsia="Times New Roman" w:hint="default"/>
        </w:rPr>
        <w:t>2016</w:t>
      </w:r>
      <w:r>
        <w:rPr/>
        <w:t>年限制性 股票激励计划授予的限制性股票于报告期内解锁上市流通</w:t>
      </w:r>
      <w:r>
        <w:rPr>
          <w:rFonts w:ascii="Times New Roman" w:hAnsi="Times New Roman" w:cs="Times New Roman" w:eastAsia="Times New Roman" w:hint="default"/>
        </w:rPr>
        <w:t>2,849</w:t>
      </w:r>
      <w:r>
        <w:rPr/>
        <w:t>万股，其授予价格为</w:t>
      </w:r>
      <w:r>
        <w:rPr>
          <w:rFonts w:ascii="Times New Roman" w:hAnsi="Times New Roman" w:cs="Times New Roman" w:eastAsia="Times New Roman" w:hint="default"/>
        </w:rPr>
        <w:t>7.44</w:t>
      </w:r>
      <w:r>
        <w:rPr/>
        <w:t>元</w:t>
      </w:r>
      <w:r>
        <w:rPr>
          <w:rFonts w:ascii="Times New Roman" w:hAnsi="Times New Roman" w:cs="Times New Roman" w:eastAsia="Times New Roman" w:hint="default"/>
        </w:rPr>
        <w:t>/</w:t>
      </w:r>
      <w:r>
        <w:rPr/>
        <w:t>股。</w:t>
      </w:r>
    </w:p>
    <w:p>
      <w:pPr>
        <w:pStyle w:val="BodyText"/>
        <w:spacing w:line="300" w:lineRule="auto" w:before="13"/>
        <w:ind w:right="1124" w:firstLine="360"/>
        <w:jc w:val="left"/>
      </w:pPr>
      <w:r>
        <w:rPr/>
        <w:t>公司本期失效的各项权益工具为：</w:t>
      </w:r>
      <w:r>
        <w:rPr>
          <w:rFonts w:ascii="Times New Roman" w:hAnsi="Times New Roman" w:cs="Times New Roman" w:eastAsia="Times New Roman" w:hint="default"/>
        </w:rPr>
        <w:t>2015</w:t>
      </w:r>
      <w:r>
        <w:rPr/>
        <w:t>年第一期股权激励计划首次授予的</w:t>
      </w:r>
      <w:r>
        <w:rPr>
          <w:rFonts w:ascii="Times New Roman" w:hAnsi="Times New Roman" w:cs="Times New Roman" w:eastAsia="Times New Roman" w:hint="default"/>
        </w:rPr>
        <w:t>198</w:t>
      </w:r>
      <w:r>
        <w:rPr/>
        <w:t>万股限制性股票于报告期内因业绩考核未 达标而失效；</w:t>
      </w:r>
      <w:r>
        <w:rPr>
          <w:rFonts w:ascii="Times New Roman" w:hAnsi="Times New Roman" w:cs="Times New Roman" w:eastAsia="Times New Roman" w:hint="default"/>
        </w:rPr>
        <w:t>2015</w:t>
      </w:r>
      <w:r>
        <w:rPr/>
        <w:t>年第二期股权激励计划首次授予的</w:t>
      </w:r>
      <w:r>
        <w:rPr>
          <w:rFonts w:ascii="Times New Roman" w:hAnsi="Times New Roman" w:cs="Times New Roman" w:eastAsia="Times New Roman" w:hint="default"/>
        </w:rPr>
        <w:t>400</w:t>
      </w:r>
      <w:r>
        <w:rPr/>
        <w:t>万股限制性股票于报告期内因业绩考核未达标而失效；</w:t>
      </w:r>
      <w:r>
        <w:rPr>
          <w:rFonts w:ascii="Times New Roman" w:hAnsi="Times New Roman" w:cs="Times New Roman" w:eastAsia="Times New Roman" w:hint="default"/>
        </w:rPr>
        <w:t>2015</w:t>
      </w:r>
      <w:r>
        <w:rPr/>
        <w:t>年两期 股权激励预留授予的</w:t>
      </w:r>
      <w:r>
        <w:rPr>
          <w:rFonts w:ascii="Times New Roman" w:hAnsi="Times New Roman" w:cs="Times New Roman" w:eastAsia="Times New Roman" w:hint="default"/>
        </w:rPr>
        <w:t>160</w:t>
      </w:r>
      <w:r>
        <w:rPr/>
        <w:t>万股限制性股票于报告期内因业绩考核未达标而失效；</w:t>
      </w:r>
      <w:r>
        <w:rPr>
          <w:rFonts w:ascii="Times New Roman" w:hAnsi="Times New Roman" w:cs="Times New Roman" w:eastAsia="Times New Roman" w:hint="default"/>
        </w:rPr>
        <w:t>2015</w:t>
      </w:r>
      <w:r>
        <w:rPr/>
        <w:t>年第二期股权激励计划首次授予的</w:t>
      </w:r>
      <w:r>
        <w:rPr>
          <w:rFonts w:ascii="Times New Roman" w:hAnsi="Times New Roman" w:cs="Times New Roman" w:eastAsia="Times New Roman" w:hint="default"/>
        </w:rPr>
        <w:t>186</w:t>
      </w:r>
      <w:r>
        <w:rPr>
          <w:rFonts w:ascii="Times New Roman" w:hAnsi="Times New Roman" w:cs="Times New Roman" w:eastAsia="Times New Roman" w:hint="default"/>
          <w:spacing w:val="1"/>
        </w:rPr>
        <w:t> </w:t>
      </w:r>
      <w:r>
        <w:rPr>
          <w:spacing w:val="-2"/>
        </w:rPr>
        <w:t>万份股票期权于报告期内因业绩考核未达标而失效；</w:t>
      </w:r>
      <w:r>
        <w:rPr>
          <w:rFonts w:ascii="Times New Roman" w:hAnsi="Times New Roman" w:cs="Times New Roman" w:eastAsia="Times New Roman" w:hint="default"/>
          <w:spacing w:val="-2"/>
        </w:rPr>
        <w:t>2015</w:t>
      </w:r>
      <w:r>
        <w:rPr>
          <w:spacing w:val="-2"/>
        </w:rPr>
        <w:t>年两期股权激励计划预留授予的</w:t>
      </w:r>
      <w:r>
        <w:rPr>
          <w:rFonts w:ascii="Times New Roman" w:hAnsi="Times New Roman" w:cs="Times New Roman" w:eastAsia="Times New Roman" w:hint="default"/>
          <w:spacing w:val="-2"/>
        </w:rPr>
        <w:t>60</w:t>
      </w:r>
      <w:r>
        <w:rPr>
          <w:spacing w:val="-2"/>
        </w:rPr>
        <w:t>万份股票期权于报告期内因业绩</w:t>
      </w:r>
      <w:r>
        <w:rPr>
          <w:spacing w:val="-60"/>
        </w:rPr>
        <w:t> </w:t>
      </w:r>
      <w:r>
        <w:rPr>
          <w:spacing w:val="-2"/>
        </w:rPr>
        <w:t>考核未达标而失效；</w:t>
      </w:r>
      <w:r>
        <w:rPr>
          <w:rFonts w:ascii="Times New Roman" w:hAnsi="Times New Roman" w:cs="Times New Roman" w:eastAsia="Times New Roman" w:hint="default"/>
          <w:spacing w:val="-2"/>
        </w:rPr>
        <w:t>2015</w:t>
      </w:r>
      <w:r>
        <w:rPr>
          <w:spacing w:val="-2"/>
        </w:rPr>
        <w:t>年两期股权激励计划预留授予的</w:t>
      </w:r>
      <w:r>
        <w:rPr>
          <w:rFonts w:ascii="Times New Roman" w:hAnsi="Times New Roman" w:cs="Times New Roman" w:eastAsia="Times New Roman" w:hint="default"/>
          <w:spacing w:val="-2"/>
        </w:rPr>
        <w:t>60</w:t>
      </w:r>
      <w:r>
        <w:rPr>
          <w:spacing w:val="-2"/>
        </w:rPr>
        <w:t>万份股票期权于报告期内因到期未行权而失效；</w:t>
      </w:r>
      <w:r>
        <w:rPr>
          <w:rFonts w:ascii="Times New Roman" w:hAnsi="Times New Roman" w:cs="Times New Roman" w:eastAsia="Times New Roman" w:hint="default"/>
          <w:spacing w:val="-2"/>
        </w:rPr>
        <w:t>2015</w:t>
      </w:r>
      <w:r>
        <w:rPr>
          <w:spacing w:val="-2"/>
        </w:rPr>
        <w:t>年第二期股</w:t>
      </w:r>
      <w:r>
        <w:rPr>
          <w:spacing w:val="-58"/>
        </w:rPr>
        <w:t> </w:t>
      </w:r>
      <w:r>
        <w:rPr>
          <w:spacing w:val="-58"/>
        </w:rPr>
      </w:r>
      <w:r>
        <w:rPr/>
        <w:t>权激励计划首次授予的</w:t>
      </w:r>
      <w:r>
        <w:rPr>
          <w:rFonts w:ascii="Times New Roman" w:hAnsi="Times New Roman" w:cs="Times New Roman" w:eastAsia="Times New Roman" w:hint="default"/>
        </w:rPr>
        <w:t>26.52</w:t>
      </w:r>
      <w:r>
        <w:rPr/>
        <w:t>万份股票期权于报告期内因到期未行权而失效。</w:t>
      </w:r>
    </w:p>
    <w:p>
      <w:pPr>
        <w:pStyle w:val="BodyText"/>
        <w:spacing w:line="240" w:lineRule="auto" w:before="13"/>
        <w:ind w:left="513" w:right="1133"/>
        <w:jc w:val="left"/>
      </w:pPr>
      <w:r>
        <w:rPr/>
        <w:t>公司期末发行在外尚未解锁或行权的各项权益工具为：</w:t>
      </w:r>
      <w:r>
        <w:rPr>
          <w:rFonts w:ascii="Times New Roman" w:hAnsi="Times New Roman" w:cs="Times New Roman" w:eastAsia="Times New Roman" w:hint="default"/>
        </w:rPr>
        <w:t>2016</w:t>
      </w:r>
      <w:r>
        <w:rPr/>
        <w:t>年股权激励计划授予的限制性股票</w:t>
      </w:r>
      <w:r>
        <w:rPr>
          <w:rFonts w:ascii="Times New Roman" w:hAnsi="Times New Roman" w:cs="Times New Roman" w:eastAsia="Times New Roman" w:hint="default"/>
        </w:rPr>
        <w:t>1,221</w:t>
      </w:r>
      <w:r>
        <w:rPr/>
        <w:t>万股，授予价格为</w:t>
      </w:r>
    </w:p>
    <w:p>
      <w:pPr>
        <w:pStyle w:val="BodyText"/>
        <w:spacing w:line="300" w:lineRule="auto" w:before="63"/>
        <w:ind w:left="513" w:right="3553" w:hanging="361"/>
        <w:jc w:val="left"/>
      </w:pPr>
      <w:r>
        <w:rPr>
          <w:rFonts w:ascii="Times New Roman" w:hAnsi="Times New Roman" w:cs="Times New Roman" w:eastAsia="Times New Roman" w:hint="default"/>
        </w:rPr>
        <w:t>7.44</w:t>
      </w:r>
      <w:r>
        <w:rPr/>
        <w:t>元</w:t>
      </w:r>
      <w:r>
        <w:rPr>
          <w:rFonts w:ascii="Times New Roman" w:hAnsi="Times New Roman" w:cs="Times New Roman" w:eastAsia="Times New Roman" w:hint="default"/>
        </w:rPr>
        <w:t>/</w:t>
      </w:r>
      <w:r>
        <w:rPr/>
        <w:t>股；公司期末发行在外的限制性股票总额为</w:t>
      </w:r>
      <w:r>
        <w:rPr>
          <w:rFonts w:ascii="Times New Roman" w:hAnsi="Times New Roman" w:cs="Times New Roman" w:eastAsia="Times New Roman" w:hint="default"/>
        </w:rPr>
        <w:t>1,221</w:t>
      </w:r>
      <w:r>
        <w:rPr/>
        <w:t>万股。 公司</w:t>
      </w:r>
      <w:r>
        <w:rPr>
          <w:rFonts w:ascii="Times New Roman" w:hAnsi="Times New Roman" w:cs="Times New Roman" w:eastAsia="Times New Roman" w:hint="default"/>
        </w:rPr>
        <w:t>2016</w:t>
      </w:r>
      <w:r>
        <w:rPr/>
        <w:t>年股权激励计划授予的限制性股票期末发行在外的限制性股票合同剩余期限： 距第三个解锁期剩余</w:t>
      </w:r>
      <w:r>
        <w:rPr>
          <w:rFonts w:ascii="Times New Roman" w:hAnsi="Times New Roman" w:cs="Times New Roman" w:eastAsia="Times New Roman" w:hint="default"/>
        </w:rPr>
        <w:t>9</w:t>
      </w:r>
      <w:r>
        <w:rPr/>
        <w:t>个月。</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斯科尔期权定价模型</w:t>
            </w:r>
          </w:p>
        </w:tc>
      </w:tr>
      <w:tr>
        <w:trPr>
          <w:trHeight w:val="715"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第五届董事会十七次、十八次、二十九次会议；</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年第 五次、第六次临时股东大会；</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年第三次临时股东大会</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109,942,729.04</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1,899,716.21</w:t>
            </w:r>
          </w:p>
        </w:tc>
      </w:tr>
    </w:tbl>
    <w:p>
      <w:pPr>
        <w:pStyle w:val="BodyText"/>
        <w:spacing w:line="240" w:lineRule="auto" w:before="49"/>
        <w:ind w:right="1133"/>
        <w:jc w:val="left"/>
      </w:pPr>
      <w:r>
        <w:rPr/>
        <w:t>其他说明</w:t>
      </w:r>
    </w:p>
    <w:p>
      <w:pPr>
        <w:pStyle w:val="BodyText"/>
        <w:spacing w:line="240" w:lineRule="auto" w:before="115"/>
        <w:ind w:left="513" w:right="1133"/>
        <w:jc w:val="left"/>
      </w:pPr>
      <w:r>
        <w:rPr/>
        <w:t>股份支付成本及摊销情况：</w:t>
      </w:r>
    </w:p>
    <w:p>
      <w:pPr>
        <w:pStyle w:val="BodyText"/>
        <w:spacing w:line="240" w:lineRule="auto" w:before="76"/>
        <w:ind w:left="513" w:right="1133"/>
        <w:jc w:val="left"/>
      </w:pPr>
      <w:r>
        <w:rPr>
          <w:rFonts w:ascii="Times New Roman" w:hAnsi="Times New Roman" w:cs="Times New Roman" w:eastAsia="Times New Roman" w:hint="default"/>
        </w:rPr>
        <w:t>(1)</w:t>
      </w:r>
      <w:r>
        <w:rPr/>
        <w:t>经测算，限制性股票激励成本合计为</w:t>
      </w:r>
      <w:r>
        <w:rPr>
          <w:rFonts w:ascii="Times New Roman" w:hAnsi="Times New Roman" w:cs="Times New Roman" w:eastAsia="Times New Roman" w:hint="default"/>
        </w:rPr>
        <w:t>11,963.88</w:t>
      </w:r>
      <w:r>
        <w:rPr/>
        <w:t>万元，</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2019</w:t>
      </w:r>
      <w:r>
        <w:rPr/>
        <w:t>年限制性股票成本摊销情况表见下表：</w:t>
      </w:r>
    </w:p>
    <w:p>
      <w:pPr>
        <w:pStyle w:val="BodyText"/>
        <w:spacing w:line="240" w:lineRule="auto" w:before="63"/>
        <w:ind w:left="0" w:right="1131"/>
        <w:jc w:val="right"/>
      </w:pPr>
      <w:r>
        <w:rPr/>
        <w:t>单位：万元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934"/>
        <w:gridCol w:w="1697"/>
        <w:gridCol w:w="1390"/>
        <w:gridCol w:w="1234"/>
        <w:gridCol w:w="1234"/>
        <w:gridCol w:w="1171"/>
      </w:tblGrid>
      <w:tr>
        <w:trPr>
          <w:trHeight w:val="348"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r>
      <w:tr>
        <w:trPr>
          <w:trHeight w:val="346"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年第一期授予摊销数额</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1,005.81</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471.32</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99.63</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年第二期授予摊销数额</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488.34</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2,725.45</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1,191.75</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380.20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934"/>
        <w:gridCol w:w="1697"/>
        <w:gridCol w:w="1390"/>
        <w:gridCol w:w="1234"/>
        <w:gridCol w:w="1234"/>
        <w:gridCol w:w="1171"/>
      </w:tblGrid>
      <w:tr>
        <w:trPr>
          <w:trHeight w:val="348"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年授予摊销数额</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1,252.56</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3,915.61</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463.62</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-30.41</w:t>
            </w:r>
          </w:p>
        </w:tc>
      </w:tr>
      <w:tr>
        <w:trPr>
          <w:trHeight w:val="346"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回购及注销影响</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-549.73</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-444.64</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-146.89</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预计无法解锁暂不计提的影响</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-795.77</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-241.70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30.41</w:t>
            </w:r>
          </w:p>
        </w:tc>
      </w:tr>
      <w:tr>
        <w:trPr>
          <w:trHeight w:val="348"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488.34</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4,434.09</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4,338.27</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554.86</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pStyle w:val="BodyText"/>
        <w:spacing w:line="240" w:lineRule="auto" w:before="8"/>
        <w:ind w:left="513" w:right="-17"/>
        <w:jc w:val="left"/>
      </w:pPr>
      <w:r>
        <w:rPr/>
        <w:t>最终受回购注销及无法解锁影响调整后，限制性股票激励成本合计为</w:t>
      </w:r>
      <w:r>
        <w:rPr>
          <w:rFonts w:ascii="Times New Roman" w:hAnsi="Times New Roman" w:cs="Times New Roman" w:eastAsia="Times New Roman" w:hint="default"/>
        </w:rPr>
        <w:t>9.815.56</w:t>
      </w:r>
      <w:r>
        <w:rPr/>
        <w:t>万元。</w:t>
      </w:r>
    </w:p>
    <w:p>
      <w:pPr>
        <w:pStyle w:val="BodyText"/>
        <w:spacing w:line="240" w:lineRule="auto" w:before="63"/>
        <w:ind w:left="513" w:right="-17"/>
        <w:jc w:val="left"/>
      </w:pPr>
      <w:r>
        <w:rPr>
          <w:rFonts w:ascii="Times New Roman" w:hAnsi="Times New Roman" w:cs="Times New Roman" w:eastAsia="Times New Roman" w:hint="default"/>
        </w:rPr>
        <w:t>(2)</w:t>
      </w:r>
      <w:r>
        <w:rPr/>
        <w:t>经测算，股票期权激励成本合计为</w:t>
      </w:r>
      <w:r>
        <w:rPr>
          <w:rFonts w:ascii="Times New Roman" w:hAnsi="Times New Roman" w:cs="Times New Roman" w:eastAsia="Times New Roman" w:hint="default"/>
        </w:rPr>
        <w:t>3,505.94</w:t>
      </w:r>
      <w:r>
        <w:rPr/>
        <w:t>万元，</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2018</w:t>
      </w:r>
      <w:r>
        <w:rPr/>
        <w:t>年股票期权成本摊销情况表见下表：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61"/>
        <w:ind w:left="296" w:right="0"/>
        <w:jc w:val="left"/>
      </w:pPr>
      <w:r>
        <w:rPr/>
        <w:t>单位：万元</w:t>
      </w:r>
    </w:p>
    <w:p>
      <w:pPr>
        <w:spacing w:after="0" w:line="240" w:lineRule="auto"/>
        <w:jc w:val="left"/>
        <w:sectPr>
          <w:type w:val="continuous"/>
          <w:pgSz w:w="11910" w:h="16840"/>
          <w:pgMar w:top="1060" w:bottom="1160" w:left="980" w:right="0"/>
          <w:cols w:num="2" w:equalWidth="0">
            <w:col w:w="8557" w:space="40"/>
            <w:col w:w="2333"/>
          </w:cols>
        </w:sectPr>
      </w:pP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664"/>
        <w:gridCol w:w="1301"/>
        <w:gridCol w:w="1135"/>
        <w:gridCol w:w="1277"/>
        <w:gridCol w:w="1282"/>
      </w:tblGrid>
      <w:tr>
        <w:trPr>
          <w:trHeight w:val="346" w:hRule="exact"/>
        </w:trPr>
        <w:tc>
          <w:tcPr>
            <w:tcW w:w="4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141"/>
              <w:jc w:val="right"/>
              <w:rPr>
                <w:rFonts w:ascii="宋体" w:hAnsi="宋体" w:cs="宋体" w:eastAsia="宋体" w:hint="default"/>
                <w:sz w:val="18"/>
                <w:szCs w:val="18"/>
              </w:rPr>
            </w:pPr>
            <w:r>
              <w:rPr>
                <w:rFonts w:ascii="宋体" w:hAnsi="宋体" w:cs="宋体" w:eastAsia="宋体" w:hint="default"/>
                <w:sz w:val="18"/>
                <w:szCs w:val="18"/>
              </w:rPr>
              <w:t>年份</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48" w:hRule="exact"/>
        </w:trPr>
        <w:tc>
          <w:tcPr>
            <w:tcW w:w="4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年第一期授予摊销数额</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69.96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168.81</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57.77</w:t>
            </w:r>
          </w:p>
        </w:tc>
      </w:tr>
      <w:tr>
        <w:trPr>
          <w:trHeight w:val="346" w:hRule="exact"/>
        </w:trPr>
        <w:tc>
          <w:tcPr>
            <w:tcW w:w="4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年第二期授予摊销数额</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260.92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1,523.13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987.63</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437.73</w:t>
            </w:r>
          </w:p>
        </w:tc>
      </w:tr>
      <w:tr>
        <w:trPr>
          <w:trHeight w:val="349" w:hRule="exact"/>
        </w:trPr>
        <w:tc>
          <w:tcPr>
            <w:tcW w:w="4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回购及注销影响</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-295.99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-233.05</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-473.05</w:t>
            </w:r>
          </w:p>
        </w:tc>
      </w:tr>
      <w:tr>
        <w:trPr>
          <w:trHeight w:val="346" w:hRule="exact"/>
        </w:trPr>
        <w:tc>
          <w:tcPr>
            <w:tcW w:w="4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预计无法解锁暂不计提的影响</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-937.81</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-387.36</w:t>
            </w:r>
          </w:p>
        </w:tc>
      </w:tr>
      <w:tr>
        <w:trPr>
          <w:trHeight w:val="348" w:hRule="exact"/>
        </w:trPr>
        <w:tc>
          <w:tcPr>
            <w:tcW w:w="4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141"/>
              <w:jc w:val="right"/>
              <w:rPr>
                <w:rFonts w:ascii="宋体" w:hAnsi="宋体" w:cs="宋体" w:eastAsia="宋体" w:hint="default"/>
                <w:sz w:val="18"/>
                <w:szCs w:val="18"/>
              </w:rPr>
            </w:pPr>
            <w:r>
              <w:rPr>
                <w:rFonts w:ascii="宋体" w:hAnsi="宋体" w:cs="宋体" w:eastAsia="宋体" w:hint="default"/>
                <w:sz w:val="18"/>
                <w:szCs w:val="18"/>
              </w:rPr>
              <w:t>合计</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260.92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1,297.10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-14.42</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-364.91</w:t>
            </w:r>
          </w:p>
        </w:tc>
      </w:tr>
    </w:tbl>
    <w:p>
      <w:pPr>
        <w:pStyle w:val="BodyText"/>
        <w:spacing w:line="316" w:lineRule="auto" w:before="8"/>
        <w:ind w:left="436" w:right="4091" w:firstLine="79"/>
        <w:jc w:val="left"/>
      </w:pPr>
      <w:r>
        <w:rPr/>
        <w:t>最终放弃行权及无法行权影响调整后，股票期权激励成本合计为</w:t>
      </w:r>
      <w:r>
        <w:rPr>
          <w:rFonts w:ascii="宋体" w:hAnsi="宋体" w:cs="宋体" w:eastAsia="宋体" w:hint="default"/>
        </w:rPr>
        <w:t>1,178.71</w:t>
      </w:r>
      <w:r>
        <w:rPr/>
        <w:t>万元。 以权益结算的股份支付计入资本公积的累计金额：</w:t>
      </w:r>
    </w:p>
    <w:p>
      <w:pPr>
        <w:pStyle w:val="BodyText"/>
        <w:spacing w:line="300" w:lineRule="auto" w:before="19"/>
        <w:ind w:left="436" w:right="1980"/>
        <w:jc w:val="left"/>
      </w:pPr>
      <w:r>
        <w:rPr/>
        <w:t>其中计入资本公积</w:t>
      </w:r>
      <w:r>
        <w:rPr>
          <w:rFonts w:ascii="Times New Roman" w:hAnsi="Times New Roman" w:cs="Times New Roman" w:eastAsia="Times New Roman" w:hint="default"/>
        </w:rPr>
        <w:t>-</w:t>
      </w:r>
      <w:r>
        <w:rPr/>
        <w:t>股本溢价为</w:t>
      </w:r>
      <w:r>
        <w:rPr>
          <w:rFonts w:ascii="Times New Roman" w:hAnsi="Times New Roman" w:cs="Times New Roman" w:eastAsia="Times New Roman" w:hint="default"/>
        </w:rPr>
        <w:t>10,994.27</w:t>
      </w:r>
      <w:r>
        <w:rPr/>
        <w:t>万元，计入资本公积</w:t>
      </w:r>
      <w:r>
        <w:rPr>
          <w:rFonts w:ascii="Times New Roman" w:hAnsi="Times New Roman" w:cs="Times New Roman" w:eastAsia="Times New Roman" w:hint="default"/>
        </w:rPr>
        <w:t>-</w:t>
      </w:r>
      <w:r>
        <w:rPr/>
        <w:t>其他资本公积为</w:t>
      </w:r>
      <w:r>
        <w:rPr>
          <w:rFonts w:ascii="Times New Roman" w:hAnsi="Times New Roman" w:cs="Times New Roman" w:eastAsia="Times New Roman" w:hint="default"/>
        </w:rPr>
        <w:t>0</w:t>
      </w:r>
      <w:r>
        <w:rPr/>
        <w:t>万元，合计为</w:t>
      </w:r>
      <w:r>
        <w:rPr>
          <w:rFonts w:ascii="Times New Roman" w:hAnsi="Times New Roman" w:cs="Times New Roman" w:eastAsia="Times New Roman" w:hint="default"/>
        </w:rPr>
        <w:t>10,994.27</w:t>
      </w:r>
      <w:r>
        <w:rPr/>
        <w:t>万元。 本期以权益结算的股份支付确认的费用总额：</w:t>
      </w:r>
      <w:r>
        <w:rPr>
          <w:rFonts w:ascii="Times New Roman" w:hAnsi="Times New Roman" w:cs="Times New Roman" w:eastAsia="Times New Roman" w:hint="default"/>
        </w:rPr>
        <w:t>189.97</w:t>
      </w:r>
      <w:r>
        <w:rPr/>
        <w:t>万元。</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28" w:firstLine="283"/>
        <w:jc w:val="both"/>
      </w:pPr>
      <w:r>
        <w:rPr/>
        <w:t>（</w:t>
      </w:r>
      <w:r>
        <w:rPr>
          <w:rFonts w:ascii="Times New Roman" w:hAnsi="Times New Roman" w:cs="Times New Roman" w:eastAsia="Times New Roman" w:hint="default"/>
        </w:rPr>
        <w:t>1</w:t>
      </w:r>
      <w:r>
        <w:rPr/>
        <w:t>）经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日公司第六届董事会第十一次会议审议批准，鉴于公司</w:t>
      </w:r>
      <w:r>
        <w:rPr>
          <w:rFonts w:ascii="Times New Roman" w:hAnsi="Times New Roman" w:cs="Times New Roman" w:eastAsia="Times New Roman" w:hint="default"/>
        </w:rPr>
        <w:t>2017</w:t>
      </w:r>
      <w:r>
        <w:rPr/>
        <w:t>年业绩未达到公司</w:t>
      </w:r>
      <w:r>
        <w:rPr>
          <w:rFonts w:ascii="Times New Roman" w:hAnsi="Times New Roman" w:cs="Times New Roman" w:eastAsia="Times New Roman" w:hint="default"/>
        </w:rPr>
        <w:t>2015</w:t>
      </w:r>
      <w:r>
        <w:rPr/>
        <w:t>年两期股权激励 计划首次授予部分第三个解锁</w:t>
      </w:r>
      <w:r>
        <w:rPr>
          <w:rFonts w:ascii="Times New Roman" w:hAnsi="Times New Roman" w:cs="Times New Roman" w:eastAsia="Times New Roman" w:hint="default"/>
        </w:rPr>
        <w:t>/</w:t>
      </w:r>
      <w:r>
        <w:rPr/>
        <w:t>行权期和预留部分第二个解锁</w:t>
      </w:r>
      <w:r>
        <w:rPr>
          <w:rFonts w:ascii="Times New Roman" w:hAnsi="Times New Roman" w:cs="Times New Roman" w:eastAsia="Times New Roman" w:hint="default"/>
        </w:rPr>
        <w:t>/</w:t>
      </w:r>
      <w:r>
        <w:rPr/>
        <w:t>行权期规定的业绩考核条件，根据公司</w:t>
      </w:r>
      <w:r>
        <w:rPr>
          <w:rFonts w:ascii="Times New Roman" w:hAnsi="Times New Roman" w:cs="Times New Roman" w:eastAsia="Times New Roman" w:hint="default"/>
        </w:rPr>
        <w:t>2015</w:t>
      </w:r>
      <w:r>
        <w:rPr/>
        <w:t>年两期股权激励计 划的相关规定和股东大会的授权，董事会同意对</w:t>
      </w:r>
      <w:r>
        <w:rPr>
          <w:rFonts w:ascii="Times New Roman" w:hAnsi="Times New Roman" w:cs="Times New Roman" w:eastAsia="Times New Roman" w:hint="default"/>
        </w:rPr>
        <w:t>2015</w:t>
      </w:r>
      <w:r>
        <w:rPr/>
        <w:t>年两期股权激励计划首次授予部分第三个解锁</w:t>
      </w:r>
      <w:r>
        <w:rPr>
          <w:rFonts w:ascii="Times New Roman" w:hAnsi="Times New Roman" w:cs="Times New Roman" w:eastAsia="Times New Roman" w:hint="default"/>
        </w:rPr>
        <w:t>/</w:t>
      </w:r>
      <w:r>
        <w:rPr/>
        <w:t>行权期和预留部分第二 个解锁行权期由于业绩考核未达标导致不能解锁</w:t>
      </w:r>
      <w:r>
        <w:rPr>
          <w:rFonts w:ascii="Times New Roman" w:hAnsi="Times New Roman" w:cs="Times New Roman" w:eastAsia="Times New Roman" w:hint="default"/>
        </w:rPr>
        <w:t>/</w:t>
      </w:r>
      <w:r>
        <w:rPr/>
        <w:t>行权的</w:t>
      </w:r>
      <w:r>
        <w:rPr>
          <w:rFonts w:ascii="Times New Roman" w:hAnsi="Times New Roman" w:cs="Times New Roman" w:eastAsia="Times New Roman" w:hint="default"/>
        </w:rPr>
        <w:t>758</w:t>
      </w:r>
      <w:r>
        <w:rPr/>
        <w:t>万股限制性股票和</w:t>
      </w:r>
      <w:r>
        <w:rPr>
          <w:rFonts w:ascii="Times New Roman" w:hAnsi="Times New Roman" w:cs="Times New Roman" w:eastAsia="Times New Roman" w:hint="default"/>
        </w:rPr>
        <w:t>246</w:t>
      </w:r>
      <w:r>
        <w:rPr/>
        <w:t>万份股票期权进行回购注销，上述回购注 销事宜相关手续已于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日办理完毕。</w:t>
      </w:r>
    </w:p>
    <w:p>
      <w:pPr>
        <w:pStyle w:val="BodyText"/>
        <w:spacing w:line="300" w:lineRule="auto" w:before="13"/>
        <w:ind w:right="1133" w:firstLine="283"/>
        <w:jc w:val="left"/>
      </w:pPr>
      <w:r>
        <w:rPr>
          <w:spacing w:val="-1"/>
        </w:rPr>
        <w:t>（</w:t>
      </w:r>
      <w:r>
        <w:rPr>
          <w:rFonts w:ascii="Times New Roman" w:hAnsi="Times New Roman" w:cs="Times New Roman" w:eastAsia="Times New Roman" w:hint="default"/>
          <w:spacing w:val="-1"/>
        </w:rPr>
        <w:t>2</w:t>
      </w:r>
      <w:r>
        <w:rPr>
          <w:spacing w:val="-1"/>
        </w:rPr>
        <w:t>）经</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w:t>
      </w:r>
      <w:r>
        <w:rPr>
          <w:spacing w:val="-1"/>
        </w:rPr>
        <w:t>日公司第六届董事会第二十次会议审议批准，鉴于截至预留股票期权第一个行权期结束（行权期为</w:t>
      </w:r>
      <w:r>
        <w:rPr/>
        <w:t>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16</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15</w:t>
      </w:r>
      <w:r>
        <w:rPr>
          <w:spacing w:val="-2"/>
        </w:rPr>
        <w:t>日）激励对象均未行权，根据《上市公司股权激励管理办法（试行）》及公司</w:t>
      </w:r>
      <w:r>
        <w:rPr>
          <w:rFonts w:ascii="Times New Roman" w:hAnsi="Times New Roman" w:cs="Times New Roman" w:eastAsia="Times New Roman" w:hint="default"/>
          <w:spacing w:val="-2"/>
        </w:rPr>
        <w:t>2015</w:t>
      </w:r>
      <w:r>
        <w:rPr>
          <w:spacing w:val="-2"/>
        </w:rPr>
        <w:t>年两期股权</w:t>
      </w:r>
      <w:r>
        <w:rPr>
          <w:spacing w:val="-57"/>
        </w:rPr>
        <w:t> </w:t>
      </w:r>
      <w:r>
        <w:rPr>
          <w:spacing w:val="-57"/>
        </w:rPr>
      </w:r>
      <w:r>
        <w:rPr/>
        <w:t>激励计划等相关规定，董事会同意公司注销激励对象已获授到期尚未行权的股票期权</w:t>
      </w:r>
      <w:r>
        <w:rPr>
          <w:rFonts w:ascii="Times New Roman" w:hAnsi="Times New Roman" w:cs="Times New Roman" w:eastAsia="Times New Roman" w:hint="default"/>
        </w:rPr>
        <w:t>60</w:t>
      </w:r>
      <w:r>
        <w:rPr/>
        <w:t>万份，上述注销事宜相关手续已于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日办理完毕。</w:t>
      </w:r>
    </w:p>
    <w:p>
      <w:pPr>
        <w:pStyle w:val="BodyText"/>
        <w:spacing w:line="300" w:lineRule="auto" w:before="53"/>
        <w:ind w:right="1129" w:firstLine="283"/>
        <w:jc w:val="both"/>
      </w:pPr>
      <w:r>
        <w:rPr/>
        <w:t>（</w:t>
      </w:r>
      <w:r>
        <w:rPr>
          <w:rFonts w:ascii="Times New Roman" w:hAnsi="Times New Roman" w:cs="Times New Roman" w:eastAsia="Times New Roman" w:hint="default"/>
        </w:rPr>
        <w:t>3</w:t>
      </w:r>
      <w:r>
        <w:rPr/>
        <w:t>）经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日公司第六届董事会第二十八次会议审议批准，鉴于截至</w:t>
      </w:r>
      <w:r>
        <w:rPr>
          <w:rFonts w:ascii="Times New Roman" w:hAnsi="Times New Roman" w:cs="Times New Roman" w:eastAsia="Times New Roman" w:hint="default"/>
        </w:rPr>
        <w:t>2015</w:t>
      </w:r>
      <w:r>
        <w:rPr/>
        <w:t>年第二期股权激励计划首次授予部分 第二个行权期届满之日（行权期为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日起至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日）激励对象尚有</w:t>
      </w:r>
      <w:r>
        <w:rPr>
          <w:rFonts w:ascii="Times New Roman" w:hAnsi="Times New Roman" w:cs="Times New Roman" w:eastAsia="Times New Roman" w:hint="default"/>
        </w:rPr>
        <w:t>26.52</w:t>
      </w:r>
      <w:r>
        <w:rPr/>
        <w:t>万份股票期权未行权，根据《上</w:t>
      </w:r>
      <w:r>
        <w:rPr>
          <w:spacing w:val="-43"/>
        </w:rPr>
        <w:t> </w:t>
      </w:r>
      <w:r>
        <w:rPr>
          <w:spacing w:val="-43"/>
        </w:rPr>
      </w:r>
      <w:r>
        <w:rPr>
          <w:spacing w:val="-2"/>
        </w:rPr>
        <w:t>市公司股权激励管理办法（试行）》及公司</w:t>
      </w:r>
      <w:r>
        <w:rPr>
          <w:rFonts w:ascii="Times New Roman" w:hAnsi="Times New Roman" w:cs="Times New Roman" w:eastAsia="Times New Roman" w:hint="default"/>
          <w:spacing w:val="-2"/>
        </w:rPr>
        <w:t>2015</w:t>
      </w:r>
      <w:r>
        <w:rPr>
          <w:spacing w:val="-2"/>
        </w:rPr>
        <w:t>年第二期股权激励计划等相关规定，董事会同意公司注销上述已到期未行权</w:t>
      </w:r>
      <w:r>
        <w:rPr>
          <w:spacing w:val="-60"/>
        </w:rPr>
        <w:t> </w:t>
      </w:r>
      <w:r>
        <w:rPr>
          <w:spacing w:val="-60"/>
        </w:rPr>
      </w:r>
      <w:r>
        <w:rPr/>
        <w:t>的股票期权，上述注销事宜相关手续已于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日办理完毕。</w:t>
      </w:r>
    </w:p>
    <w:p>
      <w:pPr>
        <w:pStyle w:val="BodyText"/>
        <w:spacing w:line="300" w:lineRule="auto" w:before="53"/>
        <w:ind w:right="1111" w:firstLine="283"/>
        <w:jc w:val="left"/>
      </w:pPr>
      <w:r>
        <w:rPr/>
        <w:t>（</w:t>
      </w:r>
      <w:r>
        <w:rPr>
          <w:rFonts w:ascii="Times New Roman" w:hAnsi="Times New Roman" w:cs="Times New Roman" w:eastAsia="Times New Roman" w:hint="default"/>
        </w:rPr>
        <w:t>4</w:t>
      </w:r>
      <w:r>
        <w:rPr/>
        <w:t>）经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日公司第六届董事会第二十九次会议、第六届监事会第十三次会议和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日公司</w:t>
      </w:r>
      <w:r>
        <w:rPr>
          <w:rFonts w:ascii="Times New Roman" w:hAnsi="Times New Roman" w:cs="Times New Roman" w:eastAsia="Times New Roman" w:hint="default"/>
        </w:rPr>
        <w:t>2019</w:t>
      </w:r>
      <w:r>
        <w:rPr/>
        <w:t>年第二 次临时股东大会审议批准，鉴于根据公司绩效考核管理相关制度和</w:t>
      </w:r>
      <w:r>
        <w:rPr>
          <w:rFonts w:ascii="Times New Roman" w:hAnsi="Times New Roman" w:cs="Times New Roman" w:eastAsia="Times New Roman" w:hint="default"/>
        </w:rPr>
        <w:t>2016</w:t>
      </w:r>
      <w:r>
        <w:rPr/>
        <w:t>年限制性股票激励计划的相关规定，激励对象</w:t>
      </w:r>
      <w:r>
        <w:rPr>
          <w:rFonts w:ascii="Times New Roman" w:hAnsi="Times New Roman" w:cs="Times New Roman" w:eastAsia="Times New Roman" w:hint="default"/>
        </w:rPr>
        <w:t>2018 </w:t>
      </w:r>
      <w:r>
        <w:rPr>
          <w:spacing w:val="-2"/>
        </w:rPr>
        <w:t>年度绩效考核考评结果均为不合格，董事会决定对</w:t>
      </w:r>
      <w:r>
        <w:rPr>
          <w:rFonts w:ascii="Times New Roman" w:hAnsi="Times New Roman" w:cs="Times New Roman" w:eastAsia="Times New Roman" w:hint="default"/>
          <w:spacing w:val="-2"/>
        </w:rPr>
        <w:t>2016</w:t>
      </w:r>
      <w:r>
        <w:rPr>
          <w:spacing w:val="-2"/>
        </w:rPr>
        <w:t>年限制性股票激励计划第三个解锁期因激励对象个人绩效考核结果不</w:t>
      </w:r>
      <w:r>
        <w:rPr>
          <w:spacing w:val="-62"/>
        </w:rPr>
        <w:t> </w:t>
      </w:r>
      <w:r>
        <w:rPr>
          <w:spacing w:val="-62"/>
        </w:rPr>
      </w:r>
      <w:r>
        <w:rPr/>
        <w:t>达标导致不能解锁的</w:t>
      </w:r>
      <w:r>
        <w:rPr>
          <w:rFonts w:ascii="Times New Roman" w:hAnsi="Times New Roman" w:cs="Times New Roman" w:eastAsia="Times New Roman" w:hint="default"/>
        </w:rPr>
        <w:t>1,221</w:t>
      </w:r>
      <w:r>
        <w:rPr/>
        <w:t>万股限制性股票进行回购注销。截止本报告披露日，本次回购注销尚未完成。</w:t>
      </w:r>
    </w:p>
    <w:p>
      <w:pPr>
        <w:spacing w:after="0" w:line="300" w:lineRule="auto"/>
        <w:jc w:val="left"/>
        <w:sectPr>
          <w:type w:val="continuous"/>
          <w:pgSz w:w="11910" w:h="16840"/>
          <w:pgMar w:top="1060" w:bottom="1160" w:left="980" w:right="0"/>
        </w:sectPr>
      </w:pPr>
    </w:p>
    <w:p>
      <w:pPr>
        <w:spacing w:line="240" w:lineRule="auto" w:before="10"/>
        <w:rPr>
          <w:rFonts w:ascii="宋体" w:hAnsi="宋体" w:cs="宋体" w:eastAsia="宋体" w:hint="default"/>
          <w:sz w:val="19"/>
          <w:szCs w:val="19"/>
        </w:rPr>
      </w:pPr>
    </w:p>
    <w:p>
      <w:pPr>
        <w:pStyle w:val="Heading2"/>
        <w:spacing w:line="240" w:lineRule="auto" w:before="26"/>
        <w:ind w:right="1133"/>
        <w:jc w:val="left"/>
        <w:rPr>
          <w:b w:val="0"/>
          <w:bCs w:val="0"/>
        </w:rPr>
      </w:pPr>
      <w:r>
        <w:rPr/>
        <w:t>十四、承诺及或有事项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资产负债表日存在的重要承诺</w:t>
      </w:r>
    </w:p>
    <w:p>
      <w:pPr>
        <w:pStyle w:val="BodyText"/>
        <w:spacing w:line="300" w:lineRule="auto" w:before="117"/>
        <w:ind w:right="1131" w:firstLine="283"/>
        <w:jc w:val="both"/>
      </w:pPr>
      <w:r>
        <w:rPr>
          <w:rFonts w:ascii="Times New Roman" w:hAnsi="Times New Roman" w:cs="Times New Roman" w:eastAsia="Times New Roman" w:hint="default"/>
          <w:spacing w:val="-1"/>
        </w:rPr>
        <w:t>2017</w:t>
      </w:r>
      <w:r>
        <w:rPr>
          <w:spacing w:val="-1"/>
        </w:rPr>
        <w:t>年度公司完成现金收购哆可梦</w:t>
      </w:r>
      <w:r>
        <w:rPr>
          <w:rFonts w:ascii="Times New Roman" w:hAnsi="Times New Roman" w:cs="Times New Roman" w:eastAsia="Times New Roman" w:hint="default"/>
          <w:spacing w:val="-1"/>
        </w:rPr>
        <w:t>77.57%</w:t>
      </w:r>
      <w:r>
        <w:rPr>
          <w:spacing w:val="-1"/>
        </w:rPr>
        <w:t>股权的重大资产购买交易，交易对手方寇汉、林嘉喜作为业绩补偿义务人承诺</w:t>
      </w:r>
      <w:r>
        <w:rPr/>
        <w:t> </w:t>
      </w:r>
      <w:r>
        <w:rPr>
          <w:spacing w:val="-3"/>
        </w:rPr>
        <w:t>哆可梦</w:t>
      </w:r>
      <w:r>
        <w:rPr>
          <w:rFonts w:ascii="Times New Roman" w:hAnsi="Times New Roman" w:cs="Times New Roman" w:eastAsia="Times New Roman" w:hint="default"/>
          <w:spacing w:val="-3"/>
        </w:rPr>
        <w:t>2017</w:t>
      </w:r>
      <w:r>
        <w:rPr>
          <w:spacing w:val="-3"/>
        </w:rPr>
        <w:t>年至</w:t>
      </w:r>
      <w:r>
        <w:rPr>
          <w:rFonts w:ascii="Times New Roman" w:hAnsi="Times New Roman" w:cs="Times New Roman" w:eastAsia="Times New Roman" w:hint="default"/>
          <w:spacing w:val="-3"/>
        </w:rPr>
        <w:t>2019</w:t>
      </w:r>
      <w:r>
        <w:rPr>
          <w:spacing w:val="-3"/>
        </w:rPr>
        <w:t>年各年度实现的净利润（以扣除非经常性损益前后孰低者为计算依据）不少于</w:t>
      </w:r>
      <w:r>
        <w:rPr>
          <w:rFonts w:ascii="Times New Roman" w:hAnsi="Times New Roman" w:cs="Times New Roman" w:eastAsia="Times New Roman" w:hint="default"/>
          <w:spacing w:val="-3"/>
        </w:rPr>
        <w:t>14,500</w:t>
      </w:r>
      <w:r>
        <w:rPr>
          <w:spacing w:val="-3"/>
        </w:rPr>
        <w:t>万元、</w:t>
      </w:r>
      <w:r>
        <w:rPr>
          <w:rFonts w:ascii="Times New Roman" w:hAnsi="Times New Roman" w:cs="Times New Roman" w:eastAsia="Times New Roman" w:hint="default"/>
          <w:spacing w:val="-3"/>
        </w:rPr>
        <w:t>18,800</w:t>
      </w:r>
      <w:r>
        <w:rPr>
          <w:spacing w:val="-3"/>
        </w:rPr>
        <w:t>万元、</w:t>
      </w:r>
      <w:r>
        <w:rPr>
          <w:spacing w:val="-76"/>
        </w:rPr>
        <w:t> </w:t>
      </w:r>
      <w:r>
        <w:rPr>
          <w:spacing w:val="-76"/>
        </w:rPr>
      </w:r>
      <w:r>
        <w:rPr>
          <w:rFonts w:ascii="Times New Roman" w:hAnsi="Times New Roman" w:cs="Times New Roman" w:eastAsia="Times New Roman" w:hint="default"/>
        </w:rPr>
        <w:t>24,500</w:t>
      </w:r>
      <w:r>
        <w:rPr/>
        <w:t>万元，并承担相应的盈利补偿义务。</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）资产负债表日存在的重要或有事项：无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公司不存在需要披露的重要或有事项。</w:t>
      </w:r>
    </w:p>
    <w:p>
      <w:pPr>
        <w:spacing w:line="240" w:lineRule="auto" w:before="0"/>
        <w:rPr>
          <w:rFonts w:ascii="宋体" w:hAnsi="宋体" w:cs="宋体" w:eastAsia="宋体" w:hint="default"/>
          <w:sz w:val="18"/>
          <w:szCs w:val="18"/>
        </w:rPr>
      </w:pPr>
    </w:p>
    <w:p>
      <w:pPr>
        <w:spacing w:line="487" w:lineRule="auto" w:before="120"/>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、其他：无</w:t>
      </w:r>
      <w:r>
        <w:rPr>
          <w:rFonts w:ascii="宋体" w:hAnsi="宋体" w:cs="宋体" w:eastAsia="宋体" w:hint="default"/>
          <w:b/>
          <w:bCs/>
          <w:spacing w:val="-104"/>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、重要的非调整事项：无</w:t>
      </w:r>
      <w:r>
        <w:rPr>
          <w:rFonts w:ascii="宋体" w:hAnsi="宋体" w:cs="宋体" w:eastAsia="宋体" w:hint="default"/>
          <w:sz w:val="21"/>
          <w:szCs w:val="21"/>
        </w:rPr>
      </w:r>
    </w:p>
    <w:p>
      <w:pPr>
        <w:pStyle w:val="Heading3"/>
        <w:spacing w:line="240" w:lineRule="auto" w:before="84"/>
        <w:ind w:right="1133"/>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根据公司第六届董事会第三十一次会议决议，公司拟定</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年度不派发现金红利，不送红股，不以公积金转增股本，</w:t>
      </w:r>
    </w:p>
    <w:p>
      <w:pPr>
        <w:pStyle w:val="BodyText"/>
        <w:spacing w:line="240" w:lineRule="auto" w:before="63"/>
        <w:ind w:right="1133"/>
        <w:jc w:val="left"/>
      </w:pPr>
      <w:r>
        <w:rPr/>
        <w:t>留存收益全部用于公司日常生产经营、未来投资和发展。该利润分配预案预案尚需提交公司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年年度股东大会审议。</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、销售退回：无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131" w:firstLine="425"/>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月，经公司总裁办公会审议批准，控股子公司哆可梦出资</w:t>
      </w:r>
      <w:r>
        <w:rPr>
          <w:rFonts w:ascii="Times New Roman" w:hAnsi="Times New Roman" w:cs="Times New Roman" w:eastAsia="Times New Roman" w:hint="default"/>
          <w:spacing w:val="-1"/>
        </w:rPr>
        <w:t>1,000</w:t>
      </w:r>
      <w:r>
        <w:rPr>
          <w:spacing w:val="-1"/>
        </w:rPr>
        <w:t>万元在成都市成立孙公司成都多趣网络科技</w:t>
      </w:r>
      <w:r>
        <w:rPr/>
        <w:t> 有限公司。</w:t>
      </w:r>
    </w:p>
    <w:p>
      <w:pPr>
        <w:pStyle w:val="BodyText"/>
        <w:spacing w:line="316" w:lineRule="auto" w:before="31"/>
        <w:ind w:right="1131" w:firstLine="425"/>
        <w:jc w:val="both"/>
      </w:pPr>
      <w:r>
        <w:rPr>
          <w:rFonts w:ascii="宋体" w:hAnsi="宋体" w:cs="宋体" w:eastAsia="宋体" w:hint="default"/>
          <w:spacing w:val="-2"/>
        </w:rPr>
        <w:t>2</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月，经公司总裁办公会审议批准，子公司喀什中汇联银以不超过</w:t>
      </w:r>
      <w:r>
        <w:rPr>
          <w:rFonts w:ascii="宋体" w:hAnsi="宋体" w:cs="宋体" w:eastAsia="宋体" w:hint="default"/>
          <w:spacing w:val="-2"/>
        </w:rPr>
        <w:t>2,005</w:t>
      </w:r>
      <w:r>
        <w:rPr>
          <w:spacing w:val="-2"/>
        </w:rPr>
        <w:t>万元人民币的价格受让北京爱酷游科</w:t>
      </w:r>
      <w:r>
        <w:rPr/>
        <w:t> 技股份有限公司（证券简称：爱酷游，证券代码：</w:t>
      </w:r>
      <w:r>
        <w:rPr>
          <w:rFonts w:ascii="宋体" w:hAnsi="宋体" w:cs="宋体" w:eastAsia="宋体" w:hint="default"/>
        </w:rPr>
        <w:t>835089</w:t>
      </w:r>
      <w:r>
        <w:rPr/>
        <w:t>）</w:t>
      </w:r>
      <w:r>
        <w:rPr>
          <w:rFonts w:ascii="宋体" w:hAnsi="宋体" w:cs="宋体" w:eastAsia="宋体" w:hint="default"/>
        </w:rPr>
        <w:t>853,000</w:t>
      </w:r>
      <w:r>
        <w:rPr/>
        <w:t>股股份，占爱酷游总股本的比例约</w:t>
      </w:r>
      <w:r>
        <w:rPr>
          <w:rFonts w:ascii="宋体" w:hAnsi="宋体" w:cs="宋体" w:eastAsia="宋体" w:hint="default"/>
        </w:rPr>
        <w:t>1.67%</w:t>
      </w:r>
      <w:r>
        <w:rPr/>
        <w:t>。</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25</w:t>
      </w:r>
      <w:r>
        <w:rPr>
          <w:rFonts w:ascii="宋体" w:hAnsi="宋体" w:cs="宋体" w:eastAsia="宋体" w:hint="default"/>
          <w:spacing w:val="-2"/>
        </w:rPr>
        <w:t> </w:t>
      </w:r>
      <w:r>
        <w:rPr>
          <w:spacing w:val="-2"/>
        </w:rPr>
        <w:t>日爱酷游向全国中小企业股份转让系统有限责任公司报送了终止挂牌的申请资料，于</w:t>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26</w:t>
      </w:r>
      <w:r>
        <w:rPr>
          <w:spacing w:val="-2"/>
        </w:rPr>
        <w:t>日、</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14</w:t>
      </w:r>
      <w:r>
        <w:rPr>
          <w:spacing w:val="-2"/>
        </w:rPr>
        <w:t>日分别收</w:t>
      </w:r>
      <w:r>
        <w:rPr>
          <w:spacing w:val="-54"/>
        </w:rPr>
        <w:t> </w:t>
      </w:r>
      <w:r>
        <w:rPr>
          <w:spacing w:val="-54"/>
        </w:rPr>
      </w:r>
      <w:r>
        <w:rPr>
          <w:spacing w:val="-2"/>
        </w:rPr>
        <w:t>到全国中小企业股份转让系统有限责任公司出具的《受理通知书》（编号：</w:t>
      </w:r>
      <w:r>
        <w:rPr>
          <w:rFonts w:ascii="宋体" w:hAnsi="宋体" w:cs="宋体" w:eastAsia="宋体" w:hint="default"/>
          <w:spacing w:val="-2"/>
        </w:rPr>
        <w:t>ZZGP2019020087</w:t>
      </w:r>
      <w:r>
        <w:rPr>
          <w:spacing w:val="-2"/>
        </w:rPr>
        <w:t>）、《关于同意北京爱酷游科技</w:t>
      </w:r>
      <w:r>
        <w:rPr>
          <w:spacing w:val="-55"/>
        </w:rPr>
        <w:t> </w:t>
      </w:r>
      <w:r>
        <w:rPr>
          <w:spacing w:val="-55"/>
        </w:rPr>
      </w:r>
      <w:r>
        <w:rPr/>
        <w:t>股份有限公司终止在全国中小企业股份转让系统挂牌的函》（股转系统函</w:t>
      </w:r>
      <w:r>
        <w:rPr>
          <w:rFonts w:ascii="宋体" w:hAnsi="宋体" w:cs="宋体" w:eastAsia="宋体" w:hint="default"/>
        </w:rPr>
        <w:t>[2019]820</w:t>
      </w:r>
      <w:r>
        <w:rPr>
          <w:rFonts w:ascii="宋体" w:hAnsi="宋体" w:cs="宋体" w:eastAsia="宋体" w:hint="default"/>
          <w:spacing w:val="-7"/>
        </w:rPr>
        <w:t> </w:t>
      </w:r>
      <w:r>
        <w:rPr/>
        <w:t>号），爱酷游股票自</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19</w:t>
      </w:r>
      <w:r>
        <w:rPr/>
        <w:t>日起</w:t>
      </w:r>
      <w:r>
        <w:rPr>
          <w:spacing w:val="-3"/>
        </w:rPr>
        <w:t> </w:t>
      </w:r>
      <w:r>
        <w:rPr/>
        <w:t>在全国中小企业股份转让系统终止挂牌。</w:t>
      </w:r>
    </w:p>
    <w:p>
      <w:pPr>
        <w:pStyle w:val="BodyText"/>
        <w:spacing w:line="300" w:lineRule="auto" w:before="19"/>
        <w:ind w:right="1130" w:firstLine="425"/>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日，因</w:t>
      </w:r>
      <w:r>
        <w:rPr>
          <w:rFonts w:ascii="Times New Roman" w:hAnsi="Times New Roman" w:cs="Times New Roman" w:eastAsia="Times New Roman" w:hint="default"/>
        </w:rPr>
        <w:t>2018</w:t>
      </w:r>
      <w:r>
        <w:rPr/>
        <w:t>苏</w:t>
      </w:r>
      <w:r>
        <w:rPr>
          <w:rFonts w:ascii="Times New Roman" w:hAnsi="Times New Roman" w:cs="Times New Roman" w:eastAsia="Times New Roman" w:hint="default"/>
        </w:rPr>
        <w:t>03</w:t>
      </w:r>
      <w:r>
        <w:rPr/>
        <w:t>民初字第</w:t>
      </w:r>
      <w:r>
        <w:rPr>
          <w:rFonts w:ascii="Times New Roman" w:hAnsi="Times New Roman" w:cs="Times New Roman" w:eastAsia="Times New Roman" w:hint="default"/>
        </w:rPr>
        <w:t>723</w:t>
      </w:r>
      <w:r>
        <w:rPr/>
        <w:t>号著作权纠纷案被告完美世界（重庆）互动科技有限公司向法院申请追加 哆可梦为涉案第三人，控股子公司哆可梦收到徐州市中级人民法院传票要求哆可梦</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日参与证据交换和开庭，涉 诉金额为人民币</w:t>
      </w:r>
      <w:r>
        <w:rPr>
          <w:rFonts w:ascii="Times New Roman" w:hAnsi="Times New Roman" w:cs="Times New Roman" w:eastAsia="Times New Roman" w:hint="default"/>
        </w:rPr>
        <w:t>260</w:t>
      </w:r>
      <w:r>
        <w:rPr/>
        <w:t>万元。哆可梦已委托律师代理该案，并于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日向徐州中院提交了管辖权异议申请书。</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 </w:t>
      </w:r>
      <w:r>
        <w:rPr>
          <w:spacing w:val="-2"/>
        </w:rPr>
        <w:t>月</w:t>
      </w:r>
      <w:r>
        <w:rPr>
          <w:rFonts w:ascii="Times New Roman" w:hAnsi="Times New Roman" w:cs="Times New Roman" w:eastAsia="Times New Roman" w:hint="default"/>
          <w:spacing w:val="-2"/>
        </w:rPr>
        <w:t>21</w:t>
      </w:r>
      <w:r>
        <w:rPr>
          <w:spacing w:val="-2"/>
        </w:rPr>
        <w:t>日，寇汉作为哆可梦前控股股东、实际控制人向公司出具承诺函，承诺无条件代哆可梦承担本次涉诉事项的一切经济损</w:t>
      </w:r>
      <w:r>
        <w:rPr>
          <w:spacing w:val="-62"/>
        </w:rPr>
        <w:t> </w:t>
      </w:r>
      <w:r>
        <w:rPr>
          <w:spacing w:val="-62"/>
        </w:rPr>
      </w:r>
      <w:r>
        <w:rPr>
          <w:spacing w:val="-2"/>
        </w:rPr>
        <w:t>失及合理费用，并放弃对哆可梦的追索权，因此公司预计本次涉诉事项对公司本期利润或期后利润不会造成实际影响，也不</w:t>
      </w:r>
    </w:p>
    <w:p>
      <w:pPr>
        <w:spacing w:after="0" w:line="300" w:lineRule="auto"/>
        <w:jc w:val="both"/>
        <w:sectPr>
          <w:pgSz w:w="11910" w:h="16840"/>
          <w:pgMar w:header="0"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both"/>
      </w:pPr>
      <w:r>
        <w:rPr/>
        <w:t>会影响公司正常生产经营。</w:t>
      </w:r>
    </w:p>
    <w:p>
      <w:pPr>
        <w:pStyle w:val="BodyText"/>
        <w:spacing w:line="300" w:lineRule="auto" w:before="76"/>
        <w:ind w:right="1133" w:firstLine="425"/>
        <w:jc w:val="left"/>
      </w:pP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12</w:t>
      </w:r>
      <w:r>
        <w:rPr>
          <w:spacing w:val="-1"/>
        </w:rPr>
        <w:t>日，控股股东中驰惠程将所持部分公司股份</w:t>
      </w:r>
      <w:r>
        <w:rPr>
          <w:rFonts w:ascii="Times New Roman" w:hAnsi="Times New Roman" w:cs="Times New Roman" w:eastAsia="Times New Roman" w:hint="default"/>
          <w:spacing w:val="-1"/>
        </w:rPr>
        <w:t>5,200</w:t>
      </w:r>
      <w:r>
        <w:rPr>
          <w:spacing w:val="-1"/>
        </w:rPr>
        <w:t>万股质押给中航信托股份有限公司，质押结束日期为</w:t>
      </w:r>
      <w:r>
        <w:rPr/>
        <w:t> 直至被担保债务被全部偿付之日，用途为补充流动资金，本次质押占其所持股份比例为</w:t>
      </w:r>
      <w:r>
        <w:rPr>
          <w:rFonts w:ascii="Times New Roman" w:hAnsi="Times New Roman" w:cs="Times New Roman" w:eastAsia="Times New Roman" w:hint="default"/>
        </w:rPr>
        <w:t>61.50%</w:t>
      </w:r>
      <w:r>
        <w:rPr/>
        <w:t>，占中驰惠程及其一致行动 人合计持有公司股份数量的</w:t>
      </w:r>
      <w:r>
        <w:rPr>
          <w:rFonts w:ascii="Times New Roman" w:hAnsi="Times New Roman" w:cs="Times New Roman" w:eastAsia="Times New Roman" w:hint="default"/>
        </w:rPr>
        <w:t>21.80%</w:t>
      </w:r>
      <w:r>
        <w:rPr/>
        <w:t>，占公司总股本的</w:t>
      </w:r>
      <w:r>
        <w:rPr>
          <w:rFonts w:ascii="Times New Roman" w:hAnsi="Times New Roman" w:cs="Times New Roman" w:eastAsia="Times New Roman" w:hint="default"/>
        </w:rPr>
        <w:t>6.39%</w:t>
      </w:r>
      <w:r>
        <w:rPr/>
        <w:t>。</w:t>
      </w:r>
    </w:p>
    <w:p>
      <w:pPr>
        <w:pStyle w:val="BodyText"/>
        <w:spacing w:line="240" w:lineRule="auto" w:before="13"/>
        <w:ind w:left="578" w:right="0"/>
        <w:jc w:val="left"/>
      </w:pPr>
      <w:r>
        <w:rPr>
          <w:rFonts w:ascii="宋体" w:hAnsi="宋体" w:cs="宋体" w:eastAsia="宋体" w:hint="default"/>
        </w:rPr>
        <w:t>5</w:t>
      </w:r>
      <w:r>
        <w:rPr/>
        <w:t>、</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15</w:t>
      </w:r>
      <w:r>
        <w:rPr/>
        <w:t>日，中驰惠程及其一致行动人宣布已完成</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18</w:t>
      </w:r>
      <w:r>
        <w:rPr/>
        <w:t>日披露的增持公司股份计划，</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18</w:t>
      </w:r>
      <w:r>
        <w:rPr/>
        <w:t>日至</w:t>
      </w:r>
    </w:p>
    <w:p>
      <w:pPr>
        <w:pStyle w:val="BodyText"/>
        <w:spacing w:line="316" w:lineRule="auto" w:before="76"/>
        <w:ind w:right="1128"/>
        <w:jc w:val="both"/>
      </w:pP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6</w:t>
      </w:r>
      <w:r>
        <w:rPr>
          <w:spacing w:val="-2"/>
        </w:rPr>
        <w:t>日期间，控股股东中驰惠程的一致行动人信中利宝信以集中竞价交易方式增持公司股份</w:t>
      </w:r>
      <w:r>
        <w:rPr>
          <w:rFonts w:ascii="宋体" w:hAnsi="宋体" w:cs="宋体" w:eastAsia="宋体" w:hint="default"/>
          <w:spacing w:val="-2"/>
        </w:rPr>
        <w:t>18,797,977</w:t>
      </w:r>
      <w:r>
        <w:rPr>
          <w:spacing w:val="-2"/>
        </w:rPr>
        <w:t>股，占公司总</w:t>
      </w:r>
      <w:r>
        <w:rPr>
          <w:spacing w:val="-54"/>
        </w:rPr>
        <w:t> </w:t>
      </w:r>
      <w:r>
        <w:rPr>
          <w:spacing w:val="-54"/>
        </w:rPr>
      </w:r>
      <w:r>
        <w:rPr>
          <w:spacing w:val="-2"/>
        </w:rPr>
        <w:t>股本的</w:t>
      </w:r>
      <w:r>
        <w:rPr>
          <w:rFonts w:ascii="宋体" w:hAnsi="宋体" w:cs="宋体" w:eastAsia="宋体" w:hint="default"/>
          <w:spacing w:val="-2"/>
        </w:rPr>
        <w:t>2.31%</w:t>
      </w:r>
      <w:r>
        <w:rPr>
          <w:spacing w:val="-2"/>
        </w:rPr>
        <w:t>，累计增持金额达</w:t>
      </w:r>
      <w:r>
        <w:rPr>
          <w:rFonts w:ascii="宋体" w:hAnsi="宋体" w:cs="宋体" w:eastAsia="宋体" w:hint="default"/>
          <w:spacing w:val="-2"/>
        </w:rPr>
        <w:t>209,315,511.00</w:t>
      </w:r>
      <w:r>
        <w:rPr>
          <w:spacing w:val="-2"/>
        </w:rPr>
        <w:t>元。截至本报告披露日，控股股东及其一致行动人合计持有公司</w:t>
      </w:r>
      <w:r>
        <w:rPr>
          <w:rFonts w:ascii="宋体" w:hAnsi="宋体" w:cs="宋体" w:eastAsia="宋体" w:hint="default"/>
          <w:spacing w:val="-2"/>
        </w:rPr>
        <w:t>238,524,871</w:t>
      </w:r>
      <w:r>
        <w:rPr>
          <w:rFonts w:ascii="宋体" w:hAnsi="宋体" w:cs="宋体" w:eastAsia="宋体" w:hint="default"/>
          <w:spacing w:val="-42"/>
        </w:rPr>
        <w:t> </w:t>
      </w:r>
      <w:r>
        <w:rPr>
          <w:rFonts w:ascii="宋体" w:hAnsi="宋体" w:cs="宋体" w:eastAsia="宋体" w:hint="default"/>
          <w:spacing w:val="-42"/>
        </w:rPr>
      </w:r>
      <w:r>
        <w:rPr/>
        <w:t>股股份，占公司总股本的</w:t>
      </w:r>
      <w:r>
        <w:rPr>
          <w:rFonts w:ascii="宋体" w:hAnsi="宋体" w:cs="宋体" w:eastAsia="宋体" w:hint="default"/>
        </w:rPr>
        <w:t>29.30%</w:t>
      </w:r>
      <w:r>
        <w:rPr/>
        <w:t>。</w:t>
      </w:r>
    </w:p>
    <w:p>
      <w:pPr>
        <w:pStyle w:val="BodyText"/>
        <w:spacing w:line="316" w:lineRule="auto" w:before="19"/>
        <w:ind w:right="1130" w:firstLine="425"/>
        <w:jc w:val="both"/>
      </w:pPr>
      <w:r>
        <w:rPr>
          <w:rFonts w:ascii="宋体" w:hAnsi="宋体" w:cs="宋体" w:eastAsia="宋体" w:hint="default"/>
        </w:rPr>
        <w:t>6</w:t>
      </w:r>
      <w:r>
        <w:rPr/>
        <w:t>、</w:t>
      </w:r>
      <w:r>
        <w:rPr>
          <w:rFonts w:ascii="宋体" w:hAnsi="宋体" w:cs="宋体" w:eastAsia="宋体" w:hint="default"/>
        </w:rPr>
        <w:t>2019</w:t>
      </w:r>
      <w:r>
        <w:rPr/>
        <w:t>年</w:t>
      </w:r>
      <w:r>
        <w:rPr>
          <w:rFonts w:ascii="宋体" w:hAnsi="宋体" w:cs="宋体" w:eastAsia="宋体" w:hint="default"/>
        </w:rPr>
        <w:t>3</w:t>
      </w:r>
      <w:r>
        <w:rPr/>
        <w:t>月，经公司总裁办公会审议批准，控股子公司哆可梦在成都市成立</w:t>
      </w:r>
      <w:r>
        <w:rPr>
          <w:rFonts w:ascii="宋体" w:hAnsi="宋体" w:cs="宋体" w:eastAsia="宋体" w:hint="default"/>
        </w:rPr>
        <w:t>2</w:t>
      </w:r>
      <w:r>
        <w:rPr/>
        <w:t>家孙公司、在江西省成立</w:t>
      </w:r>
      <w:r>
        <w:rPr>
          <w:rFonts w:ascii="宋体" w:hAnsi="宋体" w:cs="宋体" w:eastAsia="宋体" w:hint="default"/>
        </w:rPr>
        <w:t>1</w:t>
      </w:r>
      <w:r>
        <w:rPr/>
        <w:t>家孙公司， </w:t>
      </w:r>
      <w:r>
        <w:rPr>
          <w:spacing w:val="-2"/>
        </w:rPr>
        <w:t>孙公司名称分别为成都缘中缘网络科技有限公司、成都致合世纪网络科技有限公司、江西省高奇网络科技有限公司，注册资</w:t>
      </w:r>
      <w:r>
        <w:rPr>
          <w:spacing w:val="-63"/>
        </w:rPr>
        <w:t> </w:t>
      </w:r>
      <w:r>
        <w:rPr>
          <w:spacing w:val="-63"/>
        </w:rPr>
      </w:r>
      <w:r>
        <w:rPr/>
        <w:t>本均为人民币</w:t>
      </w:r>
      <w:r>
        <w:rPr>
          <w:rFonts w:ascii="宋体" w:hAnsi="宋体" w:cs="宋体" w:eastAsia="宋体" w:hint="default"/>
        </w:rPr>
        <w:t>300</w:t>
      </w:r>
      <w:r>
        <w:rPr/>
        <w:t>万元。</w:t>
      </w:r>
    </w:p>
    <w:p>
      <w:pPr>
        <w:pStyle w:val="BodyText"/>
        <w:spacing w:line="309" w:lineRule="auto" w:before="60"/>
        <w:ind w:right="1130" w:firstLine="425"/>
        <w:jc w:val="both"/>
      </w:pPr>
      <w:r>
        <w:rPr>
          <w:rFonts w:ascii="Times New Roman" w:hAnsi="Times New Roman" w:cs="Times New Roman" w:eastAsia="Times New Roman" w:hint="default"/>
        </w:rPr>
        <w:t>7</w:t>
      </w:r>
      <w:r>
        <w:rPr/>
        <w:t>、经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日公司第六届董事会第三十次会议和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日公司</w:t>
      </w:r>
      <w:r>
        <w:rPr>
          <w:rFonts w:ascii="Times New Roman" w:hAnsi="Times New Roman" w:cs="Times New Roman" w:eastAsia="Times New Roman" w:hint="default"/>
        </w:rPr>
        <w:t>2019</w:t>
      </w:r>
      <w:r>
        <w:rPr/>
        <w:t>年第二次临时股东大会审议批准，为满 </w:t>
      </w:r>
      <w:r>
        <w:rPr>
          <w:spacing w:val="-4"/>
        </w:rPr>
        <w:t>足公司生产经营需要，董事会同意公司向华夏银行股份有限公司深圳前海分行申请授信额度人民币</w:t>
      </w:r>
      <w:r>
        <w:rPr>
          <w:rFonts w:ascii="Times New Roman" w:hAnsi="Times New Roman" w:cs="Times New Roman" w:eastAsia="Times New Roman" w:hint="default"/>
          <w:spacing w:val="-4"/>
        </w:rPr>
        <w:t>3</w:t>
      </w:r>
      <w:r>
        <w:rPr>
          <w:spacing w:val="-4"/>
        </w:rPr>
        <w:t>亿元，授信期限为一年，</w:t>
      </w:r>
      <w:r>
        <w:rPr>
          <w:spacing w:val="-42"/>
        </w:rPr>
        <w:t> </w:t>
      </w:r>
      <w:r>
        <w:rPr>
          <w:spacing w:val="-42"/>
        </w:rPr>
      </w:r>
      <w:r>
        <w:rPr>
          <w:spacing w:val="-2"/>
        </w:rPr>
        <w:t>实际金额、期限、利率、币种以华夏银行股份有限公司深圳前海分行的最终审批结果为准，以公司持有的位于深圳市坪山新</w:t>
      </w:r>
      <w:r>
        <w:rPr>
          <w:spacing w:val="-66"/>
        </w:rPr>
        <w:t> </w:t>
      </w:r>
      <w:r>
        <w:rPr>
          <w:spacing w:val="-66"/>
        </w:rPr>
      </w:r>
      <w:r>
        <w:rPr>
          <w:spacing w:val="-2"/>
        </w:rPr>
        <w:t>区的房产作抵押担保，并由控股子公司哆可梦提供连带责任保证，担保金额不超过授信额度，最高额担保合同期限不超过三</w:t>
      </w:r>
      <w:r>
        <w:rPr>
          <w:spacing w:val="-63"/>
        </w:rPr>
        <w:t> </w:t>
      </w:r>
      <w:r>
        <w:rPr>
          <w:spacing w:val="-63"/>
        </w:rPr>
      </w:r>
      <w:r>
        <w:rPr/>
        <w:t>年，并授权董事长徐海啸先生和哆可梦法定代表人寇汉先生签署上述授信及担保等事项的相关法律文件。</w:t>
      </w:r>
    </w:p>
    <w:p>
      <w:pPr>
        <w:pStyle w:val="BodyText"/>
        <w:spacing w:line="300" w:lineRule="auto" w:before="62"/>
        <w:ind w:right="1132" w:firstLine="425"/>
        <w:jc w:val="left"/>
      </w:pPr>
      <w:r>
        <w:rPr>
          <w:rFonts w:ascii="Times New Roman" w:hAnsi="Times New Roman" w:cs="Times New Roman" w:eastAsia="Times New Roman" w:hint="default"/>
        </w:rPr>
        <w:t>8</w:t>
      </w:r>
      <w:r>
        <w:rPr/>
        <w:t>、根据公司与元俊投资就信中利赞信出资份额转让尚未支付的第二期目标份额转让价款事宜签订的补充协议，</w:t>
      </w:r>
      <w:r>
        <w:rPr>
          <w:rFonts w:ascii="Times New Roman" w:hAnsi="Times New Roman" w:cs="Times New Roman" w:eastAsia="Times New Roman" w:hint="default"/>
        </w:rPr>
        <w:t>2019 </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日前，元俊投资应向公司支付人民币</w:t>
      </w:r>
      <w:r>
        <w:rPr>
          <w:rFonts w:ascii="Times New Roman" w:hAnsi="Times New Roman" w:cs="Times New Roman" w:eastAsia="Times New Roman" w:hint="default"/>
          <w:spacing w:val="-1"/>
        </w:rPr>
        <w:t>10,000</w:t>
      </w:r>
      <w:r>
        <w:rPr>
          <w:spacing w:val="-1"/>
        </w:rPr>
        <w:t>万元的第二期目标份额转让价款。截止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25</w:t>
      </w:r>
      <w:r>
        <w:rPr>
          <w:spacing w:val="-1"/>
        </w:rPr>
        <w:t>日，公司已收到该笔</w:t>
      </w:r>
      <w:r>
        <w:rPr>
          <w:spacing w:val="-78"/>
        </w:rPr>
        <w:t> </w:t>
      </w:r>
      <w:r>
        <w:rPr>
          <w:spacing w:val="-78"/>
        </w:rPr>
      </w:r>
      <w:r>
        <w:rPr/>
        <w:t>款项，公司累计已收到元俊投资支付的目标份额转让价款</w:t>
      </w:r>
      <w:r>
        <w:rPr>
          <w:rFonts w:ascii="Times New Roman" w:hAnsi="Times New Roman" w:cs="Times New Roman" w:eastAsia="Times New Roman" w:hint="default"/>
        </w:rPr>
        <w:t>34,800</w:t>
      </w:r>
      <w:r>
        <w:rPr/>
        <w:t>万元。</w:t>
      </w:r>
    </w:p>
    <w:p>
      <w:pPr>
        <w:pStyle w:val="BodyText"/>
        <w:spacing w:line="300" w:lineRule="auto" w:before="13"/>
        <w:ind w:right="1131" w:firstLine="425"/>
        <w:jc w:val="both"/>
      </w:pP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月，经公司总裁办公会审议批准，公司与子公司喀什中汇联银成立</w:t>
      </w:r>
      <w:r>
        <w:rPr>
          <w:rFonts w:ascii="Times New Roman" w:hAnsi="Times New Roman" w:cs="Times New Roman" w:eastAsia="Times New Roman" w:hint="default"/>
          <w:spacing w:val="-2"/>
        </w:rPr>
        <w:t>1</w:t>
      </w:r>
      <w:r>
        <w:rPr>
          <w:spacing w:val="-2"/>
        </w:rPr>
        <w:t>家下属公司铁匣电力设备（深圳）有限</w:t>
      </w:r>
      <w:r>
        <w:rPr/>
        <w:t> </w:t>
      </w:r>
      <w:r>
        <w:rPr>
          <w:spacing w:val="-3"/>
        </w:rPr>
        <w:t>责任公司，注册资本为人民币</w:t>
      </w:r>
      <w:r>
        <w:rPr>
          <w:rFonts w:ascii="Times New Roman" w:hAnsi="Times New Roman" w:cs="Times New Roman" w:eastAsia="Times New Roman" w:hint="default"/>
          <w:spacing w:val="-3"/>
        </w:rPr>
        <w:t>100</w:t>
      </w:r>
      <w:r>
        <w:rPr>
          <w:spacing w:val="-3"/>
        </w:rPr>
        <w:t>万元，其中：公司认缴出资额</w:t>
      </w:r>
      <w:r>
        <w:rPr>
          <w:rFonts w:ascii="Times New Roman" w:hAnsi="Times New Roman" w:cs="Times New Roman" w:eastAsia="Times New Roman" w:hint="default"/>
          <w:spacing w:val="-3"/>
        </w:rPr>
        <w:t>60</w:t>
      </w:r>
      <w:r>
        <w:rPr>
          <w:spacing w:val="-3"/>
        </w:rPr>
        <w:t>万元，出资比例为</w:t>
      </w:r>
      <w:r>
        <w:rPr>
          <w:rFonts w:ascii="Times New Roman" w:hAnsi="Times New Roman" w:cs="Times New Roman" w:eastAsia="Times New Roman" w:hint="default"/>
          <w:spacing w:val="-3"/>
        </w:rPr>
        <w:t>60%</w:t>
      </w:r>
      <w:r>
        <w:rPr>
          <w:spacing w:val="-3"/>
        </w:rPr>
        <w:t>；喀什中汇联银认缴出资额</w:t>
      </w:r>
      <w:r>
        <w:rPr>
          <w:rFonts w:ascii="Times New Roman" w:hAnsi="Times New Roman" w:cs="Times New Roman" w:eastAsia="Times New Roman" w:hint="default"/>
          <w:spacing w:val="-3"/>
        </w:rPr>
        <w:t>40</w:t>
      </w:r>
      <w:r>
        <w:rPr>
          <w:spacing w:val="-3"/>
        </w:rPr>
        <w:t>万元，</w:t>
      </w:r>
      <w:r>
        <w:rPr>
          <w:spacing w:val="-59"/>
        </w:rPr>
        <w:t> </w:t>
      </w:r>
      <w:r>
        <w:rPr>
          <w:spacing w:val="-59"/>
        </w:rPr>
      </w:r>
      <w:r>
        <w:rPr/>
        <w:t>出资比例为</w:t>
      </w:r>
      <w:r>
        <w:rPr>
          <w:rFonts w:ascii="Times New Roman" w:hAnsi="Times New Roman" w:cs="Times New Roman" w:eastAsia="Times New Roman" w:hint="default"/>
        </w:rPr>
        <w:t>40%</w:t>
      </w:r>
      <w:r>
        <w:rPr/>
        <w:t>。</w:t>
      </w:r>
    </w:p>
    <w:p>
      <w:pPr>
        <w:pStyle w:val="BodyText"/>
        <w:spacing w:line="300" w:lineRule="auto" w:before="13"/>
        <w:ind w:right="1138" w:firstLine="425"/>
        <w:jc w:val="both"/>
      </w:pPr>
      <w:r>
        <w:rPr>
          <w:rFonts w:ascii="Times New Roman" w:hAnsi="Times New Roman" w:cs="Times New Roman" w:eastAsia="Times New Roman" w:hint="default"/>
        </w:rPr>
        <w:t>10</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月，经公司总裁办公会审议批准，公司与子公司喀什中汇联银成立</w:t>
      </w:r>
      <w:r>
        <w:rPr>
          <w:rFonts w:ascii="Times New Roman" w:hAnsi="Times New Roman" w:cs="Times New Roman" w:eastAsia="Times New Roman" w:hint="default"/>
        </w:rPr>
        <w:t>2</w:t>
      </w:r>
      <w:r>
        <w:rPr/>
        <w:t>家下属公司，名称分别为深圳市一零 电力设备有限责任公司、深圳市零玖电力设备有限责任公司，注册资本均为人民币</w:t>
      </w:r>
      <w:r>
        <w:rPr>
          <w:rFonts w:ascii="Times New Roman" w:hAnsi="Times New Roman" w:cs="Times New Roman" w:eastAsia="Times New Roman" w:hint="default"/>
        </w:rPr>
        <w:t>100</w:t>
      </w:r>
      <w:r>
        <w:rPr/>
        <w:t>万元，其中股权结构均为：公司认缴 出资额</w:t>
      </w:r>
      <w:r>
        <w:rPr>
          <w:rFonts w:ascii="Times New Roman" w:hAnsi="Times New Roman" w:cs="Times New Roman" w:eastAsia="Times New Roman" w:hint="default"/>
        </w:rPr>
        <w:t>60</w:t>
      </w:r>
      <w:r>
        <w:rPr/>
        <w:t>万元，出资比例为</w:t>
      </w:r>
      <w:r>
        <w:rPr>
          <w:rFonts w:ascii="Times New Roman" w:hAnsi="Times New Roman" w:cs="Times New Roman" w:eastAsia="Times New Roman" w:hint="default"/>
        </w:rPr>
        <w:t>60%</w:t>
      </w:r>
      <w:r>
        <w:rPr/>
        <w:t>；喀什中汇联银认缴出资额</w:t>
      </w:r>
      <w:r>
        <w:rPr>
          <w:rFonts w:ascii="Times New Roman" w:hAnsi="Times New Roman" w:cs="Times New Roman" w:eastAsia="Times New Roman" w:hint="default"/>
        </w:rPr>
        <w:t>40</w:t>
      </w:r>
      <w:r>
        <w:rPr/>
        <w:t>万元，出资比例为</w:t>
      </w:r>
      <w:r>
        <w:rPr>
          <w:rFonts w:ascii="Times New Roman" w:hAnsi="Times New Roman" w:cs="Times New Roman" w:eastAsia="Times New Roman" w:hint="default"/>
        </w:rPr>
        <w:t>40%</w:t>
      </w:r>
      <w:r>
        <w:rPr/>
        <w:t>。</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、前期会计差错更正：无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w:t>
      </w:r>
      <w:r>
        <w:rPr/>
        <w:t>、债务重组：无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w:t>
      </w:r>
      <w:r>
        <w:rPr/>
        <w:t>、资产置换：无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4</w:t>
      </w:r>
      <w:r>
        <w:rPr/>
        <w:t>、年金计划：无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5</w:t>
      </w:r>
      <w:r>
        <w:rPr/>
        <w:t>、终止经营：无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288"/>
        <w:jc w:val="left"/>
      </w:pPr>
      <w:r>
        <w:rPr>
          <w:spacing w:val="-1"/>
        </w:rPr>
        <w:t>根据本公司的内部组织结构、管理要求及内部报告制度，本公司的经营业务划分为两个经营分部，本公司的管理层定期</w:t>
      </w:r>
      <w:r>
        <w:rPr/>
        <w:t> </w:t>
      </w:r>
      <w:r>
        <w:rPr>
          <w:spacing w:val="-2"/>
        </w:rPr>
        <w:t>评价这些分部的经营成果，以决定向其分配资源及评价其业绩。在经营分部的基础上本公司确定了两个报告分部，分别为电</w:t>
      </w:r>
    </w:p>
    <w:p>
      <w:pPr>
        <w:spacing w:after="0" w:line="316" w:lineRule="auto"/>
        <w:jc w:val="left"/>
        <w:sectPr>
          <w:pgSz w:w="11910" w:h="16840"/>
          <w:pgMar w:header="0"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气业务分部、游戏业务分部。这些报告分部是以行业分部为基础确定的。</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3" w:hRule="exact"/>
        </w:trPr>
        <w:tc>
          <w:tcPr>
            <w:tcW w:w="1892"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电气业务</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游戏业务</w:t>
            </w:r>
          </w:p>
        </w:tc>
        <w:tc>
          <w:tcPr>
            <w:tcW w:w="1913"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325,348,382.60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1,572,809,999.93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1,898,158,382.53</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222,108,357.09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321,540,391.75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543,648,748.84</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3,159,091,284.08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911,349,726.45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368,980,512.68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3,701,460,497.85</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1,463,400,292.57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380,219,918.18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200,573,958.33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1,643,046,252.42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、其他对投资者决策有影响的重要交易和事项：无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29"/>
        <w:jc w:val="right"/>
      </w:pPr>
      <w:r>
        <w:rPr>
          <w:rFonts w:ascii="Times New Roman" w:hAnsi="Times New Roman" w:cs="Times New Roman" w:eastAsia="Times New Roman" w:hint="default"/>
        </w:rPr>
        <w:t>2018 </w:t>
      </w:r>
      <w:r>
        <w:rPr/>
        <w:t>年</w:t>
      </w:r>
      <w:r>
        <w:rPr>
          <w:spacing w:val="-48"/>
        </w:rPr>
        <w:t> </w:t>
      </w:r>
      <w:r>
        <w:rPr>
          <w:rFonts w:ascii="Times New Roman" w:hAnsi="Times New Roman" w:cs="Times New Roman" w:eastAsia="Times New Roman" w:hint="default"/>
        </w:rPr>
        <w:t>6 </w:t>
      </w:r>
      <w:r>
        <w:rPr/>
        <w:t>月</w:t>
      </w:r>
      <w:r>
        <w:rPr>
          <w:spacing w:val="-48"/>
        </w:rPr>
        <w:t> </w:t>
      </w:r>
      <w:r>
        <w:rPr>
          <w:rFonts w:ascii="Times New Roman" w:hAnsi="Times New Roman" w:cs="Times New Roman" w:eastAsia="Times New Roman" w:hint="default"/>
        </w:rPr>
        <w:t>8 </w:t>
      </w:r>
      <w:r>
        <w:rPr/>
        <w:t>日公司第六届董事会第十八次会议、</w:t>
      </w:r>
      <w:r>
        <w:rPr>
          <w:rFonts w:ascii="Times New Roman" w:hAnsi="Times New Roman" w:cs="Times New Roman" w:eastAsia="Times New Roman" w:hint="default"/>
        </w:rPr>
        <w:t>2018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5"/>
        </w:rPr>
        <w:t> </w:t>
      </w:r>
      <w:r>
        <w:rPr>
          <w:rFonts w:ascii="Times New Roman" w:hAnsi="Times New Roman" w:cs="Times New Roman" w:eastAsia="Times New Roman" w:hint="default"/>
        </w:rPr>
        <w:t>25 </w:t>
      </w:r>
      <w:r>
        <w:rPr/>
        <w:t>日公司第四次临时股东大会审议批准，同意公司将在</w:t>
      </w:r>
    </w:p>
    <w:p>
      <w:pPr>
        <w:pStyle w:val="BodyText"/>
        <w:spacing w:line="240" w:lineRule="auto" w:before="63"/>
        <w:ind w:right="0"/>
        <w:jc w:val="left"/>
      </w:pPr>
      <w:r>
        <w:rPr/>
        <w:t>信中利赞信中的</w:t>
      </w:r>
      <w:r>
        <w:rPr>
          <w:spacing w:val="-46"/>
        </w:rPr>
        <w:t> </w:t>
      </w:r>
      <w:r>
        <w:rPr>
          <w:rFonts w:ascii="Times New Roman" w:hAnsi="Times New Roman" w:cs="Times New Roman" w:eastAsia="Times New Roman" w:hint="default"/>
        </w:rPr>
        <w:t>29,000 </w:t>
      </w:r>
      <w:r>
        <w:rPr/>
        <w:t>万元出资份额及对应的财产份额转让给非关联方元俊投资，转让金额为</w:t>
      </w:r>
      <w:r>
        <w:rPr>
          <w:spacing w:val="-46"/>
        </w:rPr>
        <w:t> </w:t>
      </w:r>
      <w:r>
        <w:rPr>
          <w:rFonts w:ascii="Times New Roman" w:hAnsi="Times New Roman" w:cs="Times New Roman" w:eastAsia="Times New Roman" w:hint="default"/>
        </w:rPr>
        <w:t>45,500 </w:t>
      </w:r>
      <w:r>
        <w:rPr/>
        <w:t>万元，该笔交易共计</w:t>
      </w:r>
    </w:p>
    <w:p>
      <w:pPr>
        <w:pStyle w:val="BodyText"/>
        <w:spacing w:line="240" w:lineRule="auto" w:before="63"/>
        <w:ind w:right="1133"/>
        <w:jc w:val="left"/>
      </w:pPr>
      <w:r>
        <w:rPr/>
        <w:t>确认投资收益</w:t>
      </w:r>
      <w:r>
        <w:rPr>
          <w:spacing w:val="-46"/>
        </w:rPr>
        <w:t> </w:t>
      </w:r>
      <w:r>
        <w:rPr>
          <w:rFonts w:ascii="Times New Roman" w:hAnsi="Times New Roman" w:cs="Times New Roman" w:eastAsia="Times New Roman" w:hint="default"/>
        </w:rPr>
        <w:t>83,964,228.06  </w:t>
      </w:r>
      <w:r>
        <w:rPr/>
        <w:t>元。截止本报告披露日，共计收到转让价款</w:t>
      </w:r>
      <w:r>
        <w:rPr>
          <w:spacing w:val="-46"/>
        </w:rPr>
        <w:t> </w:t>
      </w:r>
      <w:r>
        <w:rPr>
          <w:rFonts w:ascii="Times New Roman" w:hAnsi="Times New Roman" w:cs="Times New Roman" w:eastAsia="Times New Roman" w:hint="default"/>
        </w:rPr>
        <w:t>34,800 </w:t>
      </w:r>
      <w:r>
        <w:rPr/>
        <w:t>万元，尚有</w:t>
      </w:r>
      <w:r>
        <w:rPr>
          <w:spacing w:val="-49"/>
        </w:rPr>
        <w:t> </w:t>
      </w:r>
      <w:r>
        <w:rPr>
          <w:rFonts w:ascii="Times New Roman" w:hAnsi="Times New Roman" w:cs="Times New Roman" w:eastAsia="Times New Roman" w:hint="default"/>
        </w:rPr>
        <w:t>10,700 </w:t>
      </w:r>
      <w:r>
        <w:rPr/>
        <w:t>万元尚未取得。</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23,953,061.52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622,056.20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128,060,448.28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130,814,168.61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152,013,509.80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131,436,224.81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9,060,408.46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122,056.20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14,892,653.06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23,953,061.52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622,056.20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pStyle w:val="BodyText"/>
        <w:spacing w:line="240" w:lineRule="auto" w:before="49"/>
        <w:ind w:right="-18"/>
        <w:jc w:val="left"/>
      </w:pPr>
      <w:r>
        <w:rPr>
          <w:rFonts w:ascii="Times New Roman" w:hAnsi="Times New Roman" w:cs="Times New Roman" w:eastAsia="Times New Roman" w:hint="default"/>
        </w:rPr>
        <w:t>2)</w:t>
      </w:r>
      <w:r>
        <w:rPr/>
        <w:t>期末公司已质押的应收票据：无</w:t>
      </w:r>
    </w:p>
    <w:p>
      <w:pPr>
        <w:pStyle w:val="BodyText"/>
        <w:spacing w:line="240" w:lineRule="auto" w:before="101"/>
        <w:ind w:right="-18"/>
        <w:jc w:val="left"/>
      </w:pP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5165" w:space="3664"/>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9,264,052.01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9,482,652.01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期末公司因出票人未履约而将其转应收账款的票据：无</w:t>
      </w:r>
      <w:r>
        <w:rPr>
          <w:b w:val="0"/>
          <w:bCs w:val="0"/>
        </w:rPr>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b/>
          <w:bCs/>
          <w:sz w:val="24"/>
          <w:szCs w:val="24"/>
        </w:rPr>
      </w:pPr>
    </w:p>
    <w:p>
      <w:pPr>
        <w:pStyle w:val="Heading3"/>
        <w:spacing w:line="240" w:lineRule="auto"/>
        <w:ind w:left="140" w:right="-19"/>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9"/>
        <w:jc w:val="left"/>
      </w:pPr>
      <w:r>
        <w:rPr>
          <w:rFonts w:ascii="Times New Roman" w:hAnsi="Times New Roman" w:cs="Times New Roman" w:eastAsia="Times New Roman" w:hint="default"/>
        </w:rPr>
        <w:t>1)</w:t>
      </w:r>
      <w:r>
        <w:rPr/>
        <w:t>应收账款分类披露</w:t>
      </w:r>
    </w:p>
    <w:p>
      <w:pPr>
        <w:pStyle w:val="BodyText"/>
        <w:spacing w:line="240" w:lineRule="auto" w:before="15"/>
        <w:ind w:left="0" w:right="153"/>
        <w:jc w:val="right"/>
      </w:pPr>
      <w:r>
        <w:rPr/>
        <w:br w:type="column"/>
      </w:r>
      <w:r>
        <w:rPr/>
        <w:t>深圳市惠程信息科技股份有限公司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pStyle w:val="BodyText"/>
        <w:spacing w:line="240" w:lineRule="auto"/>
        <w:ind w:left="0" w:right="155"/>
        <w:jc w:val="right"/>
      </w:pPr>
      <w:r>
        <w:rPr/>
        <w:pict>
          <v:group style="position:absolute;margin-left:70.559998pt;margin-top:-49.868275pt;width:700.95pt;height:.1pt;mso-position-horizontal-relative:page;mso-position-vertical-relative:paragraph;z-index:2296" coordorigin="1411,-997" coordsize="14019,2">
            <v:shape style="position:absolute;left:1411;top:-997;width:14019;height:2" coordorigin="1411,-997" coordsize="14019,0" path="m1411,-997l15430,-997e" filled="false" stroked="true" strokeweight=".72pt" strokecolor="#000000">
              <v:path arrowok="t"/>
            </v:shape>
            <w10:wrap type="none"/>
          </v:group>
        </w:pict>
      </w:r>
      <w:r>
        <w:rPr/>
        <w:t>单位：</w:t>
      </w:r>
      <w:r>
        <w:rPr>
          <w:spacing w:val="1"/>
        </w:rPr>
        <w:t> </w:t>
      </w:r>
      <w:r>
        <w:rPr/>
        <w:t>元</w:t>
      </w:r>
    </w:p>
    <w:p>
      <w:pPr>
        <w:spacing w:after="0" w:line="240" w:lineRule="auto"/>
        <w:jc w:val="right"/>
        <w:sectPr>
          <w:headerReference w:type="default" r:id="rId54"/>
          <w:footerReference w:type="default" r:id="rId55"/>
          <w:pgSz w:w="16840" w:h="11910" w:orient="landscape"/>
          <w:pgMar w:header="0" w:footer="0" w:top="800" w:bottom="0" w:left="1300" w:right="1280"/>
          <w:cols w:num="2" w:equalWidth="0">
            <w:col w:w="1732" w:space="7817"/>
            <w:col w:w="4711"/>
          </w:cols>
        </w:sectPr>
      </w:pP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345"/>
        <w:gridCol w:w="1193"/>
        <w:gridCol w:w="1075"/>
        <w:gridCol w:w="1092"/>
        <w:gridCol w:w="1066"/>
        <w:gridCol w:w="1181"/>
        <w:gridCol w:w="1181"/>
        <w:gridCol w:w="1078"/>
        <w:gridCol w:w="1152"/>
        <w:gridCol w:w="1327"/>
        <w:gridCol w:w="1328"/>
      </w:tblGrid>
      <w:tr>
        <w:trPr>
          <w:trHeight w:val="403" w:hRule="exact"/>
        </w:trPr>
        <w:tc>
          <w:tcPr>
            <w:tcW w:w="2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560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6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2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2345" w:type="dxa"/>
            <w:vMerge/>
            <w:tcBorders>
              <w:left w:val="single" w:sz="4" w:space="0" w:color="000000"/>
              <w:bottom w:val="nil" w:sz="6" w:space="0" w:color="auto"/>
              <w:right w:val="single" w:sz="4" w:space="0" w:color="000000"/>
            </w:tcBorders>
            <w:shd w:val="clear" w:color="auto" w:fill="D2D2D2"/>
          </w:tcPr>
          <w:p>
            <w:pPr/>
          </w:p>
        </w:tc>
        <w:tc>
          <w:tcPr>
            <w:tcW w:w="2269" w:type="dxa"/>
            <w:gridSpan w:val="2"/>
            <w:vMerge/>
            <w:tcBorders>
              <w:left w:val="single" w:sz="4" w:space="0" w:color="000000"/>
              <w:bottom w:val="single" w:sz="4" w:space="0" w:color="000000"/>
              <w:right w:val="single" w:sz="4" w:space="0" w:color="000000"/>
            </w:tcBorders>
            <w:shd w:val="clear" w:color="auto" w:fill="D2D2D2"/>
          </w:tcPr>
          <w:p>
            <w:pPr/>
          </w:p>
        </w:tc>
        <w:tc>
          <w:tcPr>
            <w:tcW w:w="2158" w:type="dxa"/>
            <w:gridSpan w:val="2"/>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2479" w:type="dxa"/>
            <w:gridSpan w:val="2"/>
            <w:vMerge/>
            <w:tcBorders>
              <w:left w:val="single" w:sz="4" w:space="0" w:color="000000"/>
              <w:bottom w:val="single" w:sz="4" w:space="0" w:color="000000"/>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6" w:hRule="exact"/>
        </w:trPr>
        <w:tc>
          <w:tcPr>
            <w:tcW w:w="2345"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5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5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9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2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345"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49"/>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账准备的应收账款</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账准备的应收账款</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152,817,451.20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24,757,002.92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128,060,448.28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154,501,602.44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23,687,433.83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15.33%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130,814,168.61</w:t>
            </w:r>
          </w:p>
        </w:tc>
      </w:tr>
      <w:tr>
        <w:trPr>
          <w:trHeight w:val="713"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49"/>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坏账准备的应收账款</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152,817,451.20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24,757,002.92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128,060,448.28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154,501,602.44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23,687,433.83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15.33%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130,814,168.61</w:t>
            </w:r>
          </w:p>
        </w:tc>
      </w:tr>
    </w:tbl>
    <w:p>
      <w:pPr>
        <w:pStyle w:val="BodyText"/>
        <w:spacing w:line="240" w:lineRule="auto" w:before="49"/>
        <w:ind w:left="140" w:right="152"/>
        <w:jc w:val="left"/>
      </w:pPr>
      <w:r>
        <w:rPr/>
        <w:t>期末单项金额重大并单项计提坏账准备的应收账款：</w:t>
      </w:r>
    </w:p>
    <w:p>
      <w:pPr>
        <w:pStyle w:val="BodyText"/>
        <w:spacing w:line="240" w:lineRule="auto" w:before="115"/>
        <w:ind w:left="140" w:right="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76"/>
        <w:ind w:left="6966" w:right="6981"/>
        <w:jc w:val="center"/>
        <w:rPr>
          <w:rFonts w:ascii="Times New Roman" w:hAnsi="Times New Roman" w:cs="Times New Roman" w:eastAsia="Times New Roman" w:hint="default"/>
        </w:rPr>
      </w:pPr>
      <w:r>
        <w:rPr>
          <w:rFonts w:ascii="Times New Roman"/>
        </w:rPr>
        <w:t>195</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5" name="image1.jpeg" descr=""/>
            <wp:cNvGraphicFramePr>
              <a:graphicFrameLocks noChangeAspect="1"/>
            </wp:cNvGraphicFramePr>
            <a:graphic>
              <a:graphicData uri="http://schemas.openxmlformats.org/drawingml/2006/picture">
                <pic:pic>
                  <pic:nvPicPr>
                    <pic:cNvPr id="16" name="image1.jpeg"/>
                    <pic:cNvPicPr/>
                  </pic:nvPicPr>
                  <pic:blipFill>
                    <a:blip r:embed="rId2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280"/>
        </w:sectPr>
      </w:pPr>
    </w:p>
    <w:p>
      <w:pPr>
        <w:spacing w:line="240" w:lineRule="auto" w:before="10"/>
        <w:rPr>
          <w:rFonts w:ascii="Times New Roman" w:hAnsi="Times New Roman" w:cs="Times New Roman" w:eastAsia="Times New Roman" w:hint="default"/>
          <w:sz w:val="24"/>
          <w:szCs w:val="24"/>
        </w:rPr>
      </w:pPr>
    </w:p>
    <w:p>
      <w:pPr>
        <w:spacing w:after="0" w:line="240" w:lineRule="auto"/>
        <w:rPr>
          <w:rFonts w:ascii="Times New Roman" w:hAnsi="Times New Roman" w:cs="Times New Roman" w:eastAsia="Times New Roman" w:hint="default"/>
          <w:sz w:val="24"/>
          <w:szCs w:val="24"/>
        </w:rPr>
        <w:sectPr>
          <w:footerReference w:type="default" r:id="rId56"/>
          <w:pgSz w:w="11910" w:h="16840"/>
          <w:pgMar w:footer="979" w:header="0" w:top="1100" w:bottom="1160" w:left="980" w:right="0"/>
          <w:pgNumType w:start="196"/>
        </w:sectPr>
      </w:pPr>
    </w:p>
    <w:p>
      <w:pPr>
        <w:pStyle w:val="BodyText"/>
        <w:spacing w:line="240" w:lineRule="auto" w:before="44"/>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96,941,175.27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4,847,058.76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96,941,175.27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4,847,058.76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19,611,876.80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1,961,187.68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16,378,558.18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3,275,711.64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3,040,908.54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912,272.56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5,140,266.88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2,056,106.75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11,704,665.53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11,704,665.53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152,817,451.20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24,757,002.92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16.20%</w:t>
            </w:r>
          </w:p>
        </w:tc>
      </w:tr>
    </w:tbl>
    <w:p>
      <w:pPr>
        <w:pStyle w:val="BodyText"/>
        <w:spacing w:line="357" w:lineRule="auto" w:before="49"/>
        <w:ind w:right="6434"/>
        <w:jc w:val="left"/>
      </w:pPr>
      <w:r>
        <w:rPr/>
        <w:t>确定该组合依据的说明：无。 组合中，采用余额百分比法计提坏账准备的应收账款：</w:t>
      </w:r>
    </w:p>
    <w:p>
      <w:pPr>
        <w:pStyle w:val="BodyText"/>
        <w:spacing w:line="348" w:lineRule="auto" w:before="29"/>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组合中，采用其他方法计提坏账准备的应收账款：无。 </w:t>
      </w:r>
      <w:r>
        <w:rPr>
          <w:rFonts w:ascii="Times New Roman" w:hAnsi="Times New Roman" w:cs="Times New Roman" w:eastAsia="Times New Roman" w:hint="default"/>
        </w:rPr>
        <w:t>2)</w:t>
      </w:r>
      <w:r>
        <w:rPr/>
        <w:t>本期计提、收回或转回的坏账准备情况</w:t>
      </w:r>
    </w:p>
    <w:p>
      <w:pPr>
        <w:pStyle w:val="BodyText"/>
        <w:spacing w:line="338" w:lineRule="auto" w:before="14"/>
        <w:ind w:right="4456"/>
        <w:jc w:val="left"/>
      </w:pPr>
      <w:r>
        <w:rPr/>
        <w:t>本期计提坏账准备金额</w:t>
      </w:r>
      <w:r>
        <w:rPr>
          <w:spacing w:val="-46"/>
        </w:rPr>
        <w:t> </w:t>
      </w:r>
      <w:r>
        <w:rPr>
          <w:rFonts w:ascii="Times New Roman" w:hAnsi="Times New Roman" w:cs="Times New Roman" w:eastAsia="Times New Roman" w:hint="default"/>
        </w:rPr>
        <w:t>1,308,891.71</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本期债务重组减少的坏账准备</w:t>
      </w:r>
      <w:r>
        <w:rPr>
          <w:rFonts w:ascii="Times New Roman" w:hAnsi="Times New Roman" w:cs="Times New Roman" w:eastAsia="Times New Roman" w:hint="default"/>
        </w:rPr>
        <w:t>247,059.62</w:t>
      </w:r>
      <w:r>
        <w:rPr/>
        <w:t>元。</w:t>
      </w:r>
    </w:p>
    <w:p>
      <w:pPr>
        <w:pStyle w:val="BodyText"/>
        <w:spacing w:line="217" w:lineRule="exact"/>
        <w:ind w:right="1133"/>
        <w:jc w:val="left"/>
      </w:pPr>
      <w:r>
        <w:rPr>
          <w:rFonts w:ascii="宋体" w:hAnsi="宋体" w:cs="宋体" w:eastAsia="宋体" w:hint="default"/>
        </w:rPr>
        <w:t>3)</w:t>
      </w:r>
      <w:r>
        <w:rPr/>
        <w:t>本期实际核销的应收账款情况</w:t>
      </w:r>
    </w:p>
    <w:p>
      <w:pPr>
        <w:pStyle w:val="BodyText"/>
        <w:spacing w:line="240" w:lineRule="auto" w:before="76"/>
        <w:ind w:right="1133"/>
        <w:jc w:val="left"/>
      </w:pPr>
      <w:r>
        <w:rPr/>
        <w:t>本期无实际核销的应收账款，本期转回前期核销的应收账款</w:t>
      </w:r>
      <w:r>
        <w:rPr>
          <w:rFonts w:ascii="Times New Roman" w:hAnsi="Times New Roman" w:cs="Times New Roman" w:eastAsia="Times New Roman" w:hint="default"/>
        </w:rPr>
        <w:t>7,737.00</w:t>
      </w:r>
      <w:r>
        <w:rPr/>
        <w:t>元。</w:t>
      </w:r>
    </w:p>
    <w:p>
      <w:pPr>
        <w:pStyle w:val="BodyText"/>
        <w:spacing w:line="240" w:lineRule="auto" w:before="103"/>
        <w:ind w:right="1133"/>
        <w:jc w:val="left"/>
      </w:pPr>
      <w:r>
        <w:rPr>
          <w:rFonts w:ascii="Times New Roman" w:hAnsi="Times New Roman" w:cs="Times New Roman" w:eastAsia="Times New Roman" w:hint="default"/>
        </w:rPr>
        <w:t>4)</w:t>
      </w:r>
      <w:r>
        <w:rPr/>
        <w:t>按欠款方归集的期末余额前五名的应收账款情况</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424"/>
        <w:gridCol w:w="1529"/>
        <w:gridCol w:w="1546"/>
        <w:gridCol w:w="1424"/>
        <w:gridCol w:w="1634"/>
        <w:gridCol w:w="2381"/>
      </w:tblGrid>
      <w:tr>
        <w:trPr>
          <w:trHeight w:val="427"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与公司关系</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36" w:right="0"/>
              <w:jc w:val="left"/>
              <w:rPr>
                <w:rFonts w:ascii="宋体" w:hAnsi="宋体" w:cs="宋体" w:eastAsia="宋体" w:hint="default"/>
                <w:sz w:val="18"/>
                <w:szCs w:val="18"/>
              </w:rPr>
            </w:pPr>
            <w:r>
              <w:rPr>
                <w:rFonts w:ascii="宋体" w:hAnsi="宋体" w:cs="宋体" w:eastAsia="宋体" w:hint="default"/>
                <w:sz w:val="18"/>
                <w:szCs w:val="18"/>
              </w:rPr>
              <w:t>账面余额（元）</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4" w:right="0"/>
              <w:jc w:val="left"/>
              <w:rPr>
                <w:rFonts w:ascii="宋体" w:hAnsi="宋体" w:cs="宋体" w:eastAsia="宋体" w:hint="default"/>
                <w:sz w:val="18"/>
                <w:szCs w:val="18"/>
              </w:rPr>
            </w:pPr>
            <w:r>
              <w:rPr>
                <w:rFonts w:ascii="宋体" w:hAnsi="宋体" w:cs="宋体" w:eastAsia="宋体" w:hint="default"/>
                <w:sz w:val="18"/>
                <w:szCs w:val="18"/>
              </w:rPr>
              <w:t>坏账准备（元）</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占应收账款期末余额比例</w:t>
            </w:r>
          </w:p>
        </w:tc>
      </w:tr>
      <w:tr>
        <w:trPr>
          <w:trHeight w:val="425"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23,353,865.06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2,505,989.24</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15.28%</w:t>
            </w:r>
          </w:p>
        </w:tc>
      </w:tr>
      <w:tr>
        <w:trPr>
          <w:trHeight w:val="428"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9,656,983.09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508,884.04</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年以内至</w:t>
            </w: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6.32%</w:t>
            </w:r>
          </w:p>
        </w:tc>
      </w:tr>
      <w:tr>
        <w:trPr>
          <w:trHeight w:val="427"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9,183,020.00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463,608.50</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6.01%</w:t>
            </w:r>
          </w:p>
        </w:tc>
      </w:tr>
      <w:tr>
        <w:trPr>
          <w:trHeight w:val="427"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6,166,202.16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308,310.11</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4.04%</w:t>
            </w:r>
          </w:p>
        </w:tc>
      </w:tr>
      <w:tr>
        <w:trPr>
          <w:trHeight w:val="427"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5,452,253.62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335,882.66</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年以内至</w:t>
            </w: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3.57%</w:t>
            </w:r>
          </w:p>
        </w:tc>
      </w:tr>
      <w:tr>
        <w:trPr>
          <w:trHeight w:val="427"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53,812,323.93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4,122,674.55</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center"/>
              <w:rPr>
                <w:rFonts w:ascii="Times New Roman" w:hAnsi="Times New Roman" w:cs="Times New Roman" w:eastAsia="Times New Roman" w:hint="default"/>
                <w:sz w:val="18"/>
                <w:szCs w:val="18"/>
              </w:rPr>
            </w:pPr>
            <w:r>
              <w:rPr>
                <w:rFonts w:ascii="Times New Roman"/>
                <w:sz w:val="18"/>
              </w:rPr>
              <w:t>/</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 w:right="0"/>
              <w:jc w:val="center"/>
              <w:rPr>
                <w:rFonts w:ascii="Times New Roman" w:hAnsi="Times New Roman" w:cs="Times New Roman" w:eastAsia="Times New Roman" w:hint="default"/>
                <w:sz w:val="18"/>
                <w:szCs w:val="18"/>
              </w:rPr>
            </w:pPr>
            <w:r>
              <w:rPr>
                <w:rFonts w:ascii="Times New Roman"/>
                <w:sz w:val="18"/>
              </w:rPr>
              <w:t>35.22%</w:t>
            </w:r>
          </w:p>
        </w:tc>
      </w:tr>
    </w:tbl>
    <w:p>
      <w:pPr>
        <w:pStyle w:val="BodyText"/>
        <w:spacing w:line="240" w:lineRule="auto" w:before="49"/>
        <w:ind w:right="1133"/>
        <w:jc w:val="left"/>
      </w:pPr>
      <w:r>
        <w:rPr>
          <w:rFonts w:ascii="Times New Roman" w:hAnsi="Times New Roman" w:cs="Times New Roman" w:eastAsia="Times New Roman" w:hint="default"/>
        </w:rPr>
        <w:t>5)</w:t>
      </w:r>
      <w:r>
        <w:rPr/>
        <w:t>因金融资产转移而终止确认的应收账款：无</w:t>
      </w:r>
    </w:p>
    <w:p>
      <w:pPr>
        <w:pStyle w:val="BodyText"/>
        <w:spacing w:line="240" w:lineRule="auto" w:before="103"/>
        <w:ind w:right="1133"/>
        <w:jc w:val="left"/>
      </w:pPr>
      <w:r>
        <w:rPr>
          <w:rFonts w:ascii="Times New Roman" w:hAnsi="Times New Roman" w:cs="Times New Roman" w:eastAsia="Times New Roman" w:hint="default"/>
        </w:rPr>
        <w:t>6)</w:t>
      </w:r>
      <w:r>
        <w:rPr/>
        <w:t>转移应收账款且继续涉入形成的资产、负债金额：无</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592,372.09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120,994.52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576,233,592.42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238,742,711.31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576,825,964.51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238,863,705.83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592,372.09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120,994.52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592,372.09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120,994.52</w:t>
            </w:r>
          </w:p>
        </w:tc>
      </w:tr>
    </w:tbl>
    <w:p>
      <w:pPr>
        <w:pStyle w:val="BodyText"/>
        <w:spacing w:line="240" w:lineRule="auto" w:before="49"/>
        <w:ind w:right="1133"/>
        <w:jc w:val="left"/>
      </w:pPr>
      <w:r>
        <w:rPr>
          <w:rFonts w:ascii="Times New Roman" w:hAnsi="Times New Roman" w:cs="Times New Roman" w:eastAsia="Times New Roman" w:hint="default"/>
        </w:rPr>
        <w:t>2)</w:t>
      </w:r>
      <w:r>
        <w:rPr/>
        <w:t>重要逾期利息：无</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）应收股利：无</w:t>
      </w:r>
      <w:r>
        <w:rPr>
          <w:b w:val="0"/>
          <w:bCs w:val="0"/>
        </w:rPr>
      </w:r>
    </w:p>
    <w:p>
      <w:pPr>
        <w:spacing w:after="0" w:line="240" w:lineRule="auto"/>
        <w:jc w:val="left"/>
        <w:sectPr>
          <w:pgSz w:w="11910" w:h="16840"/>
          <w:pgMar w:header="0" w:footer="979" w:top="1100" w:bottom="1160" w:left="980" w:right="0"/>
        </w:sectPr>
      </w:pPr>
    </w:p>
    <w:p>
      <w:pPr>
        <w:spacing w:line="240" w:lineRule="auto" w:before="0"/>
        <w:rPr>
          <w:rFonts w:ascii="宋体" w:hAnsi="宋体" w:cs="宋体" w:eastAsia="宋体" w:hint="default"/>
          <w:b/>
          <w:bCs/>
          <w:sz w:val="24"/>
          <w:szCs w:val="24"/>
        </w:rPr>
      </w:pPr>
    </w:p>
    <w:p>
      <w:pPr>
        <w:pStyle w:val="Heading3"/>
        <w:spacing w:line="240" w:lineRule="auto"/>
        <w:ind w:left="140" w:right="-19"/>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9"/>
        <w:jc w:val="left"/>
      </w:pPr>
      <w:r>
        <w:rPr>
          <w:rFonts w:ascii="Times New Roman" w:hAnsi="Times New Roman" w:cs="Times New Roman" w:eastAsia="Times New Roman" w:hint="default"/>
        </w:rPr>
        <w:t>1)</w:t>
      </w:r>
      <w:r>
        <w:rPr/>
        <w:t>其他应收款分类披露</w:t>
      </w:r>
    </w:p>
    <w:p>
      <w:pPr>
        <w:pStyle w:val="BodyText"/>
        <w:spacing w:line="240" w:lineRule="auto" w:before="15"/>
        <w:ind w:left="0" w:right="153"/>
        <w:jc w:val="right"/>
      </w:pPr>
      <w:r>
        <w:rPr/>
        <w:br w:type="column"/>
      </w:r>
      <w:r>
        <w:rPr/>
        <w:t>深圳市惠程信息科技股份有限公司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pStyle w:val="BodyText"/>
        <w:spacing w:line="240" w:lineRule="auto"/>
        <w:ind w:left="0" w:right="155"/>
        <w:jc w:val="right"/>
      </w:pPr>
      <w:r>
        <w:rPr/>
        <w:pict>
          <v:group style="position:absolute;margin-left:70.559998pt;margin-top:-49.868275pt;width:700.95pt;height:.1pt;mso-position-horizontal-relative:page;mso-position-vertical-relative:paragraph;z-index:2320" coordorigin="1411,-997" coordsize="14019,2">
            <v:shape style="position:absolute;left:1411;top:-997;width:14019;height:2" coordorigin="1411,-997" coordsize="14019,0" path="m1411,-997l15430,-997e" filled="false" stroked="true" strokeweight=".72pt" strokecolor="#000000">
              <v:path arrowok="t"/>
            </v:shape>
            <w10:wrap type="none"/>
          </v:group>
        </w:pict>
      </w:r>
      <w:r>
        <w:rPr/>
        <w:t>单位：</w:t>
      </w:r>
      <w:r>
        <w:rPr>
          <w:spacing w:val="1"/>
        </w:rPr>
        <w:t> </w:t>
      </w:r>
      <w:r>
        <w:rPr/>
        <w:t>元</w:t>
      </w:r>
    </w:p>
    <w:p>
      <w:pPr>
        <w:spacing w:after="0" w:line="240" w:lineRule="auto"/>
        <w:jc w:val="right"/>
        <w:sectPr>
          <w:headerReference w:type="default" r:id="rId57"/>
          <w:footerReference w:type="default" r:id="rId58"/>
          <w:pgSz w:w="16840" w:h="11910" w:orient="landscape"/>
          <w:pgMar w:header="0" w:footer="0" w:top="800" w:bottom="0" w:left="1300" w:right="1280"/>
          <w:cols w:num="2" w:equalWidth="0">
            <w:col w:w="1912" w:space="7637"/>
            <w:col w:w="4711"/>
          </w:cols>
        </w:sectPr>
      </w:pP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333"/>
        <w:gridCol w:w="1193"/>
        <w:gridCol w:w="1075"/>
        <w:gridCol w:w="1092"/>
        <w:gridCol w:w="1066"/>
        <w:gridCol w:w="1181"/>
        <w:gridCol w:w="1181"/>
        <w:gridCol w:w="1078"/>
        <w:gridCol w:w="1152"/>
        <w:gridCol w:w="1327"/>
        <w:gridCol w:w="1328"/>
      </w:tblGrid>
      <w:tr>
        <w:trPr>
          <w:trHeight w:val="403" w:hRule="exact"/>
        </w:trPr>
        <w:tc>
          <w:tcPr>
            <w:tcW w:w="233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0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6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23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2333" w:type="dxa"/>
            <w:vMerge/>
            <w:tcBorders>
              <w:left w:val="single" w:sz="4" w:space="0" w:color="000000"/>
              <w:bottom w:val="nil" w:sz="6" w:space="0" w:color="auto"/>
              <w:right w:val="single" w:sz="4" w:space="0" w:color="000000"/>
            </w:tcBorders>
            <w:shd w:val="clear" w:color="auto" w:fill="D2D2D2"/>
          </w:tcPr>
          <w:p>
            <w:pPr/>
          </w:p>
        </w:tc>
        <w:tc>
          <w:tcPr>
            <w:tcW w:w="2269" w:type="dxa"/>
            <w:gridSpan w:val="2"/>
            <w:vMerge/>
            <w:tcBorders>
              <w:left w:val="single" w:sz="4" w:space="0" w:color="000000"/>
              <w:bottom w:val="single" w:sz="4" w:space="0" w:color="000000"/>
              <w:right w:val="single" w:sz="4" w:space="0" w:color="000000"/>
            </w:tcBorders>
            <w:shd w:val="clear" w:color="auto" w:fill="D2D2D2"/>
          </w:tcPr>
          <w:p>
            <w:pPr/>
          </w:p>
        </w:tc>
        <w:tc>
          <w:tcPr>
            <w:tcW w:w="2158" w:type="dxa"/>
            <w:gridSpan w:val="2"/>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2479" w:type="dxa"/>
            <w:gridSpan w:val="2"/>
            <w:vMerge/>
            <w:tcBorders>
              <w:left w:val="single" w:sz="4" w:space="0" w:color="000000"/>
              <w:bottom w:val="single" w:sz="4" w:space="0" w:color="000000"/>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6" w:hRule="exact"/>
        </w:trPr>
        <w:tc>
          <w:tcPr>
            <w:tcW w:w="2333"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5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5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9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2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33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49"/>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账准备的其他应收款</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49"/>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账准备的其他应收款</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536,949,031.27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91.19%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10,715,438.85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526,233,592.42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239,330,175.88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98.74%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587,464.57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238,742,711.31</w:t>
            </w:r>
          </w:p>
        </w:tc>
      </w:tr>
      <w:tr>
        <w:trPr>
          <w:trHeight w:val="713" w:hRule="exact"/>
        </w:trPr>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49"/>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坏账准备的其他应收款</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1,889,057.94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1,889,057.94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3,052,733.81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3,052,733.81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588,838,089.21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12,604,496.79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576,233,592.42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242,382,909.69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3,640,198.38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238,742,711.31</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60" w:left="1300" w:right="1280"/>
        </w:sectPr>
      </w:pPr>
    </w:p>
    <w:p>
      <w:pPr>
        <w:pStyle w:val="BodyText"/>
        <w:spacing w:line="240" w:lineRule="auto" w:before="49"/>
        <w:ind w:left="140" w:right="-20"/>
        <w:jc w:val="left"/>
      </w:pPr>
      <w:r>
        <w:rPr/>
        <w:t>期末单项金额重大并单项计提坏账准备的其他应收款：</w:t>
      </w:r>
    </w:p>
    <w:p>
      <w:pPr>
        <w:pStyle w:val="BodyText"/>
        <w:spacing w:line="240" w:lineRule="auto" w:before="115"/>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40" w:right="0"/>
        <w:jc w:val="left"/>
      </w:pPr>
      <w:r>
        <w:rPr/>
        <w:t>单位：</w:t>
      </w:r>
      <w:r>
        <w:rPr>
          <w:spacing w:val="1"/>
        </w:rPr>
        <w:t> </w:t>
      </w:r>
      <w:r>
        <w:rPr/>
        <w:t>元</w:t>
      </w:r>
    </w:p>
    <w:p>
      <w:pPr>
        <w:spacing w:after="0" w:line="240" w:lineRule="auto"/>
        <w:jc w:val="left"/>
        <w:sectPr>
          <w:type w:val="continuous"/>
          <w:pgSz w:w="16840" w:h="11910" w:orient="landscape"/>
          <w:pgMar w:top="1060" w:bottom="1160" w:left="1300" w:right="1280"/>
          <w:cols w:num="2" w:equalWidth="0">
            <w:col w:w="4461" w:space="8689"/>
            <w:col w:w="1110"/>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192"/>
        <w:gridCol w:w="1875"/>
        <w:gridCol w:w="1334"/>
        <w:gridCol w:w="1332"/>
        <w:gridCol w:w="6284"/>
      </w:tblGrid>
      <w:tr>
        <w:trPr>
          <w:trHeight w:val="401" w:hRule="exact"/>
        </w:trPr>
        <w:tc>
          <w:tcPr>
            <w:tcW w:w="31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108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192" w:type="dxa"/>
            <w:vMerge/>
            <w:tcBorders>
              <w:left w:val="single" w:sz="4" w:space="0" w:color="000000"/>
              <w:bottom w:val="single" w:sz="4" w:space="0" w:color="000000"/>
              <w:right w:val="single" w:sz="4" w:space="0" w:color="000000"/>
            </w:tcBorders>
            <w:shd w:val="clear" w:color="auto" w:fill="D2D2D2"/>
          </w:tcPr>
          <w:p>
            <w:pP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6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3" w:right="0"/>
              <w:jc w:val="left"/>
              <w:rPr>
                <w:rFonts w:ascii="Times New Roman" w:hAnsi="Times New Roman" w:cs="Times New Roman" w:eastAsia="Times New Roman" w:hint="default"/>
                <w:sz w:val="18"/>
                <w:szCs w:val="18"/>
              </w:rPr>
            </w:pPr>
            <w:r>
              <w:rPr>
                <w:rFonts w:ascii="Times New Roman"/>
                <w:sz w:val="18"/>
              </w:rPr>
              <w:t>0.00%</w:t>
            </w:r>
          </w:p>
        </w:tc>
        <w:tc>
          <w:tcPr>
            <w:tcW w:w="6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按照协议约定于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日前全额收回</w:t>
            </w:r>
          </w:p>
        </w:tc>
      </w:tr>
      <w:tr>
        <w:trPr>
          <w:trHeight w:val="404"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76"/>
        <w:ind w:left="6966" w:right="6981"/>
        <w:jc w:val="center"/>
        <w:rPr>
          <w:rFonts w:ascii="Times New Roman" w:hAnsi="Times New Roman" w:cs="Times New Roman" w:eastAsia="Times New Roman" w:hint="default"/>
        </w:rPr>
      </w:pPr>
      <w:r>
        <w:rPr>
          <w:rFonts w:ascii="Times New Roman"/>
        </w:rPr>
        <w:t>198</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7" name="image1.jpeg" descr=""/>
            <wp:cNvGraphicFramePr>
              <a:graphicFrameLocks noChangeAspect="1"/>
            </wp:cNvGraphicFramePr>
            <a:graphic>
              <a:graphicData uri="http://schemas.openxmlformats.org/drawingml/2006/picture">
                <pic:pic>
                  <pic:nvPicPr>
                    <pic:cNvPr id="18" name="image1.jpeg"/>
                    <pic:cNvPicPr/>
                  </pic:nvPicPr>
                  <pic:blipFill>
                    <a:blip r:embed="rId2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280"/>
        </w:sectPr>
      </w:pPr>
    </w:p>
    <w:p>
      <w:pPr>
        <w:spacing w:line="240" w:lineRule="auto" w:before="10"/>
        <w:rPr>
          <w:rFonts w:ascii="Times New Roman" w:hAnsi="Times New Roman" w:cs="Times New Roman" w:eastAsia="Times New Roman" w:hint="default"/>
          <w:sz w:val="24"/>
          <w:szCs w:val="24"/>
        </w:rPr>
      </w:pPr>
    </w:p>
    <w:p>
      <w:pPr>
        <w:spacing w:after="0" w:line="240" w:lineRule="auto"/>
        <w:rPr>
          <w:rFonts w:ascii="Times New Roman" w:hAnsi="Times New Roman" w:cs="Times New Roman" w:eastAsia="Times New Roman" w:hint="default"/>
          <w:sz w:val="24"/>
          <w:szCs w:val="24"/>
        </w:rPr>
        <w:sectPr>
          <w:footerReference w:type="default" r:id="rId59"/>
          <w:pgSz w:w="11910" w:h="16840"/>
          <w:pgMar w:footer="979" w:header="0" w:top="1100" w:bottom="1160" w:left="980" w:right="0"/>
          <w:pgNumType w:start="19"/>
        </w:sectPr>
      </w:pPr>
    </w:p>
    <w:p>
      <w:pPr>
        <w:pStyle w:val="BodyText"/>
        <w:spacing w:line="240" w:lineRule="auto" w:before="44"/>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212,513,886.83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10,625,694.34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212,513,886.83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10,625,694.34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446,578.15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44,657.82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40,475.52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8,095.10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12,251.98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3,675.59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83,289.99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33,316.00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213,096,482.47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10,715,438.85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49"/>
        <w:ind w:right="-20"/>
        <w:jc w:val="left"/>
      </w:pPr>
      <w:r>
        <w:rPr/>
        <w:t>组合中，采用余额百分比法计提坏账准备的其他应收款：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653" w:space="41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2"/>
        <w:gridCol w:w="2295"/>
        <w:gridCol w:w="2391"/>
        <w:gridCol w:w="2393"/>
      </w:tblGrid>
      <w:tr>
        <w:trPr>
          <w:trHeight w:val="404" w:hRule="exact"/>
        </w:trPr>
        <w:tc>
          <w:tcPr>
            <w:tcW w:w="24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2"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323,852,548.80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323,852,548.80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49"/>
        <w:ind w:right="-7"/>
        <w:jc w:val="left"/>
      </w:pPr>
      <w:r>
        <w:rPr/>
        <w:t>组合中，采用其他方法计提坏账准备的其他应收款：</w:t>
      </w:r>
    </w:p>
    <w:p>
      <w:pPr>
        <w:pStyle w:val="BodyText"/>
        <w:spacing w:line="240" w:lineRule="auto" w:before="117"/>
        <w:ind w:right="-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7"/>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7"/>
        <w:jc w:val="left"/>
      </w:pPr>
      <w:r>
        <w:rPr/>
        <w:t>本期计提坏账准备金额</w:t>
      </w:r>
      <w:r>
        <w:rPr>
          <w:spacing w:val="-48"/>
        </w:rPr>
        <w:t> </w:t>
      </w:r>
      <w:r>
        <w:rPr>
          <w:rFonts w:ascii="Times New Roman" w:hAnsi="Times New Roman" w:cs="Times New Roman" w:eastAsia="Times New Roman" w:hint="default"/>
        </w:rPr>
        <w:t>10,264,866.12</w:t>
      </w:r>
      <w:r>
        <w:rPr>
          <w:rFonts w:ascii="Times New Roman" w:hAnsi="Times New Roman" w:cs="Times New Roman" w:eastAsia="Times New Roman" w:hint="default"/>
          <w:spacing w:val="-1"/>
        </w:rPr>
        <w:t> </w:t>
      </w:r>
      <w:r>
        <w:rPr/>
        <w:t>元；本期收回或转回坏账准备金额</w:t>
      </w:r>
      <w:r>
        <w:rPr>
          <w:spacing w:val="-49"/>
        </w:rPr>
        <w:t> </w:t>
      </w:r>
      <w:r>
        <w:rPr>
          <w:rFonts w:ascii="Times New Roman" w:hAnsi="Times New Roman" w:cs="Times New Roman" w:eastAsia="Times New Roman" w:hint="default"/>
        </w:rPr>
        <w:t>1,300,567.71</w:t>
      </w:r>
      <w:r>
        <w:rPr>
          <w:rFonts w:ascii="Times New Roman" w:hAnsi="Times New Roman" w:cs="Times New Roman" w:eastAsia="Times New Roman" w:hint="default"/>
          <w:spacing w:val="-1"/>
        </w:rPr>
        <w:t> </w:t>
      </w:r>
      <w:r>
        <w:rPr/>
        <w:t>元。</w:t>
      </w:r>
    </w:p>
    <w:p>
      <w:pPr>
        <w:pStyle w:val="BodyText"/>
        <w:spacing w:line="240" w:lineRule="auto" w:before="103"/>
        <w:ind w:right="-7"/>
        <w:jc w:val="left"/>
      </w:pPr>
      <w:r>
        <w:rPr>
          <w:rFonts w:ascii="Times New Roman" w:hAnsi="Times New Roman" w:cs="Times New Roman" w:eastAsia="Times New Roman" w:hint="default"/>
        </w:rPr>
        <w:t>3)</w:t>
      </w:r>
      <w:r>
        <w:rPr/>
        <w:t>本期实际核销的其他应收款情况：无</w:t>
      </w:r>
    </w:p>
    <w:p>
      <w:pPr>
        <w:pStyle w:val="BodyText"/>
        <w:spacing w:line="240" w:lineRule="auto" w:before="102"/>
        <w:ind w:right="-7"/>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7177" w:space="1652"/>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207,000,000.00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爱酷游诚意金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326,351,501.97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232,934,587.16</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3,738,220.80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6,487,937.70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660,161.75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956,130.44</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其他保证金、押金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519,582.69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783,623.76</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334,559.50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132,474.04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190,633.93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900,371.45</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43,428.57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187,785.14</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588,838,089.21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242,382,909.69</w:t>
            </w:r>
          </w:p>
        </w:tc>
      </w:tr>
    </w:tbl>
    <w:p>
      <w:pPr>
        <w:pStyle w:val="BodyText"/>
        <w:spacing w:line="240" w:lineRule="auto" w:before="49"/>
        <w:ind w:right="1133"/>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10,350,000.00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163,115,251.60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27.70%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80,675,159.22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13.70%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78,987,488.44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13.41%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诚意金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579,777,899.26</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10,350,000.00</w:t>
            </w:r>
          </w:p>
        </w:tc>
      </w:tr>
    </w:tbl>
    <w:p>
      <w:pPr>
        <w:pStyle w:val="BodyText"/>
        <w:spacing w:line="300" w:lineRule="auto" w:before="49"/>
        <w:ind w:right="1036"/>
        <w:jc w:val="left"/>
      </w:pPr>
      <w:r>
        <w:rPr>
          <w:rFonts w:ascii="Times New Roman" w:hAnsi="Times New Roman" w:cs="Times New Roman" w:eastAsia="Times New Roman" w:hint="default"/>
        </w:rPr>
        <w:t>6)</w:t>
      </w:r>
      <w:r>
        <w:rPr/>
        <w:t>涉及政府补助的应收款项：无</w:t>
      </w:r>
      <w:r>
        <w:rPr>
          <w:spacing w:val="-46"/>
        </w:rPr>
        <w:t> </w:t>
      </w:r>
      <w:r>
        <w:rPr>
          <w:rFonts w:ascii="Times New Roman" w:hAnsi="Times New Roman" w:cs="Times New Roman" w:eastAsia="Times New Roman" w:hint="default"/>
        </w:rPr>
        <w:t>7)</w:t>
      </w:r>
      <w:r>
        <w:rPr/>
        <w:t>因金融资产转移而终止确认的其他应收款：无</w:t>
      </w:r>
      <w:r>
        <w:rPr>
          <w:spacing w:val="-46"/>
        </w:rPr>
        <w:t> </w:t>
      </w:r>
      <w:r>
        <w:rPr>
          <w:rFonts w:ascii="Times New Roman" w:hAnsi="Times New Roman" w:cs="Times New Roman" w:eastAsia="Times New Roman" w:hint="default"/>
        </w:rPr>
        <w:t>8)</w:t>
      </w:r>
      <w:r>
        <w:rPr/>
        <w:t>转移其他应收款且继续涉入形成的资产、</w:t>
      </w:r>
      <w:r>
        <w:rPr>
          <w:w w:val="99"/>
        </w:rPr>
        <w:t> </w:t>
      </w:r>
      <w:r>
        <w:rPr/>
        <w:t>负债金额：无</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2064"/>
        <w:gridCol w:w="1469"/>
        <w:gridCol w:w="866"/>
        <w:gridCol w:w="1474"/>
        <w:gridCol w:w="1471"/>
        <w:gridCol w:w="867"/>
        <w:gridCol w:w="1474"/>
      </w:tblGrid>
      <w:tr>
        <w:trPr>
          <w:trHeight w:val="206" w:hRule="exact"/>
        </w:trPr>
        <w:tc>
          <w:tcPr>
            <w:tcW w:w="2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10" w:type="dxa"/>
            <w:gridSpan w:val="3"/>
            <w:vMerge/>
            <w:tcBorders>
              <w:left w:val="single" w:sz="4" w:space="0" w:color="000000"/>
              <w:bottom w:val="single" w:sz="4" w:space="0" w:color="000000"/>
              <w:right w:val="single" w:sz="4" w:space="0" w:color="000000"/>
            </w:tcBorders>
            <w:shd w:val="clear" w:color="auto" w:fill="D2D2D2"/>
          </w:tcPr>
          <w:p>
            <w:pPr/>
          </w:p>
        </w:tc>
        <w:tc>
          <w:tcPr>
            <w:tcW w:w="381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064" w:type="dxa"/>
            <w:vMerge/>
            <w:tcBorders>
              <w:left w:val="single" w:sz="4" w:space="0" w:color="000000"/>
              <w:bottom w:val="nil" w:sz="6" w:space="0" w:color="auto"/>
              <w:right w:val="single" w:sz="4" w:space="0" w:color="000000"/>
            </w:tcBorders>
            <w:shd w:val="clear" w:color="auto" w:fill="D2D2D2"/>
          </w:tcPr>
          <w:p>
            <w:pPr/>
          </w:p>
        </w:tc>
        <w:tc>
          <w:tcPr>
            <w:tcW w:w="14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9"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474" w:type="dxa"/>
            <w:vMerge/>
            <w:tcBorders>
              <w:left w:val="single" w:sz="4" w:space="0" w:color="000000"/>
              <w:bottom w:val="single" w:sz="4" w:space="0" w:color="000000"/>
              <w:right w:val="single" w:sz="4" w:space="0" w:color="000000"/>
            </w:tcBorders>
            <w:shd w:val="clear" w:color="auto" w:fill="D2D2D2"/>
          </w:tcPr>
          <w:p>
            <w:pPr/>
          </w:p>
        </w:tc>
        <w:tc>
          <w:tcPr>
            <w:tcW w:w="1471" w:type="dxa"/>
            <w:vMerge/>
            <w:tcBorders>
              <w:left w:val="single" w:sz="4" w:space="0" w:color="000000"/>
              <w:bottom w:val="single" w:sz="4" w:space="0" w:color="000000"/>
              <w:right w:val="single" w:sz="4" w:space="0" w:color="000000"/>
            </w:tcBorders>
            <w:shd w:val="clear" w:color="auto" w:fill="D2D2D2"/>
          </w:tcPr>
          <w:p>
            <w:pPr/>
          </w:p>
        </w:tc>
        <w:tc>
          <w:tcPr>
            <w:tcW w:w="867" w:type="dxa"/>
            <w:vMerge/>
            <w:tcBorders>
              <w:left w:val="single" w:sz="4" w:space="0" w:color="000000"/>
              <w:bottom w:val="single" w:sz="4" w:space="0" w:color="000000"/>
              <w:right w:val="single" w:sz="4" w:space="0" w:color="000000"/>
            </w:tcBorders>
            <w:shd w:val="clear" w:color="auto" w:fill="D2D2D2"/>
          </w:tcPr>
          <w:p>
            <w:pPr/>
          </w:p>
        </w:tc>
        <w:tc>
          <w:tcPr>
            <w:tcW w:w="147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1,625,770,475.00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1,625,770,475.00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1,620,670,475.00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1,620,670,475.00</w:t>
            </w:r>
          </w:p>
        </w:tc>
      </w:tr>
      <w:tr>
        <w:trPr>
          <w:trHeight w:val="401" w:hRule="exact"/>
        </w:trPr>
        <w:tc>
          <w:tcPr>
            <w:tcW w:w="2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4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9,805,283.49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9,805,283.49</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578,483,866.20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578,483,866.20</w:t>
            </w:r>
          </w:p>
        </w:tc>
      </w:tr>
      <w:tr>
        <w:trPr>
          <w:trHeight w:val="403" w:hRule="exact"/>
        </w:trPr>
        <w:tc>
          <w:tcPr>
            <w:tcW w:w="2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1,635,575,758.49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1,635,575,758.49</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2,199,154,341.20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2,199,154,341.20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292"/>
        <w:gridCol w:w="1496"/>
        <w:gridCol w:w="1138"/>
        <w:gridCol w:w="881"/>
        <w:gridCol w:w="1496"/>
        <w:gridCol w:w="1697"/>
        <w:gridCol w:w="1699"/>
      </w:tblGrid>
      <w:tr>
        <w:trPr>
          <w:trHeight w:val="403" w:hRule="exact"/>
        </w:trPr>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401"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北京中汇联银</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中汇联鑫</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1,383,460,950.00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1,383,460,950.00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1,709,525.00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1,709,525.00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惠程智能</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喀什中汇联银</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上海季娱</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1,620,670,475.00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1,625,770,475.00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0"/>
        <w:rPr>
          <w:rFonts w:ascii="宋体" w:hAnsi="宋体" w:cs="宋体" w:eastAsia="宋体" w:hint="default"/>
          <w:sz w:val="24"/>
          <w:szCs w:val="24"/>
        </w:rPr>
      </w:pPr>
    </w:p>
    <w:p>
      <w:pPr>
        <w:pStyle w:val="Heading3"/>
        <w:spacing w:line="240" w:lineRule="auto"/>
        <w:ind w:left="140" w:right="-6"/>
        <w:jc w:val="left"/>
        <w:rPr>
          <w:b w:val="0"/>
          <w:bCs w:val="0"/>
        </w:rPr>
      </w:pPr>
      <w:r>
        <w:rPr/>
        <w:pict>
          <v:group style="position:absolute;margin-left:70.559998pt;margin-top:-.476309pt;width:700.95pt;height:.1pt;mso-position-horizontal-relative:page;mso-position-vertical-relative:paragraph;z-index:2344" coordorigin="1411,-10" coordsize="14019,2">
            <v:shape style="position:absolute;left:1411;top:-10;width:14019;height:2" coordorigin="1411,-10" coordsize="14019,0" path="m1411,-10l15430,-10e" filled="false" stroked="true" strokeweight=".72pt" strokecolor="#000000">
              <v:path arrowok="t"/>
            </v:shape>
            <w10:wrap type="none"/>
          </v:group>
        </w:pict>
      </w:r>
      <w:r>
        <w:rPr>
          <w:spacing w:val="-1"/>
        </w:rPr>
        <w:t>（</w:t>
      </w:r>
      <w:r>
        <w:rPr>
          <w:rFonts w:ascii="Times New Roman" w:hAnsi="Times New Roman" w:cs="Times New Roman" w:eastAsia="Times New Roman" w:hint="default"/>
          <w:spacing w:val="-1"/>
        </w:rPr>
        <w:t>2</w:t>
      </w:r>
      <w:r>
        <w:rPr>
          <w:spacing w:val="-1"/>
        </w:rPr>
        <w:t>）对联营、合营企业投资</w:t>
      </w:r>
      <w:r>
        <w:rPr>
          <w:b w:val="0"/>
          <w:bCs w:val="0"/>
          <w:spacing w:val="-1"/>
        </w:rPr>
      </w:r>
    </w:p>
    <w:p>
      <w:pPr>
        <w:pStyle w:val="BodyText"/>
        <w:spacing w:line="240" w:lineRule="auto" w:before="15"/>
        <w:ind w:left="140" w:right="0"/>
        <w:jc w:val="left"/>
      </w:pPr>
      <w:r>
        <w:rPr/>
        <w:br w:type="column"/>
      </w:r>
      <w:r>
        <w:rPr/>
        <w:t>深圳市惠程信息科技股份有限公司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p>
      <w:pPr>
        <w:spacing w:after="0" w:line="240" w:lineRule="auto"/>
        <w:jc w:val="left"/>
        <w:sectPr>
          <w:headerReference w:type="default" r:id="rId60"/>
          <w:footerReference w:type="default" r:id="rId61"/>
          <w:pgSz w:w="16840" w:h="11910" w:orient="landscape"/>
          <w:pgMar w:header="0" w:footer="0" w:top="800" w:bottom="0" w:left="1300" w:right="1280"/>
          <w:cols w:num="2" w:equalWidth="0">
            <w:col w:w="2776" w:space="6772"/>
            <w:col w:w="4712"/>
          </w:cols>
        </w:sectPr>
      </w:pPr>
    </w:p>
    <w:p>
      <w:pPr>
        <w:spacing w:line="240" w:lineRule="auto" w:before="12"/>
        <w:rPr>
          <w:rFonts w:ascii="宋体" w:hAnsi="宋体" w:cs="宋体" w:eastAsia="宋体" w:hint="default"/>
          <w:sz w:val="22"/>
          <w:szCs w:val="22"/>
        </w:rPr>
      </w:pPr>
    </w:p>
    <w:p>
      <w:pPr>
        <w:pStyle w:val="BodyText"/>
        <w:spacing w:line="240" w:lineRule="auto" w:before="44"/>
        <w:ind w:left="0" w:right="155"/>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162"/>
        <w:gridCol w:w="1181"/>
        <w:gridCol w:w="1162"/>
        <w:gridCol w:w="1181"/>
        <w:gridCol w:w="1181"/>
        <w:gridCol w:w="1164"/>
        <w:gridCol w:w="1164"/>
        <w:gridCol w:w="1164"/>
        <w:gridCol w:w="1167"/>
        <w:gridCol w:w="1164"/>
        <w:gridCol w:w="1164"/>
        <w:gridCol w:w="1164"/>
      </w:tblGrid>
      <w:tr>
        <w:trPr>
          <w:trHeight w:val="401" w:hRule="exact"/>
        </w:trPr>
        <w:tc>
          <w:tcPr>
            <w:tcW w:w="11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4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395" w:right="36"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715" w:hRule="exact"/>
        </w:trPr>
        <w:tc>
          <w:tcPr>
            <w:tcW w:w="1162"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6" w:right="43"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8" w:right="34" w:hanging="360"/>
              <w:jc w:val="left"/>
              <w:rPr>
                <w:rFonts w:ascii="宋体" w:hAnsi="宋体" w:cs="宋体" w:eastAsia="宋体" w:hint="default"/>
                <w:sz w:val="18"/>
                <w:szCs w:val="18"/>
              </w:rPr>
            </w:pPr>
            <w:r>
              <w:rPr>
                <w:rFonts w:ascii="宋体" w:hAnsi="宋体" w:cs="宋体" w:eastAsia="宋体" w:hint="default"/>
                <w:sz w:val="18"/>
                <w:szCs w:val="18"/>
              </w:rPr>
              <w:t>其他综合收益 调整</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其他权益变动</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0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140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1"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信中利赞信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574,865,344.52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661,035,771.94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110,019,782.42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-10,799,355.00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永耀惠程</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3,618,521.68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-508,333.61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3,110,188.07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真机智能</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-304,904.58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6,695,095.42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578,483,866.20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661,035,771.94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109,206,544.23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-10,799,355.00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9,805,283.49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578,483,866.20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661,035,771.94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109,206,544.23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-10,799,355.00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9,805,283.49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left="140" w:right="152"/>
        <w:jc w:val="left"/>
        <w:rPr>
          <w:b w:val="0"/>
          <w:bCs w:val="0"/>
        </w:rPr>
      </w:pPr>
      <w:r>
        <w:rPr/>
        <w:t>（</w:t>
      </w:r>
      <w:r>
        <w:rPr>
          <w:rFonts w:ascii="Times New Roman" w:hAnsi="Times New Roman" w:cs="Times New Roman" w:eastAsia="Times New Roman" w:hint="default"/>
        </w:rPr>
        <w:t>3</w:t>
      </w:r>
      <w:r>
        <w:rPr/>
        <w:t>）其他说明：无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40" w:right="152"/>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5"/>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921"/>
        <w:gridCol w:w="2691"/>
        <w:gridCol w:w="2801"/>
        <w:gridCol w:w="2801"/>
        <w:gridCol w:w="2804"/>
      </w:tblGrid>
      <w:tr>
        <w:trPr>
          <w:trHeight w:val="206" w:hRule="exact"/>
        </w:trPr>
        <w:tc>
          <w:tcPr>
            <w:tcW w:w="29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56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29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492" w:type="dxa"/>
            <w:gridSpan w:val="2"/>
            <w:vMerge/>
            <w:tcBorders>
              <w:left w:val="single" w:sz="4" w:space="0" w:color="000000"/>
              <w:bottom w:val="single" w:sz="4" w:space="0" w:color="000000"/>
              <w:right w:val="single" w:sz="4" w:space="0" w:color="000000"/>
            </w:tcBorders>
            <w:shd w:val="clear" w:color="auto" w:fill="D2D2D2"/>
          </w:tcPr>
          <w:p>
            <w:pPr/>
          </w:p>
        </w:tc>
        <w:tc>
          <w:tcPr>
            <w:tcW w:w="5605"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921" w:type="dxa"/>
            <w:vMerge/>
            <w:tcBorders>
              <w:left w:val="single" w:sz="4" w:space="0" w:color="000000"/>
              <w:bottom w:val="nil" w:sz="6" w:space="0" w:color="auto"/>
              <w:right w:val="single" w:sz="4" w:space="0" w:color="000000"/>
            </w:tcBorders>
            <w:shd w:val="clear" w:color="auto" w:fill="D2D2D2"/>
          </w:tcPr>
          <w:p>
            <w:pPr/>
          </w:p>
        </w:tc>
        <w:tc>
          <w:tcPr>
            <w:tcW w:w="2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28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28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2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29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691" w:type="dxa"/>
            <w:vMerge/>
            <w:tcBorders>
              <w:left w:val="single" w:sz="4" w:space="0" w:color="000000"/>
              <w:bottom w:val="single" w:sz="4" w:space="0" w:color="000000"/>
              <w:right w:val="single" w:sz="4" w:space="0" w:color="000000"/>
            </w:tcBorders>
            <w:shd w:val="clear" w:color="auto" w:fill="D2D2D2"/>
          </w:tcPr>
          <w:p>
            <w:pPr/>
          </w:p>
        </w:tc>
        <w:tc>
          <w:tcPr>
            <w:tcW w:w="2801" w:type="dxa"/>
            <w:vMerge/>
            <w:tcBorders>
              <w:left w:val="single" w:sz="4" w:space="0" w:color="000000"/>
              <w:bottom w:val="single" w:sz="4" w:space="0" w:color="000000"/>
              <w:right w:val="single" w:sz="4" w:space="0" w:color="000000"/>
            </w:tcBorders>
            <w:shd w:val="clear" w:color="auto" w:fill="D2D2D2"/>
          </w:tcPr>
          <w:p>
            <w:pPr/>
          </w:p>
        </w:tc>
        <w:tc>
          <w:tcPr>
            <w:tcW w:w="2801" w:type="dxa"/>
            <w:vMerge/>
            <w:tcBorders>
              <w:left w:val="single" w:sz="4" w:space="0" w:color="000000"/>
              <w:bottom w:val="single" w:sz="4" w:space="0" w:color="000000"/>
              <w:right w:val="single" w:sz="4" w:space="0" w:color="000000"/>
            </w:tcBorders>
            <w:shd w:val="clear" w:color="auto" w:fill="D2D2D2"/>
          </w:tcPr>
          <w:p>
            <w:pPr/>
          </w:p>
        </w:tc>
        <w:tc>
          <w:tcPr>
            <w:tcW w:w="280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2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323,568,620.60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222,108,357.09</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313,522,139.09</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222,532,515.27</w:t>
            </w:r>
          </w:p>
        </w:tc>
      </w:tr>
      <w:tr>
        <w:trPr>
          <w:trHeight w:val="401" w:hRule="exact"/>
        </w:trPr>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2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899,761.86</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11,560,137.31</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6,064,401.15</w:t>
            </w:r>
          </w:p>
        </w:tc>
      </w:tr>
      <w:tr>
        <w:trPr>
          <w:trHeight w:val="403" w:hRule="exact"/>
        </w:trPr>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324,468,382.46</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222,108,357.09</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325,082,276.40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228,596,916.42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ind w:left="6966" w:right="6981"/>
        <w:jc w:val="center"/>
        <w:rPr>
          <w:rFonts w:ascii="Times New Roman" w:hAnsi="Times New Roman" w:cs="Times New Roman" w:eastAsia="Times New Roman" w:hint="default"/>
        </w:rPr>
      </w:pPr>
      <w:r>
        <w:rPr>
          <w:rFonts w:ascii="Times New Roman"/>
        </w:rPr>
        <w:t>201</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9" name="image1.jpeg" descr=""/>
            <wp:cNvGraphicFramePr>
              <a:graphicFrameLocks noChangeAspect="1"/>
            </wp:cNvGraphicFramePr>
            <a:graphic>
              <a:graphicData uri="http://schemas.openxmlformats.org/drawingml/2006/picture">
                <pic:pic>
                  <pic:nvPicPr>
                    <pic:cNvPr id="20" name="image1.jpeg"/>
                    <pic:cNvPicPr/>
                  </pic:nvPicPr>
                  <pic:blipFill>
                    <a:blip r:embed="rId2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280"/>
        </w:sectPr>
      </w:pPr>
    </w:p>
    <w:p>
      <w:pPr>
        <w:spacing w:line="240" w:lineRule="auto" w:before="9"/>
        <w:rPr>
          <w:rFonts w:ascii="Times New Roman" w:hAnsi="Times New Roman" w:cs="Times New Roman" w:eastAsia="Times New Roman" w:hint="default"/>
          <w:sz w:val="23"/>
          <w:szCs w:val="23"/>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109,206,544.23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-57,936,057.63</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83,964,228.06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3,120,003.53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18,688,497.82</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196,290,775.82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-39,247,559.81</w:t>
            </w:r>
          </w:p>
        </w:tc>
      </w:tr>
    </w:tbl>
    <w:p>
      <w:pPr>
        <w:spacing w:line="240" w:lineRule="auto" w:before="3"/>
        <w:rPr>
          <w:rFonts w:ascii="宋体" w:hAnsi="宋体" w:cs="宋体" w:eastAsia="宋体" w:hint="default"/>
          <w:sz w:val="19"/>
          <w:szCs w:val="19"/>
        </w:rPr>
      </w:pPr>
    </w:p>
    <w:p>
      <w:pPr>
        <w:spacing w:line="487" w:lineRule="auto" w:before="36"/>
        <w:ind w:left="152" w:right="813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、其他：无</w:t>
      </w:r>
      <w:r>
        <w:rPr>
          <w:rFonts w:ascii="宋体" w:hAnsi="宋体" w:cs="宋体" w:eastAsia="宋体" w:hint="default"/>
          <w:b/>
          <w:bCs/>
          <w:spacing w:val="-104"/>
          <w:sz w:val="21"/>
          <w:szCs w:val="21"/>
        </w:rPr>
        <w:t> </w:t>
      </w:r>
      <w:r>
        <w:rPr>
          <w:rFonts w:ascii="宋体" w:hAnsi="宋体" w:cs="宋体" w:eastAsia="宋体" w:hint="default"/>
          <w:b/>
          <w:bCs/>
          <w:sz w:val="24"/>
          <w:szCs w:val="24"/>
        </w:rPr>
        <w:t>十八、补充资料</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、当期非经常性损益明细表</w:t>
      </w:r>
      <w:r>
        <w:rPr>
          <w:rFonts w:ascii="宋体" w:hAnsi="宋体" w:cs="宋体" w:eastAsia="宋体" w:hint="default"/>
          <w:spacing w:val="-1"/>
          <w:sz w:val="21"/>
          <w:szCs w:val="21"/>
        </w:rPr>
      </w:r>
    </w:p>
    <w:p>
      <w:pPr>
        <w:pStyle w:val="BodyText"/>
        <w:spacing w:line="240" w:lineRule="auto" w:before="10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5035"/>
        <w:gridCol w:w="1103"/>
        <w:gridCol w:w="3548"/>
      </w:tblGrid>
      <w:tr>
        <w:trPr>
          <w:trHeight w:val="401" w:hRule="exact"/>
        </w:trPr>
        <w:tc>
          <w:tcPr>
            <w:tcW w:w="5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50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84,966,767.30</w:t>
            </w:r>
          </w:p>
        </w:tc>
        <w:tc>
          <w:tcPr>
            <w:tcW w:w="3548" w:type="dxa"/>
            <w:vMerge w:val="restart"/>
            <w:tcBorders>
              <w:top w:val="single" w:sz="4" w:space="0" w:color="000000"/>
              <w:left w:val="single" w:sz="4" w:space="0" w:color="000000"/>
              <w:right w:val="single" w:sz="4" w:space="0" w:color="000000"/>
            </w:tcBorders>
          </w:tcPr>
          <w:p>
            <w:pPr>
              <w:pStyle w:val="TableParagraph"/>
              <w:spacing w:line="319"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主要系报告期内处置公司产业并购基金出资 份额和闲置房产所致</w:t>
            </w:r>
          </w:p>
        </w:tc>
      </w:tr>
      <w:tr>
        <w:trPr>
          <w:trHeight w:val="394" w:hRule="exact"/>
        </w:trPr>
        <w:tc>
          <w:tcPr>
            <w:tcW w:w="50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103" w:type="dxa"/>
            <w:vMerge/>
            <w:tcBorders>
              <w:left w:val="single" w:sz="9" w:space="0" w:color="D2D2D2"/>
              <w:right w:val="single" w:sz="4" w:space="0" w:color="000000"/>
            </w:tcBorders>
          </w:tcPr>
          <w:p>
            <w:pPr/>
          </w:p>
        </w:tc>
        <w:tc>
          <w:tcPr>
            <w:tcW w:w="3548" w:type="dxa"/>
            <w:vMerge/>
            <w:tcBorders>
              <w:left w:val="single" w:sz="4" w:space="0" w:color="000000"/>
              <w:right w:val="single" w:sz="4" w:space="0" w:color="000000"/>
            </w:tcBorders>
          </w:tcPr>
          <w:p>
            <w:pPr/>
          </w:p>
        </w:tc>
      </w:tr>
      <w:tr>
        <w:trPr>
          <w:trHeight w:val="161" w:hRule="exact"/>
        </w:trPr>
        <w:tc>
          <w:tcPr>
            <w:tcW w:w="50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3" w:type="dxa"/>
            <w:vMerge/>
            <w:tcBorders>
              <w:left w:val="single" w:sz="9" w:space="0" w:color="D2D2D2"/>
              <w:bottom w:val="single" w:sz="4" w:space="0" w:color="000000"/>
              <w:right w:val="single" w:sz="4" w:space="0" w:color="000000"/>
            </w:tcBorders>
          </w:tcPr>
          <w:p>
            <w:pPr/>
          </w:p>
        </w:tc>
        <w:tc>
          <w:tcPr>
            <w:tcW w:w="3548" w:type="dxa"/>
            <w:vMerge/>
            <w:tcBorders>
              <w:left w:val="single" w:sz="4" w:space="0" w:color="000000"/>
              <w:bottom w:val="single" w:sz="4" w:space="0" w:color="000000"/>
              <w:right w:val="single" w:sz="4" w:space="0" w:color="000000"/>
            </w:tcBorders>
          </w:tcPr>
          <w:p>
            <w:pPr/>
          </w:p>
        </w:tc>
      </w:tr>
      <w:tr>
        <w:trPr>
          <w:trHeight w:val="713" w:hRule="exact"/>
        </w:trPr>
        <w:tc>
          <w:tcPr>
            <w:tcW w:w="5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标准定额或定量享受的政府补助除外）</w:t>
            </w:r>
          </w:p>
        </w:tc>
        <w:tc>
          <w:tcPr>
            <w:tcW w:w="11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3,863,955.89</w:t>
            </w:r>
          </w:p>
        </w:tc>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主要系符合地方政府招商引资等地方性扶持 政策而获得的补助以及增值税及个税返还</w:t>
            </w:r>
          </w:p>
        </w:tc>
      </w:tr>
      <w:tr>
        <w:trPr>
          <w:trHeight w:val="715" w:hRule="exact"/>
        </w:trPr>
        <w:tc>
          <w:tcPr>
            <w:tcW w:w="5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1"/>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 产生的损益</w:t>
            </w:r>
          </w:p>
        </w:tc>
        <w:tc>
          <w:tcPr>
            <w:tcW w:w="11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-179,500.00</w:t>
            </w:r>
          </w:p>
        </w:tc>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报告期内处置公司所持投资性房地产所致</w:t>
            </w:r>
          </w:p>
        </w:tc>
      </w:tr>
      <w:tr>
        <w:trPr>
          <w:trHeight w:val="161" w:hRule="exact"/>
        </w:trPr>
        <w:tc>
          <w:tcPr>
            <w:tcW w:w="50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-305,793.53</w:t>
            </w:r>
          </w:p>
        </w:tc>
        <w:tc>
          <w:tcPr>
            <w:tcW w:w="354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主要系无法支付的应付账款、违约金及滞纳 金所致</w:t>
            </w:r>
          </w:p>
        </w:tc>
      </w:tr>
      <w:tr>
        <w:trPr>
          <w:trHeight w:val="391" w:hRule="exact"/>
        </w:trPr>
        <w:tc>
          <w:tcPr>
            <w:tcW w:w="50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103" w:type="dxa"/>
            <w:vMerge/>
            <w:tcBorders>
              <w:left w:val="single" w:sz="9" w:space="0" w:color="D2D2D2"/>
              <w:right w:val="single" w:sz="4" w:space="0" w:color="000000"/>
            </w:tcBorders>
          </w:tcPr>
          <w:p>
            <w:pPr/>
          </w:p>
        </w:tc>
        <w:tc>
          <w:tcPr>
            <w:tcW w:w="3548" w:type="dxa"/>
            <w:vMerge/>
            <w:tcBorders>
              <w:left w:val="single" w:sz="4" w:space="0" w:color="000000"/>
              <w:right w:val="single" w:sz="4" w:space="0" w:color="000000"/>
            </w:tcBorders>
          </w:tcPr>
          <w:p>
            <w:pPr/>
          </w:p>
        </w:tc>
      </w:tr>
      <w:tr>
        <w:trPr>
          <w:trHeight w:val="161" w:hRule="exact"/>
        </w:trPr>
        <w:tc>
          <w:tcPr>
            <w:tcW w:w="50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3" w:type="dxa"/>
            <w:vMerge/>
            <w:tcBorders>
              <w:left w:val="single" w:sz="9" w:space="0" w:color="D2D2D2"/>
              <w:bottom w:val="single" w:sz="4" w:space="0" w:color="000000"/>
              <w:right w:val="single" w:sz="4" w:space="0" w:color="000000"/>
            </w:tcBorders>
          </w:tcPr>
          <w:p>
            <w:pPr/>
          </w:p>
        </w:tc>
        <w:tc>
          <w:tcPr>
            <w:tcW w:w="3548" w:type="dxa"/>
            <w:vMerge/>
            <w:tcBorders>
              <w:left w:val="single" w:sz="4" w:space="0" w:color="000000"/>
              <w:bottom w:val="single" w:sz="4" w:space="0" w:color="000000"/>
              <w:right w:val="single" w:sz="4" w:space="0" w:color="000000"/>
            </w:tcBorders>
          </w:tcPr>
          <w:p>
            <w:pPr/>
          </w:p>
        </w:tc>
      </w:tr>
      <w:tr>
        <w:trPr>
          <w:trHeight w:val="403" w:hRule="exact"/>
        </w:trPr>
        <w:tc>
          <w:tcPr>
            <w:tcW w:w="5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1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13,144,004.26</w:t>
            </w:r>
          </w:p>
        </w:tc>
        <w:tc>
          <w:tcPr>
            <w:tcW w:w="35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1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284,112.18</w:t>
            </w:r>
          </w:p>
        </w:tc>
        <w:tc>
          <w:tcPr>
            <w:tcW w:w="354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74,917,313.22</w:t>
            </w:r>
          </w:p>
        </w:tc>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pict>
          <v:group style="position:absolute;margin-left:162.619995pt;margin-top:107.741722pt;width:60.65pt;height:15.6pt;mso-position-horizontal-relative:page;mso-position-vertical-relative:paragraph;z-index:-1196200" coordorigin="3252,2155" coordsize="1213,312">
            <v:shape style="position:absolute;left:3252;top:2155;width:1213;height:312" coordorigin="3252,2155" coordsize="1213,312" path="m3252,2467l4465,2467,4465,2155,3252,2155,3252,2467xe" filled="true" fillcolor="#ffffff" stroked="false">
              <v:path arrowok="t"/>
              <v:fill type="solid"/>
            </v:shape>
            <w10:wrap type="none"/>
          </v:group>
        </w:pict>
      </w: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141"/>
        <w:gridCol w:w="1225"/>
        <w:gridCol w:w="6332"/>
      </w:tblGrid>
      <w:tr>
        <w:trPr>
          <w:trHeight w:val="403" w:hRule="exact"/>
        </w:trPr>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6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2981" w:val="left" w:leader="none"/>
              </w:tabs>
              <w:spacing w:line="240" w:lineRule="auto" w:before="49"/>
              <w:ind w:left="-121" w:right="0"/>
              <w:jc w:val="left"/>
              <w:rPr>
                <w:rFonts w:ascii="宋体" w:hAnsi="宋体" w:cs="宋体" w:eastAsia="宋体" w:hint="default"/>
                <w:sz w:val="18"/>
                <w:szCs w:val="18"/>
              </w:rPr>
            </w:pPr>
            <w:r>
              <w:rPr>
                <w:rFonts w:ascii="宋体" w:hAnsi="宋体" w:cs="宋体" w:eastAsia="宋体" w:hint="default"/>
                <w:sz w:val="18"/>
                <w:szCs w:val="18"/>
              </w:rPr>
              <w:t>）</w:t>
              <w:tab/>
              <w:t>原因</w:t>
            </w:r>
          </w:p>
        </w:tc>
      </w:tr>
      <w:tr>
        <w:trPr>
          <w:trHeight w:val="1025"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7"/>
                <w:sz w:val="18"/>
                <w:szCs w:val="18"/>
              </w:rPr>
              <w:t>惠程本部、惠程智能股权投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资、理财产品收益</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112,326,547.76</w:t>
            </w:r>
          </w:p>
        </w:tc>
        <w:tc>
          <w:tcPr>
            <w:tcW w:w="6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1"/>
                <w:sz w:val="18"/>
                <w:szCs w:val="18"/>
              </w:rPr>
              <w:t>公司为了产业升级参与的基金投资业务与公司理财业务均属于经常性业务，未来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将持续进行，收益可持续且稳定；符合经常性损益与主营业务相关且持续稳定的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特性。</w:t>
            </w:r>
          </w:p>
        </w:tc>
      </w:tr>
      <w:tr>
        <w:trPr>
          <w:trHeight w:val="356" w:hRule="exact"/>
        </w:trPr>
        <w:tc>
          <w:tcPr>
            <w:tcW w:w="21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北京中汇联银、中汇联鑫</w:t>
            </w:r>
          </w:p>
        </w:tc>
        <w:tc>
          <w:tcPr>
            <w:tcW w:w="12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63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pacing w:val="-1"/>
                <w:sz w:val="18"/>
                <w:szCs w:val="18"/>
              </w:rPr>
              <w:t>北京中汇联银、中汇联鑫、喀什中汇联银作为公司设立的专门投资业务平台，主</w:t>
            </w:r>
          </w:p>
        </w:tc>
      </w:tr>
      <w:tr>
        <w:trPr>
          <w:trHeight w:val="317" w:hRule="exact"/>
        </w:trPr>
        <w:tc>
          <w:tcPr>
            <w:tcW w:w="2141" w:type="dxa"/>
            <w:tcBorders>
              <w:top w:val="nil" w:sz="6" w:space="0" w:color="auto"/>
              <w:left w:val="single" w:sz="4" w:space="0" w:color="000000"/>
              <w:bottom w:val="nil" w:sz="6" w:space="0" w:color="auto"/>
              <w:right w:val="single" w:sz="14" w:space="0" w:color="FFFFFF"/>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喀什中汇联银证券、股权</w:t>
            </w:r>
          </w:p>
        </w:tc>
        <w:tc>
          <w:tcPr>
            <w:tcW w:w="1225"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-19,429,835.53</w:t>
            </w:r>
          </w:p>
        </w:tc>
        <w:tc>
          <w:tcPr>
            <w:tcW w:w="63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hAnsi="宋体" w:cs="宋体" w:eastAsia="宋体" w:hint="default"/>
                <w:spacing w:val="-1"/>
                <w:sz w:val="18"/>
                <w:szCs w:val="18"/>
              </w:rPr>
              <w:t>要从事投资类业务，证券、股权、理财投资系三家子公司经常性发生的业务，具</w:t>
            </w:r>
          </w:p>
        </w:tc>
      </w:tr>
      <w:tr>
        <w:trPr>
          <w:trHeight w:val="355" w:hRule="exact"/>
        </w:trPr>
        <w:tc>
          <w:tcPr>
            <w:tcW w:w="21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理财投资收益</w:t>
            </w:r>
          </w:p>
        </w:tc>
        <w:tc>
          <w:tcPr>
            <w:tcW w:w="1225" w:type="dxa"/>
            <w:tcBorders>
              <w:top w:val="nil" w:sz="6" w:space="0" w:color="auto"/>
              <w:left w:val="single" w:sz="4" w:space="0" w:color="000000"/>
              <w:bottom w:val="single" w:sz="4" w:space="0" w:color="000000"/>
              <w:right w:val="single" w:sz="4" w:space="0" w:color="000000"/>
            </w:tcBorders>
          </w:tcPr>
          <w:p>
            <w:pPr/>
          </w:p>
        </w:tc>
        <w:tc>
          <w:tcPr>
            <w:tcW w:w="63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有持续性；符合经常性损益与主营业务相关且持续稳定的特性。</w:t>
            </w:r>
          </w:p>
        </w:tc>
      </w:tr>
    </w:tbl>
    <w:p>
      <w:pPr>
        <w:spacing w:after="0" w:line="240" w:lineRule="auto"/>
        <w:jc w:val="left"/>
        <w:rPr>
          <w:rFonts w:ascii="宋体" w:hAnsi="宋体" w:cs="宋体" w:eastAsia="宋体" w:hint="default"/>
          <w:sz w:val="18"/>
          <w:szCs w:val="18"/>
        </w:rPr>
        <w:sectPr>
          <w:footerReference w:type="default" r:id="rId62"/>
          <w:pgSz w:w="11910" w:h="16840"/>
          <w:pgMar w:footer="979" w:header="0" w:top="1100" w:bottom="1160" w:left="980" w:right="0"/>
          <w:pgNumType w:start="202"/>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514"/>
        <w:gridCol w:w="1398"/>
        <w:gridCol w:w="1873"/>
        <w:gridCol w:w="1872"/>
      </w:tblGrid>
      <w:tr>
        <w:trPr>
          <w:trHeight w:val="204" w:hRule="exact"/>
        </w:trPr>
        <w:tc>
          <w:tcPr>
            <w:tcW w:w="45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430" w:right="57"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45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398" w:type="dxa"/>
            <w:vMerge/>
            <w:tcBorders>
              <w:left w:val="single" w:sz="4" w:space="0" w:color="000000"/>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4514" w:type="dxa"/>
            <w:vMerge/>
            <w:tcBorders>
              <w:left w:val="single" w:sz="4" w:space="0" w:color="000000"/>
              <w:bottom w:val="nil" w:sz="6" w:space="0" w:color="auto"/>
              <w:right w:val="single" w:sz="4" w:space="0" w:color="000000"/>
            </w:tcBorders>
            <w:shd w:val="clear" w:color="auto" w:fill="D2D2D2"/>
          </w:tcPr>
          <w:p>
            <w:pPr/>
          </w:p>
        </w:tc>
        <w:tc>
          <w:tcPr>
            <w:tcW w:w="1398" w:type="dxa"/>
            <w:vMerge/>
            <w:tcBorders>
              <w:left w:val="single" w:sz="4" w:space="0" w:color="000000"/>
              <w:right w:val="single" w:sz="4" w:space="0" w:color="000000"/>
            </w:tcBorders>
            <w:shd w:val="clear" w:color="auto" w:fill="D2D2D2"/>
          </w:tcPr>
          <w:p>
            <w:pPr/>
          </w:p>
        </w:tc>
        <w:tc>
          <w:tcPr>
            <w:tcW w:w="18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8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 w:right="-13"/>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45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8" w:type="dxa"/>
            <w:vMerge/>
            <w:tcBorders>
              <w:left w:val="single" w:sz="4" w:space="0" w:color="000000"/>
              <w:bottom w:val="single" w:sz="4" w:space="0" w:color="000000"/>
              <w:right w:val="single" w:sz="4" w:space="0" w:color="000000"/>
            </w:tcBorders>
            <w:shd w:val="clear" w:color="auto" w:fill="D2D2D2"/>
          </w:tcPr>
          <w:p>
            <w:pPr/>
          </w:p>
        </w:tc>
        <w:tc>
          <w:tcPr>
            <w:tcW w:w="1873" w:type="dxa"/>
            <w:vMerge/>
            <w:tcBorders>
              <w:left w:val="single" w:sz="4" w:space="0" w:color="000000"/>
              <w:bottom w:val="single" w:sz="4" w:space="0" w:color="000000"/>
              <w:right w:val="single" w:sz="4" w:space="0" w:color="000000"/>
            </w:tcBorders>
            <w:shd w:val="clear" w:color="auto" w:fill="D2D2D2"/>
          </w:tcPr>
          <w:p>
            <w:pPr/>
          </w:p>
        </w:tc>
        <w:tc>
          <w:tcPr>
            <w:tcW w:w="187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98" w:type="dxa"/>
            <w:tcBorders>
              <w:top w:val="single" w:sz="22" w:space="0" w:color="D2D2D2"/>
              <w:left w:val="single" w:sz="12" w:space="0" w:color="D2D2D2"/>
              <w:bottom w:val="single" w:sz="4" w:space="0" w:color="000000"/>
              <w:right w:val="single" w:sz="4" w:space="0" w:color="000000"/>
            </w:tcBorders>
          </w:tcPr>
          <w:p>
            <w:pPr>
              <w:pStyle w:val="TableParagraph"/>
              <w:spacing w:line="240" w:lineRule="auto" w:before="68"/>
              <w:ind w:right="16"/>
              <w:jc w:val="right"/>
              <w:rPr>
                <w:rFonts w:ascii="Times New Roman" w:hAnsi="Times New Roman" w:cs="Times New Roman" w:eastAsia="Times New Roman" w:hint="default"/>
                <w:sz w:val="18"/>
                <w:szCs w:val="18"/>
              </w:rPr>
            </w:pPr>
            <w:r>
              <w:rPr>
                <w:rFonts w:ascii="Times New Roman"/>
                <w:sz w:val="18"/>
              </w:rPr>
              <w:t>20.44%</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0.43</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0.43</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3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15.89%</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0.33</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59" w:lineRule="auto"/>
        <w:ind w:right="113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、其他：无</w:t>
      </w:r>
      <w:r>
        <w:rPr>
          <w:b w:val="0"/>
          <w:bCs w:val="0"/>
        </w:rPr>
      </w:r>
    </w:p>
    <w:p>
      <w:pPr>
        <w:spacing w:after="0" w:line="240" w:lineRule="auto"/>
        <w:jc w:val="left"/>
        <w:sectPr>
          <w:pgSz w:w="11910" w:h="16840"/>
          <w:pgMar w:header="0"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1"/>
        <w:spacing w:line="240" w:lineRule="auto"/>
        <w:ind w:left="3285" w:right="1133"/>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1133"/>
        <w:jc w:val="left"/>
      </w:pPr>
      <w:r>
        <w:rPr/>
        <w:t>（一）载有公司法定代表人、主管会计负责人、会计机构负责人（会计主管人员）签名并盖章的财务报表。</w:t>
      </w:r>
    </w:p>
    <w:p>
      <w:pPr>
        <w:pStyle w:val="BodyText"/>
        <w:spacing w:line="240" w:lineRule="auto" w:before="76"/>
        <w:ind w:right="1133"/>
        <w:jc w:val="left"/>
      </w:pPr>
      <w:r>
        <w:rPr/>
        <w:t>（二）载有会计师事务所盖章、注册会计师签名并盖章的审计报告原件。</w:t>
      </w:r>
    </w:p>
    <w:p>
      <w:pPr>
        <w:pStyle w:val="BodyText"/>
        <w:spacing w:line="240" w:lineRule="auto" w:before="76"/>
        <w:ind w:right="1133"/>
        <w:jc w:val="left"/>
      </w:pPr>
      <w:r>
        <w:rPr/>
        <w:t>（三）报告期内在中国证监会指定报纸上公开披露过的所有公司文件的正本及公告的原稿。</w:t>
      </w:r>
    </w:p>
    <w:p>
      <w:pPr>
        <w:pStyle w:val="BodyText"/>
        <w:spacing w:line="240" w:lineRule="auto" w:before="76"/>
        <w:ind w:right="1133"/>
        <w:jc w:val="left"/>
      </w:pPr>
      <w:r>
        <w:rPr/>
        <w:t>（四）载有董事长徐海啸先生签名的</w:t>
      </w:r>
      <w:r>
        <w:rPr>
          <w:rFonts w:ascii="Times New Roman" w:hAnsi="Times New Roman" w:cs="Times New Roman" w:eastAsia="Times New Roman" w:hint="default"/>
        </w:rPr>
        <w:t>2018</w:t>
      </w:r>
      <w:r>
        <w:rPr/>
        <w:t>年年度报告全文。</w:t>
      </w:r>
    </w:p>
    <w:p>
      <w:pPr>
        <w:pStyle w:val="BodyText"/>
        <w:spacing w:line="240" w:lineRule="auto" w:before="63"/>
        <w:ind w:right="1133"/>
        <w:jc w:val="left"/>
      </w:pPr>
      <w:r>
        <w:rPr/>
        <w:t>（五）以上备查文件的置放地点：公司证券部办公室。</w:t>
      </w:r>
    </w:p>
    <w:p>
      <w:pPr>
        <w:pStyle w:val="BodyText"/>
        <w:spacing w:line="240" w:lineRule="auto" w:before="76"/>
        <w:ind w:left="6550" w:right="0"/>
        <w:jc w:val="left"/>
      </w:pPr>
      <w:r>
        <w:rPr/>
        <w:t>深圳市惠程信息科技股份有限公司董事会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BodyText"/>
        <w:tabs>
          <w:tab w:pos="2118" w:val="left" w:leader="none"/>
        </w:tabs>
        <w:spacing w:line="240" w:lineRule="auto"/>
        <w:ind w:left="0" w:right="1451"/>
        <w:jc w:val="right"/>
        <w:rPr>
          <w:rFonts w:ascii="Times New Roman" w:hAnsi="Times New Roman" w:cs="Times New Roman" w:eastAsia="Times New Roman" w:hint="default"/>
        </w:rPr>
      </w:pPr>
      <w:r>
        <w:rPr/>
        <w:t>董事长：徐海啸</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pStyle w:val="BodyText"/>
        <w:spacing w:line="240" w:lineRule="auto" w:before="44"/>
        <w:ind w:left="0" w:right="1491"/>
        <w:jc w:val="right"/>
      </w:pPr>
      <w:r>
        <w:rPr/>
        <w:t>二零一九年四月十九日</w:t>
      </w:r>
    </w:p>
    <w:sectPr>
      <w:pgSz w:w="11910" w:h="16840"/>
      <w:pgMar w:header="0"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Garamond">
    <w:altName w:val="Garamond"/>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7520" type="#_x0000_t75" stroked="false">
          <v:imagedata r:id="rId1" o:title=""/>
        </v:shape>
      </w:pict>
    </w:r>
    <w:r>
      <w:rPr/>
      <w:pict>
        <v:shape style="position:absolute;margin-left:294.369995pt;margin-top:795.637939pt;width:6.5pt;height:11pt;mso-position-horizontal-relative:page;mso-position-vertical-relative:page;z-index:-11974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6920" type="#_x0000_t75" stroked="false">
          <v:imagedata r:id="rId1" o:title=""/>
        </v:shape>
      </w:pict>
    </w:r>
    <w:r>
      <w:rPr/>
      <w:pict>
        <v:shape style="position:absolute;margin-left:291.089996pt;margin-top:781.957947pt;width:13.15pt;height:11pt;mso-position-horizontal-relative:page;mso-position-vertical-relative:page;z-index:-11968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58</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6872" type="#_x0000_t75" stroked="false">
          <v:imagedata r:id="rId1" o:title=""/>
        </v:shape>
      </w:pict>
    </w:r>
    <w:r>
      <w:rPr/>
      <w:pict>
        <v:shape style="position:absolute;margin-left:289.809998pt;margin-top:781.957947pt;width:15.7pt;height:11pt;mso-position-horizontal-relative:page;mso-position-vertical-relative:page;z-index:-11968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6824" type="#_x0000_t75" stroked="false">
          <v:imagedata r:id="rId1" o:title=""/>
        </v:shape>
      </w:pict>
    </w:r>
    <w:r>
      <w:rPr/>
      <w:pict>
        <v:shape style="position:absolute;margin-left:288.809998pt;margin-top:781.957947pt;width:17.7pt;height:11pt;mso-position-horizontal-relative:page;mso-position-vertical-relative:page;z-index:-11968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96752" type="#_x0000_t75" stroked="false">
          <v:imagedata r:id="rId1" o:title=""/>
        </v:shape>
      </w:pict>
    </w:r>
    <w:r>
      <w:rPr/>
      <w:pict>
        <v:shape style="position:absolute;margin-left:412.190002pt;margin-top:535.333923pt;width:17.7pt;height:11pt;mso-position-horizontal-relative:page;mso-position-vertical-relative:page;z-index:-11967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105</w:t>
                </w:r>
                <w:r>
                  <w:rPr/>
                  <w:fldChar w:fldCharType="end"/>
                </w:r>
                <w:r>
                  <w:rPr>
                    <w:rFonts w:ascii="Times New Roman"/>
                    <w:spacing w:val="1"/>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96704" type="#_x0000_t75" stroked="false">
          <v:imagedata r:id="rId1" o:title=""/>
        </v:shape>
      </w:pict>
    </w:r>
    <w:r>
      <w:rPr/>
      <w:pict>
        <v:shape style="position:absolute;margin-left:412.429993pt;margin-top:535.333923pt;width:17.3pt;height:11pt;mso-position-horizontal-relative:page;mso-position-vertical-relative:page;z-index:-11966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6608" type="#_x0000_t75" stroked="false">
          <v:imagedata r:id="rId1" o:title=""/>
        </v:shape>
      </w:pict>
    </w:r>
    <w:r>
      <w:rPr/>
      <w:pict>
        <v:shape style="position:absolute;margin-left:289.049988pt;margin-top:781.957947pt;width:17.3pt;height:11pt;mso-position-horizontal-relative:page;mso-position-vertical-relative:page;z-index:-11965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6560" type="#_x0000_t75" stroked="false">
          <v:imagedata r:id="rId1" o:title=""/>
        </v:shape>
      </w:pict>
    </w:r>
    <w:r>
      <w:rPr/>
      <w:pict>
        <v:shape style="position:absolute;margin-left:288.809998pt;margin-top:781.957947pt;width:17.7pt;height:11pt;mso-position-horizontal-relative:page;mso-position-vertical-relative:page;z-index:-11965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6512" type="#_x0000_t75" stroked="false">
          <v:imagedata r:id="rId1" o:title=""/>
        </v:shape>
      </w:pict>
    </w:r>
    <w:r>
      <w:rPr/>
      <w:pict>
        <v:shape style="position:absolute;margin-left:288.809998pt;margin-top:781.957947pt;width:17.7pt;height:11pt;mso-position-horizontal-relative:page;mso-position-vertical-relative:page;z-index:-11964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129</w:t>
                </w:r>
                <w:r>
                  <w:rPr/>
                  <w:fldChar w:fldCharType="end"/>
                </w:r>
                <w:r>
                  <w:rPr>
                    <w:rFonts w:ascii="Times New Roman"/>
                    <w:spacing w:val="1"/>
                  </w:rPr>
                </w:r>
                <w:r>
                  <w:rPr>
                    <w:rFonts w:ascii="Times New Roman"/>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6464" type="#_x0000_t75" stroked="false">
          <v:imagedata r:id="rId1" o:title=""/>
        </v:shape>
      </w:pict>
    </w:r>
    <w:r>
      <w:rPr/>
      <w:pict>
        <v:shape style="position:absolute;margin-left:288.809998pt;margin-top:781.957947pt;width:17.7pt;height:11pt;mso-position-horizontal-relative:page;mso-position-vertical-relative:page;z-index:-1196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137</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7472" type="#_x0000_t75" stroked="false">
          <v:imagedata r:id="rId1" o:title=""/>
        </v:shape>
      </w:pict>
    </w:r>
    <w:r>
      <w:rPr/>
      <w:pict>
        <v:shape style="position:absolute;margin-left:291.089996pt;margin-top:781.957947pt;width:13.15pt;height:11pt;mso-position-horizontal-relative:page;mso-position-vertical-relative:page;z-index:-11974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6416" type="#_x0000_t75" stroked="false">
          <v:imagedata r:id="rId1" o:title=""/>
        </v:shape>
      </w:pict>
    </w:r>
    <w:r>
      <w:rPr/>
      <w:pict>
        <v:shape style="position:absolute;margin-left:288.809998pt;margin-top:781.957947pt;width:17.7pt;height:11pt;mso-position-horizontal-relative:page;mso-position-vertical-relative:page;z-index:-1196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141</w:t>
                </w:r>
                <w:r>
                  <w:rPr/>
                  <w:fldChar w:fldCharType="end"/>
                </w:r>
                <w:r>
                  <w:rPr>
                    <w:rFonts w:ascii="Times New Roman"/>
                    <w:spacing w:val="1"/>
                  </w:rPr>
                </w:r>
                <w:r>
                  <w:rPr>
                    <w:rFonts w:ascii="Times New Roman"/>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6368" type="#_x0000_t75" stroked="false">
          <v:imagedata r:id="rId1" o:title=""/>
        </v:shape>
      </w:pict>
    </w:r>
    <w:r>
      <w:rPr/>
      <w:pict>
        <v:shape style="position:absolute;margin-left:288.809998pt;margin-top:781.957947pt;width:17.7pt;height:11pt;mso-position-horizontal-relative:page;mso-position-vertical-relative:page;z-index:-1196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148</w:t>
                </w:r>
                <w:r>
                  <w:rPr/>
                  <w:fldChar w:fldCharType="end"/>
                </w:r>
                <w:r>
                  <w:rPr>
                    <w:rFonts w:ascii="Times New Roman"/>
                    <w:spacing w:val="1"/>
                  </w:rPr>
                </w:r>
                <w:r>
                  <w:rPr>
                    <w:rFonts w:ascii="Times New Roman"/>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6320" type="#_x0000_t75" stroked="false">
          <v:imagedata r:id="rId1" o:title=""/>
        </v:shape>
      </w:pict>
    </w:r>
    <w:r>
      <w:rPr/>
      <w:pict>
        <v:shape style="position:absolute;margin-left:288.809998pt;margin-top:781.957947pt;width:17.7pt;height:11pt;mso-position-horizontal-relative:page;mso-position-vertical-relative:page;z-index:-1196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180</w:t>
                </w:r>
                <w:r>
                  <w:rPr/>
                  <w:fldChar w:fldCharType="end"/>
                </w:r>
                <w:r>
                  <w:rPr>
                    <w:rFonts w:ascii="Times New Roman"/>
                    <w:spacing w:val="1"/>
                  </w:rPr>
                </w:r>
                <w:r>
                  <w:rPr>
                    <w:rFonts w:ascii="Times New Roman"/>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6272" type="#_x0000_t75" stroked="false">
          <v:imagedata r:id="rId1" o:title=""/>
        </v:shape>
      </w:pict>
    </w:r>
    <w:r>
      <w:rPr/>
      <w:pict>
        <v:shape style="position:absolute;margin-left:288.809998pt;margin-top:781.957947pt;width:17.7pt;height:11pt;mso-position-horizontal-relative:page;mso-position-vertical-relative:page;z-index:-1196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196</w:t>
                </w:r>
                <w:r>
                  <w:rPr/>
                  <w:fldChar w:fldCharType="end"/>
                </w:r>
                <w:r>
                  <w:rPr>
                    <w:rFonts w:ascii="Times New Roman"/>
                    <w:spacing w:val="1"/>
                  </w:rPr>
                </w:r>
                <w:r>
                  <w:rPr>
                    <w:rFonts w:ascii="Times New Roman"/>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6224" type="#_x0000_t75" stroked="false">
          <v:imagedata r:id="rId1" o:title=""/>
        </v:shape>
      </w:pict>
    </w:r>
    <w:r>
      <w:rPr/>
      <w:pict>
        <v:shape style="position:absolute;margin-left:288.809998pt;margin-top:781.957947pt;width:16.7pt;height:11pt;mso-position-horizontal-relative:page;mso-position-vertical-relative:page;z-index:-1196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w:t>
                </w:r>
                <w:r>
                  <w:rPr/>
                  <w:fldChar w:fldCharType="end"/>
                </w:r>
                <w:r>
                  <w:rPr>
                    <w:rFonts w:ascii="Times New Roman"/>
                  </w:rPr>
                  <w:t>9</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97400" type="#_x0000_t75" stroked="false">
          <v:imagedata r:id="rId1" o:title=""/>
        </v:shape>
      </w:pict>
    </w:r>
    <w:r>
      <w:rPr/>
      <w:pict>
        <v:shape style="position:absolute;margin-left:414.470001pt;margin-top:535.333923pt;width:13.15pt;height:11pt;mso-position-horizontal-relative:page;mso-position-vertical-relative:page;z-index:-11973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26</w:t>
                </w:r>
                <w:r>
                  <w:rPr/>
                  <w:fldChar w:fldCharType="end"/>
                </w:r>
                <w:r>
                  <w:rPr>
                    <w:rFonts w:ascii="Times New Roman"/>
                    <w:spacing w:val="1"/>
                  </w:rPr>
                </w:r>
                <w:r>
                  <w:rPr>
                    <w:rFonts w:ascii="Times New Roman"/>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6176" type="#_x0000_t75" stroked="false">
          <v:imagedata r:id="rId1" o:title=""/>
        </v:shape>
      </w:pict>
    </w:r>
    <w:r>
      <w:rPr/>
      <w:pict>
        <v:shape style="position:absolute;margin-left:288.809998pt;margin-top:781.957947pt;width:17.7pt;height:11pt;mso-position-horizontal-relative:page;mso-position-vertical-relative:page;z-index:-1196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202</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7304" type="#_x0000_t75" stroked="false">
          <v:imagedata r:id="rId1" o:title=""/>
        </v:shape>
      </w:pict>
    </w:r>
    <w:r>
      <w:rPr/>
      <w:pict>
        <v:shape style="position:absolute;margin-left:291.089996pt;margin-top:781.957947pt;width:13.15pt;height:11pt;mso-position-horizontal-relative:page;mso-position-vertical-relative:page;z-index:-11972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32</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97232" type="#_x0000_t75" stroked="false">
          <v:imagedata r:id="rId1" o:title=""/>
        </v:shape>
      </w:pict>
    </w:r>
    <w:r>
      <w:rPr/>
      <w:pict>
        <v:shape style="position:absolute;margin-left:414.470001pt;margin-top:535.333923pt;width:13.15pt;height:11pt;mso-position-horizontal-relative:page;mso-position-vertical-relative:page;z-index:-11972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37</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7136" type="#_x0000_t75" stroked="false">
          <v:imagedata r:id="rId1" o:title=""/>
        </v:shape>
      </w:pict>
    </w:r>
    <w:r>
      <w:rPr/>
      <w:pict>
        <v:shape style="position:absolute;margin-left:291.089996pt;margin-top:781.957947pt;width:13.15pt;height:11pt;mso-position-horizontal-relative:page;mso-position-vertical-relative:page;z-index:-11971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42</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7088" type="#_x0000_t75" stroked="false">
          <v:imagedata r:id="rId1" o:title=""/>
        </v:shape>
      </w:pict>
    </w:r>
    <w:r>
      <w:rPr/>
      <w:pict>
        <v:shape style="position:absolute;margin-left:291.089996pt;margin-top:781.957947pt;width:13.15pt;height:11pt;mso-position-horizontal-relative:page;mso-position-vertical-relative:page;z-index:-11970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49</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97016" type="#_x0000_t75" stroked="false">
          <v:imagedata r:id="rId1" o:title=""/>
        </v:shape>
      </w:pict>
    </w:r>
    <w:r>
      <w:rPr/>
      <w:pict>
        <v:shape style="position:absolute;margin-left:414.470001pt;margin-top:535.333923pt;width:13.15pt;height:11pt;mso-position-horizontal-relative:page;mso-position-vertical-relative:page;z-index:-1196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52</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070007pt;margin-top:36.265610pt;width:222.75pt;height:11.5pt;mso-position-horizontal-relative:page;mso-position-vertical-relative:page;z-index:-1197544" type="#_x0000_t202" filled="false" stroked="false">
          <v:textbox inset="0,0,0,0">
            <w:txbxContent>
              <w:p>
                <w:pPr>
                  <w:pStyle w:val="BodyText"/>
                  <w:spacing w:line="214" w:lineRule="exact"/>
                  <w:ind w:left="20" w:right="0"/>
                  <w:jc w:val="left"/>
                </w:pPr>
                <w:r>
                  <w:rPr/>
                  <w:t>深圳市惠程信息科技股份有限公司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966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196632" type="#_x0000_t202" filled="false" stroked="false">
          <v:textbox inset="0,0,0,0">
            <w:txbxContent>
              <w:p>
                <w:pPr>
                  <w:pStyle w:val="BodyText"/>
                  <w:spacing w:line="214" w:lineRule="exact"/>
                  <w:ind w:left="20" w:right="0"/>
                  <w:jc w:val="left"/>
                </w:pPr>
                <w:r>
                  <w:rPr/>
                  <w:t>深圳市惠程信息科技股份有限公司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1197424" type="#_x0000_t202" filled="false" stroked="false">
          <v:textbox inset="0,0,0,0">
            <w:txbxContent>
              <w:p>
                <w:pPr>
                  <w:pStyle w:val="BodyText"/>
                  <w:spacing w:line="214" w:lineRule="exact"/>
                  <w:ind w:left="20" w:right="0"/>
                  <w:jc w:val="left"/>
                </w:pPr>
                <w:r>
                  <w:rPr/>
                  <w:t>深圳市惠程信息科技股份有限公司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973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197328" type="#_x0000_t202" filled="false" stroked="false">
          <v:textbox inset="0,0,0,0">
            <w:txbxContent>
              <w:p>
                <w:pPr>
                  <w:pStyle w:val="BodyText"/>
                  <w:spacing w:line="214" w:lineRule="exact"/>
                  <w:ind w:left="20" w:right="0"/>
                  <w:jc w:val="left"/>
                </w:pPr>
                <w:r>
                  <w:rPr/>
                  <w:t>深圳市惠程信息科技股份有限公司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1197256" type="#_x0000_t202" filled="false" stroked="false">
          <v:textbox inset="0,0,0,0">
            <w:txbxContent>
              <w:p>
                <w:pPr>
                  <w:pStyle w:val="BodyText"/>
                  <w:spacing w:line="214" w:lineRule="exact"/>
                  <w:ind w:left="20" w:right="0"/>
                  <w:jc w:val="left"/>
                </w:pPr>
                <w:r>
                  <w:rPr/>
                  <w:t>深圳市惠程信息科技股份有限公司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9718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197160" type="#_x0000_t202" filled="false" stroked="false">
          <v:textbox inset="0,0,0,0">
            <w:txbxContent>
              <w:p>
                <w:pPr>
                  <w:pStyle w:val="BodyText"/>
                  <w:spacing w:line="214" w:lineRule="exact"/>
                  <w:ind w:left="20" w:right="0"/>
                  <w:jc w:val="left"/>
                </w:pPr>
                <w:r>
                  <w:rPr/>
                  <w:t>深圳市惠程信息科技股份有限公司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1197040" type="#_x0000_t202" filled="false" stroked="false">
          <v:textbox inset="0,0,0,0">
            <w:txbxContent>
              <w:p>
                <w:pPr>
                  <w:pStyle w:val="BodyText"/>
                  <w:spacing w:line="214" w:lineRule="exact"/>
                  <w:ind w:left="20" w:right="0"/>
                  <w:jc w:val="left"/>
                </w:pPr>
                <w:r>
                  <w:rPr/>
                  <w:t>深圳市惠程信息科技股份有限公司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969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196944" type="#_x0000_t202" filled="false" stroked="false">
          <v:textbox inset="0,0,0,0">
            <w:txbxContent>
              <w:p>
                <w:pPr>
                  <w:pStyle w:val="BodyText"/>
                  <w:spacing w:line="214" w:lineRule="exact"/>
                  <w:ind w:left="20" w:right="0"/>
                  <w:jc w:val="left"/>
                </w:pPr>
                <w:r>
                  <w:rPr/>
                  <w:t>深圳市惠程信息科技股份有限公司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1196776" type="#_x0000_t202" filled="false" stroked="false">
          <v:textbox inset="0,0,0,0">
            <w:txbxContent>
              <w:p>
                <w:pPr>
                  <w:pStyle w:val="BodyText"/>
                  <w:spacing w:line="214" w:lineRule="exact"/>
                  <w:ind w:left="20" w:right="0"/>
                  <w:jc w:val="left"/>
                </w:pPr>
                <w:r>
                  <w:rPr/>
                  <w:t>深圳市惠程信息科技股份有限公司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4"/>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24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17"/>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hifuture.com/" TargetMode="External"/><Relationship Id="rId10" Type="http://schemas.openxmlformats.org/officeDocument/2006/relationships/hyperlink" Target="mailto:szhc@hifuture.com" TargetMode="External"/><Relationship Id="rId11" Type="http://schemas.openxmlformats.org/officeDocument/2006/relationships/hyperlink" Target="mailto:liuyang@hifuture.com" TargetMode="External"/><Relationship Id="rId12" Type="http://schemas.openxmlformats.org/officeDocument/2006/relationships/hyperlink" Target="mailto:wenqiuping@hifuture.com" TargetMode="External"/><Relationship Id="rId13" Type="http://schemas.openxmlformats.org/officeDocument/2006/relationships/hyperlink" Target="http://www.cninfo.com.cn/"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header" Target="header5.xml"/><Relationship Id="rId21" Type="http://schemas.openxmlformats.org/officeDocument/2006/relationships/footer" Target="footer6.xml"/><Relationship Id="rId22" Type="http://schemas.openxmlformats.org/officeDocument/2006/relationships/hyperlink" Target="http://www.cninfo.co/" TargetMode="External"/><Relationship Id="rId23" Type="http://schemas.openxmlformats.org/officeDocument/2006/relationships/header" Target="header6.xml"/><Relationship Id="rId24" Type="http://schemas.openxmlformats.org/officeDocument/2006/relationships/footer" Target="footer7.xml"/><Relationship Id="rId25" Type="http://schemas.openxmlformats.org/officeDocument/2006/relationships/image" Target="media/image1.jpeg"/><Relationship Id="rId26" Type="http://schemas.openxmlformats.org/officeDocument/2006/relationships/footer" Target="footer8.xml"/><Relationship Id="rId27" Type="http://schemas.openxmlformats.org/officeDocument/2006/relationships/header" Target="header7.xml"/><Relationship Id="rId28" Type="http://schemas.openxmlformats.org/officeDocument/2006/relationships/footer" Target="footer9.xml"/><Relationship Id="rId29" Type="http://schemas.openxmlformats.org/officeDocument/2006/relationships/hyperlink" Target="http://www.cninfo.com/" TargetMode="External"/><Relationship Id="rId30" Type="http://schemas.openxmlformats.org/officeDocument/2006/relationships/header" Target="header8.xml"/><Relationship Id="rId31" Type="http://schemas.openxmlformats.org/officeDocument/2006/relationships/footer" Target="footer10.xml"/><Relationship Id="rId32" Type="http://schemas.openxmlformats.org/officeDocument/2006/relationships/image" Target="media/image3.jpeg"/><Relationship Id="rId33" Type="http://schemas.openxmlformats.org/officeDocument/2006/relationships/footer" Target="footer11.xml"/><Relationship Id="rId34" Type="http://schemas.openxmlformats.org/officeDocument/2006/relationships/footer" Target="footer12.xml"/><Relationship Id="rId35" Type="http://schemas.openxmlformats.org/officeDocument/2006/relationships/header" Target="header9.xml"/><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header" Target="header10.xml"/><Relationship Id="rId39" Type="http://schemas.openxmlformats.org/officeDocument/2006/relationships/footer" Target="footer15.xml"/><Relationship Id="rId40" Type="http://schemas.openxmlformats.org/officeDocument/2006/relationships/footer" Target="footer16.xml"/><Relationship Id="rId41" Type="http://schemas.openxmlformats.org/officeDocument/2006/relationships/footer" Target="footer17.xml"/><Relationship Id="rId42" Type="http://schemas.openxmlformats.org/officeDocument/2006/relationships/header" Target="header11.xml"/><Relationship Id="rId43" Type="http://schemas.openxmlformats.org/officeDocument/2006/relationships/footer" Target="footer18.xml"/><Relationship Id="rId44" Type="http://schemas.openxmlformats.org/officeDocument/2006/relationships/footer" Target="footer19.xml"/><Relationship Id="rId45" Type="http://schemas.openxmlformats.org/officeDocument/2006/relationships/header" Target="header12.xml"/><Relationship Id="rId46" Type="http://schemas.openxmlformats.org/officeDocument/2006/relationships/footer" Target="footer20.xml"/><Relationship Id="rId47" Type="http://schemas.openxmlformats.org/officeDocument/2006/relationships/footer" Target="footer21.xml"/><Relationship Id="rId48" Type="http://schemas.openxmlformats.org/officeDocument/2006/relationships/header" Target="header13.xml"/><Relationship Id="rId49" Type="http://schemas.openxmlformats.org/officeDocument/2006/relationships/footer" Target="footer22.xml"/><Relationship Id="rId50" Type="http://schemas.openxmlformats.org/officeDocument/2006/relationships/footer" Target="footer23.xml"/><Relationship Id="rId51" Type="http://schemas.openxmlformats.org/officeDocument/2006/relationships/header" Target="header14.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header" Target="header15.xml"/><Relationship Id="rId55" Type="http://schemas.openxmlformats.org/officeDocument/2006/relationships/footer" Target="footer26.xml"/><Relationship Id="rId56" Type="http://schemas.openxmlformats.org/officeDocument/2006/relationships/footer" Target="footer27.xml"/><Relationship Id="rId57" Type="http://schemas.openxmlformats.org/officeDocument/2006/relationships/header" Target="header16.xml"/><Relationship Id="rId58" Type="http://schemas.openxmlformats.org/officeDocument/2006/relationships/footer" Target="footer28.xml"/><Relationship Id="rId59" Type="http://schemas.openxmlformats.org/officeDocument/2006/relationships/footer" Target="footer29.xml"/><Relationship Id="rId60" Type="http://schemas.openxmlformats.org/officeDocument/2006/relationships/header" Target="header17.xml"/><Relationship Id="rId61" Type="http://schemas.openxmlformats.org/officeDocument/2006/relationships/footer" Target="footer30.xml"/><Relationship Id="rId62" Type="http://schemas.openxmlformats.org/officeDocument/2006/relationships/footer" Target="footer3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27.xml.rels><?xml version="1.0" encoding="UTF-8" standalone="yes"?>
<Relationships xmlns="http://schemas.openxmlformats.org/package/2006/relationships"><Relationship Id="rId1" Type="http://schemas.openxmlformats.org/officeDocument/2006/relationships/image" Target="media/image1.jpeg"/></Relationships>

</file>

<file path=word/_rels/footer29.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31.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深圳市惠程信息科技股份有限公司</dc:creator>
  <dc:title>深圳市惠程信息科技股份有限公司2018年年度报告全文</dc:title>
  <dcterms:created xsi:type="dcterms:W3CDTF">2020-05-05T01:20:40Z</dcterms:created>
  <dcterms:modified xsi:type="dcterms:W3CDTF">2020-05-05T01:20:40Z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2019-04-22T00:00:00Z</vt:filetime>
  </property>
  <property fmtid="{D5CDD505-2E9C-101B-9397-08002B2CF9AE}" pid="3" name="Creator">
    <vt:lpwstr>Microsoft® Word 2010</vt:lpwstr>
  </property>
  <property fmtid="{D5CDD505-2E9C-101B-9397-08002B2CF9AE}" pid="4" name="LastSaved">
    <vt:filetime>2020-05-04T00:00:00Z</vt:filetime>
  </property>
</Properties>
</file>