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4.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15.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24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409020" cy="7905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020" cy="790575"/>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4"/>
        <w:rPr>
          <w:rFonts w:ascii="Times New Roman" w:hAnsi="Times New Roman" w:cs="Times New Roman" w:eastAsia="Times New Roman" w:hint="default"/>
          <w:sz w:val="13"/>
          <w:szCs w:val="13"/>
        </w:rPr>
      </w:pPr>
    </w:p>
    <w:p>
      <w:pPr>
        <w:spacing w:line="501" w:lineRule="exact" w:before="0"/>
        <w:ind w:left="495" w:right="147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深圳市惠程信息科技股份有限公司</w:t>
      </w:r>
      <w:r>
        <w:rPr>
          <w:rFonts w:ascii="Microsoft JhengHei" w:hAnsi="Microsoft JhengHei" w:cs="Microsoft JhengHei" w:eastAsia="Microsoft JhengHei" w:hint="default"/>
          <w:sz w:val="36"/>
          <w:szCs w:val="36"/>
        </w:rPr>
      </w:r>
    </w:p>
    <w:p>
      <w:pPr>
        <w:spacing w:before="258"/>
        <w:ind w:left="495" w:right="1476"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9"/>
        <w:rPr>
          <w:rFonts w:ascii="Microsoft JhengHei" w:hAnsi="Microsoft JhengHei" w:cs="Microsoft JhengHei" w:eastAsia="Microsoft JhengHei" w:hint="default"/>
          <w:b/>
          <w:bCs/>
          <w:sz w:val="30"/>
          <w:szCs w:val="30"/>
        </w:rPr>
      </w:pPr>
    </w:p>
    <w:p>
      <w:pPr>
        <w:spacing w:before="0"/>
        <w:ind w:left="495" w:right="147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2020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85" w:right="0"/>
        <w:jc w:val="left"/>
        <w:rPr>
          <w:b w:val="0"/>
          <w:bCs w:val="0"/>
        </w:rPr>
      </w:pPr>
      <w:bookmarkStart w:name="_bookmark0" w:id="1"/>
      <w:bookmarkEnd w:id="1"/>
      <w:r>
        <w:rPr>
          <w:b w:val="0"/>
          <w:bCs w:val="0"/>
        </w:rPr>
      </w:r>
      <w:r>
        <w:rPr/>
        <w:t>第一节重要提示、目录和释义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1135"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6"/>
          <w:sz w:val="28"/>
          <w:szCs w:val="28"/>
        </w:rPr>
        <w:t>实、准确、完整，不存在虚假记载、误导性陈述或重大遗漏，并承担个别和连带</w:t>
      </w:r>
      <w:r>
        <w:rPr>
          <w:rFonts w:ascii="Microsoft JhengHei" w:hAnsi="Microsoft JhengHei" w:cs="Microsoft JhengHei" w:eastAsia="Microsoft JhengHei" w:hint="default"/>
          <w:b/>
          <w:bCs/>
          <w:spacing w:val="-28"/>
          <w:sz w:val="28"/>
          <w:szCs w:val="28"/>
        </w:rPr>
        <w:t> </w:t>
      </w:r>
      <w:r>
        <w:rPr>
          <w:rFonts w:ascii="Microsoft JhengHei" w:hAnsi="Microsoft JhengHei" w:cs="Microsoft JhengHei" w:eastAsia="Microsoft JhengHei" w:hint="default"/>
          <w:b/>
          <w:bCs/>
          <w:spacing w:val="-28"/>
          <w:sz w:val="28"/>
          <w:szCs w:val="28"/>
        </w:rPr>
      </w:r>
      <w:r>
        <w:rPr>
          <w:rFonts w:ascii="Microsoft JhengHei" w:hAnsi="Microsoft JhengHei" w:cs="Microsoft JhengHei" w:eastAsia="Microsoft JhengHei" w:hint="default"/>
          <w:b/>
          <w:bCs/>
          <w:sz w:val="28"/>
          <w:szCs w:val="28"/>
        </w:rPr>
        <w:t>的法律责任。</w:t>
      </w:r>
      <w:r>
        <w:rPr>
          <w:rFonts w:ascii="Microsoft JhengHei" w:hAnsi="Microsoft JhengHei" w:cs="Microsoft JhengHei" w:eastAsia="Microsoft JhengHei" w:hint="default"/>
          <w:sz w:val="28"/>
          <w:szCs w:val="28"/>
        </w:rPr>
      </w:r>
    </w:p>
    <w:p>
      <w:pPr>
        <w:spacing w:line="307" w:lineRule="auto" w:before="133"/>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公司负责人汪超涌、主管会计工作负责人赵红艳及会计机构负责人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马建杰声明：保证年度报告中财务报告的真实、准确、完整。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本报告所涉公司未来计划等前瞻性陈述，不构成公司对任何投资者及相关</w:t>
      </w:r>
      <w:r>
        <w:rPr>
          <w:rFonts w:ascii="Microsoft JhengHei" w:hAnsi="Microsoft JhengHei" w:cs="Microsoft JhengHei" w:eastAsia="Microsoft JhengHei" w:hint="default"/>
          <w:spacing w:val="2"/>
          <w:sz w:val="28"/>
          <w:szCs w:val="28"/>
        </w:rPr>
      </w:r>
    </w:p>
    <w:p>
      <w:pPr>
        <w:spacing w:line="445"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人士的实质承诺，敬请广大投资者注意投资风险。</w:t>
      </w:r>
      <w:r>
        <w:rPr>
          <w:rFonts w:ascii="Microsoft JhengHei" w:hAnsi="Microsoft JhengHei" w:cs="Microsoft JhengHei" w:eastAsia="Microsoft JhengHei" w:hint="default"/>
          <w:sz w:val="28"/>
          <w:szCs w:val="28"/>
        </w:rPr>
      </w:r>
    </w:p>
    <w:p>
      <w:pPr>
        <w:spacing w:line="307" w:lineRule="auto" w:before="237"/>
        <w:ind w:left="152" w:right="1132"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中公司未来发展的展望部分描</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述了公司未来经营中可能面临的风险以及</w:t>
      </w:r>
      <w:r>
        <w:rPr>
          <w:rFonts w:ascii="Microsoft JhengHei" w:hAnsi="Microsoft JhengHei" w:cs="Microsoft JhengHei" w:eastAsia="Microsoft JhengHei" w:hint="default"/>
          <w:b/>
          <w:bCs/>
          <w:spacing w:val="15"/>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13"/>
          <w:sz w:val="28"/>
          <w:szCs w:val="28"/>
        </w:rPr>
        <w:t> </w:t>
      </w:r>
      <w:r>
        <w:rPr>
          <w:rFonts w:ascii="Microsoft JhengHei" w:hAnsi="Microsoft JhengHei" w:cs="Microsoft JhengHei" w:eastAsia="Microsoft JhengHei" w:hint="default"/>
          <w:b/>
          <w:bCs/>
          <w:spacing w:val="-4"/>
          <w:sz w:val="28"/>
          <w:szCs w:val="28"/>
        </w:rPr>
        <w:t>年度经营计划，敬请广大投资者</w:t>
      </w:r>
      <w:r>
        <w:rPr>
          <w:rFonts w:ascii="Microsoft JhengHei" w:hAnsi="Microsoft JhengHei" w:cs="Microsoft JhengHei" w:eastAsia="Microsoft JhengHei" w:hint="default"/>
          <w:b/>
          <w:bCs/>
          <w:spacing w:val="-68"/>
          <w:sz w:val="28"/>
          <w:szCs w:val="28"/>
        </w:rPr>
        <w:t> </w:t>
      </w:r>
      <w:r>
        <w:rPr>
          <w:rFonts w:ascii="Microsoft JhengHei" w:hAnsi="Microsoft JhengHei" w:cs="Microsoft JhengHei" w:eastAsia="Microsoft JhengHei" w:hint="default"/>
          <w:b/>
          <w:bCs/>
          <w:spacing w:val="-68"/>
          <w:sz w:val="28"/>
          <w:szCs w:val="28"/>
        </w:rPr>
      </w:r>
      <w:r>
        <w:rPr>
          <w:rFonts w:ascii="Microsoft JhengHei" w:hAnsi="Microsoft JhengHei" w:cs="Microsoft JhengHei" w:eastAsia="Microsoft JhengHei" w:hint="default"/>
          <w:b/>
          <w:bCs/>
          <w:sz w:val="28"/>
          <w:szCs w:val="28"/>
        </w:rPr>
        <w:t>注意查阅。</w:t>
      </w:r>
      <w:r>
        <w:rPr>
          <w:rFonts w:ascii="Microsoft JhengHei" w:hAnsi="Microsoft JhengHei" w:cs="Microsoft JhengHei" w:eastAsia="Microsoft JhengHei" w:hint="default"/>
          <w:sz w:val="28"/>
          <w:szCs w:val="28"/>
        </w:rPr>
      </w:r>
    </w:p>
    <w:p>
      <w:pPr>
        <w:spacing w:line="307" w:lineRule="auto" w:before="133"/>
        <w:ind w:left="152" w:right="0" w:firstLine="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鉴于截止到 </w:t>
      </w:r>
      <w:r>
        <w:rPr>
          <w:rFonts w:ascii="Times New Roman" w:hAnsi="Times New Roman" w:cs="Times New Roman" w:eastAsia="Times New Roman" w:hint="default"/>
          <w:b/>
          <w:bCs/>
          <w:sz w:val="28"/>
          <w:szCs w:val="28"/>
        </w:rPr>
        <w:t>2019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12 </w:t>
      </w:r>
      <w:r>
        <w:rPr>
          <w:rFonts w:ascii="Microsoft JhengHei" w:hAnsi="Microsoft JhengHei" w:cs="Microsoft JhengHei" w:eastAsia="Microsoft JhengHei" w:hint="default"/>
          <w:b/>
          <w:bCs/>
          <w:sz w:val="28"/>
          <w:szCs w:val="28"/>
        </w:rPr>
        <w:t>月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9"/>
          <w:sz w:val="28"/>
          <w:szCs w:val="28"/>
        </w:rPr>
        <w:t> </w:t>
      </w:r>
      <w:r>
        <w:rPr>
          <w:rFonts w:ascii="Microsoft JhengHei" w:hAnsi="Microsoft JhengHei" w:cs="Microsoft JhengHei" w:eastAsia="Microsoft JhengHei" w:hint="default"/>
          <w:b/>
          <w:bCs/>
          <w:spacing w:val="-3"/>
          <w:sz w:val="28"/>
          <w:szCs w:val="28"/>
        </w:rPr>
        <w:t>日公司以现金为对价，采用集中竞价方式已累</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计回购公司股份</w:t>
      </w:r>
      <w:r>
        <w:rPr>
          <w:rFonts w:ascii="Microsoft JhengHei" w:hAnsi="Microsoft JhengHei" w:cs="Microsoft JhengHei" w:eastAsia="Microsoft JhengHei" w:hint="default"/>
          <w:b/>
          <w:bCs/>
          <w:spacing w:val="3"/>
          <w:sz w:val="28"/>
          <w:szCs w:val="28"/>
        </w:rPr>
        <w:t> </w:t>
      </w:r>
      <w:r>
        <w:rPr>
          <w:rFonts w:ascii="Times New Roman" w:hAnsi="Times New Roman" w:cs="Times New Roman" w:eastAsia="Times New Roman" w:hint="default"/>
          <w:b/>
          <w:bCs/>
          <w:sz w:val="28"/>
          <w:szCs w:val="28"/>
        </w:rPr>
        <w:t>17,766,200</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7"/>
          <w:sz w:val="28"/>
          <w:szCs w:val="28"/>
        </w:rPr>
        <w:t>股，支付的总金额为</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z w:val="28"/>
          <w:szCs w:val="28"/>
        </w:rPr>
        <w:t>147,613,580.50</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9"/>
          <w:sz w:val="28"/>
          <w:szCs w:val="28"/>
        </w:rPr>
        <w:t>元（不含交易费</w:t>
      </w:r>
      <w:r>
        <w:rPr>
          <w:rFonts w:ascii="Microsoft JhengHei" w:hAnsi="Microsoft JhengHei" w:cs="Microsoft JhengHei" w:eastAsia="Microsoft JhengHei" w:hint="default"/>
          <w:b/>
          <w:bCs/>
          <w:spacing w:val="-66"/>
          <w:sz w:val="28"/>
          <w:szCs w:val="28"/>
        </w:rPr>
        <w:t> </w:t>
      </w:r>
      <w:r>
        <w:rPr>
          <w:rFonts w:ascii="Microsoft JhengHei" w:hAnsi="Microsoft JhengHei" w:cs="Microsoft JhengHei" w:eastAsia="Microsoft JhengHei" w:hint="default"/>
          <w:b/>
          <w:bCs/>
          <w:spacing w:val="-66"/>
          <w:sz w:val="28"/>
          <w:szCs w:val="28"/>
        </w:rPr>
      </w:r>
      <w:r>
        <w:rPr>
          <w:rFonts w:ascii="Microsoft JhengHei" w:hAnsi="Microsoft JhengHei" w:cs="Microsoft JhengHei" w:eastAsia="Microsoft JhengHei" w:hint="default"/>
          <w:b/>
          <w:bCs/>
          <w:spacing w:val="-2"/>
          <w:w w:val="100"/>
          <w:sz w:val="28"/>
          <w:szCs w:val="28"/>
        </w:rPr>
        <w:t>用）。根据《深圳证券交易所上市公司回购股份实施细则》第七条的相关规定，</w:t>
      </w:r>
      <w:r>
        <w:rPr>
          <w:rFonts w:ascii="Microsoft JhengHei" w:hAnsi="Microsoft JhengHei" w:cs="Microsoft JhengHei" w:eastAsia="Microsoft JhengHei" w:hint="default"/>
          <w:b/>
          <w:bCs/>
          <w:spacing w:val="-56"/>
          <w:w w:val="100"/>
          <w:sz w:val="28"/>
          <w:szCs w:val="28"/>
        </w:rPr>
        <w:t> </w:t>
      </w:r>
      <w:r>
        <w:rPr>
          <w:rFonts w:ascii="Microsoft JhengHei" w:hAnsi="Microsoft JhengHei" w:cs="Microsoft JhengHei" w:eastAsia="Microsoft JhengHei" w:hint="default"/>
          <w:b/>
          <w:bCs/>
          <w:spacing w:val="-56"/>
          <w:w w:val="100"/>
          <w:sz w:val="28"/>
          <w:szCs w:val="28"/>
        </w:rPr>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上市公司以现金为对价，采用要约方式、集中竞价方式回购股份的，当年已实</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施的回购股份金额视同现金分红金额，纳入该年度现金分红的相关比例计算。</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100"/>
          <w:sz w:val="28"/>
          <w:szCs w:val="28"/>
        </w:rPr>
        <w:t> </w:t>
      </w:r>
      <w:r>
        <w:rPr>
          <w:rFonts w:ascii="Microsoft JhengHei" w:hAnsi="Microsoft JhengHei" w:cs="Microsoft JhengHei" w:eastAsia="Microsoft JhengHei" w:hint="default"/>
          <w:b/>
          <w:bCs/>
          <w:spacing w:val="2"/>
          <w:sz w:val="28"/>
          <w:szCs w:val="28"/>
        </w:rPr>
        <w:t>同时考虑到公司日常生产经营、未来投资和发展需要大量资金，所以公司不再</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派发现金红利，不送红股，不以资本公积金转增股本。</w:t>
      </w:r>
      <w:r>
        <w:rPr>
          <w:rFonts w:ascii="Microsoft JhengHei" w:hAnsi="Microsoft JhengHei" w:cs="Microsoft JhengHei" w:eastAsia="Microsoft JhengHei" w:hint="default"/>
          <w:sz w:val="28"/>
          <w:szCs w:val="28"/>
        </w:rPr>
      </w:r>
    </w:p>
    <w:p>
      <w:pPr>
        <w:spacing w:after="0" w:line="307" w:lineRule="auto"/>
        <w:jc w:val="left"/>
        <w:rPr>
          <w:rFonts w:ascii="Microsoft JhengHei" w:hAnsi="Microsoft JhengHei" w:cs="Microsoft JhengHei" w:eastAsia="Microsoft JhengHei" w:hint="default"/>
          <w:sz w:val="28"/>
          <w:szCs w:val="28"/>
        </w:rPr>
        <w:sectPr>
          <w:footerReference w:type="default" r:id="rId8"/>
          <w:pgSz w:w="11910" w:h="16840"/>
          <w:pgMar w:footer="980" w:header="745"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495" w:right="147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75"/>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199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843"/>
        <w:ind w:left="495" w:right="147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1702"/>
        <w:gridCol w:w="425"/>
        <w:gridCol w:w="7444"/>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公司、本公司、上市 公司、深圳惠程、惠 程科技、惠程本部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深圳市惠程信息科技股份有限公司，原名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深圳市惠程电气股份有限公司</w:t>
            </w:r>
            <w:r>
              <w:rPr>
                <w:rFonts w:ascii="Times New Roman" w:hAnsi="Times New Roman" w:cs="Times New Roman" w:eastAsia="Times New Roman" w:hint="default"/>
                <w:sz w:val="18"/>
                <w:szCs w:val="18"/>
              </w:rPr>
              <w:t>”</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中驰惠程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中驰惠程企业管理有限公司，原名中驰极速体育文化发展有限公司，本公司控股股东</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中源信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，中驰惠程一</w:t>
            </w:r>
            <w:r>
              <w:rPr>
                <w:rFonts w:ascii="宋体" w:hAnsi="宋体" w:cs="宋体" w:eastAsia="宋体" w:hint="default"/>
                <w:spacing w:val="2"/>
                <w:sz w:val="18"/>
                <w:szCs w:val="18"/>
              </w:rPr>
              <w:t>致</w:t>
            </w:r>
            <w:r>
              <w:rPr>
                <w:rFonts w:ascii="宋体" w:hAnsi="宋体" w:cs="宋体" w:eastAsia="宋体" w:hint="default"/>
                <w:sz w:val="18"/>
                <w:szCs w:val="18"/>
              </w:rPr>
              <w:t>行动人</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信中利</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北京信中利投资股份有限公司，中驰惠程母公司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信中利宝信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，中驰惠程控</w:t>
            </w:r>
            <w:r>
              <w:rPr>
                <w:rFonts w:ascii="宋体" w:hAnsi="宋体" w:cs="宋体" w:eastAsia="宋体" w:hint="default"/>
                <w:spacing w:val="2"/>
                <w:sz w:val="18"/>
                <w:szCs w:val="18"/>
              </w:rPr>
              <w:t>制</w:t>
            </w:r>
            <w:r>
              <w:rPr>
                <w:rFonts w:ascii="宋体" w:hAnsi="宋体" w:cs="宋体" w:eastAsia="宋体" w:hint="default"/>
                <w:sz w:val="18"/>
                <w:szCs w:val="18"/>
              </w:rPr>
              <w:t>的企业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深圳市惠程信息科技股份有限公司董事会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深圳市惠程信息科技股份有限公司监事会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香港惠程有限公司，本公司全资子公司</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深圳市惠程智能电力设备有限公司，原名深圳市惠程高能能源科技有限公司，本公司全资子公 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中汇联银投资管理（北京）有限公司，本公司全资子公司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喀什中汇联银创业投资有限公司，本公司全资子公司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链接世界</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链接世界株式会社，本公司在日本所设的全资子公司</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pacing w:val="-3"/>
                <w:sz w:val="18"/>
                <w:szCs w:val="18"/>
              </w:rPr>
              <w:t>中汇联鑫股权投资管理（深圳）合伙企业（有限合伙），本公司与子公司喀什中汇联银共同投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资设立的合伙企业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成都哆可梦网络科技有限公司，本公司持股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的控股子公司</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北京中汇同盈咨询服务有限公司，曾用名北京思泰德酒店管理有限公司、北京鼎同源科技有限 公司，北京中汇联银全资子公司，本公司间接控股子公司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中行置盛投资（北京）有限公司，北京中汇联银全资子公司，本公司间接控股子公司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中融建银投资（北京）有限公司，北京中汇联银全资子公司，本公司间接控股子公司</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豪琛投资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豪琛投资管理（上海）有限公司，北京中汇联银全资子公司，本公司间接控股子公司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鹏胤投资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鹏胤投资管理（上海）有限公司，北京中汇联银全资子公司，本公司间接控股子公司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一零电力</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深圳市一零电力设备有限责任公司，本公司与子公司喀什中汇联银共同投资设立的子公司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零玖电力</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深圳市零玖电力设备有限责任公司，本公司与子公司喀什中汇联银共同投资设立的子公司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铁匣电力</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铁匣电力设备（深圳）有限责任公司，本公司与子公司喀什中汇联银共同投资设立的子公司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吉乾科技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成都吉乾科技有限公司，哆可梦全资子公司，本公司间接控股子公司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旭梅网络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上海旭梅网络科技有限公司，哆可梦全资子公司，本公司间接控股子公司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华向文化</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上海华向文化传播有限公司，哆可梦全资子公司，本公司间接控股子公司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702"/>
        <w:gridCol w:w="425"/>
        <w:gridCol w:w="744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游湛网络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上海游湛网络科技有限公司，哆可梦全资子公司，本公司间接控股子公司</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共创网络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葫芦岛共创网络科技有限公司，哆可梦全资子公司，本公司间接控股子公司，经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公司总裁办审议批准，截至本报告披露日，哆可梦已注销共创网络</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翔瑞科技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翔瑞科技有限公司，哆可梦全资子公司，本公司间接控股子公司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缘中缘网络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成都缘中缘网络科技有限公司，哆可梦全资子公司，本公司间接控股子公司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致合世纪</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成都致合世纪网络科技有限公司，哆可梦全资子公司，本公司间接控股子公司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高奇网络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江西省高奇网络科技有限公司，哆可梦全资子公司，本公司间接控股子公司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多趣网络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成都多趣网络科技有限公司，哆可梦全资子公司，本公司间接控股子公司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惠智网联</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共青城惠智网联投资合伙企业（有限合伙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，喀什中汇联银</w:t>
            </w:r>
            <w:r>
              <w:rPr>
                <w:rFonts w:ascii="宋体" w:hAnsi="宋体" w:cs="宋体" w:eastAsia="宋体" w:hint="default"/>
                <w:spacing w:val="2"/>
                <w:sz w:val="18"/>
                <w:szCs w:val="18"/>
              </w:rPr>
              <w:t>为</w:t>
            </w:r>
            <w:r>
              <w:rPr>
                <w:rFonts w:ascii="宋体" w:hAnsi="宋体" w:cs="宋体" w:eastAsia="宋体" w:hint="default"/>
                <w:sz w:val="18"/>
                <w:szCs w:val="18"/>
              </w:rPr>
              <w:t>有限合伙人的参股企业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上海季娱网络科技有限公司，本公司持股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的控股子公司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珂星网络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成都珂星网络科技有限公司，上海季娱全资子公司，本公司间接控股子公司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北京爱酷游科技股份有限公司，喀什中汇联银持股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5.67%</w:t>
            </w:r>
            <w:r>
              <w:rPr>
                <w:rFonts w:ascii="宋体" w:hAnsi="宋体" w:cs="宋体" w:eastAsia="宋体" w:hint="default"/>
                <w:sz w:val="18"/>
                <w:szCs w:val="18"/>
              </w:rPr>
              <w:t>的参股公司</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京城九方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北京京城九方酒店管理有限责任公司，公司控股股东中驰惠程前一致行动人田勇先生控制的企 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中航信托股份有限公司</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Xjet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以色列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Xjet </w:t>
            </w:r>
            <w:r>
              <w:rPr>
                <w:rFonts w:ascii="宋体" w:hAnsi="宋体" w:cs="宋体" w:eastAsia="宋体" w:hint="default"/>
                <w:sz w:val="18"/>
                <w:szCs w:val="18"/>
              </w:rPr>
              <w:t>有限公司</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上会、会计师</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年第二期股权 激励计划</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经公司第五届董事会第十八次会议、第五届监事会第八次会议、公司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年第六次临时股东 大会审议通过的《深圳市惠程电气股份有限公司第二期限制性股票与股票期权激励计划（草 </w:t>
            </w:r>
            <w:r>
              <w:rPr>
                <w:rFonts w:ascii="宋体" w:hAnsi="宋体" w:cs="宋体" w:eastAsia="宋体" w:hint="default"/>
                <w:spacing w:val="-31"/>
                <w:sz w:val="18"/>
                <w:szCs w:val="18"/>
              </w:rPr>
              <w:t>案）》</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 激励计划、</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股权激励计划</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经公司第五届董事会第二十九次会议、第五届监事会第十七次会议、公司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年第三次临时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股东大会审议通过的《深圳市惠程电气股份有限公司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年限制性股票激励计划》</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《深圳市惠程信息科技股份有限公司章程》</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《深圳证券交易所中小企业板上市公司规范运作指引》</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报告期、本年、本期</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723" w:right="0"/>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283"/>
        <w:gridCol w:w="2955"/>
        <w:gridCol w:w="2155"/>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惠程科技</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002168</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惠程科技</w:t>
            </w:r>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Shenzhen Hifuture Information Technology Co.,</w:t>
            </w:r>
            <w:r>
              <w:rPr>
                <w:rFonts w:ascii="Times New Roman"/>
                <w:spacing w:val="-28"/>
                <w:sz w:val="18"/>
              </w:rPr>
              <w:t> </w:t>
            </w:r>
            <w:r>
              <w:rPr>
                <w:rFonts w:ascii="Times New Roman"/>
                <w:sz w:val="18"/>
              </w:rPr>
              <w:t>Ltd.</w:t>
            </w:r>
          </w:p>
        </w:tc>
      </w:tr>
      <w:tr>
        <w:trPr>
          <w:trHeight w:val="71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Hifuture</w:t>
            </w:r>
            <w:r>
              <w:rPr>
                <w:rFonts w:ascii="Times New Roman"/>
                <w:spacing w:val="-19"/>
                <w:sz w:val="18"/>
              </w:rPr>
              <w:t> </w:t>
            </w:r>
            <w:r>
              <w:rPr>
                <w:rFonts w:ascii="Times New Roman"/>
                <w:sz w:val="18"/>
              </w:rPr>
              <w:t>Technology</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汪超涌</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518118</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518118</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9">
              <w:r>
                <w:rPr>
                  <w:rFonts w:ascii="Times New Roman"/>
                  <w:sz w:val="18"/>
                </w:rPr>
                <w:t>www.hifuture.com</w:t>
              </w:r>
            </w:hyperlink>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0">
              <w:r>
                <w:rPr>
                  <w:rFonts w:ascii="Times New Roman"/>
                  <w:sz w:val="18"/>
                </w:rPr>
                <w:t>szhc@hifuture.com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付汝峰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温秋萍</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 锦绣路以南惠程科技工业厂区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 锦绣路以南惠程科技工业厂区</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0755-82767767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0755-82760319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furufeng@hifuture.com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wenqiuping@hifuture.com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992"/>
        <w:gridCol w:w="5576"/>
      </w:tblGrid>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3"/>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四、注册变更情况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53" w:type="dxa"/>
        <w:tblLayout w:type="fixed"/>
        <w:tblCellMar>
          <w:top w:w="0" w:type="dxa"/>
          <w:left w:w="0" w:type="dxa"/>
          <w:bottom w:w="0" w:type="dxa"/>
          <w:right w:w="0" w:type="dxa"/>
        </w:tblCellMar>
        <w:tblLook w:val="01E0"/>
      </w:tblPr>
      <w:tblGrid>
        <w:gridCol w:w="1554"/>
        <w:gridCol w:w="8075"/>
      </w:tblGrid>
      <w:tr>
        <w:trPr>
          <w:trHeight w:val="401" w:hRule="exact"/>
        </w:trPr>
        <w:tc>
          <w:tcPr>
            <w:tcW w:w="15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914403007152119019</w:t>
            </w:r>
          </w:p>
        </w:tc>
      </w:tr>
      <w:tr>
        <w:trPr>
          <w:trHeight w:val="6572" w:hRule="exact"/>
        </w:trPr>
        <w:tc>
          <w:tcPr>
            <w:tcW w:w="15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319" w:lineRule="auto"/>
              <w:ind w:left="104" w:right="102"/>
              <w:jc w:val="both"/>
              <w:rPr>
                <w:rFonts w:ascii="宋体" w:hAnsi="宋体" w:cs="宋体" w:eastAsia="宋体" w:hint="default"/>
                <w:sz w:val="18"/>
                <w:szCs w:val="18"/>
              </w:rPr>
            </w:pPr>
            <w:r>
              <w:rPr>
                <w:rFonts w:ascii="宋体" w:hAnsi="宋体" w:cs="宋体" w:eastAsia="宋体" w:hint="default"/>
                <w:spacing w:val="10"/>
                <w:sz w:val="18"/>
                <w:szCs w:val="18"/>
              </w:rPr>
              <w:t>公司上市以来主</w:t>
            </w:r>
            <w:r>
              <w:rPr>
                <w:rFonts w:ascii="宋体" w:hAnsi="宋体" w:cs="宋体" w:eastAsia="宋体" w:hint="default"/>
                <w:sz w:val="18"/>
                <w:szCs w:val="18"/>
              </w:rPr>
              <w:t> </w:t>
            </w:r>
            <w:r>
              <w:rPr>
                <w:rFonts w:ascii="宋体" w:hAnsi="宋体" w:cs="宋体" w:eastAsia="宋体" w:hint="default"/>
                <w:spacing w:val="10"/>
                <w:sz w:val="18"/>
                <w:szCs w:val="18"/>
              </w:rPr>
              <w:t>营业务的变化情</w:t>
            </w:r>
            <w:r>
              <w:rPr>
                <w:rFonts w:ascii="宋体" w:hAnsi="宋体" w:cs="宋体" w:eastAsia="宋体" w:hint="default"/>
                <w:sz w:val="18"/>
                <w:szCs w:val="18"/>
              </w:rPr>
              <w:t> 况（如有）</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日，公司经营范围为</w:t>
            </w:r>
            <w:r>
              <w:rPr>
                <w:rFonts w:ascii="Times New Roman" w:hAnsi="Times New Roman" w:cs="Times New Roman" w:eastAsia="Times New Roman" w:hint="default"/>
                <w:sz w:val="18"/>
                <w:szCs w:val="18"/>
              </w:rPr>
              <w:t>“</w:t>
            </w:r>
            <w:r>
              <w:rPr>
                <w:rFonts w:ascii="宋体" w:hAnsi="宋体" w:cs="宋体" w:eastAsia="宋体" w:hint="default"/>
                <w:sz w:val="18"/>
                <w:szCs w:val="18"/>
              </w:rPr>
              <w:t>电缆分支箱、环网柜等相关电力配网设备、电力电缆附件等高 分子绝缘材料及相关制品的生产；高分子绝缘材料，电工器材的购销；经营进口业务；自有产品的 售后服务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9" w:lineRule="auto" w:before="46"/>
              <w:ind w:left="103"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高低压电器、高低压成套开关设备、箱式变电站、电力自动 化产品、跌落式熔断器、柱上开关、柱上断路器、管母线等相关电力配网设备的生产、销售及施工 服务；聚酰亚胺纤维、纳米纤维、薄膜、树脂及复合材料的综合研究开发及相关材料购销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43"/>
              <w:ind w:left="103" w:right="27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股权投资、资产管理、投资咨询；物业投资、物业经营、物 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9" w:lineRule="auto" w:before="53"/>
              <w:ind w:left="103" w:right="398"/>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智能配电、新能源汽车充电桩产业链、工业自动化及控 制、信息与安防监控系统、智能二次设备、电力网络信息安全系统技术开发、产品研制及工程集 成；电网与工控安全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9" w:lineRule="auto" w:before="46"/>
              <w:ind w:left="103" w:right="2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电动汽车充电设备设计研发、生产、销售；新能源汽车充 电设施运营；新能源汽车充换电站规划设计、建设；离网、并网光伏电站的建设和运营；储能系统 </w:t>
            </w:r>
            <w:r>
              <w:rPr>
                <w:rFonts w:ascii="宋体" w:hAnsi="宋体" w:cs="宋体" w:eastAsia="宋体" w:hint="default"/>
                <w:spacing w:val="-3"/>
                <w:sz w:val="18"/>
                <w:szCs w:val="18"/>
              </w:rPr>
              <w:t>设备研发制造及运营；动力电池回收；汽车租赁（不含金融租赁）；有形动产设备租赁服务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TableParagraph"/>
              <w:spacing w:line="309" w:lineRule="auto" w:before="43"/>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日，公司完成现金收购哆可梦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股权，哆可梦成为公司控股子公司，哆可梦主 要从事基于大数据精细化营销的流量经营业务和移动游戏的研发、发行及游戏平台的运营业务，公 司增加互联网文化娱乐产业；</w:t>
            </w:r>
          </w:p>
          <w:p>
            <w:pPr>
              <w:pStyle w:val="TableParagraph"/>
              <w:spacing w:line="309" w:lineRule="auto" w:before="65"/>
              <w:ind w:left="10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日，公司经营范围增加“智能设备及软件、机器人及零部件、机器人系统、机器人应 </w:t>
            </w:r>
            <w:r>
              <w:rPr>
                <w:rFonts w:ascii="宋体" w:hAnsi="宋体" w:cs="宋体" w:eastAsia="宋体" w:hint="default"/>
                <w:spacing w:val="-4"/>
                <w:sz w:val="18"/>
                <w:szCs w:val="18"/>
              </w:rPr>
              <w:t>用技术、软件产品、无人驾驶物流车整体技术、中低速无人驾驶系统、无人驾驶物流车的研发、设计、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生产、销售、咨询及服务”。</w:t>
            </w:r>
          </w:p>
        </w:tc>
      </w:tr>
      <w:tr>
        <w:trPr>
          <w:trHeight w:val="1106" w:hRule="exact"/>
        </w:trPr>
        <w:tc>
          <w:tcPr>
            <w:tcW w:w="15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4" w:lineRule="auto" w:before="49"/>
              <w:ind w:left="104" w:right="10"/>
              <w:jc w:val="left"/>
              <w:rPr>
                <w:rFonts w:ascii="宋体" w:hAnsi="宋体" w:cs="宋体" w:eastAsia="宋体" w:hint="default"/>
                <w:sz w:val="18"/>
                <w:szCs w:val="18"/>
              </w:rPr>
            </w:pPr>
            <w:r>
              <w:rPr>
                <w:rFonts w:ascii="宋体" w:hAnsi="宋体" w:cs="宋体" w:eastAsia="宋体" w:hint="default"/>
                <w:spacing w:val="10"/>
                <w:sz w:val="18"/>
                <w:szCs w:val="18"/>
              </w:rPr>
              <w:t>历次控股股东的</w:t>
            </w:r>
            <w:r>
              <w:rPr>
                <w:rFonts w:ascii="宋体" w:hAnsi="宋体" w:cs="宋体" w:eastAsia="宋体" w:hint="default"/>
                <w:sz w:val="18"/>
                <w:szCs w:val="18"/>
              </w:rPr>
              <w:t> </w:t>
            </w:r>
            <w:r>
              <w:rPr>
                <w:rFonts w:ascii="宋体" w:hAnsi="宋体" w:cs="宋体" w:eastAsia="宋体" w:hint="default"/>
                <w:spacing w:val="-2"/>
                <w:sz w:val="18"/>
                <w:szCs w:val="18"/>
              </w:rPr>
              <w:t>变更情况（如有）</w:t>
            </w:r>
          </w:p>
        </w:tc>
        <w:tc>
          <w:tcPr>
            <w:tcW w:w="8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日，公司控股股东兼实际控制人为吕晓义、何平、任金生；</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日，公司控股股东兼实际控制人为何平、任金生；</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日至今，公司控股股东为中驰惠程，实际控制人为汪超涌、李亦非。</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五、其他有关资料</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63"/>
        <w:gridCol w:w="6906"/>
      </w:tblGrid>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上海市威海路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 </w:t>
            </w:r>
            <w:r>
              <w:rPr>
                <w:rFonts w:ascii="宋体" w:hAnsi="宋体" w:cs="宋体" w:eastAsia="宋体" w:hint="default"/>
                <w:sz w:val="18"/>
                <w:szCs w:val="18"/>
              </w:rPr>
              <w:t>号文新报业大厦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张晓荣、唐慧珏</w:t>
            </w:r>
          </w:p>
        </w:tc>
      </w:tr>
    </w:tbl>
    <w:p>
      <w:pPr>
        <w:pStyle w:val="BodyText"/>
        <w:spacing w:line="240" w:lineRule="auto" w:before="49"/>
        <w:ind w:right="0"/>
        <w:jc w:val="left"/>
      </w:pPr>
      <w:r>
        <w:rPr/>
        <w:t>公司聘请的报告期内履行持续督导职责的保荐机构</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855"/>
        <w:gridCol w:w="1932"/>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上海市黄浦区广东路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彭成浩、李希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943"/>
        <w:gridCol w:w="1594"/>
        <w:gridCol w:w="1560"/>
        <w:gridCol w:w="1738"/>
        <w:gridCol w:w="1735"/>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1,092,321,442.57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1,898,158,382.53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373,172,726.25</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134,997,926.83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336,389,804.53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-107,607,635.77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137,568,478.64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261,472,491.31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-115,438,310.62</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-267,042,882.90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308,950,003.63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-5,470,546.80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3,526,620,391.08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3,701,460,497.85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3,234,129,192.61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1,923,429,539.99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1,943,899,800.92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1,349,637,156.94</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七、境内外会计准则下会计数据差异</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112"/>
        <w:gridCol w:w="1558"/>
        <w:gridCol w:w="1418"/>
        <w:gridCol w:w="1277"/>
        <w:gridCol w:w="1205"/>
      </w:tblGrid>
      <w:tr>
        <w:trPr>
          <w:trHeight w:val="39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221,860,514.47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1" w:right="0"/>
              <w:jc w:val="left"/>
              <w:rPr>
                <w:rFonts w:ascii="Times New Roman" w:hAnsi="Times New Roman" w:cs="Times New Roman" w:eastAsia="Times New Roman" w:hint="default"/>
                <w:sz w:val="18"/>
                <w:szCs w:val="18"/>
              </w:rPr>
            </w:pPr>
            <w:r>
              <w:rPr>
                <w:rFonts w:ascii="Times New Roman"/>
                <w:sz w:val="18"/>
              </w:rPr>
              <w:t>215,228,789.69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239,696,656.45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415,535,481.96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26,596,218.40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30,628,416.40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40,360,799.46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37,412,492.57</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25,260,541.31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30,506,185.81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40,102,998.77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41,698,752.75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-132,995,439.10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-78,340,045.19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-20,575,184.96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-35,132,213.65</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exact"/>
        <w:ind w:right="0"/>
        <w:jc w:val="left"/>
      </w:pPr>
      <w:r>
        <w:rPr>
          <w:rFonts w:ascii="Microsoft JhengHei" w:hAnsi="Microsoft JhengHei" w:cs="Microsoft JhengHei" w:eastAsia="Microsoft JhengHei" w:hint="default"/>
          <w:b/>
          <w:bCs/>
        </w:rPr>
        <w:t>备注：</w:t>
      </w:r>
      <w:r>
        <w:rPr>
          <w:rFonts w:ascii="Times New Roman" w:hAnsi="Times New Roman" w:cs="Times New Roman" w:eastAsia="Times New Roman" w:hint="default"/>
        </w:rPr>
        <w:t>(1)</w:t>
      </w:r>
      <w:r>
        <w:rPr/>
        <w:t>报告期内，控股子公司哆可梦自研游戏产品和代理游戏产品的上线时间表有所推迟，业务规模下降，收入减少，</w:t>
      </w:r>
    </w:p>
    <w:p>
      <w:pPr>
        <w:pStyle w:val="BodyText"/>
        <w:spacing w:line="309" w:lineRule="auto" w:before="56"/>
        <w:ind w:right="1125"/>
        <w:jc w:val="left"/>
      </w:pPr>
      <w:r>
        <w:rPr/>
        <w:t>与此同时，面对报告期内游戏行业竞争加剧、买量市场持续升温的竞争态势，为了保持行业竞争地位、紧跟行业发展趋 势、积极布局未来业务，哆可梦</w:t>
      </w:r>
      <w:r>
        <w:rPr>
          <w:spacing w:val="-46"/>
        </w:rPr>
        <w:t> </w:t>
      </w:r>
      <w:r>
        <w:rPr>
          <w:rFonts w:ascii="Times New Roman" w:hAnsi="Times New Roman" w:cs="Times New Roman" w:eastAsia="Times New Roman" w:hint="default"/>
        </w:rPr>
        <w:t>2019 </w:t>
      </w:r>
      <w:r>
        <w:rPr/>
        <w:t>年在互联网流量资源等方面保持较高的投入力度，从而导致报告期内公司经营活动产 生的现金净流量与本年度净利润存在较大差异；</w:t>
      </w:r>
    </w:p>
    <w:p>
      <w:pPr>
        <w:pStyle w:val="BodyText"/>
        <w:spacing w:line="240" w:lineRule="auto" w:before="65"/>
        <w:ind w:right="0"/>
        <w:jc w:val="left"/>
      </w:pPr>
      <w:r>
        <w:rPr/>
        <w:t>（</w:t>
      </w:r>
      <w:r>
        <w:rPr>
          <w:rFonts w:ascii="Times New Roman" w:hAnsi="Times New Roman" w:cs="Times New Roman" w:eastAsia="Times New Roman" w:hint="default"/>
        </w:rPr>
        <w:t>2</w:t>
      </w:r>
      <w:r>
        <w:rPr/>
        <w:t>）公司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年第四季度的营业收入高于前三季度主要系上市公司游戏业务的重磅产品在</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年第四季度陆续上线，并</w:t>
      </w:r>
    </w:p>
    <w:p>
      <w:pPr>
        <w:pStyle w:val="BodyText"/>
        <w:spacing w:line="300" w:lineRule="auto" w:before="63"/>
        <w:ind w:right="1218"/>
        <w:jc w:val="left"/>
      </w:pPr>
      <w:r>
        <w:rPr/>
        <w:t>且推广发行效果较好，整体收入有所提升。而</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年第四季度的净利润水平环比</w:t>
      </w:r>
      <w:r>
        <w:rPr>
          <w:spacing w:val="-47"/>
        </w:rPr>
        <w:t> </w:t>
      </w:r>
      <w:r>
        <w:rPr>
          <w:rFonts w:ascii="Times New Roman" w:hAnsi="Times New Roman" w:cs="Times New Roman" w:eastAsia="Times New Roman" w:hint="default"/>
        </w:rPr>
        <w:t>2019 </w:t>
      </w:r>
      <w:r>
        <w:rPr/>
        <w:t>年第三季度有所下降主要系上市公 司游戏业务的重磅产品在大推期间推广费支出较多，发行成本较高。</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296"/>
        <w:gridCol w:w="1241"/>
        <w:gridCol w:w="1275"/>
        <w:gridCol w:w="1277"/>
        <w:gridCol w:w="248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-311,125.50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84,966,767.30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1,800,087.98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6,229,569.68</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3,863,955.89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712,443.23</w:t>
            </w:r>
          </w:p>
        </w:tc>
        <w:tc>
          <w:tcPr>
            <w:tcW w:w="248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4"/>
              <w:jc w:val="both"/>
              <w:rPr>
                <w:rFonts w:ascii="宋体" w:hAnsi="宋体" w:cs="宋体" w:eastAsia="宋体" w:hint="default"/>
                <w:sz w:val="18"/>
                <w:szCs w:val="18"/>
              </w:rPr>
            </w:pPr>
            <w:r>
              <w:rPr>
                <w:rFonts w:ascii="宋体" w:hAnsi="宋体" w:cs="宋体" w:eastAsia="宋体" w:hint="default"/>
                <w:sz w:val="18"/>
                <w:szCs w:val="18"/>
              </w:rPr>
              <w:t>主要系符合地方政府招商引资 等地方性扶持政策而获得的补 助、增值税进项税加计扣除及 个税返还所致</w:t>
            </w:r>
          </w:p>
        </w:tc>
      </w:tr>
      <w:tr>
        <w:trPr>
          <w:trHeight w:val="1015"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241"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-19,177.50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-11,571,380.61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6,690,989.32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4"/>
              <w:jc w:val="left"/>
              <w:rPr>
                <w:rFonts w:ascii="宋体" w:hAnsi="宋体" w:cs="宋体" w:eastAsia="宋体" w:hint="default"/>
                <w:sz w:val="18"/>
                <w:szCs w:val="18"/>
              </w:rPr>
            </w:pPr>
            <w:r>
              <w:rPr>
                <w:rFonts w:ascii="宋体" w:hAnsi="宋体" w:cs="宋体" w:eastAsia="宋体" w:hint="default"/>
                <w:sz w:val="18"/>
                <w:szCs w:val="18"/>
              </w:rPr>
              <w:t>主要系报告期内公司所持投资 性房地产估值降低所致</w:t>
            </w: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73,885.42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-305,793.53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556,406.82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2,307,762.36</w:t>
            </w:r>
          </w:p>
        </w:tc>
        <w:tc>
          <w:tcPr>
            <w:tcW w:w="1275"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480" w:type="dxa"/>
            <w:vMerge w:val="restart"/>
            <w:tcBorders>
              <w:top w:val="single" w:sz="4" w:space="0" w:color="000000"/>
              <w:left w:val="single" w:sz="4" w:space="0" w:color="000000"/>
              <w:right w:val="single" w:sz="4" w:space="0" w:color="000000"/>
            </w:tcBorders>
          </w:tcPr>
          <w:p>
            <w:pPr>
              <w:pStyle w:val="TableParagraph"/>
              <w:spacing w:line="297"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主要系冲回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年计提的企 业所得税所致</w:t>
            </w:r>
          </w:p>
        </w:tc>
      </w:tr>
      <w:tr>
        <w:trPr>
          <w:trHeight w:val="391"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41"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-3,101,862.45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13,144,004.26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1,906,979.66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2,401,125.61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284,112.18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3,095.34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-2,570,551.81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74,917,313.22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7,830,674.85</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121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835"/>
        <w:gridCol w:w="1555"/>
        <w:gridCol w:w="5178"/>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惠程本部、惠程智能股权投资、理 财产品收益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20,072,470.87</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公司理财业务属于经常性业务，未来将持续进行，收益可持续且 稳定；符合经常性损益与主营业务相关且持续稳定的特性。</w:t>
            </w:r>
          </w:p>
        </w:tc>
      </w:tr>
      <w:tr>
        <w:trPr>
          <w:trHeight w:val="133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99"/>
              <w:jc w:val="left"/>
              <w:rPr>
                <w:rFonts w:ascii="宋体" w:hAnsi="宋体" w:cs="宋体" w:eastAsia="宋体" w:hint="default"/>
                <w:sz w:val="18"/>
                <w:szCs w:val="18"/>
              </w:rPr>
            </w:pPr>
            <w:r>
              <w:rPr>
                <w:rFonts w:ascii="宋体" w:hAnsi="宋体" w:cs="宋体" w:eastAsia="宋体" w:hint="default"/>
                <w:sz w:val="18"/>
                <w:szCs w:val="18"/>
              </w:rPr>
              <w:t>北京中汇联银、中汇联鑫、喀什中 汇联银证券、股权、理财投资收益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3,885,027.15</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2"/>
              <w:jc w:val="both"/>
              <w:rPr>
                <w:rFonts w:ascii="宋体" w:hAnsi="宋体" w:cs="宋体" w:eastAsia="宋体" w:hint="default"/>
                <w:sz w:val="18"/>
                <w:szCs w:val="18"/>
              </w:rPr>
            </w:pPr>
            <w:r>
              <w:rPr>
                <w:rFonts w:ascii="宋体" w:hAnsi="宋体" w:cs="宋体" w:eastAsia="宋体" w:hint="default"/>
                <w:sz w:val="18"/>
                <w:szCs w:val="18"/>
              </w:rPr>
              <w:t>北京中汇联银、中汇联鑫、喀什中汇联银作为公司设立的专门投 资业务平台，主要从事投资类业务，证券、股权、理财投资系三 家子公司经常性发生的业务，具有持续性；符合经常性损益与主 营业务相关且持续稳定的特性。</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25" w:right="0"/>
        <w:jc w:val="left"/>
        <w:rPr>
          <w:b w:val="0"/>
          <w:bCs w:val="0"/>
        </w:rPr>
      </w:pPr>
      <w:bookmarkStart w:name="_bookmark2" w:id="3"/>
      <w:bookmarkEnd w:id="3"/>
      <w:r>
        <w:rPr>
          <w:b w:val="0"/>
          <w:bCs w:val="0"/>
        </w:rPr>
      </w:r>
      <w:r>
        <w:rPr/>
        <w:t>第三节公司业务概要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57" w:lineRule="auto" w:before="103"/>
        <w:ind w:left="513" w:right="1253"/>
        <w:jc w:val="left"/>
      </w:pPr>
      <w:r>
        <w:rPr/>
        <w:t>（一）报告期内公司所从事的主要业务情况 报告期内，公司继续坚持产业经营与资本运营协同发展的经营发展方向，形成</w:t>
      </w:r>
      <w:r>
        <w:rPr>
          <w:rFonts w:ascii="Times New Roman" w:hAnsi="Times New Roman" w:cs="Times New Roman" w:eastAsia="Times New Roman" w:hint="default"/>
        </w:rPr>
        <w:t>“</w:t>
      </w:r>
      <w:r>
        <w:rPr/>
        <w:t>互联网游戏</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并参与</w:t>
      </w:r>
    </w:p>
    <w:p>
      <w:pPr>
        <w:pStyle w:val="BodyText"/>
        <w:spacing w:line="214" w:lineRule="exact"/>
        <w:ind w:right="0"/>
        <w:jc w:val="left"/>
      </w:pPr>
      <w:r>
        <w:rPr>
          <w:rFonts w:ascii="Times New Roman" w:hAnsi="Times New Roman" w:cs="Times New Roman" w:eastAsia="Times New Roman" w:hint="default"/>
        </w:rPr>
        <w:t>“</w:t>
      </w:r>
      <w:r>
        <w:rPr/>
        <w:t>投资</w:t>
      </w:r>
      <w:r>
        <w:rPr>
          <w:rFonts w:ascii="Times New Roman" w:hAnsi="Times New Roman" w:cs="Times New Roman" w:eastAsia="Times New Roman" w:hint="default"/>
        </w:rPr>
        <w:t>”</w:t>
      </w:r>
      <w:r>
        <w:rPr/>
        <w:t>的多业务板块支撑格局。</w:t>
      </w:r>
    </w:p>
    <w:p>
      <w:pPr>
        <w:pStyle w:val="BodyText"/>
        <w:spacing w:line="307" w:lineRule="auto" w:before="103"/>
        <w:ind w:right="1169" w:firstLine="360"/>
        <w:jc w:val="left"/>
      </w:pPr>
      <w:r>
        <w:rPr/>
        <w:t>公司互联网游戏业务以控股子公司哆可梦为核心载体，从事基于大数据精细化营销的流量经营业务和移动游戏的研 发、发行及游戏平台的运营等业务。哆可梦拥有完善的网络游戏发行渠道，坚持精细营销策略，自建移动互联网流量平台 提供手机娱乐资讯、产品下载、客户服务，旗下拥有</w:t>
      </w:r>
      <w:r>
        <w:rPr>
          <w:rFonts w:ascii="Times New Roman" w:hAnsi="Times New Roman" w:cs="Times New Roman" w:eastAsia="Times New Roman" w:hint="default"/>
        </w:rPr>
        <w:t>9187.cn</w:t>
      </w:r>
      <w:r>
        <w:rPr/>
        <w:t>（国内）和</w:t>
      </w:r>
      <w:r>
        <w:rPr>
          <w:rFonts w:ascii="Times New Roman" w:hAnsi="Times New Roman" w:cs="Times New Roman" w:eastAsia="Times New Roman" w:hint="default"/>
        </w:rPr>
        <w:t>YahGame</w:t>
      </w:r>
      <w:r>
        <w:rPr/>
        <w:t>（海外）两大游戏运营平台，全面覆盖海 内外移动互联网用户。与此同时，哆可梦坚持</w:t>
      </w:r>
      <w:r>
        <w:rPr>
          <w:rFonts w:ascii="Times New Roman" w:hAnsi="Times New Roman" w:cs="Times New Roman" w:eastAsia="Times New Roman" w:hint="default"/>
        </w:rPr>
        <w:t>“</w:t>
      </w:r>
      <w:r>
        <w:rPr/>
        <w:t>研运一体</w:t>
      </w:r>
      <w:r>
        <w:rPr>
          <w:rFonts w:ascii="Times New Roman" w:hAnsi="Times New Roman" w:cs="Times New Roman" w:eastAsia="Times New Roman" w:hint="default"/>
        </w:rPr>
        <w:t>”</w:t>
      </w:r>
      <w:r>
        <w:rPr/>
        <w:t>和原创精品战略，旗下拥有优秀的游戏研发和数字创意团队，成 功开发和运营《浩天奇缘</w:t>
      </w:r>
      <w:r>
        <w:rPr>
          <w:rFonts w:ascii="Times New Roman" w:hAnsi="Times New Roman" w:cs="Times New Roman" w:eastAsia="Times New Roman" w:hint="default"/>
        </w:rPr>
        <w:t>II</w:t>
      </w:r>
      <w:r>
        <w:rPr/>
        <w:t>》、《文明曙光》、《天使圣域》、《斗罗大陆神界传说》、《神话大陆》、《爆破三国》等 数十款数字娱乐产品，产品类型覆盖</w:t>
      </w:r>
      <w:r>
        <w:rPr>
          <w:rFonts w:ascii="Times New Roman" w:hAnsi="Times New Roman" w:cs="Times New Roman" w:eastAsia="Times New Roman" w:hint="default"/>
        </w:rPr>
        <w:t>MMORPG</w:t>
      </w:r>
      <w:r>
        <w:rPr/>
        <w:t>、</w:t>
      </w:r>
      <w:r>
        <w:rPr>
          <w:rFonts w:ascii="Times New Roman" w:hAnsi="Times New Roman" w:cs="Times New Roman" w:eastAsia="Times New Roman" w:hint="default"/>
        </w:rPr>
        <w:t>2D</w:t>
      </w:r>
      <w:r>
        <w:rPr/>
        <w:t>卡牌、</w:t>
      </w:r>
      <w:r>
        <w:rPr>
          <w:rFonts w:ascii="Times New Roman" w:hAnsi="Times New Roman" w:cs="Times New Roman" w:eastAsia="Times New Roman" w:hint="default"/>
        </w:rPr>
        <w:t>3D</w:t>
      </w:r>
      <w:r>
        <w:rPr/>
        <w:t>动作</w:t>
      </w:r>
      <w:r>
        <w:rPr>
          <w:rFonts w:ascii="Times New Roman" w:hAnsi="Times New Roman" w:cs="Times New Roman" w:eastAsia="Times New Roman" w:hint="default"/>
        </w:rPr>
        <w:t>RPG</w:t>
      </w:r>
      <w:r>
        <w:rPr/>
        <w:t>、</w:t>
      </w:r>
      <w:r>
        <w:rPr>
          <w:rFonts w:ascii="Times New Roman" w:hAnsi="Times New Roman" w:cs="Times New Roman" w:eastAsia="Times New Roman" w:hint="default"/>
        </w:rPr>
        <w:t>SLG</w:t>
      </w:r>
      <w:r>
        <w:rPr/>
        <w:t>等，产品内容涉及东方玄幻、西方魔幻以及 异次元文化等，多个作品荣获国家民族网游工程大奖。</w:t>
      </w:r>
    </w:p>
    <w:p>
      <w:pPr>
        <w:pStyle w:val="BodyText"/>
        <w:spacing w:line="307" w:lineRule="auto" w:before="67"/>
        <w:ind w:right="1174" w:firstLine="360"/>
        <w:jc w:val="left"/>
      </w:pPr>
      <w:r>
        <w:rPr/>
        <w:t>公司高端智能制造业务以电气设备业务为基础，跨足布局现代智能机器人、</w:t>
      </w:r>
      <w:r>
        <w:rPr>
          <w:rFonts w:ascii="Times New Roman" w:hAnsi="Times New Roman" w:cs="Times New Roman" w:eastAsia="Times New Roman" w:hint="default"/>
        </w:rPr>
        <w:t>3D</w:t>
      </w:r>
      <w:r>
        <w:rPr/>
        <w:t>打印领域。公司电气设备业务主要产品 包括智能成套开关设备、全密闭绝缘中低压电缆分接箱、电缆对接箱、硅橡胶电缆附件、可分离连接器、外置母线连接 器、避雷器、电气接点防护罩等硅橡胶绝缘制品、</w:t>
      </w:r>
      <w:r>
        <w:rPr>
          <w:rFonts w:ascii="Times New Roman" w:hAnsi="Times New Roman" w:cs="Times New Roman" w:eastAsia="Times New Roman" w:hint="default"/>
        </w:rPr>
        <w:t>APG</w:t>
      </w:r>
      <w:r>
        <w:rPr/>
        <w:t>环氧树脂产品、管型母线、</w:t>
      </w:r>
      <w:r>
        <w:rPr>
          <w:rFonts w:ascii="Times New Roman" w:hAnsi="Times New Roman" w:cs="Times New Roman" w:eastAsia="Times New Roman" w:hint="default"/>
        </w:rPr>
        <w:t>SMC</w:t>
      </w:r>
      <w:r>
        <w:rPr/>
        <w:t>电气设备箱体等，公司主打产品以 新型高分子电气绝缘材料技术为核心，具有高可靠、全密闭、全绝缘、小型化的特点，产品整体技术性能及质量稳定可 靠。通过规范化的发展，公司电气设备业务在质量、环境、安全等体系中进行持续改进，为企业的发展规模的提升和经济 效益的增长奠定了良好的基础。此外，自</w:t>
      </w:r>
      <w:r>
        <w:rPr>
          <w:rFonts w:ascii="Times New Roman" w:hAnsi="Times New Roman" w:cs="Times New Roman" w:eastAsia="Times New Roman" w:hint="default"/>
        </w:rPr>
        <w:t>2018</w:t>
      </w:r>
      <w:r>
        <w:rPr/>
        <w:t>年起，公司通过投资无人配送机器人项目并获取生产制造权，以此为基础布 局智能机器人生产制造，报告期内公司又积极筹划投资国际知名</w:t>
      </w:r>
      <w:r>
        <w:rPr>
          <w:rFonts w:ascii="Times New Roman" w:hAnsi="Times New Roman" w:cs="Times New Roman" w:eastAsia="Times New Roman" w:hint="default"/>
        </w:rPr>
        <w:t>3D</w:t>
      </w:r>
      <w:r>
        <w:rPr/>
        <w:t>打印公司并成为其国内产业化的首选制造商，加快对高 端智能制造领域的深度开拓和发展。</w:t>
      </w:r>
    </w:p>
    <w:p>
      <w:pPr>
        <w:pStyle w:val="BodyText"/>
        <w:spacing w:line="316" w:lineRule="auto" w:before="64"/>
        <w:ind w:right="1231" w:firstLine="360"/>
        <w:jc w:val="both"/>
      </w:pPr>
      <w:r>
        <w:rPr/>
        <w:t>公司投资业务主要涵盖以资金管理和运用为主的理财产品投资、证券投资和股权投资。为提升公司盈利能力，积极探 索和尝试以自身或参与的产业并购基金等为主体、以公司发展战略为导向、围绕公司高端智能制造和互联网游戏开展的外 延式发展，以投资推动公司产业转型与升级并助力被投企业的发展，实现公司与被投企业的双赢。</w:t>
      </w:r>
    </w:p>
    <w:p>
      <w:pPr>
        <w:pStyle w:val="BodyText"/>
        <w:spacing w:line="240" w:lineRule="auto" w:before="59"/>
        <w:ind w:left="513" w:right="0"/>
        <w:jc w:val="left"/>
      </w:pPr>
      <w:r>
        <w:rPr/>
        <w:t>（二）报告期内公司所属行业情况</w:t>
      </w:r>
    </w:p>
    <w:p>
      <w:pPr>
        <w:spacing w:line="297" w:lineRule="auto" w:before="117"/>
        <w:ind w:left="513" w:right="6433" w:firstLine="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报告期内公司所属行业均不具有明显周期性特点。 </w:t>
      </w:r>
      <w:r>
        <w:rPr>
          <w:rFonts w:ascii="Microsoft JhengHei" w:hAnsi="Microsoft JhengHei" w:cs="Microsoft JhengHei" w:eastAsia="Microsoft JhengHei" w:hint="default"/>
          <w:b/>
          <w:bCs/>
          <w:sz w:val="18"/>
          <w:szCs w:val="18"/>
        </w:rPr>
        <w:t>互联网游戏行业：</w:t>
      </w:r>
      <w:r>
        <w:rPr>
          <w:rFonts w:ascii="Microsoft JhengHei" w:hAnsi="Microsoft JhengHei" w:cs="Microsoft JhengHei" w:eastAsia="Microsoft JhengHei" w:hint="default"/>
          <w:sz w:val="18"/>
          <w:szCs w:val="18"/>
        </w:rPr>
      </w:r>
    </w:p>
    <w:p>
      <w:pPr>
        <w:pStyle w:val="BodyText"/>
        <w:spacing w:line="307" w:lineRule="auto" w:before="39"/>
        <w:ind w:right="1215" w:firstLine="360"/>
        <w:jc w:val="both"/>
      </w:pPr>
      <w:r>
        <w:rPr/>
        <w:t>政策层面，</w:t>
      </w:r>
      <w:r>
        <w:rPr>
          <w:rFonts w:ascii="Times New Roman" w:hAnsi="Times New Roman" w:cs="Times New Roman" w:eastAsia="Times New Roman" w:hint="default"/>
        </w:rPr>
        <w:t>2016</w:t>
      </w:r>
      <w:r>
        <w:rPr/>
        <w:t>年开始，随着广电总局发布《关于移动游戏出版服务管理的通知》，开始限制版号，到</w:t>
      </w:r>
      <w:r>
        <w:rPr>
          <w:rFonts w:ascii="Times New Roman" w:hAnsi="Times New Roman" w:cs="Times New Roman" w:eastAsia="Times New Roman" w:hint="default"/>
        </w:rPr>
        <w:t>2018</w:t>
      </w:r>
      <w:r>
        <w:rPr/>
        <w:t>年，先是 原国家新闻出版广电总局发布《游戏申报审批重要事项通知》宣布游戏版号申报暂停，接着教育部等部门颁布《综合防控 儿童青少年近视实施方案》宣布将实施网络游戏总量调控，还有国务院印发《完善促进消费体制机制实施方案》声明将推 进网络游戏转型升级和规范网络游戏研发出版运营，</w:t>
      </w:r>
      <w:r>
        <w:rPr>
          <w:rFonts w:ascii="Times New Roman" w:hAnsi="Times New Roman" w:cs="Times New Roman" w:eastAsia="Times New Roman" w:hint="default"/>
        </w:rPr>
        <w:t>2018</w:t>
      </w:r>
      <w:r>
        <w:rPr/>
        <w:t>年底网络游戏道德委员会成立，总体来说，现阶段互联网游戏行 业处于完善整改阶段，政策监管上行、体系制度逐渐完善。与此同时，根据中国音像与数字出版协会发布的《</w:t>
      </w:r>
      <w:r>
        <w:rPr>
          <w:rFonts w:ascii="Times New Roman" w:hAnsi="Times New Roman" w:cs="Times New Roman" w:eastAsia="Times New Roman" w:hint="default"/>
        </w:rPr>
        <w:t>2019</w:t>
      </w:r>
      <w:r>
        <w:rPr/>
        <w:t>中国游 戏产业报告》，</w:t>
      </w:r>
      <w:r>
        <w:rPr>
          <w:rFonts w:ascii="Times New Roman" w:hAnsi="Times New Roman" w:cs="Times New Roman" w:eastAsia="Times New Roman" w:hint="default"/>
        </w:rPr>
        <w:t>2019</w:t>
      </w:r>
      <w:r>
        <w:rPr/>
        <w:t>年中国游戏市场实际销售收入</w:t>
      </w:r>
      <w:r>
        <w:rPr>
          <w:rFonts w:ascii="Times New Roman" w:hAnsi="Times New Roman" w:cs="Times New Roman" w:eastAsia="Times New Roman" w:hint="default"/>
        </w:rPr>
        <w:t>2,308.8</w:t>
      </w:r>
      <w:r>
        <w:rPr/>
        <w:t>亿元，同比增长</w:t>
      </w:r>
      <w:r>
        <w:rPr>
          <w:rFonts w:ascii="Times New Roman" w:hAnsi="Times New Roman" w:cs="Times New Roman" w:eastAsia="Times New Roman" w:hint="default"/>
        </w:rPr>
        <w:t>7.7%</w:t>
      </w:r>
      <w:r>
        <w:rPr/>
        <w:t>，其中移动游戏实际销售收入</w:t>
      </w:r>
      <w:r>
        <w:rPr>
          <w:rFonts w:ascii="Times New Roman" w:hAnsi="Times New Roman" w:cs="Times New Roman" w:eastAsia="Times New Roman" w:hint="default"/>
        </w:rPr>
        <w:t>1,581.1</w:t>
      </w:r>
      <w:r>
        <w:rPr/>
        <w:t>亿元， 同比增长</w:t>
      </w:r>
      <w:r>
        <w:rPr>
          <w:rFonts w:ascii="Times New Roman" w:hAnsi="Times New Roman" w:cs="Times New Roman" w:eastAsia="Times New Roman" w:hint="default"/>
        </w:rPr>
        <w:t>18.0%</w:t>
      </w:r>
      <w:r>
        <w:rPr/>
        <w:t>，因此报告期内中国移动游戏继续保持较快增长，拉动国内游戏市场稳步扩展。</w:t>
      </w:r>
    </w:p>
    <w:p>
      <w:pPr>
        <w:pStyle w:val="BodyText"/>
        <w:spacing w:line="304" w:lineRule="auto" w:before="48"/>
        <w:ind w:right="1214" w:firstLine="360"/>
        <w:jc w:val="left"/>
      </w:pPr>
      <w:r>
        <w:rPr/>
        <w:t>报告期内公司游戏业务实现营业收入</w:t>
      </w:r>
      <w:r>
        <w:rPr>
          <w:rFonts w:ascii="Times New Roman" w:hAnsi="Times New Roman" w:cs="Times New Roman" w:eastAsia="Times New Roman" w:hint="default"/>
        </w:rPr>
        <w:t>7.84</w:t>
      </w:r>
      <w:r>
        <w:rPr/>
        <w:t>亿元，以上述《</w:t>
      </w:r>
      <w:r>
        <w:rPr>
          <w:rFonts w:ascii="Times New Roman" w:hAnsi="Times New Roman" w:cs="Times New Roman" w:eastAsia="Times New Roman" w:hint="default"/>
        </w:rPr>
        <w:t>2019</w:t>
      </w:r>
      <w:r>
        <w:rPr/>
        <w:t>年中国游戏产业报告》移动游戏市场实际销售收入 </w:t>
      </w:r>
      <w:r>
        <w:rPr>
          <w:rFonts w:ascii="Times New Roman" w:hAnsi="Times New Roman" w:cs="Times New Roman" w:eastAsia="Times New Roman" w:hint="default"/>
        </w:rPr>
        <w:t>1,581.1</w:t>
      </w:r>
      <w:r>
        <w:rPr/>
        <w:t>亿元为基数，公司游戏业务的市场占有率约为</w:t>
      </w:r>
      <w:r>
        <w:rPr>
          <w:rFonts w:ascii="Times New Roman" w:hAnsi="Times New Roman" w:cs="Times New Roman" w:eastAsia="Times New Roman" w:hint="default"/>
        </w:rPr>
        <w:t>0.50%</w:t>
      </w:r>
      <w:r>
        <w:rPr/>
        <w:t>。面对行业的激烈竞争和政策面的严要求，报告期内公司及哆 可梦继续坚持游戏运营的合规性，注重提高自身产品研发实力、严格筛选引入产品的品质，保证所运营游戏产品符合国家 的监管要求和价值理念，按照自身发展战略和计划进行运营以保持持续发展能力。自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月版号审批重启以来，截止 本报告披露日，哆可梦已获得十数款游戏版号。</w:t>
      </w:r>
    </w:p>
    <w:p>
      <w:pPr>
        <w:spacing w:after="0" w:line="304" w:lineRule="auto"/>
        <w:jc w:val="left"/>
        <w:sectPr>
          <w:footerReference w:type="default" r:id="rId14"/>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Heading4"/>
        <w:spacing w:line="300" w:lineRule="exact"/>
        <w:ind w:right="0"/>
        <w:jc w:val="left"/>
        <w:rPr>
          <w:b w:val="0"/>
          <w:bCs w:val="0"/>
        </w:rPr>
      </w:pPr>
      <w:r>
        <w:rPr/>
        <w:t>高端智能制造行业：</w:t>
      </w:r>
      <w:r>
        <w:rPr>
          <w:b w:val="0"/>
          <w:bCs w:val="0"/>
        </w:rPr>
      </w:r>
    </w:p>
    <w:p>
      <w:pPr>
        <w:pStyle w:val="BodyText"/>
        <w:spacing w:line="314" w:lineRule="auto" w:before="97"/>
        <w:ind w:right="1214" w:firstLine="360"/>
        <w:jc w:val="left"/>
      </w:pPr>
      <w:r>
        <w:rPr/>
        <w:t>报告期内传统电力电气行业面临更多挑战，国家电网的重点规划推动整个行业向泛在电力物联网方向前进。鉴于风能 发电、光伏发电等新能源高比例接入电网，系统电力电子化等电网形态变化，影响到电网安全稳定运行；受电力市场开 放、降低输配电价、电量增长减速等因素影响，电气业务市场竞争日趋激烈，同时互联网经济、数字经济等社会经济形态 发生变化，通过平台对接匹配供需双方，打造双边市场，也对传统电力行业带来巨大挑战。随着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月国家电网提出</w:t>
      </w:r>
      <w:r>
        <w:rPr>
          <w:spacing w:val="-86"/>
        </w:rPr>
        <w:t> </w:t>
      </w:r>
      <w:r>
        <w:rPr>
          <w:rFonts w:ascii="Times New Roman" w:hAnsi="Times New Roman" w:cs="Times New Roman" w:eastAsia="Times New Roman" w:hint="default"/>
        </w:rPr>
        <w:t>“</w:t>
      </w:r>
      <w:r>
        <w:rPr/>
        <w:t>泛在电力物联网</w:t>
      </w:r>
      <w:r>
        <w:rPr>
          <w:rFonts w:ascii="Times New Roman" w:hAnsi="Times New Roman" w:cs="Times New Roman" w:eastAsia="Times New Roman" w:hint="default"/>
        </w:rPr>
        <w:t>”</w:t>
      </w:r>
      <w:r>
        <w:rPr/>
        <w:t>建设规划，未来五年，泛在电力物联网将是国家电网投资的重心所在。</w:t>
      </w:r>
    </w:p>
    <w:p>
      <w:pPr>
        <w:pStyle w:val="BodyText"/>
        <w:spacing w:line="300" w:lineRule="auto" w:before="39"/>
        <w:ind w:right="1180" w:firstLine="360"/>
        <w:jc w:val="both"/>
      </w:pPr>
      <w:r>
        <w:rPr/>
        <w:t>经历</w:t>
      </w:r>
      <w:r>
        <w:rPr>
          <w:rFonts w:ascii="Times New Roman" w:hAnsi="Times New Roman" w:cs="Times New Roman" w:eastAsia="Times New Roman" w:hint="default"/>
        </w:rPr>
        <w:t>20</w:t>
      </w:r>
      <w:r>
        <w:rPr/>
        <w:t>年的稳定发展，公司已经成为电网体系内知名的配网成套设备及绝缘材料提供商，与国内外知名企业（</w:t>
      </w:r>
      <w:r>
        <w:rPr>
          <w:rFonts w:ascii="Times New Roman" w:hAnsi="Times New Roman" w:cs="Times New Roman" w:eastAsia="Times New Roman" w:hint="default"/>
        </w:rPr>
        <w:t>ABB</w:t>
      </w:r>
      <w:r>
        <w:rPr/>
        <w:t>、 中国西电、</w:t>
      </w:r>
      <w:r>
        <w:rPr>
          <w:rFonts w:ascii="Times New Roman" w:hAnsi="Times New Roman" w:cs="Times New Roman" w:eastAsia="Times New Roman" w:hint="default"/>
        </w:rPr>
        <w:t>BYD</w:t>
      </w:r>
      <w:r>
        <w:rPr/>
        <w:t>、施耐德等）建立了长期合作关系，公司将继续推进原有的电气设备业务发展，加大对配电设备一二次融 合</w:t>
      </w:r>
      <w:r>
        <w:rPr>
          <w:rFonts w:ascii="Times New Roman" w:hAnsi="Times New Roman" w:cs="Times New Roman" w:eastAsia="Times New Roman" w:hint="default"/>
        </w:rPr>
        <w:t>/</w:t>
      </w:r>
      <w:r>
        <w:rPr/>
        <w:t>智能成套产品的研发力度，继续借助</w:t>
      </w:r>
      <w:r>
        <w:rPr>
          <w:rFonts w:ascii="Times New Roman" w:hAnsi="Times New Roman" w:cs="Times New Roman" w:eastAsia="Times New Roman" w:hint="default"/>
        </w:rPr>
        <w:t>20</w:t>
      </w:r>
      <w:r>
        <w:rPr/>
        <w:t>年电气行业的深厚技术和客户资源，抓住电气设备智能化和信息化的泛在电力物 联网创新发展机遇，夯实电气业务基础并实现向高端智能制造领域的战略转型。</w:t>
      </w:r>
    </w:p>
    <w:p>
      <w:pPr>
        <w:pStyle w:val="BodyText"/>
        <w:spacing w:line="314" w:lineRule="auto" w:before="15"/>
        <w:ind w:left="513" w:right="1233"/>
        <w:jc w:val="left"/>
      </w:pPr>
      <w:r>
        <w:rPr>
          <w:rFonts w:ascii="Microsoft JhengHei" w:hAnsi="Microsoft JhengHei" w:cs="Microsoft JhengHei" w:eastAsia="Microsoft JhengHei" w:hint="default"/>
          <w:b/>
          <w:bCs/>
        </w:rPr>
        <w:t>投资行业： </w:t>
      </w:r>
      <w:r>
        <w:rPr/>
        <w:t>报告期内证券投资行情出现明显波动，股权投资市场持续降温，理财投资市场则呈现</w:t>
      </w:r>
      <w:r>
        <w:rPr>
          <w:rFonts w:ascii="Times New Roman" w:hAnsi="Times New Roman" w:cs="Times New Roman" w:eastAsia="Times New Roman" w:hint="default"/>
        </w:rPr>
        <w:t>“</w:t>
      </w:r>
      <w:r>
        <w:rPr/>
        <w:t>量价齐跌</w:t>
      </w:r>
      <w:r>
        <w:rPr>
          <w:rFonts w:ascii="Times New Roman" w:hAnsi="Times New Roman" w:cs="Times New Roman" w:eastAsia="Times New Roman" w:hint="default"/>
        </w:rPr>
        <w:t>”</w:t>
      </w:r>
      <w:r>
        <w:rPr/>
        <w:t>的态势。</w:t>
      </w:r>
      <w:r>
        <w:rPr>
          <w:rFonts w:ascii="Times New Roman" w:hAnsi="Times New Roman" w:cs="Times New Roman" w:eastAsia="Times New Roman" w:hint="default"/>
        </w:rPr>
        <w:t>2019</w:t>
      </w:r>
      <w:r>
        <w:rPr/>
        <w:t>年在不</w:t>
      </w:r>
    </w:p>
    <w:p>
      <w:pPr>
        <w:pStyle w:val="BodyText"/>
        <w:spacing w:line="304" w:lineRule="auto" w:before="1"/>
        <w:ind w:right="1164"/>
        <w:jc w:val="left"/>
      </w:pPr>
      <w:r>
        <w:rPr/>
        <w:t>断分化的过程中，证券投资市场展现出结构性牛市特征；因资管新规落地、</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IPO</w:t>
      </w:r>
      <w:r>
        <w:rPr/>
        <w:t>企业数量大幅下降、港股</w:t>
      </w:r>
      <w:r>
        <w:rPr>
          <w:rFonts w:ascii="Times New Roman" w:hAnsi="Times New Roman" w:cs="Times New Roman" w:eastAsia="Times New Roman" w:hint="default"/>
        </w:rPr>
        <w:t>IPO</w:t>
      </w:r>
      <w:r>
        <w:rPr/>
        <w:t>企业大量 </w:t>
      </w:r>
      <w:r>
        <w:rPr>
          <w:rFonts w:ascii="Times New Roman" w:hAnsi="Times New Roman" w:cs="Times New Roman" w:eastAsia="Times New Roman" w:hint="default"/>
        </w:rPr>
        <w:t>“</w:t>
      </w:r>
      <w:r>
        <w:rPr/>
        <w:t>破发</w:t>
      </w:r>
      <w:r>
        <w:rPr>
          <w:rFonts w:ascii="Times New Roman" w:hAnsi="Times New Roman" w:cs="Times New Roman" w:eastAsia="Times New Roman" w:hint="default"/>
        </w:rPr>
        <w:t>”</w:t>
      </w:r>
      <w:r>
        <w:rPr/>
        <w:t>等因素，股权投资市场增量资金下滑，风险意识增强，但科创板及试点注册制的试行、</w:t>
      </w:r>
      <w:r>
        <w:rPr>
          <w:rFonts w:ascii="Times New Roman" w:hAnsi="Times New Roman" w:cs="Times New Roman" w:eastAsia="Times New Roman" w:hint="default"/>
        </w:rPr>
        <w:t>H</w:t>
      </w:r>
      <w:r>
        <w:rPr/>
        <w:t>股全流通政策的落地和生 物制药</w:t>
      </w:r>
      <w:r>
        <w:rPr>
          <w:rFonts w:ascii="Times New Roman" w:hAnsi="Times New Roman" w:cs="Times New Roman" w:eastAsia="Times New Roman" w:hint="default"/>
        </w:rPr>
        <w:t>/</w:t>
      </w:r>
      <w:r>
        <w:rPr/>
        <w:t>技术新规的推出使得股权投资市场拥有了新的价值投资退出渠道，一、二级市场估值价差将会减少，企业内生的成 长性将是未来股权投资的核心，也将带来了新一轮科技创新领域的投资机会；受资管新规、银行理财新规、货币政策相对 宽松等因素的影响，理财投资市场不但发行产品的银行家数、发行产品数量减少，平均理财收益率也持续下降。</w:t>
      </w:r>
    </w:p>
    <w:p>
      <w:pPr>
        <w:pStyle w:val="BodyText"/>
        <w:spacing w:line="316" w:lineRule="auto" w:before="66"/>
        <w:ind w:right="1214" w:firstLine="360"/>
        <w:jc w:val="left"/>
      </w:pPr>
      <w:r>
        <w:rPr/>
        <w:t>面对投资业务相关行情变化，报告期内公司重点加强投资业务的风险管控，适度下调证券投资额度，降低证券投资频 率，谋求投资业务的持续稳定发展。</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419"/>
        <w:gridCol w:w="8150"/>
      </w:tblGrid>
      <w:tr>
        <w:trPr>
          <w:trHeight w:val="186"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1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vMerge/>
            <w:tcBorders>
              <w:left w:val="single" w:sz="4" w:space="0" w:color="000000"/>
              <w:right w:val="single" w:sz="4" w:space="0" w:color="000000"/>
            </w:tcBorders>
            <w:shd w:val="clear" w:color="auto" w:fill="D2D2D2"/>
          </w:tcPr>
          <w:p>
            <w:pPr/>
          </w:p>
        </w:tc>
        <w:tc>
          <w:tcPr>
            <w:tcW w:w="81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1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11,715.17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万元，主要系报告期内对外投资增加所致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966.93 </w:t>
            </w:r>
            <w:r>
              <w:rPr>
                <w:rFonts w:ascii="宋体" w:hAnsi="宋体" w:cs="宋体" w:eastAsia="宋体" w:hint="default"/>
                <w:sz w:val="18"/>
                <w:szCs w:val="18"/>
              </w:rPr>
              <w:t>万元，主要系报告期内正常摊销所致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222.96 </w:t>
            </w:r>
            <w:r>
              <w:rPr>
                <w:rFonts w:ascii="宋体" w:hAnsi="宋体" w:cs="宋体" w:eastAsia="宋体" w:hint="default"/>
                <w:sz w:val="18"/>
                <w:szCs w:val="18"/>
              </w:rPr>
              <w:t>万元，主要系报告期内自研专利技术项目结项转入所致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708.55 </w:t>
            </w:r>
            <w:r>
              <w:rPr>
                <w:rFonts w:ascii="宋体" w:hAnsi="宋体" w:cs="宋体" w:eastAsia="宋体" w:hint="default"/>
                <w:sz w:val="18"/>
                <w:szCs w:val="18"/>
              </w:rPr>
              <w:t>万元，主要系报告期内装修项目结转长期待摊所致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49,903.51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万元，主要系报告期内购买理财产品、增加对外投资以及归还中航信托部分贷款 所致</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1,274.47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万元，主要系报告期内正常结算所致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26,280.26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万元，主要系报告期内控股子公司哆可梦预付互联网流量费用（广告投放）增加 所致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万元，主要系报告期内收回爱酷游诚意金及收回处置北京信中利赞信股权投资中 </w:t>
            </w:r>
            <w:r>
              <w:rPr>
                <w:rFonts w:ascii="宋体" w:hAnsi="宋体" w:cs="宋体" w:eastAsia="宋体" w:hint="default"/>
                <w:spacing w:val="-3"/>
                <w:w w:val="100"/>
                <w:sz w:val="18"/>
                <w:szCs w:val="18"/>
              </w:rPr>
              <w:t>心（有限合伙）（以下简称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信中利赞信基金</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）出资份额全部剩余款项所致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808.99 </w:t>
            </w:r>
            <w:r>
              <w:rPr>
                <w:rFonts w:ascii="宋体" w:hAnsi="宋体" w:cs="宋体" w:eastAsia="宋体" w:hint="default"/>
                <w:sz w:val="18"/>
                <w:szCs w:val="18"/>
              </w:rPr>
              <w:t>万元，主要系报告期内公司认购中航信托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信托业保障基金以及融资租赁保证金到期 由长期应收款科目转入所致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9,548.43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万元，主要系报告期因会计政策变更导致理财产品投资核算由本科目转出所致</w:t>
            </w:r>
          </w:p>
        </w:tc>
      </w:tr>
    </w:tbl>
    <w:p>
      <w:pPr>
        <w:spacing w:after="0" w:line="240" w:lineRule="auto"/>
        <w:jc w:val="left"/>
        <w:rPr>
          <w:rFonts w:ascii="宋体" w:hAnsi="宋体" w:cs="宋体" w:eastAsia="宋体" w:hint="default"/>
          <w:sz w:val="18"/>
          <w:szCs w:val="18"/>
        </w:rPr>
        <w:sectPr>
          <w:footerReference w:type="default" r:id="rId15"/>
          <w:pgSz w:w="11910" w:h="16840"/>
          <w:pgMar w:footer="980" w:header="745"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1419"/>
        <w:gridCol w:w="8150"/>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25,938.10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万元，主要系报告期内公司增加理财产品投资且因公司会计政策变更导致理财产 品投资由其他流动资产科目转入本科目核算所致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380.01 </w:t>
            </w:r>
            <w:r>
              <w:rPr>
                <w:rFonts w:ascii="宋体" w:hAnsi="宋体" w:cs="宋体" w:eastAsia="宋体" w:hint="default"/>
                <w:sz w:val="18"/>
                <w:szCs w:val="18"/>
              </w:rPr>
              <w:t>万元，主要系研发项目结项转入无形资产所致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8,771.69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万元，主要系报告期内公司咨询顾问费增加所致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1,028.84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万元，主要系报告期内可抵扣亏损增加所致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645.74 </w:t>
            </w:r>
            <w:r>
              <w:rPr>
                <w:rFonts w:ascii="宋体" w:hAnsi="宋体" w:cs="宋体" w:eastAsia="宋体" w:hint="default"/>
                <w:sz w:val="18"/>
                <w:szCs w:val="18"/>
              </w:rPr>
              <w:t>万元，主要系报告期内的游戏达到摊销条件开始摊销且预付服务费减少所致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24,312.85 </w:t>
            </w:r>
            <w:r>
              <w:rPr>
                <w:rFonts w:ascii="宋体" w:hAnsi="宋体" w:cs="宋体" w:eastAsia="宋体" w:hint="default"/>
                <w:sz w:val="18"/>
                <w:szCs w:val="18"/>
              </w:rPr>
              <w:t>万元，主要系报告期内收到中航信托发放的贷款所致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17,886.67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万元，主要系报告期内控股子公司哆可梦产品上线时间推迟、业务规模下降、收 入减少所致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165.65 </w:t>
            </w:r>
            <w:r>
              <w:rPr>
                <w:rFonts w:ascii="宋体" w:hAnsi="宋体" w:cs="宋体" w:eastAsia="宋体" w:hint="default"/>
                <w:sz w:val="18"/>
                <w:szCs w:val="18"/>
              </w:rPr>
              <w:t>万元，主要系报告期内正常结算所致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万元，主要系报告期内缴纳及冲回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年度计提增值税、所得税费用以及收入下 降所致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9,138.91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万元，主要系报告期内支付限制性股票回购款所致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21,229.06 </w:t>
            </w:r>
            <w:r>
              <w:rPr>
                <w:rFonts w:ascii="宋体" w:hAnsi="宋体" w:cs="宋体" w:eastAsia="宋体" w:hint="default"/>
                <w:sz w:val="18"/>
                <w:szCs w:val="18"/>
              </w:rPr>
              <w:t>万元，主要系报告期内归还中航信托贷款所致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26,975.00 </w:t>
            </w:r>
            <w:r>
              <w:rPr>
                <w:rFonts w:ascii="宋体" w:hAnsi="宋体" w:cs="宋体" w:eastAsia="宋体" w:hint="default"/>
                <w:sz w:val="18"/>
                <w:szCs w:val="18"/>
              </w:rPr>
              <w:t>万元，主要系报告期内增加工行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亿长期贷款所致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17,486.41 </w:t>
            </w:r>
            <w:r>
              <w:rPr>
                <w:rFonts w:ascii="宋体" w:hAnsi="宋体" w:cs="宋体" w:eastAsia="宋体" w:hint="default"/>
                <w:sz w:val="18"/>
                <w:szCs w:val="18"/>
              </w:rPr>
              <w:t>万元，主要系报告期内会计科目调整到一年内到期的非流动负债所致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149.64 </w:t>
            </w:r>
            <w:r>
              <w:rPr>
                <w:rFonts w:ascii="宋体" w:hAnsi="宋体" w:cs="宋体" w:eastAsia="宋体" w:hint="default"/>
                <w:sz w:val="18"/>
                <w:szCs w:val="18"/>
              </w:rPr>
              <w:t>万元，主要系报告期内控股子公司哆可梦以前年度已充值未消费的金币在本报告期 内被消费进而确认收入所致</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461.50 </w:t>
            </w:r>
            <w:r>
              <w:rPr>
                <w:rFonts w:ascii="宋体" w:hAnsi="宋体" w:cs="宋体" w:eastAsia="宋体" w:hint="default"/>
                <w:sz w:val="18"/>
                <w:szCs w:val="18"/>
              </w:rPr>
              <w:t>万元，主要系报告期内投资性房地产公允价值变动收益降低所致</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left="513" w:right="1213"/>
        <w:jc w:val="left"/>
      </w:pPr>
      <w:r>
        <w:rPr/>
        <w:t>报告期内公司核心竞争力没有发生变化。 公司互联网游戏业务的核心竞争力在于拥有经验丰富、勇于创新的互联网游戏行业团队和用户认知度高、活跃度高的</w:t>
      </w:r>
    </w:p>
    <w:p>
      <w:pPr>
        <w:pStyle w:val="BodyText"/>
        <w:spacing w:line="224" w:lineRule="exact"/>
        <w:ind w:right="0"/>
        <w:jc w:val="left"/>
      </w:pPr>
      <w:r>
        <w:rPr/>
        <w:t>自有平台。控股子公司哆可梦下属研发团队的大部分专业人员曾任职于腾讯、盛大、完美世界、巨人等行业知名游戏制作</w:t>
      </w:r>
    </w:p>
    <w:p>
      <w:pPr>
        <w:pStyle w:val="BodyText"/>
        <w:spacing w:line="302" w:lineRule="auto" w:before="76"/>
        <w:ind w:right="1174"/>
        <w:jc w:val="left"/>
      </w:pPr>
      <w:r>
        <w:rPr/>
        <w:t>公司，核心负责人员从事游戏行业近</w:t>
      </w:r>
      <w:r>
        <w:rPr>
          <w:rFonts w:ascii="Times New Roman" w:hAnsi="Times New Roman" w:cs="Times New Roman" w:eastAsia="Times New Roman" w:hint="default"/>
        </w:rPr>
        <w:t>10</w:t>
      </w:r>
      <w:r>
        <w:rPr/>
        <w:t>年，均有完整从事端游、页游和手机游戏制作的成功经验；发行团队专业人员曾任 职于腾讯、网易等知名游戏公司，核心负责人员具有</w:t>
      </w:r>
      <w:r>
        <w:rPr>
          <w:rFonts w:ascii="Times New Roman" w:hAnsi="Times New Roman" w:cs="Times New Roman" w:eastAsia="Times New Roman" w:hint="default"/>
        </w:rPr>
        <w:t>10</w:t>
      </w:r>
      <w:r>
        <w:rPr/>
        <w:t>年以上游戏行业从业经验，均有完整从事端游、页游和手机游戏发 行的成功经验。同时哆可梦拥有面向国内市场的</w:t>
      </w:r>
      <w:r>
        <w:rPr>
          <w:rFonts w:ascii="Times New Roman" w:hAnsi="Times New Roman" w:cs="Times New Roman" w:eastAsia="Times New Roman" w:hint="default"/>
        </w:rPr>
        <w:t>9187.cn</w:t>
      </w:r>
      <w:r>
        <w:rPr/>
        <w:t>、面向全球市场的</w:t>
      </w:r>
      <w:r>
        <w:rPr>
          <w:rFonts w:ascii="Times New Roman" w:hAnsi="Times New Roman" w:cs="Times New Roman" w:eastAsia="Times New Roman" w:hint="default"/>
        </w:rPr>
        <w:t>Yahgame</w:t>
      </w:r>
      <w:r>
        <w:rPr/>
        <w:t>游戏运营平台，</w:t>
      </w:r>
      <w:r>
        <w:rPr>
          <w:rFonts w:ascii="Times New Roman" w:hAnsi="Times New Roman" w:cs="Times New Roman" w:eastAsia="Times New Roman" w:hint="default"/>
        </w:rPr>
        <w:t>9187.cn</w:t>
      </w:r>
      <w:r>
        <w:rPr/>
        <w:t>自</w:t>
      </w:r>
      <w:r>
        <w:rPr>
          <w:rFonts w:ascii="Times New Roman" w:hAnsi="Times New Roman" w:cs="Times New Roman" w:eastAsia="Times New Roman" w:hint="default"/>
        </w:rPr>
        <w:t>2016</w:t>
      </w:r>
      <w:r>
        <w:rPr/>
        <w:t>年成立至 今已跃居国内一线手游发行平台，其流量聚合能力、变现能力均处于国内同行领先地位，同期海外游戏运营平台</w:t>
      </w:r>
      <w:r>
        <w:rPr>
          <w:rFonts w:ascii="Times New Roman" w:hAnsi="Times New Roman" w:cs="Times New Roman" w:eastAsia="Times New Roman" w:hint="default"/>
        </w:rPr>
        <w:t>Yahgame </w:t>
      </w:r>
      <w:r>
        <w:rPr/>
        <w:t>在海外也具有较高的用户知名度和行业影响力。优秀的行业团队和自有平台结合哆可梦自主开发的可对所运营游戏进行实 时数据监控的游戏数据分析平台</w:t>
      </w:r>
      <w:r>
        <w:rPr>
          <w:rFonts w:ascii="Times New Roman" w:hAnsi="Times New Roman" w:cs="Times New Roman" w:eastAsia="Times New Roman" w:hint="default"/>
        </w:rPr>
        <w:t>GM</w:t>
      </w:r>
      <w:r>
        <w:rPr>
          <w:rFonts w:ascii="Times New Roman" w:hAnsi="Times New Roman" w:cs="Times New Roman" w:eastAsia="Times New Roman" w:hint="default"/>
          <w:spacing w:val="-1"/>
        </w:rPr>
        <w:t> </w:t>
      </w:r>
      <w:r>
        <w:rPr>
          <w:rFonts w:ascii="Times New Roman" w:hAnsi="Times New Roman" w:cs="Times New Roman" w:eastAsia="Times New Roman" w:hint="default"/>
        </w:rPr>
        <w:t>Tool</w:t>
      </w:r>
      <w:r>
        <w:rPr/>
        <w:t>，通过优秀的数据分析能力实现精准市场投放，建立了以数据为基础、以用户行 为为导向的精细化运营体系，从而成功打造</w:t>
      </w:r>
      <w:r>
        <w:rPr>
          <w:rFonts w:ascii="Times New Roman" w:hAnsi="Times New Roman" w:cs="Times New Roman" w:eastAsia="Times New Roman" w:hint="default"/>
        </w:rPr>
        <w:t>“</w:t>
      </w:r>
      <w:r>
        <w:rPr/>
        <w:t>自研为主、精品代理、精准流量运营</w:t>
      </w:r>
      <w:r>
        <w:rPr>
          <w:rFonts w:ascii="Times New Roman" w:hAnsi="Times New Roman" w:cs="Times New Roman" w:eastAsia="Times New Roman" w:hint="default"/>
        </w:rPr>
        <w:t>”</w:t>
      </w:r>
      <w:r>
        <w:rPr/>
        <w:t>的立体发行模式。</w:t>
      </w:r>
    </w:p>
    <w:p>
      <w:pPr>
        <w:pStyle w:val="BodyText"/>
        <w:spacing w:line="309" w:lineRule="auto" w:before="52"/>
        <w:ind w:right="1230" w:firstLine="360"/>
        <w:jc w:val="both"/>
      </w:pPr>
      <w:r>
        <w:rPr/>
        <w:t>公司电气业务的核心竞争力在于拥有配电设备行业</w:t>
      </w:r>
      <w:r>
        <w:rPr>
          <w:rFonts w:ascii="Times New Roman" w:hAnsi="Times New Roman" w:cs="Times New Roman" w:eastAsia="Times New Roman" w:hint="default"/>
        </w:rPr>
        <w:t>20</w:t>
      </w:r>
      <w:r>
        <w:rPr/>
        <w:t>年的产品、技术及市场沉淀，具备配网全套产品制造能力，具备 金融、供应商、渠道商等转型所需的平台整合能力，具备营销、制造、研发、客户、管理团队等完整的人才体系。在聚焦 公司传统电力业务之外，公司积极与清华大学、华北电力大学、华中科技大学等科研单位开展深入交流与合作，不断提升</w:t>
      </w:r>
    </w:p>
    <w:p>
      <w:pPr>
        <w:spacing w:after="0" w:line="309" w:lineRule="auto"/>
        <w:jc w:val="both"/>
        <w:sectPr>
          <w:footerReference w:type="default" r:id="rId16"/>
          <w:pgSz w:w="11910" w:h="16840"/>
          <w:pgMar w:footer="980" w:header="745" w:top="1060" w:bottom="1160" w:left="980" w:right="0"/>
          <w:pgNumType w:start="2"/>
        </w:sectPr>
      </w:pPr>
    </w:p>
    <w:p>
      <w:pPr>
        <w:spacing w:line="240" w:lineRule="auto" w:before="9"/>
        <w:rPr>
          <w:rFonts w:ascii="宋体" w:hAnsi="宋体" w:cs="宋体" w:eastAsia="宋体" w:hint="default"/>
          <w:sz w:val="25"/>
          <w:szCs w:val="25"/>
        </w:rPr>
      </w:pPr>
    </w:p>
    <w:p>
      <w:pPr>
        <w:pStyle w:val="BodyText"/>
        <w:spacing w:line="319" w:lineRule="auto" w:before="44"/>
        <w:ind w:right="1214"/>
        <w:jc w:val="left"/>
      </w:pPr>
      <w:r>
        <w:rPr/>
        <w:t>自身持续创新能力，主动向智能电网和高端智能技术、产品和制造领域拓展和转型，已跨足布局智能机器人领域并开始小 批量生产无人配送机器人。</w:t>
      </w:r>
    </w:p>
    <w:p>
      <w:pPr>
        <w:pStyle w:val="BodyText"/>
        <w:spacing w:line="316" w:lineRule="auto" w:before="58"/>
        <w:ind w:right="1231" w:firstLine="360"/>
        <w:jc w:val="both"/>
      </w:pPr>
      <w:r>
        <w:rPr/>
        <w:t>此外，公司拥有完善的管理体系和专业的管理团队。公司以精益生产为目标不断完善内部管理体系，提升内部运营效 率、减少浪费并严格控制经营费用；公司专业管理团队在把握行业发展趋势、严控产品质量、提高精细化管理水平、形成 企业凝聚力方面积累了丰富的经验和较高的管理能力，有力地推动了公司产品和服务的升级及业务领域的拓展。</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045" w:right="0"/>
        <w:jc w:val="left"/>
        <w:rPr>
          <w:b w:val="0"/>
          <w:bCs w:val="0"/>
        </w:rPr>
      </w:pPr>
      <w:bookmarkStart w:name="_bookmark3" w:id="4"/>
      <w:bookmarkEnd w:id="4"/>
      <w:r>
        <w:rPr>
          <w:b w:val="0"/>
          <w:bCs w:val="0"/>
        </w:rPr>
      </w:r>
      <w:r>
        <w:rPr/>
        <w:t>第四节经营情况讨论与分析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124" w:firstLine="360"/>
        <w:jc w:val="left"/>
      </w:pPr>
      <w:r>
        <w:rPr/>
        <w:t>报告期内公司注重高端智能制造和互联网游戏两大主营业务板块的进一步深化发展，积极探索借助投资业务助力两大 业务板块延伸发展并完善产业链条的发展道路，夯实双轮业绩驱动的产业基础。</w:t>
      </w:r>
      <w:r>
        <w:rPr>
          <w:rFonts w:ascii="Times New Roman" w:hAnsi="Times New Roman" w:cs="Times New Roman" w:eastAsia="Times New Roman" w:hint="default"/>
        </w:rPr>
        <w:t>2019</w:t>
      </w:r>
      <w:r>
        <w:rPr/>
        <w:t>年公司实现营业收入</w:t>
      </w:r>
      <w:r>
        <w:rPr>
          <w:rFonts w:ascii="Times New Roman" w:hAnsi="Times New Roman" w:cs="Times New Roman" w:eastAsia="Times New Roman" w:hint="default"/>
        </w:rPr>
        <w:t>109,232.14</w:t>
      </w:r>
      <w:r>
        <w:rPr/>
        <w:t>万元、 净利润</w:t>
      </w:r>
      <w:r>
        <w:rPr>
          <w:rFonts w:ascii="Times New Roman" w:hAnsi="Times New Roman" w:cs="Times New Roman" w:eastAsia="Times New Roman" w:hint="default"/>
        </w:rPr>
        <w:t>13,499.79</w:t>
      </w:r>
      <w:r>
        <w:rPr/>
        <w:t>万元，为公司未来的稳健发展奠定了坚实基础。</w:t>
      </w:r>
    </w:p>
    <w:p>
      <w:pPr>
        <w:spacing w:line="312" w:lineRule="exact" w:before="4"/>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、及时调整游戏业务发展节奏，积极布局独立游戏和海内外市场</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pacing w:val="-29"/>
          <w:sz w:val="18"/>
          <w:szCs w:val="18"/>
        </w:rPr>
      </w:r>
      <w:r>
        <w:rPr>
          <w:rFonts w:ascii="宋体" w:hAnsi="宋体" w:cs="宋体" w:eastAsia="宋体" w:hint="default"/>
          <w:sz w:val="18"/>
          <w:szCs w:val="18"/>
        </w:rPr>
        <w:t>历经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年游戏版号冻结寒冬后，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年各家游戏公司集中推出新款游戏产品，行业竞争异常激烈，哆可梦及时调整</w:t>
      </w:r>
    </w:p>
    <w:p>
      <w:pPr>
        <w:pStyle w:val="BodyText"/>
        <w:spacing w:line="307" w:lineRule="auto" w:before="39"/>
        <w:ind w:right="1214"/>
        <w:jc w:val="left"/>
      </w:pPr>
      <w:r>
        <w:rPr/>
        <w:t>产品推广策略，加大对自研游戏产品的版本优化和测试力度以及对代理游戏产品的精细化筛选程度，充分调研市场并利用 大数据敏锐把握用户需求变化，进一步提升产品品质。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月至本报告披露日，哆可梦及其子公司累计过审十数款游 戏版号，有多款游戏储备，为后续推出更多有质量、有内容、具有智能化和创新性的精品游戏做好充足准备。报告期内， 公司游戏业务实现净利润</w:t>
      </w:r>
      <w:r>
        <w:rPr>
          <w:rFonts w:ascii="Times New Roman" w:hAnsi="Times New Roman" w:cs="Times New Roman" w:eastAsia="Times New Roman" w:hint="default"/>
        </w:rPr>
        <w:t>26,503.25</w:t>
      </w:r>
      <w:r>
        <w:rPr/>
        <w:t>万元，其中哆可梦实现扣非后净利润</w:t>
      </w:r>
      <w:r>
        <w:rPr>
          <w:rFonts w:ascii="Times New Roman" w:hAnsi="Times New Roman" w:cs="Times New Roman" w:eastAsia="Times New Roman" w:hint="default"/>
        </w:rPr>
        <w:t>25,385.51</w:t>
      </w:r>
      <w:r>
        <w:rPr/>
        <w:t>万元，业绩承诺完成度达到</w:t>
      </w:r>
      <w:r>
        <w:rPr>
          <w:rFonts w:ascii="Times New Roman" w:hAnsi="Times New Roman" w:cs="Times New Roman" w:eastAsia="Times New Roman" w:hint="default"/>
        </w:rPr>
        <w:t>103.61%</w:t>
      </w:r>
      <w:r>
        <w:rPr/>
        <w:t>，经 减值测试，收购哆可梦形成的商誉在</w:t>
      </w:r>
      <w:r>
        <w:rPr>
          <w:rFonts w:ascii="Times New Roman" w:hAnsi="Times New Roman" w:cs="Times New Roman" w:eastAsia="Times New Roman" w:hint="default"/>
        </w:rPr>
        <w:t>2019</w:t>
      </w:r>
      <w:r>
        <w:rPr/>
        <w:t>年底未发生减值，不存在计提商誉减值准备的情形。此外，哆可梦</w:t>
      </w:r>
      <w:r>
        <w:rPr>
          <w:rFonts w:ascii="Times New Roman" w:hAnsi="Times New Roman" w:cs="Times New Roman" w:eastAsia="Times New Roman" w:hint="default"/>
        </w:rPr>
        <w:t>2017</w:t>
      </w:r>
      <w:r>
        <w:rPr/>
        <w:t>年度至 </w:t>
      </w:r>
      <w:r>
        <w:rPr>
          <w:rFonts w:ascii="Times New Roman" w:hAnsi="Times New Roman" w:cs="Times New Roman" w:eastAsia="Times New Roman" w:hint="default"/>
        </w:rPr>
        <w:t>2019</w:t>
      </w:r>
      <w:r>
        <w:rPr/>
        <w:t>年度累计实现扣非后净利润总和</w:t>
      </w:r>
      <w:r>
        <w:rPr>
          <w:rFonts w:ascii="Times New Roman" w:hAnsi="Times New Roman" w:cs="Times New Roman" w:eastAsia="Times New Roman" w:hint="default"/>
        </w:rPr>
        <w:t>72,509.68</w:t>
      </w:r>
      <w:r>
        <w:rPr/>
        <w:t>万元，大于</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年度承诺净利润总和</w:t>
      </w:r>
      <w:r>
        <w:rPr>
          <w:rFonts w:ascii="Times New Roman" w:hAnsi="Times New Roman" w:cs="Times New Roman" w:eastAsia="Times New Roman" w:hint="default"/>
        </w:rPr>
        <w:t>57,800</w:t>
      </w:r>
      <w:r>
        <w:rPr/>
        <w:t>万元，根据</w:t>
      </w:r>
      <w:r>
        <w:rPr>
          <w:rFonts w:ascii="Times New Roman" w:hAnsi="Times New Roman" w:cs="Times New Roman" w:eastAsia="Times New Roman" w:hint="default"/>
        </w:rPr>
        <w:t>2017</w:t>
      </w:r>
      <w:r>
        <w:rPr/>
        <w:t>年重 大资产重组方案相关承诺，公司应将该等超过部分净利润的</w:t>
      </w:r>
      <w:r>
        <w:rPr>
          <w:rFonts w:ascii="Times New Roman" w:hAnsi="Times New Roman" w:cs="Times New Roman" w:eastAsia="Times New Roman" w:hint="default"/>
        </w:rPr>
        <w:t>20%</w:t>
      </w:r>
      <w:r>
        <w:rPr/>
        <w:t>即</w:t>
      </w:r>
      <w:r>
        <w:rPr>
          <w:rFonts w:ascii="Times New Roman" w:hAnsi="Times New Roman" w:cs="Times New Roman" w:eastAsia="Times New Roman" w:hint="default"/>
        </w:rPr>
        <w:t>2,941.936</w:t>
      </w:r>
      <w:r>
        <w:rPr/>
        <w:t>万元作为哆可梦管理团队、核心人员的业绩奖 励，于哆可梦</w:t>
      </w:r>
      <w:r>
        <w:rPr>
          <w:rFonts w:ascii="Times New Roman" w:hAnsi="Times New Roman" w:cs="Times New Roman" w:eastAsia="Times New Roman" w:hint="default"/>
        </w:rPr>
        <w:t>2019</w:t>
      </w:r>
      <w:r>
        <w:rPr/>
        <w:t>年度《专项审核报告》公开披露之日起十个工作日内一次性以现金方式支付。鉴于惠程科技将在互联网 游戏领域持续进行战略布局，寇汉先生作为上市公司高管以及哆可梦的董事长、总经理，持续看好上市公司及哆可梦未来 的发展前景，为支持惠程科技的长远发展，分享上市公司未来发展的红利，经与哆可梦其他核心人员沟通，寇汉先生代表 哆可梦管理团队、核心人员已声明自愿放弃该笔超额业绩奖励。</w:t>
      </w:r>
    </w:p>
    <w:p>
      <w:pPr>
        <w:pStyle w:val="BodyText"/>
        <w:spacing w:line="309" w:lineRule="auto" w:before="67"/>
        <w:ind w:right="1214" w:firstLine="360"/>
        <w:jc w:val="left"/>
      </w:pPr>
      <w:r>
        <w:rPr/>
        <w:t>报告期内，公司通过充分调研分析，结合公司实际情况并顺应行业发展趋势，积极布局独立游戏和海内外市场。一方 面，公司筹划与游戏头部企业腾讯建立战略联盟，加入腾讯扶持独立游戏的</w:t>
      </w:r>
      <w:r>
        <w:rPr>
          <w:rFonts w:ascii="Times New Roman" w:hAnsi="Times New Roman" w:cs="Times New Roman" w:eastAsia="Times New Roman" w:hint="default"/>
        </w:rPr>
        <w:t>“</w:t>
      </w:r>
      <w:r>
        <w:rPr/>
        <w:t>翼计划</w:t>
      </w:r>
      <w:r>
        <w:rPr>
          <w:rFonts w:ascii="Times New Roman" w:hAnsi="Times New Roman" w:cs="Times New Roman" w:eastAsia="Times New Roman" w:hint="default"/>
        </w:rPr>
        <w:t>”</w:t>
      </w:r>
      <w:r>
        <w:rPr/>
        <w:t>，共同发力独立游戏市场，包括但不 限于共同投资项目、联合运营等，报告期内公司通过创投平台子公司喀什中汇联银投资了专注于数字全产业链营销、拥有 主力自媒体平台、在</w:t>
      </w:r>
      <w:r>
        <w:rPr>
          <w:rFonts w:ascii="Times New Roman" w:hAnsi="Times New Roman" w:cs="Times New Roman" w:eastAsia="Times New Roman" w:hint="default"/>
        </w:rPr>
        <w:t>Steam</w:t>
      </w:r>
      <w:r>
        <w:rPr/>
        <w:t>平台和</w:t>
      </w:r>
      <w:r>
        <w:rPr>
          <w:rFonts w:ascii="Times New Roman" w:hAnsi="Times New Roman" w:cs="Times New Roman" w:eastAsia="Times New Roman" w:hint="default"/>
        </w:rPr>
        <w:t>wegame</w:t>
      </w:r>
      <w:r>
        <w:rPr/>
        <w:t>平台发行代理游戏的新锐游戏发行公司北京芝士星球网络科技有限公司（以下简 称</w:t>
      </w:r>
      <w:r>
        <w:rPr>
          <w:rFonts w:ascii="Times New Roman" w:hAnsi="Times New Roman" w:cs="Times New Roman" w:eastAsia="Times New Roman" w:hint="default"/>
        </w:rPr>
        <w:t>“</w:t>
      </w:r>
      <w:r>
        <w:rPr/>
        <w:t>芝士星球</w:t>
      </w:r>
      <w:r>
        <w:rPr>
          <w:rFonts w:ascii="Times New Roman" w:hAnsi="Times New Roman" w:cs="Times New Roman" w:eastAsia="Times New Roman" w:hint="default"/>
        </w:rPr>
        <w:t>”</w:t>
      </w:r>
      <w:r>
        <w:rPr/>
        <w:t>），以项目投资方式对</w:t>
      </w:r>
      <w:r>
        <w:rPr>
          <w:rFonts w:ascii="Times New Roman" w:hAnsi="Times New Roman" w:cs="Times New Roman" w:eastAsia="Times New Roman" w:hint="default"/>
        </w:rPr>
        <w:t>“</w:t>
      </w:r>
      <w:r>
        <w:rPr/>
        <w:t>北京互联星梦科技有限公司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互联星梦</w:t>
      </w:r>
      <w:r>
        <w:rPr>
          <w:rFonts w:ascii="Times New Roman" w:hAnsi="Times New Roman" w:cs="Times New Roman" w:eastAsia="Times New Roman" w:hint="default"/>
        </w:rPr>
        <w:t>”</w:t>
      </w:r>
      <w:r>
        <w:rPr/>
        <w:t>）研发的游戏</w:t>
      </w:r>
      <w:r>
        <w:rPr>
          <w:rFonts w:ascii="Times New Roman" w:hAnsi="Times New Roman" w:cs="Times New Roman" w:eastAsia="Times New Roman" w:hint="default"/>
        </w:rPr>
        <w:t>“</w:t>
      </w:r>
      <w:r>
        <w:rPr/>
        <w:t>快到碗里来游戏软件</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进行投资，以实际行动支持国内独立游戏发展；另一方面，公司积极探索游戏出海模式，筹划在美国和日本设立全资或者 合资游戏研发、发行公司，作为海外游戏运作平台，负责将国内的独立游戏改编成本地语言和受欢迎的模式进行推广，同 时引进海外优质游戏</w:t>
      </w:r>
      <w:r>
        <w:rPr>
          <w:rFonts w:ascii="Times New Roman" w:hAnsi="Times New Roman" w:cs="Times New Roman" w:eastAsia="Times New Roman" w:hint="default"/>
        </w:rPr>
        <w:t>IP</w:t>
      </w:r>
      <w:r>
        <w:rPr/>
        <w:t>在国内产业化，截止报告期末，日本子公司链接世界株式会社已完成设立工作。</w:t>
      </w:r>
    </w:p>
    <w:p>
      <w:pPr>
        <w:pStyle w:val="Heading4"/>
        <w:spacing w:line="302" w:lineRule="exact"/>
        <w:ind w:right="0"/>
        <w:jc w:val="left"/>
        <w:rPr>
          <w:b w:val="0"/>
          <w:bCs w:val="0"/>
        </w:rPr>
      </w:pPr>
      <w:r>
        <w:rPr>
          <w:rFonts w:ascii="Times New Roman" w:hAnsi="Times New Roman" w:cs="Times New Roman" w:eastAsia="Times New Roman" w:hint="default"/>
        </w:rPr>
        <w:t>2</w:t>
      </w:r>
      <w:r>
        <w:rPr/>
        <w:t>、推进基础业务优化升级，深耕高端智能制造领域</w:t>
      </w:r>
      <w:r>
        <w:rPr>
          <w:b w:val="0"/>
          <w:bCs w:val="0"/>
        </w:rPr>
      </w:r>
    </w:p>
    <w:p>
      <w:pPr>
        <w:pStyle w:val="BodyText"/>
        <w:spacing w:line="307" w:lineRule="auto" w:before="96"/>
        <w:ind w:right="1144" w:firstLine="360"/>
        <w:jc w:val="left"/>
      </w:pPr>
      <w:r>
        <w:rPr/>
        <w:t>报告期内公司持续推进原有的电气设备业务在以新型高分子电气绝缘材料技术为特色核心优势的基础上发展，加大对 配电设备一二次融合</w:t>
      </w:r>
      <w:r>
        <w:rPr>
          <w:rFonts w:ascii="Times New Roman" w:hAnsi="Times New Roman" w:cs="Times New Roman" w:eastAsia="Times New Roman" w:hint="default"/>
        </w:rPr>
        <w:t>/</w:t>
      </w:r>
      <w:r>
        <w:rPr/>
        <w:t>智能成套产品的研发力度，继续借助</w:t>
      </w:r>
      <w:r>
        <w:rPr>
          <w:rFonts w:ascii="Times New Roman" w:hAnsi="Times New Roman" w:cs="Times New Roman" w:eastAsia="Times New Roman" w:hint="default"/>
        </w:rPr>
        <w:t>20</w:t>
      </w:r>
      <w:r>
        <w:rPr/>
        <w:t>年电气行业的深厚技术和客户资源，抓住电气设备智能化和信 息化的泛在电力物联网创新发展机遇，夯实电气业务基础并实现向高端智能制造领域的战略转型。与此同时，公司深入加 大对工业制造机器人的生产研发力度，并积极参与国际知名</w:t>
      </w:r>
      <w:r>
        <w:rPr>
          <w:rFonts w:ascii="Times New Roman" w:hAnsi="Times New Roman" w:cs="Times New Roman" w:eastAsia="Times New Roman" w:hint="default"/>
        </w:rPr>
        <w:t>3D</w:t>
      </w:r>
      <w:r>
        <w:rPr/>
        <w:t>打印公司</w:t>
      </w:r>
      <w:r>
        <w:rPr>
          <w:rFonts w:ascii="Times New Roman" w:hAnsi="Times New Roman" w:cs="Times New Roman" w:eastAsia="Times New Roman" w:hint="default"/>
        </w:rPr>
        <w:t>Xjet</w:t>
      </w:r>
      <w:r>
        <w:rPr/>
        <w:t>公司的</w:t>
      </w:r>
      <w:r>
        <w:rPr>
          <w:rFonts w:ascii="Times New Roman" w:hAnsi="Times New Roman" w:cs="Times New Roman" w:eastAsia="Times New Roman" w:hint="default"/>
        </w:rPr>
        <w:t>D</w:t>
      </w:r>
      <w:r>
        <w:rPr/>
        <w:t>轮融资事宜，就</w:t>
      </w:r>
      <w:r>
        <w:rPr>
          <w:rFonts w:ascii="Times New Roman" w:hAnsi="Times New Roman" w:cs="Times New Roman" w:eastAsia="Times New Roman" w:hint="default"/>
        </w:rPr>
        <w:t>Xjet</w:t>
      </w:r>
      <w:r>
        <w:rPr/>
        <w:t>公司主营业务在中 国的产业化以及诺贝尔化学奖得主</w:t>
      </w:r>
      <w:r>
        <w:rPr>
          <w:rFonts w:ascii="Times New Roman" w:hAnsi="Times New Roman" w:cs="Times New Roman" w:eastAsia="Times New Roman" w:hint="default"/>
        </w:rPr>
        <w:t>Dan Shechtman</w:t>
      </w:r>
      <w:r>
        <w:rPr/>
        <w:t>先生在中国建立纳米金属粒子喷射（</w:t>
      </w:r>
      <w:r>
        <w:rPr>
          <w:rFonts w:ascii="Times New Roman" w:hAnsi="Times New Roman" w:cs="Times New Roman" w:eastAsia="Times New Roman" w:hint="default"/>
        </w:rPr>
        <w:t>Nano Partical</w:t>
      </w:r>
      <w:r>
        <w:rPr>
          <w:rFonts w:ascii="Times New Roman" w:hAnsi="Times New Roman" w:cs="Times New Roman" w:eastAsia="Times New Roman" w:hint="default"/>
          <w:spacing w:val="-5"/>
        </w:rPr>
        <w:t> </w:t>
      </w:r>
      <w:r>
        <w:rPr>
          <w:rFonts w:ascii="Times New Roman" w:hAnsi="Times New Roman" w:cs="Times New Roman" w:eastAsia="Times New Roman" w:hint="default"/>
        </w:rPr>
        <w:t>Jetting</w:t>
      </w:r>
      <w:r>
        <w:rPr/>
        <w:t>，</w:t>
      </w:r>
      <w:r>
        <w:rPr>
          <w:rFonts w:ascii="Times New Roman" w:hAnsi="Times New Roman" w:cs="Times New Roman" w:eastAsia="Times New Roman" w:hint="default"/>
        </w:rPr>
        <w:t>NPJ)</w:t>
      </w:r>
      <w:r>
        <w:rPr/>
        <w:t>相关技术 研发的实验室等事项上进行合作，筹划成为</w:t>
      </w:r>
      <w:r>
        <w:rPr>
          <w:rFonts w:ascii="Times New Roman" w:hAnsi="Times New Roman" w:cs="Times New Roman" w:eastAsia="Times New Roman" w:hint="default"/>
        </w:rPr>
        <w:t>Xjet</w:t>
      </w:r>
      <w:r>
        <w:rPr/>
        <w:t>公司</w:t>
      </w:r>
      <w:r>
        <w:rPr>
          <w:rFonts w:ascii="Times New Roman" w:hAnsi="Times New Roman" w:cs="Times New Roman" w:eastAsia="Times New Roman" w:hint="default"/>
        </w:rPr>
        <w:t>3D</w:t>
      </w:r>
      <w:r>
        <w:rPr/>
        <w:t>打印机的部分零部件以及原材料的首选制造商，从而加快对高端智 能制造领域的深度开拓和发展。</w:t>
      </w:r>
    </w:p>
    <w:p>
      <w:pPr>
        <w:spacing w:line="283" w:lineRule="auto" w:before="9"/>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、积极执行股份回购方案，切实维护股东利益</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z w:val="18"/>
          <w:szCs w:val="18"/>
        </w:rPr>
        <w:t>基于对公司未来发展前景的信心和对公司价值的高度认可，在综合考虑公司经营情况和公司股票二级市场表现后，为</w:t>
      </w:r>
    </w:p>
    <w:p>
      <w:pPr>
        <w:pStyle w:val="BodyText"/>
        <w:spacing w:line="309" w:lineRule="auto" w:before="44"/>
        <w:ind w:right="0"/>
        <w:jc w:val="left"/>
      </w:pPr>
      <w:r>
        <w:rPr/>
        <w:t>使股价与公司价值匹配，维护公司市场形象，增强投资者信心，维护投资者利益，同时为实行股权激励或者员工持股计 划、可转换公司债券，报告期内公司完成了以总金额不超过（含）人民币</w:t>
      </w:r>
      <w:r>
        <w:rPr>
          <w:rFonts w:ascii="Times New Roman" w:hAnsi="Times New Roman" w:cs="Times New Roman" w:eastAsia="Times New Roman" w:hint="default"/>
        </w:rPr>
        <w:t>15,000 </w:t>
      </w:r>
      <w:r>
        <w:rPr/>
        <w:t>万元且不低于（含）人民币</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万元的 自有资金通过集中竞价交易方式从二级市场回购公司股份的股份回购计划，累计通过回购专用证券账户以集中竞价交易方</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212" w:right="1189"/>
        <w:jc w:val="left"/>
      </w:pPr>
      <w:r>
        <w:rPr/>
        <w:t>式回购公司股份</w:t>
      </w:r>
      <w:r>
        <w:rPr>
          <w:rFonts w:ascii="Times New Roman" w:hAnsi="Times New Roman" w:cs="Times New Roman" w:eastAsia="Times New Roman" w:hint="default"/>
        </w:rPr>
        <w:t>17,766,200</w:t>
      </w:r>
      <w:r>
        <w:rPr/>
        <w:t>股，约占目前公司总股本</w:t>
      </w:r>
      <w:r>
        <w:rPr>
          <w:rFonts w:ascii="Times New Roman" w:hAnsi="Times New Roman" w:cs="Times New Roman" w:eastAsia="Times New Roman" w:hint="default"/>
        </w:rPr>
        <w:t>801,929,568</w:t>
      </w:r>
      <w:r>
        <w:rPr/>
        <w:t>股的</w:t>
      </w:r>
      <w:r>
        <w:rPr>
          <w:rFonts w:ascii="Times New Roman" w:hAnsi="Times New Roman" w:cs="Times New Roman" w:eastAsia="Times New Roman" w:hint="default"/>
        </w:rPr>
        <w:t>2.22%</w:t>
      </w:r>
      <w:r>
        <w:rPr/>
        <w:t>，最高成交价为</w:t>
      </w:r>
      <w:r>
        <w:rPr>
          <w:rFonts w:ascii="Times New Roman" w:hAnsi="Times New Roman" w:cs="Times New Roman" w:eastAsia="Times New Roman" w:hint="default"/>
        </w:rPr>
        <w:t>9.60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7.72</w:t>
      </w:r>
      <w:r>
        <w:rPr/>
        <w:t>元</w:t>
      </w:r>
      <w:r>
        <w:rPr>
          <w:rFonts w:ascii="Times New Roman" w:hAnsi="Times New Roman" w:cs="Times New Roman" w:eastAsia="Times New Roman" w:hint="default"/>
        </w:rPr>
        <w:t>/ </w:t>
      </w:r>
      <w:r>
        <w:rPr/>
        <w:t>股，支付总金额为</w:t>
      </w:r>
      <w:r>
        <w:rPr>
          <w:rFonts w:ascii="Times New Roman" w:hAnsi="Times New Roman" w:cs="Times New Roman" w:eastAsia="Times New Roman" w:hint="default"/>
        </w:rPr>
        <w:t>147,613,580.50</w:t>
      </w:r>
      <w:r>
        <w:rPr/>
        <w:t>元（不含交易费用）。</w:t>
      </w:r>
    </w:p>
    <w:p>
      <w:pPr>
        <w:spacing w:line="240" w:lineRule="auto" w:before="7"/>
        <w:rPr>
          <w:rFonts w:ascii="宋体" w:hAnsi="宋体" w:cs="宋体" w:eastAsia="宋体" w:hint="default"/>
          <w:sz w:val="14"/>
          <w:szCs w:val="14"/>
        </w:rPr>
      </w:pPr>
    </w:p>
    <w:p>
      <w:pPr>
        <w:pStyle w:val="Heading2"/>
        <w:spacing w:line="240" w:lineRule="auto"/>
        <w:ind w:left="212" w:right="1189"/>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212" w:right="64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left="212" w:right="1189"/>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4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1,092,321,442.57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1,898,158,382.53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-42.45%</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279,877,006.52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323,568,620.60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784,250,543.63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1,572,809,999.93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28,193,892.42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1,779,762.00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1,484.14%</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239,824,152.81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280,557,731.26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40,052,853.71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43,010,889.34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668,918,950.25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1,397,227,040.18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115,331,593.38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175,582,959.75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28,193,892.42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1,779,762.00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1,484.14%</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1,079,244,814.33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1,877,659,251.35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13,076,628.24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20,499,131.18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-36.21%</w:t>
            </w:r>
          </w:p>
        </w:tc>
      </w:tr>
    </w:tbl>
    <w:p>
      <w:pPr>
        <w:pStyle w:val="BodyText"/>
        <w:spacing w:line="240" w:lineRule="auto" w:before="49"/>
        <w:ind w:left="212" w:right="1189"/>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416"/>
        <w:gridCol w:w="1250"/>
        <w:gridCol w:w="1011"/>
        <w:gridCol w:w="1010"/>
        <w:gridCol w:w="1013"/>
        <w:gridCol w:w="1003"/>
        <w:gridCol w:w="1003"/>
        <w:gridCol w:w="1004"/>
        <w:gridCol w:w="1070"/>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
        </w:tc>
        <w:tc>
          <w:tcPr>
            <w:tcW w:w="42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221,860,514.47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215,228,789.69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 w:right="0"/>
              <w:jc w:val="center"/>
              <w:rPr>
                <w:rFonts w:ascii="Times New Roman" w:hAnsi="Times New Roman" w:cs="Times New Roman" w:eastAsia="Times New Roman" w:hint="default"/>
                <w:sz w:val="15"/>
                <w:szCs w:val="15"/>
              </w:rPr>
            </w:pPr>
            <w:r>
              <w:rPr>
                <w:rFonts w:ascii="Times New Roman"/>
                <w:sz w:val="15"/>
              </w:rPr>
              <w:t>239,696,656.45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415,535,481.96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604,057,765.92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517,459,917.94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 w:right="0"/>
              <w:jc w:val="center"/>
              <w:rPr>
                <w:rFonts w:ascii="Times New Roman" w:hAnsi="Times New Roman" w:cs="Times New Roman" w:eastAsia="Times New Roman" w:hint="default"/>
                <w:sz w:val="15"/>
                <w:szCs w:val="15"/>
              </w:rPr>
            </w:pPr>
            <w:r>
              <w:rPr>
                <w:rFonts w:ascii="Times New Roman"/>
                <w:sz w:val="15"/>
              </w:rPr>
              <w:t>400,601,644.02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Times New Roman" w:hAnsi="Times New Roman" w:cs="Times New Roman" w:eastAsia="Times New Roman" w:hint="default"/>
                <w:sz w:val="15"/>
                <w:szCs w:val="15"/>
              </w:rPr>
            </w:pPr>
            <w:r>
              <w:rPr>
                <w:rFonts w:ascii="Times New Roman"/>
                <w:sz w:val="15"/>
              </w:rPr>
              <w:t>376,039,054.65</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26,596,218.40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30,628,416.40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40,360,799.46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37,412,492.57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156,162,545.94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93,727,307.84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5" w:right="0"/>
              <w:jc w:val="center"/>
              <w:rPr>
                <w:rFonts w:ascii="Times New Roman" w:hAnsi="Times New Roman" w:cs="Times New Roman" w:eastAsia="Times New Roman" w:hint="default"/>
                <w:sz w:val="15"/>
                <w:szCs w:val="15"/>
              </w:rPr>
            </w:pPr>
            <w:r>
              <w:rPr>
                <w:rFonts w:ascii="Times New Roman"/>
                <w:sz w:val="15"/>
              </w:rPr>
              <w:t>75,873,908.77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z w:val="15"/>
              </w:rPr>
              <w:t>10,626,041.98</w:t>
            </w:r>
          </w:p>
        </w:tc>
      </w:tr>
    </w:tbl>
    <w:p>
      <w:pPr>
        <w:pStyle w:val="BodyText"/>
        <w:spacing w:line="240" w:lineRule="auto" w:before="49"/>
        <w:ind w:left="573" w:right="1189"/>
        <w:jc w:val="left"/>
      </w:pPr>
      <w:r>
        <w:rPr/>
        <w:t>说明经营季节性（或周期性）发生的原因及波动风险</w:t>
      </w:r>
    </w:p>
    <w:p>
      <w:pPr>
        <w:spacing w:after="0" w:line="240" w:lineRule="auto"/>
        <w:jc w:val="left"/>
        <w:sectPr>
          <w:pgSz w:w="11910" w:h="16840"/>
          <w:pgMar w:header="745" w:footer="980" w:top="1060" w:bottom="1160" w:left="920" w:right="0"/>
        </w:sectPr>
      </w:pPr>
    </w:p>
    <w:p>
      <w:pPr>
        <w:spacing w:line="240" w:lineRule="auto" w:before="9"/>
        <w:rPr>
          <w:rFonts w:ascii="宋体" w:hAnsi="宋体" w:cs="宋体" w:eastAsia="宋体" w:hint="default"/>
          <w:sz w:val="25"/>
          <w:szCs w:val="25"/>
        </w:rPr>
      </w:pPr>
    </w:p>
    <w:p>
      <w:pPr>
        <w:pStyle w:val="BodyText"/>
        <w:spacing w:line="300" w:lineRule="auto" w:before="44"/>
        <w:ind w:right="1142" w:firstLine="360"/>
        <w:jc w:val="left"/>
      </w:pPr>
      <w:r>
        <w:rPr/>
        <w:t>①</w:t>
      </w:r>
      <w:r>
        <w:rPr>
          <w:spacing w:val="-18"/>
        </w:rPr>
        <w:t> </w:t>
      </w:r>
      <w:r>
        <w:rPr/>
        <w:t>因</w:t>
      </w:r>
      <w:r>
        <w:rPr>
          <w:rFonts w:ascii="Times New Roman" w:hAnsi="Times New Roman" w:cs="Times New Roman" w:eastAsia="Times New Roman" w:hint="default"/>
        </w:rPr>
        <w:t>2019</w:t>
      </w:r>
      <w:r>
        <w:rPr/>
        <w:t>年度内控股子公司哆可梦自研游戏产品和代理游戏产品的上线时间表有所推迟，并且</w:t>
      </w:r>
      <w:r>
        <w:rPr>
          <w:rFonts w:ascii="Times New Roman" w:hAnsi="Times New Roman" w:cs="Times New Roman" w:eastAsia="Times New Roman" w:hint="default"/>
        </w:rPr>
        <w:t>2019</w:t>
      </w:r>
      <w:r>
        <w:rPr/>
        <w:t>年度无产业并购基 金处置投资项目收益及公司对外转让信中利赞信基金出资份额收益，导致公司</w:t>
      </w:r>
      <w:r>
        <w:rPr>
          <w:rFonts w:ascii="Times New Roman" w:hAnsi="Times New Roman" w:cs="Times New Roman" w:eastAsia="Times New Roman" w:hint="default"/>
        </w:rPr>
        <w:t>2019</w:t>
      </w:r>
      <w:r>
        <w:rPr/>
        <w:t>年度整体营业收入和净利润水平低于去 年同期；</w:t>
      </w:r>
    </w:p>
    <w:p>
      <w:pPr>
        <w:pStyle w:val="BodyText"/>
        <w:spacing w:line="316" w:lineRule="auto" w:before="72"/>
        <w:ind w:right="1227" w:firstLine="360"/>
        <w:jc w:val="both"/>
      </w:pPr>
      <w:r>
        <w:rPr/>
        <w:t>②公司</w:t>
      </w:r>
      <w:r>
        <w:rPr>
          <w:rFonts w:ascii="宋体" w:hAnsi="宋体" w:cs="宋体" w:eastAsia="宋体" w:hint="default"/>
        </w:rPr>
        <w:t>2019</w:t>
      </w:r>
      <w:r>
        <w:rPr/>
        <w:t>年第四季度的营业收入高于前三季度主要系上市公司游戏业务的重磅产品在</w:t>
      </w:r>
      <w:r>
        <w:rPr>
          <w:rFonts w:ascii="宋体" w:hAnsi="宋体" w:cs="宋体" w:eastAsia="宋体" w:hint="default"/>
        </w:rPr>
        <w:t>2019</w:t>
      </w:r>
      <w:r>
        <w:rPr/>
        <w:t>年第四季度陆续上线，并 且推广发行效果较好，整体收入有所提升。而</w:t>
      </w:r>
      <w:r>
        <w:rPr>
          <w:rFonts w:ascii="宋体" w:hAnsi="宋体" w:cs="宋体" w:eastAsia="宋体" w:hint="default"/>
        </w:rPr>
        <w:t>2019</w:t>
      </w:r>
      <w:r>
        <w:rPr/>
        <w:t>年第四季度的净利润水平环比</w:t>
      </w:r>
      <w:r>
        <w:rPr>
          <w:rFonts w:ascii="宋体" w:hAnsi="宋体" w:cs="宋体" w:eastAsia="宋体" w:hint="default"/>
        </w:rPr>
        <w:t>2019</w:t>
      </w:r>
      <w:r>
        <w:rPr/>
        <w:t>年第三季度有所下降主要系上市公司 游戏业务的重磅产品在大推期间推广费支出较多，发行成本较高。</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0"/>
        </w:sectPr>
      </w:pPr>
    </w:p>
    <w:p>
      <w:pPr>
        <w:pStyle w:val="BodyText"/>
        <w:spacing w:line="240" w:lineRule="auto" w:before="44"/>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3"/>
      </w:tblGrid>
      <w:tr>
        <w:trPr>
          <w:trHeight w:val="716"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279,877,006.52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196,728,573.24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784,250,543.63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138,001,705.35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28,193,892.42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9,441,314.64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239,824,152.81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169,790,844.71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40,052,853.71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26,937,728.53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668,918,950.25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136,907,890.16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115,331,593.38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1,093,815.19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28,193,892.42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9,441,314.64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1,079,244,814.33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338,618,630.41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13,076,628.24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5,552,962.82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196,728,573.24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222,108,357.09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138,001,705.35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321,540,391.75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9,441,314.64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169,790,844.71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189,247,559.29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26,937,728.53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32,860,797.80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136,907,890.16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316,165,496.98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1,093,815.19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5,374,894.77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9,441,314.64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38" w:lineRule="auto" w:before="49"/>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14,077,393.23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17,603,194.49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163,357,899.33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178,141,091.95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19,293,280.68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26,364,070.65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119,116,803.95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300,806,531.34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6,675,937.10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4,207,215.01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版权金摊销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5,623,736.17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6,321,272.05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6,585,228.13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10,205,373.35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9,441,314.64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1"/>
        <w:ind w:right="1322" w:firstLine="432"/>
        <w:jc w:val="left"/>
      </w:pPr>
      <w:r>
        <w:rPr>
          <w:rFonts w:ascii="Times New Roman" w:hAnsi="Times New Roman" w:cs="Times New Roman" w:eastAsia="Times New Roman" w:hint="default"/>
        </w:rPr>
        <w:t>2019</w:t>
      </w:r>
      <w:r>
        <w:rPr/>
        <w:t>年合并报表范围相比上年，增加铁匣电力、一零电力、零玖电力、高奇网络、多趣网络、缘中缘网络、致合世 纪、链接世界</w:t>
      </w:r>
      <w:r>
        <w:rPr>
          <w:rFonts w:ascii="Times New Roman" w:hAnsi="Times New Roman" w:cs="Times New Roman" w:eastAsia="Times New Roman" w:hint="default"/>
        </w:rPr>
        <w:t>8</w:t>
      </w:r>
      <w:r>
        <w:rPr/>
        <w:t>家公司。</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820"/>
        <w:gridCol w:w="474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164,409,789.16</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15.05%</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802"/>
        <w:gridCol w:w="3301"/>
        <w:gridCol w:w="2324"/>
        <w:gridCol w:w="3142"/>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65,252,611.84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42,294,656.02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25,616,512.02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16,429,206.05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14,816,803.23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164,409,789.16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15.05%</w:t>
            </w:r>
          </w:p>
        </w:tc>
      </w:tr>
    </w:tbl>
    <w:p>
      <w:pPr>
        <w:pStyle w:val="BodyText"/>
        <w:spacing w:line="240" w:lineRule="auto" w:before="49"/>
        <w:ind w:right="0"/>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679"/>
        <w:gridCol w:w="4890"/>
      </w:tblGrid>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180,386,534.50</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49,158,392.63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14.28%</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45,436,487.51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13.20%</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32,674,948.05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26,960,403.57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26,156,302.74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180,386,534.50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52.40%</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50"/>
        <w:gridCol w:w="1277"/>
        <w:gridCol w:w="1275"/>
        <w:gridCol w:w="852"/>
        <w:gridCol w:w="5315"/>
      </w:tblGrid>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360,381,637.91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894,903,570.23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-59.73%</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主要系报告期内控股子公司哆可梦收入业务规模下降业务推广费相 应减少所致</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99,841,837.89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87,886,909.20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13.60%</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主要系报告期内职工薪酬增加所致</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63,522,070.77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15,739,434.72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303.59%</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主要系报告期内计提的哆可梦项目并购贷款及流动贷款利息费用增 加所致</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72,319,838.15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53,861,967.62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34.27%</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主要系报告期内电气业务及互联网文娱业务均持续加大研发投入， 积极进行电气产品技术升级和精品游戏研发创新所致</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rFonts w:ascii="Times New Roman" w:hAnsi="Times New Roman" w:cs="Times New Roman" w:eastAsia="Times New Roman" w:hint="default"/>
        </w:rPr>
        <w:t>2019</w:t>
      </w:r>
      <w:r>
        <w:rPr/>
        <w:t>年公司进行的研发项目简要情况如下：</w:t>
      </w:r>
    </w:p>
    <w:p>
      <w:pPr>
        <w:pStyle w:val="BodyText"/>
        <w:spacing w:line="300" w:lineRule="auto" w:before="103"/>
        <w:ind w:right="1128" w:firstLine="360"/>
        <w:jc w:val="both"/>
      </w:pPr>
      <w:r>
        <w:rPr>
          <w:spacing w:val="-1"/>
        </w:rPr>
        <w:t>（</w:t>
      </w:r>
      <w:r>
        <w:rPr>
          <w:rFonts w:ascii="Times New Roman" w:hAnsi="Times New Roman" w:cs="Times New Roman" w:eastAsia="Times New Roman" w:hint="default"/>
          <w:spacing w:val="-1"/>
        </w:rPr>
        <w:t>1</w:t>
      </w:r>
      <w:r>
        <w:rPr>
          <w:spacing w:val="-1"/>
        </w:rPr>
        <w:t>）电气业务</w:t>
      </w:r>
      <w:r>
        <w:rPr>
          <w:rFonts w:ascii="Times New Roman" w:hAnsi="Times New Roman" w:cs="Times New Roman" w:eastAsia="Times New Roman" w:hint="default"/>
          <w:spacing w:val="-1"/>
        </w:rPr>
        <w:t>2019</w:t>
      </w:r>
      <w:r>
        <w:rPr>
          <w:spacing w:val="-1"/>
        </w:rPr>
        <w:t>年开展了</w:t>
      </w:r>
      <w:r>
        <w:rPr>
          <w:rFonts w:ascii="Times New Roman" w:hAnsi="Times New Roman" w:cs="Times New Roman" w:eastAsia="Times New Roman" w:hint="default"/>
          <w:spacing w:val="-1"/>
        </w:rPr>
        <w:t>13</w:t>
      </w:r>
      <w:r>
        <w:rPr>
          <w:spacing w:val="-1"/>
        </w:rPr>
        <w:t>项新技改项目、</w:t>
      </w:r>
      <w:r>
        <w:rPr>
          <w:rFonts w:ascii="Times New Roman" w:hAnsi="Times New Roman" w:cs="Times New Roman" w:eastAsia="Times New Roman" w:hint="default"/>
          <w:spacing w:val="-1"/>
        </w:rPr>
        <w:t>3</w:t>
      </w:r>
      <w:r>
        <w:rPr>
          <w:spacing w:val="-1"/>
        </w:rPr>
        <w:t>项新研发项目并完成了</w:t>
      </w:r>
      <w:r>
        <w:rPr>
          <w:rFonts w:ascii="Times New Roman" w:hAnsi="Times New Roman" w:cs="Times New Roman" w:eastAsia="Times New Roman" w:hint="default"/>
          <w:spacing w:val="-1"/>
        </w:rPr>
        <w:t>2</w:t>
      </w:r>
      <w:r>
        <w:rPr>
          <w:spacing w:val="-1"/>
        </w:rPr>
        <w:t>项以前年度研发项目，目的为改善现有工艺</w:t>
      </w:r>
      <w:r>
        <w:rPr>
          <w:rFonts w:ascii="Times New Roman" w:hAnsi="Times New Roman" w:cs="Times New Roman" w:eastAsia="Times New Roman" w:hint="default"/>
          <w:spacing w:val="-1"/>
        </w:rPr>
        <w:t>/</w:t>
      </w:r>
      <w:r>
        <w:rPr>
          <w:spacing w:val="-1"/>
        </w:rPr>
        <w:t>技</w:t>
      </w:r>
      <w:r>
        <w:rPr/>
        <w:t> 术升级</w:t>
      </w:r>
      <w:r>
        <w:rPr>
          <w:rFonts w:ascii="Times New Roman" w:hAnsi="Times New Roman" w:cs="Times New Roman" w:eastAsia="Times New Roman" w:hint="default"/>
        </w:rPr>
        <w:t>/</w:t>
      </w:r>
      <w:r>
        <w:rPr/>
        <w:t>开发新产品</w:t>
      </w:r>
      <w:r>
        <w:rPr>
          <w:rFonts w:ascii="Times New Roman" w:hAnsi="Times New Roman" w:cs="Times New Roman" w:eastAsia="Times New Roman" w:hint="default"/>
        </w:rPr>
        <w:t>/</w:t>
      </w:r>
      <w:r>
        <w:rPr/>
        <w:t>满足客户需求</w:t>
      </w:r>
      <w:r>
        <w:rPr>
          <w:rFonts w:ascii="Times New Roman" w:hAnsi="Times New Roman" w:cs="Times New Roman" w:eastAsia="Times New Roman" w:hint="default"/>
        </w:rPr>
        <w:t>/</w:t>
      </w:r>
      <w:r>
        <w:rPr/>
        <w:t>开发实用新型专利技术或外观专利，截至报告期末</w:t>
      </w:r>
      <w:r>
        <w:rPr>
          <w:rFonts w:ascii="Times New Roman" w:hAnsi="Times New Roman" w:cs="Times New Roman" w:eastAsia="Times New Roman" w:hint="default"/>
        </w:rPr>
        <w:t>12</w:t>
      </w:r>
      <w:r>
        <w:rPr/>
        <w:t>项新技改项目均已完成，</w:t>
      </w:r>
      <w:r>
        <w:rPr>
          <w:rFonts w:ascii="Times New Roman" w:hAnsi="Times New Roman" w:cs="Times New Roman" w:eastAsia="Times New Roman" w:hint="default"/>
        </w:rPr>
        <w:t>2</w:t>
      </w:r>
      <w:r>
        <w:rPr/>
        <w:t>项新研发</w:t>
      </w:r>
      <w:r>
        <w:rPr>
          <w:spacing w:val="-59"/>
        </w:rPr>
        <w:t> </w:t>
      </w:r>
      <w:r>
        <w:rPr>
          <w:spacing w:val="-2"/>
        </w:rPr>
        <w:t>项目已完成，</w:t>
      </w:r>
      <w:r>
        <w:rPr>
          <w:rFonts w:ascii="Times New Roman" w:hAnsi="Times New Roman" w:cs="Times New Roman" w:eastAsia="Times New Roman" w:hint="default"/>
          <w:spacing w:val="-2"/>
        </w:rPr>
        <w:t>1</w:t>
      </w:r>
      <w:r>
        <w:rPr>
          <w:spacing w:val="-2"/>
        </w:rPr>
        <w:t>项新技改项目和</w:t>
      </w:r>
      <w:r>
        <w:rPr>
          <w:rFonts w:ascii="Times New Roman" w:hAnsi="Times New Roman" w:cs="Times New Roman" w:eastAsia="Times New Roman" w:hint="default"/>
          <w:spacing w:val="-2"/>
        </w:rPr>
        <w:t>1</w:t>
      </w:r>
      <w:r>
        <w:rPr>
          <w:spacing w:val="-2"/>
        </w:rPr>
        <w:t>项新研发项目仍在正常开展中，预计有利于增强公司技术实力、提高公司产品技术含量、拓</w:t>
      </w:r>
      <w:r>
        <w:rPr>
          <w:spacing w:val="-61"/>
        </w:rPr>
        <w:t> </w:t>
      </w:r>
      <w:r>
        <w:rPr>
          <w:spacing w:val="-61"/>
        </w:rPr>
      </w:r>
      <w:r>
        <w:rPr/>
        <w:t>宽公司产品利润空间；</w:t>
      </w:r>
    </w:p>
    <w:p>
      <w:pPr>
        <w:pStyle w:val="BodyText"/>
        <w:spacing w:line="300" w:lineRule="auto" w:before="70"/>
        <w:ind w:right="1131" w:firstLine="360"/>
        <w:jc w:val="both"/>
      </w:pPr>
      <w:r>
        <w:rPr>
          <w:spacing w:val="-1"/>
        </w:rPr>
        <w:t>（</w:t>
      </w:r>
      <w:r>
        <w:rPr>
          <w:rFonts w:ascii="Times New Roman" w:hAnsi="Times New Roman" w:cs="Times New Roman" w:eastAsia="Times New Roman" w:hint="default"/>
          <w:spacing w:val="-1"/>
        </w:rPr>
        <w:t>2</w:t>
      </w:r>
      <w:r>
        <w:rPr>
          <w:spacing w:val="-1"/>
        </w:rPr>
        <w:t>）游戏业务</w:t>
      </w:r>
      <w:r>
        <w:rPr>
          <w:rFonts w:ascii="Times New Roman" w:hAnsi="Times New Roman" w:cs="Times New Roman" w:eastAsia="Times New Roman" w:hint="default"/>
          <w:spacing w:val="-1"/>
        </w:rPr>
        <w:t>2019</w:t>
      </w:r>
      <w:r>
        <w:rPr>
          <w:spacing w:val="-1"/>
        </w:rPr>
        <w:t>年开展了</w:t>
      </w:r>
      <w:r>
        <w:rPr>
          <w:rFonts w:ascii="Times New Roman" w:hAnsi="Times New Roman" w:cs="Times New Roman" w:eastAsia="Times New Roman" w:hint="default"/>
          <w:spacing w:val="-1"/>
        </w:rPr>
        <w:t>6</w:t>
      </w:r>
      <w:r>
        <w:rPr>
          <w:spacing w:val="-1"/>
        </w:rPr>
        <w:t>项在研游戏项目（含</w:t>
      </w:r>
      <w:r>
        <w:rPr>
          <w:rFonts w:ascii="Times New Roman" w:hAnsi="Times New Roman" w:cs="Times New Roman" w:eastAsia="Times New Roman" w:hint="default"/>
          <w:spacing w:val="-1"/>
        </w:rPr>
        <w:t>3</w:t>
      </w:r>
      <w:r>
        <w:rPr>
          <w:spacing w:val="-1"/>
        </w:rPr>
        <w:t>项以前年度在研游戏项目），目的为开发</w:t>
      </w:r>
      <w:r>
        <w:rPr>
          <w:rFonts w:ascii="Times New Roman" w:hAnsi="Times New Roman" w:cs="Times New Roman" w:eastAsia="Times New Roman" w:hint="default"/>
          <w:spacing w:val="-1"/>
        </w:rPr>
        <w:t>ARPG</w:t>
      </w:r>
      <w:r>
        <w:rPr>
          <w:spacing w:val="-1"/>
        </w:rPr>
        <w:t>、</w:t>
      </w:r>
      <w:r>
        <w:rPr>
          <w:rFonts w:ascii="Times New Roman" w:hAnsi="Times New Roman" w:cs="Times New Roman" w:eastAsia="Times New Roman" w:hint="default"/>
          <w:spacing w:val="-1"/>
        </w:rPr>
        <w:t>MMORPG</w:t>
      </w:r>
      <w:r>
        <w:rPr>
          <w:spacing w:val="-1"/>
        </w:rPr>
        <w:t>类型自</w:t>
      </w:r>
      <w:r>
        <w:rPr/>
        <w:t> </w:t>
      </w:r>
      <w:r>
        <w:rPr>
          <w:spacing w:val="-5"/>
        </w:rPr>
        <w:t>研游戏，截至报告期末</w:t>
      </w:r>
      <w:r>
        <w:rPr>
          <w:rFonts w:ascii="Times New Roman" w:hAnsi="Times New Roman" w:cs="Times New Roman" w:eastAsia="Times New Roman" w:hint="default"/>
          <w:spacing w:val="-5"/>
        </w:rPr>
        <w:t>3</w:t>
      </w:r>
      <w:r>
        <w:rPr>
          <w:spacing w:val="-5"/>
        </w:rPr>
        <w:t>个项目进入不同阶段测试、</w:t>
      </w:r>
      <w:r>
        <w:rPr>
          <w:rFonts w:ascii="Times New Roman" w:hAnsi="Times New Roman" w:cs="Times New Roman" w:eastAsia="Times New Roman" w:hint="default"/>
          <w:spacing w:val="-5"/>
        </w:rPr>
        <w:t>3</w:t>
      </w:r>
      <w:r>
        <w:rPr>
          <w:spacing w:val="-5"/>
        </w:rPr>
        <w:t>个项目仍在研发中，预计对公司未来游戏业务的业绩表现有积极的影响。</w:t>
      </w:r>
    </w:p>
    <w:p>
      <w:pPr>
        <w:pStyle w:val="BodyText"/>
        <w:spacing w:line="240" w:lineRule="auto" w:before="53"/>
        <w:ind w:left="513" w:right="0"/>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77"/>
        <w:gridCol w:w="2268"/>
        <w:gridCol w:w="2268"/>
        <w:gridCol w:w="2055"/>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3"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77,370,912.34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62,432,149.09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23.93%</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5,051,074.19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4,176,522.57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6"/>
        <w:jc w:val="left"/>
      </w:pPr>
      <w:r>
        <w:rPr/>
        <w:t>研发投入总额占营业收入的比重较上年发生显著变化的原因</w:t>
      </w:r>
    </w:p>
    <w:p>
      <w:pPr>
        <w:pStyle w:val="BodyText"/>
        <w:spacing w:line="240" w:lineRule="auto" w:before="117"/>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850"/>
        <w:gridCol w:w="1418"/>
        <w:gridCol w:w="4395"/>
        <w:gridCol w:w="2905"/>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YF-17010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3,793,300.06</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开发国网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一二次融合产品，目的是根据国网的发 展趋势，拓宽公司的产品链，增加公司新的利润点</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项目已完成，已经进行了订单生产</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YF-19004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1,257,774.13</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开发固体绝缘环网柜开关，目的是扩展公司的产品链， 为市场提供更多的销售品类</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项目已完成，可进行投标</w:t>
            </w:r>
          </w:p>
        </w:tc>
      </w:tr>
    </w:tbl>
    <w:p>
      <w:pPr>
        <w:pStyle w:val="BodyText"/>
        <w:spacing w:line="338" w:lineRule="auto" w:before="49"/>
        <w:ind w:left="513" w:right="0"/>
        <w:jc w:val="left"/>
      </w:pPr>
      <w:r>
        <w:rPr/>
        <w:t>研发投入资本化的依据：详见第十二节财务报告之五、重要会计政策及会计估计之</w:t>
      </w:r>
      <w:r>
        <w:rPr>
          <w:rFonts w:ascii="Times New Roman" w:hAnsi="Times New Roman" w:cs="Times New Roman" w:eastAsia="Times New Roman" w:hint="default"/>
        </w:rPr>
        <w:t>22</w:t>
      </w:r>
      <w:r>
        <w:rPr/>
        <w:t>、无形资产。 </w:t>
      </w:r>
      <w:r>
        <w:rPr>
          <w:spacing w:val="-2"/>
        </w:rPr>
        <w:t>相关内部控制的内容和执行情况：公司高度重视产品开发工作，以市场为导向，根据发展战略和技术进步要求，严格规</w:t>
      </w:r>
    </w:p>
    <w:p>
      <w:pPr>
        <w:pStyle w:val="BodyText"/>
        <w:spacing w:line="316" w:lineRule="auto" w:before="2"/>
        <w:ind w:right="0"/>
        <w:jc w:val="left"/>
      </w:pPr>
      <w:r>
        <w:rPr>
          <w:spacing w:val="-2"/>
        </w:rPr>
        <w:t>范研发业务的立项、过程管理、验收、研究成果的开发和保护等关键控制环节，有效降低研发风险、保证研发质量，提高了</w:t>
      </w:r>
      <w:r>
        <w:rPr>
          <w:spacing w:val="-68"/>
        </w:rPr>
        <w:t> </w:t>
      </w:r>
      <w:r>
        <w:rPr>
          <w:spacing w:val="-68"/>
        </w:rPr>
      </w:r>
      <w:r>
        <w:rPr/>
        <w:t>研发工作的效率和效益，不断提高公司的自主创新能力。</w:t>
      </w:r>
    </w:p>
    <w:p>
      <w:pPr>
        <w:pStyle w:val="BodyText"/>
        <w:spacing w:line="240" w:lineRule="auto" w:before="59"/>
        <w:ind w:right="0"/>
        <w:jc w:val="left"/>
        <w:rPr>
          <w:rFonts w:ascii="宋体" w:hAnsi="宋体" w:cs="宋体" w:eastAsia="宋体" w:hint="default"/>
        </w:rPr>
      </w:pPr>
      <w:r>
        <w:rPr/>
        <w:t>研发投入资本化率大幅变动的原因及其合理性说明</w:t>
      </w:r>
      <w:r>
        <w:rPr>
          <w:rFonts w:ascii="宋体" w:hAnsi="宋体" w:cs="宋体" w:eastAsia="宋体" w:hint="default"/>
        </w:rPr>
        <w:t> </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552"/>
        <w:gridCol w:w="2233"/>
        <w:gridCol w:w="2393"/>
        <w:gridCol w:w="2391"/>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1,214,525,337.20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1,851,679,307.61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-34.41%</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1,481,568,220.10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1,542,729,303.98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-267,042,882.90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308,950,003.63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-186.44%</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2,731,045,240.42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1,550,488,725.91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76.14%</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2,770,482,738.04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1,198,132,177.40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131.23%</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-39,437,497.62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352,356,548.51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-111.19%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463,428,352.58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1,424,799,661.14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681,494,731.14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109.07%</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-211,999,661.14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-218,066,378.56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-518,512,924.04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443,990,841.85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-216.78%</w:t>
            </w:r>
          </w:p>
        </w:tc>
      </w:tr>
    </w:tbl>
    <w:p>
      <w:pPr>
        <w:pStyle w:val="BodyText"/>
        <w:spacing w:line="240" w:lineRule="auto" w:before="49"/>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4" w:firstLine="360"/>
        <w:jc w:val="left"/>
      </w:pPr>
      <w:r>
        <w:rPr/>
        <w:t>（</w:t>
      </w:r>
      <w:r>
        <w:rPr>
          <w:rFonts w:ascii="Times New Roman" w:hAnsi="Times New Roman" w:cs="Times New Roman" w:eastAsia="Times New Roman" w:hint="default"/>
        </w:rPr>
        <w:t>1</w:t>
      </w:r>
      <w:r>
        <w:rPr/>
        <w:t>）经营活动现金流入流出同比下降，主要原因是控股子公司哆可梦自研游戏产品和代理游戏产品的上线时间表有所 推迟，业务规模下降，收入减少。</w:t>
      </w:r>
    </w:p>
    <w:p>
      <w:pPr>
        <w:pStyle w:val="BodyText"/>
        <w:spacing w:line="300" w:lineRule="auto" w:before="73"/>
        <w:ind w:right="1214" w:firstLine="360"/>
        <w:jc w:val="left"/>
      </w:pPr>
      <w:r>
        <w:rPr/>
        <w:t>（</w:t>
      </w:r>
      <w:r>
        <w:rPr>
          <w:rFonts w:ascii="Times New Roman" w:hAnsi="Times New Roman" w:cs="Times New Roman" w:eastAsia="Times New Roman" w:hint="default"/>
        </w:rPr>
        <w:t>2</w:t>
      </w:r>
      <w:r>
        <w:rPr/>
        <w:t>）投资活动现金流入、流出同比上升，主要原因是报告期内公司国债逆回购投资金额单笔较大且频率较高；公司 </w:t>
      </w:r>
      <w:r>
        <w:rPr>
          <w:rFonts w:ascii="Times New Roman" w:hAnsi="Times New Roman" w:cs="Times New Roman" w:eastAsia="Times New Roman" w:hint="default"/>
        </w:rPr>
        <w:t>2019</w:t>
      </w:r>
      <w:r>
        <w:rPr/>
        <w:t>年度投资活动产生的现金流量净额同比大幅下降，主要原因是公司</w:t>
      </w:r>
      <w:r>
        <w:rPr>
          <w:rFonts w:ascii="Times New Roman" w:hAnsi="Times New Roman" w:cs="Times New Roman" w:eastAsia="Times New Roman" w:hint="default"/>
        </w:rPr>
        <w:t>2019</w:t>
      </w:r>
      <w:r>
        <w:rPr/>
        <w:t>年度无产业并购基金处置投资项目及对外转让 信中利赞信基金出资份额导致的投资活动现金流入。</w:t>
      </w:r>
    </w:p>
    <w:p>
      <w:pPr>
        <w:pStyle w:val="BodyText"/>
        <w:spacing w:line="300" w:lineRule="auto" w:before="72"/>
        <w:ind w:right="1124" w:firstLine="360"/>
        <w:jc w:val="left"/>
      </w:pPr>
      <w:r>
        <w:rPr/>
        <w:t>（</w:t>
      </w:r>
      <w:r>
        <w:rPr>
          <w:rFonts w:ascii="Times New Roman" w:hAnsi="Times New Roman" w:cs="Times New Roman" w:eastAsia="Times New Roman" w:hint="default"/>
        </w:rPr>
        <w:t>3</w:t>
      </w:r>
      <w:r>
        <w:rPr/>
        <w:t>）筹资活动现金流入同比增加，主要原因是公司</w:t>
      </w:r>
      <w:r>
        <w:rPr>
          <w:rFonts w:ascii="Times New Roman" w:hAnsi="Times New Roman" w:cs="Times New Roman" w:eastAsia="Times New Roman" w:hint="default"/>
        </w:rPr>
        <w:t>2019</w:t>
      </w:r>
      <w:r>
        <w:rPr/>
        <w:t>年取得中航信托发放的哆可梦项目并购贷款及工商银行发放的 长期贷款；筹资活动流出同比增加，主要系归还借款及支付哆可梦股权转让款。</w:t>
      </w:r>
    </w:p>
    <w:p>
      <w:pPr>
        <w:pStyle w:val="BodyText"/>
        <w:spacing w:line="240" w:lineRule="auto" w:before="70"/>
        <w:ind w:right="0"/>
        <w:jc w:val="left"/>
      </w:pPr>
      <w:r>
        <w:rPr/>
        <w:t>报告期内公司经营活动产生的现金净流量与本年度净利润存在重大差异的原因说明</w:t>
      </w:r>
    </w:p>
    <w:p>
      <w:pPr>
        <w:pStyle w:val="BodyText"/>
        <w:spacing w:line="338" w:lineRule="auto" w:before="117"/>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报告期内，控股子公司哆可梦自研游戏产品和代理游戏产品的上线时间表有所推迟，业务规模下降，收入减少，与此</w:t>
      </w:r>
    </w:p>
    <w:p>
      <w:pPr>
        <w:pStyle w:val="BodyText"/>
        <w:spacing w:line="240" w:lineRule="auto" w:before="2"/>
        <w:ind w:right="0"/>
        <w:jc w:val="left"/>
      </w:pPr>
      <w:r>
        <w:rPr/>
        <w:t>同时，面对报告期内游戏行业竞争加剧、买量市场持续升温的竞争态势，为了保持行业竞争地位、紧跟行业发展趋势、积</w:t>
      </w:r>
    </w:p>
    <w:p>
      <w:pPr>
        <w:spacing w:after="0" w:line="240" w:lineRule="auto"/>
        <w:jc w:val="left"/>
        <w:sectPr>
          <w:footerReference w:type="default" r:id="rId17"/>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214"/>
        <w:jc w:val="left"/>
      </w:pPr>
      <w:r>
        <w:rPr/>
        <w:t>极布局未来业务，哆可梦</w:t>
      </w:r>
      <w:r>
        <w:rPr>
          <w:rFonts w:ascii="Times New Roman" w:hAnsi="Times New Roman" w:cs="Times New Roman" w:eastAsia="Times New Roman" w:hint="default"/>
        </w:rPr>
        <w:t>2019</w:t>
      </w:r>
      <w:r>
        <w:rPr/>
        <w:t>年在互联网流量资源等方面保持较高的投入力度，从而导致报告期内公司经营活动产生的现 金净流量与本年度净利润存在较大差异。</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三、非主营业务分析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四、资产及负债状况分析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18"/>
          <w:pgSz w:w="11910" w:h="16840"/>
          <w:pgMar w:footer="980" w:header="745" w:top="1060" w:bottom="1160" w:left="980" w:right="0"/>
          <w:pgNumType w:start="1"/>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2"/>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183"/>
        <w:gridCol w:w="850"/>
        <w:gridCol w:w="1418"/>
        <w:gridCol w:w="850"/>
        <w:gridCol w:w="852"/>
        <w:gridCol w:w="304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0" w:right="5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2" w:type="dxa"/>
            <w:vMerge/>
            <w:tcBorders>
              <w:left w:val="single" w:sz="4" w:space="0" w:color="000000"/>
              <w:right w:val="single" w:sz="4" w:space="0" w:color="000000"/>
            </w:tcBorders>
            <w:shd w:val="clear" w:color="auto" w:fill="D2D2D2"/>
          </w:tcPr>
          <w:p>
            <w:pPr/>
          </w:p>
        </w:tc>
        <w:tc>
          <w:tcPr>
            <w:tcW w:w="3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30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250,595,780.44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749,630,841.74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主要系报告期内归还贷款及增加权益 性投资所致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321,432,727.36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9.11%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380,247,011.00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主要系报告期内控股子公司哆可梦业 务规模下降所致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48,643,871.33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64,987,559.66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252,679,600.00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170,580,295.60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167,806,260.17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84,788,453.31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94,457,715.15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113,871,471.84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主要系报告期内收到中航信托发放的 贷款所致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79"/>
              <w:jc w:val="left"/>
              <w:rPr>
                <w:rFonts w:ascii="宋体" w:hAnsi="宋体" w:cs="宋体" w:eastAsia="宋体" w:hint="default"/>
                <w:sz w:val="18"/>
                <w:szCs w:val="18"/>
              </w:rPr>
            </w:pPr>
            <w:r>
              <w:rPr>
                <w:rFonts w:ascii="宋体" w:hAnsi="宋体" w:cs="宋体" w:eastAsia="宋体" w:hint="default"/>
                <w:sz w:val="18"/>
                <w:szCs w:val="18"/>
              </w:rPr>
              <w:t>主要系报告期内增加工行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亿长期 贷款所致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394,655,355.78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131,852,766.57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主要系报告期内控股子公司哆可梦预 付互联网流量费用增加所致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72,342,177.74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274,033,329.43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both"/>
              <w:rPr>
                <w:rFonts w:ascii="宋体" w:hAnsi="宋体" w:cs="宋体" w:eastAsia="宋体" w:hint="default"/>
                <w:sz w:val="18"/>
                <w:szCs w:val="18"/>
              </w:rPr>
            </w:pPr>
            <w:r>
              <w:rPr>
                <w:rFonts w:ascii="宋体" w:hAnsi="宋体" w:cs="宋体" w:eastAsia="宋体" w:hint="default"/>
                <w:sz w:val="18"/>
                <w:szCs w:val="18"/>
              </w:rPr>
              <w:t>主要系报告期内收回爱酷游诚意金及 收回处置信中利赞信基金出资份额全 部剩余款项所致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19,784,917.45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115,269,254.91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both"/>
              <w:rPr>
                <w:rFonts w:ascii="宋体" w:hAnsi="宋体" w:cs="宋体" w:eastAsia="宋体" w:hint="default"/>
                <w:sz w:val="18"/>
                <w:szCs w:val="18"/>
              </w:rPr>
            </w:pPr>
            <w:r>
              <w:rPr>
                <w:rFonts w:ascii="宋体" w:hAnsi="宋体" w:cs="宋体" w:eastAsia="宋体" w:hint="default"/>
                <w:sz w:val="18"/>
                <w:szCs w:val="18"/>
              </w:rPr>
              <w:t>主要系报告期内因公司会计政策变更 导致理财产品投资核算由本科目转出 所致</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259,381,030.19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主要系报告期内公司增加理财产品投 资且因公司会计政策变更导致理财产</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41" w:type="dxa"/>
        <w:tblLayout w:type="fixed"/>
        <w:tblCellMar>
          <w:top w:w="0" w:type="dxa"/>
          <w:left w:w="0" w:type="dxa"/>
          <w:bottom w:w="0" w:type="dxa"/>
          <w:right w:w="0" w:type="dxa"/>
        </w:tblCellMar>
        <w:tblLook w:val="01E0"/>
      </w:tblPr>
      <w:tblGrid>
        <w:gridCol w:w="1368"/>
        <w:gridCol w:w="1183"/>
        <w:gridCol w:w="850"/>
        <w:gridCol w:w="1418"/>
        <w:gridCol w:w="850"/>
        <w:gridCol w:w="852"/>
        <w:gridCol w:w="3049"/>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4"/>
              <w:jc w:val="left"/>
              <w:rPr>
                <w:rFonts w:ascii="宋体" w:hAnsi="宋体" w:cs="宋体" w:eastAsia="宋体" w:hint="default"/>
                <w:sz w:val="18"/>
                <w:szCs w:val="18"/>
              </w:rPr>
            </w:pPr>
            <w:r>
              <w:rPr>
                <w:rFonts w:ascii="宋体" w:hAnsi="宋体" w:cs="宋体" w:eastAsia="宋体" w:hint="default"/>
                <w:sz w:val="18"/>
                <w:szCs w:val="18"/>
              </w:rPr>
              <w:t>品投资由其他流动资产科目转入本科 目核算所致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222,498,291.68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both"/>
              <w:rPr>
                <w:rFonts w:ascii="宋体" w:hAnsi="宋体" w:cs="宋体" w:eastAsia="宋体" w:hint="default"/>
                <w:sz w:val="18"/>
                <w:szCs w:val="18"/>
              </w:rPr>
            </w:pPr>
            <w:r>
              <w:rPr>
                <w:rFonts w:ascii="宋体" w:hAnsi="宋体" w:cs="宋体" w:eastAsia="宋体" w:hint="default"/>
                <w:sz w:val="18"/>
                <w:szCs w:val="18"/>
              </w:rPr>
              <w:t>主要系报告期内公司会计政策变更导 致原可供出售金融资产科目转入本科 目核算且增加对外投资所致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98,594,526.22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10,877,616.20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主要系报告期内公司咨询顾问费增加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202,825,358.23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381,692,069.53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主要系报告期内控股子公司哆可梦业 务规模下降所致</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15,537,280.81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57,545,263.30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主要系报告期内缴纳及冲回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计提增值税、所得税费用以及收入下 降所致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68,334,737.52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159,723,864.50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主要系报告期内支付限制性股票回购 款所致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387,154,615.89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主要系报告期末一年内应支付的哆可 梦股权受让款减少所致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both"/>
              <w:rPr>
                <w:rFonts w:ascii="宋体" w:hAnsi="宋体" w:cs="宋体" w:eastAsia="宋体" w:hint="default"/>
                <w:sz w:val="18"/>
                <w:szCs w:val="18"/>
              </w:rPr>
            </w:pPr>
            <w:r>
              <w:rPr>
                <w:rFonts w:ascii="宋体" w:hAnsi="宋体" w:cs="宋体" w:eastAsia="宋体" w:hint="default"/>
                <w:sz w:val="18"/>
                <w:szCs w:val="18"/>
              </w:rPr>
              <w:t>主要系应支付的哆可梦股权受让款一 年内到期调至一年内到期的非流动负 债所致</w:t>
            </w:r>
          </w:p>
        </w:tc>
      </w:tr>
    </w:tbl>
    <w:p>
      <w:pPr>
        <w:spacing w:line="240" w:lineRule="auto" w:before="3"/>
        <w:rPr>
          <w:rFonts w:ascii="宋体" w:hAnsi="宋体" w:cs="宋体" w:eastAsia="宋体" w:hint="default"/>
          <w:sz w:val="19"/>
          <w:szCs w:val="19"/>
        </w:rPr>
      </w:pPr>
    </w:p>
    <w:p>
      <w:pPr>
        <w:pStyle w:val="Heading3"/>
        <w:spacing w:line="335" w:lineRule="exact"/>
        <w:ind w:left="212" w:right="1189"/>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212" w:right="1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36"/>
        <w:gridCol w:w="1274"/>
        <w:gridCol w:w="1275"/>
        <w:gridCol w:w="1135"/>
        <w:gridCol w:w="425"/>
        <w:gridCol w:w="1136"/>
        <w:gridCol w:w="1133"/>
        <w:gridCol w:w="1277"/>
        <w:gridCol w:w="1274"/>
      </w:tblGrid>
      <w:tr>
        <w:trPr>
          <w:trHeight w:val="1338"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5" w:right="10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4"/>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73" w:right="11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72" w:right="108"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930"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40"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资产（不含 衍生金融资 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9,804,157.19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4,790,164.80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43,048,929.88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247,020,013.70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259,381,030.19</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61,549,462.26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17,509,162.97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20,018,829.42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82,568,291.68</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1"/>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108,660,597.18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9,804,157.19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17,509,162.97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24,808,994.22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43,048,929.88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247,020,013.70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341,949,321.87</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277,298,900.00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-11,571,380.61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2,369,740.61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18,513,800.00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3,096,140.00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252,679,600.00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380,959,497.18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-1,767,223.42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17,509,162.97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27,178,734.83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61,562,729.88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250,116,153.70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594,628,921.87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136"/>
        <w:gridCol w:w="1274"/>
        <w:gridCol w:w="1275"/>
        <w:gridCol w:w="1135"/>
        <w:gridCol w:w="425"/>
        <w:gridCol w:w="1136"/>
        <w:gridCol w:w="1133"/>
        <w:gridCol w:w="1277"/>
        <w:gridCol w:w="1274"/>
      </w:tblGrid>
      <w:tr>
        <w:trPr>
          <w:trHeight w:val="404"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212" w:right="1189"/>
        <w:jc w:val="left"/>
      </w:pPr>
      <w:r>
        <w:rPr/>
        <w:t>其他变动的内容</w:t>
      </w:r>
    </w:p>
    <w:p>
      <w:pPr>
        <w:pStyle w:val="BodyText"/>
        <w:spacing w:line="300" w:lineRule="auto" w:before="115"/>
        <w:ind w:left="212" w:right="1124"/>
        <w:jc w:val="left"/>
      </w:pPr>
      <w:r>
        <w:rPr/>
        <w:t>（</w:t>
      </w:r>
      <w:r>
        <w:rPr>
          <w:rFonts w:ascii="Times New Roman" w:hAnsi="Times New Roman" w:cs="Times New Roman" w:eastAsia="Times New Roman" w:hint="default"/>
        </w:rPr>
        <w:t>1</w:t>
      </w:r>
      <w:r>
        <w:rPr/>
        <w:t>）交易性金融资产（不含衍生金融资产）的其他变动主要系报告期内因公司会计政策变更导致理财产品投资由其他流动 资产科目转入本科目核算所致。</w:t>
      </w:r>
    </w:p>
    <w:p>
      <w:pPr>
        <w:pStyle w:val="BodyText"/>
        <w:spacing w:line="300" w:lineRule="auto" w:before="31"/>
        <w:ind w:left="212" w:right="1304"/>
        <w:jc w:val="left"/>
      </w:pPr>
      <w:r>
        <w:rPr/>
        <w:t>（</w:t>
      </w:r>
      <w:r>
        <w:rPr>
          <w:rFonts w:ascii="Times New Roman" w:hAnsi="Times New Roman" w:cs="Times New Roman" w:eastAsia="Times New Roman" w:hint="default"/>
        </w:rPr>
        <w:t>2</w:t>
      </w:r>
      <w:r>
        <w:rPr/>
        <w:t>）投资性房地产的其他变动主要系报告期内公司固定资产中的部分房产因用途由自用转出租而计入到投资性房地产所 致。</w:t>
      </w:r>
    </w:p>
    <w:p>
      <w:pPr>
        <w:pStyle w:val="BodyText"/>
        <w:spacing w:line="240" w:lineRule="auto" w:before="72"/>
        <w:ind w:left="212" w:right="1189"/>
        <w:jc w:val="left"/>
      </w:pPr>
      <w:r>
        <w:rPr/>
        <w:t>报告期内公司主要资产计量属性是否发生重大变化</w:t>
      </w:r>
    </w:p>
    <w:p>
      <w:pPr>
        <w:pStyle w:val="BodyText"/>
        <w:spacing w:line="240" w:lineRule="auto" w:before="115"/>
        <w:ind w:left="212" w:right="11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left="212" w:right="1189"/>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224" w:type="dxa"/>
        <w:tblLayout w:type="fixed"/>
        <w:tblCellMar>
          <w:top w:w="0" w:type="dxa"/>
          <w:left w:w="0" w:type="dxa"/>
          <w:bottom w:w="0" w:type="dxa"/>
          <w:right w:w="0" w:type="dxa"/>
        </w:tblCellMar>
        <w:tblLook w:val="01E0"/>
      </w:tblPr>
      <w:tblGrid>
        <w:gridCol w:w="1985"/>
        <w:gridCol w:w="2693"/>
        <w:gridCol w:w="4820"/>
      </w:tblGrid>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39" w:right="0"/>
              <w:jc w:val="left"/>
              <w:rPr>
                <w:rFonts w:ascii="宋体" w:hAnsi="宋体" w:cs="宋体" w:eastAsia="宋体" w:hint="default"/>
                <w:sz w:val="18"/>
                <w:szCs w:val="18"/>
              </w:rPr>
            </w:pPr>
            <w:r>
              <w:rPr>
                <w:rFonts w:ascii="宋体" w:hAnsi="宋体" w:cs="宋体" w:eastAsia="宋体" w:hint="default"/>
                <w:sz w:val="18"/>
                <w:szCs w:val="18"/>
              </w:rPr>
              <w:t>期末账面价值（净值）</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35,805,047.15</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保函、银行承兑汇票保证金</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59,742,271.29</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借款抵押、融资租赁</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3,493,760.87</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1,383,460,950.00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并购贷款项目股权质押</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237,591,500.00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212" w:right="1189"/>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left="212" w:right="1189"/>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241" w:type="dxa"/>
        <w:tblLayout w:type="fixed"/>
        <w:tblCellMar>
          <w:top w:w="0" w:type="dxa"/>
          <w:left w:w="0" w:type="dxa"/>
          <w:bottom w:w="0" w:type="dxa"/>
          <w:right w:w="0" w:type="dxa"/>
        </w:tblCellMar>
        <w:tblLook w:val="01E0"/>
      </w:tblPr>
      <w:tblGrid>
        <w:gridCol w:w="3188"/>
        <w:gridCol w:w="3190"/>
        <w:gridCol w:w="3193"/>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2,704,890,052.22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1,012,980,933.46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167.02%</w:t>
            </w:r>
          </w:p>
        </w:tc>
      </w:tr>
    </w:tbl>
    <w:p>
      <w:pPr>
        <w:pStyle w:val="BodyText"/>
        <w:spacing w:line="316" w:lineRule="auto" w:before="49"/>
        <w:ind w:left="212" w:right="1231" w:firstLine="360"/>
        <w:jc w:val="both"/>
      </w:pPr>
      <w:r>
        <w:rPr/>
        <w:t>备注：公司上年同期投资额统计口径为证券投资、委托理财、国债逆回购的滚动投资金额及其它股权类投资金额汇总 数，报告期投资额中证券投资、国债逆回购以及其他股权类投资金额的统计口径与上年同期保持一致，委托理财投资金额 以银行账户实际发生额为准，因口径变化对上年同期投资额进行相应调整，不影响上年同期财务报表数据。</w:t>
      </w:r>
    </w:p>
    <w:p>
      <w:pPr>
        <w:spacing w:line="240" w:lineRule="auto" w:before="9"/>
        <w:rPr>
          <w:rFonts w:ascii="宋体" w:hAnsi="宋体" w:cs="宋体" w:eastAsia="宋体" w:hint="default"/>
          <w:sz w:val="17"/>
          <w:szCs w:val="17"/>
        </w:rPr>
      </w:pPr>
    </w:p>
    <w:p>
      <w:pPr>
        <w:pStyle w:val="Heading3"/>
        <w:spacing w:line="240" w:lineRule="auto"/>
        <w:ind w:left="212" w:right="1189"/>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left="212" w:right="1189"/>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left="212" w:right="1189"/>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2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137"/>
        <w:jc w:val="right"/>
      </w:pPr>
      <w:r>
        <w:rPr/>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826"/>
        <w:gridCol w:w="1601"/>
        <w:gridCol w:w="2117"/>
        <w:gridCol w:w="1692"/>
        <w:gridCol w:w="2136"/>
        <w:gridCol w:w="1531"/>
        <w:gridCol w:w="1261"/>
        <w:gridCol w:w="1394"/>
        <w:gridCol w:w="1392"/>
      </w:tblGrid>
      <w:tr>
        <w:trPr>
          <w:trHeight w:val="715"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本期公允价值变动损益</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0" w:right="31" w:hanging="452"/>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59,697,150.44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9,668,940.19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38,442,719.88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-5,951,545.82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7,596,208.89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4,743,778.20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135,217.00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4,768,584.80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4,606,210.00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-137,568.20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4,764,807.60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38,800,388.00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2,005,820,058.00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2,005,996,986.15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176,928.15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45,040,299.29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17,509,162.97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20,018,829.42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82,568,291.68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148,281,615.93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9,804,157.19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17,509,162.97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2,030,629,052.22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2,049,045,916.03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-5,912,185.87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94,929,308.17</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left="140" w:right="128" w:firstLine="466"/>
        <w:jc w:val="left"/>
      </w:pPr>
      <w:r>
        <w:rPr>
          <w:spacing w:val="-1"/>
        </w:rPr>
        <w:t>备注：上表中所列债券投资系报告期内利用证券账户闲置资金进行国债逆回购操作，购入金额和售出金额较大均为滚动投资金额累计所致，报告期内证券投资实际发生额均</w:t>
      </w:r>
      <w:r>
        <w:rPr/>
        <w:t> 未超过授权额度。</w:t>
      </w:r>
    </w:p>
    <w:p>
      <w:pPr>
        <w:spacing w:line="240" w:lineRule="auto" w:before="9"/>
        <w:rPr>
          <w:rFonts w:ascii="宋体" w:hAnsi="宋体" w:cs="宋体" w:eastAsia="宋体" w:hint="default"/>
          <w:sz w:val="17"/>
          <w:szCs w:val="17"/>
        </w:rPr>
      </w:pPr>
    </w:p>
    <w:p>
      <w:pPr>
        <w:pStyle w:val="Heading3"/>
        <w:spacing w:line="240" w:lineRule="auto"/>
        <w:ind w:left="140" w:right="12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left="140" w:right="11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10"/>
        <w:rPr>
          <w:rFonts w:ascii="宋体" w:hAnsi="宋体" w:cs="宋体" w:eastAsia="宋体" w:hint="default"/>
          <w:sz w:val="13"/>
          <w:szCs w:val="13"/>
        </w:rPr>
      </w:pPr>
    </w:p>
    <w:p>
      <w:pPr>
        <w:pStyle w:val="Heading2"/>
        <w:spacing w:line="240" w:lineRule="auto"/>
        <w:ind w:left="140" w:right="128"/>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140" w:right="12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40" w:right="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19"/>
          <w:footerReference w:type="default" r:id="rId20"/>
          <w:pgSz w:w="16840" w:h="11910" w:orient="landscape"/>
          <w:pgMar w:header="867" w:footer="980" w:top="1060" w:bottom="1160" w:left="1300" w:right="1300"/>
          <w:pgNumType w:start="4"/>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7"/>
          <w:szCs w:val="27"/>
        </w:rPr>
      </w:pPr>
    </w:p>
    <w:tbl>
      <w:tblPr>
        <w:tblW w:w="0" w:type="auto"/>
        <w:jc w:val="left"/>
        <w:tblInd w:w="140" w:type="dxa"/>
        <w:tblLayout w:type="fixed"/>
        <w:tblCellMar>
          <w:top w:w="0" w:type="dxa"/>
          <w:left w:w="0" w:type="dxa"/>
          <w:bottom w:w="0" w:type="dxa"/>
          <w:right w:w="0" w:type="dxa"/>
        </w:tblCellMar>
        <w:tblLook w:val="01E0"/>
      </w:tblPr>
      <w:tblGrid>
        <w:gridCol w:w="711"/>
        <w:gridCol w:w="1291"/>
        <w:gridCol w:w="845"/>
        <w:gridCol w:w="703"/>
        <w:gridCol w:w="961"/>
        <w:gridCol w:w="1157"/>
        <w:gridCol w:w="847"/>
        <w:gridCol w:w="518"/>
        <w:gridCol w:w="324"/>
        <w:gridCol w:w="706"/>
        <w:gridCol w:w="706"/>
        <w:gridCol w:w="1128"/>
        <w:gridCol w:w="1345"/>
        <w:gridCol w:w="840"/>
        <w:gridCol w:w="1870"/>
      </w:tblGrid>
      <w:tr>
        <w:trPr>
          <w:trHeight w:val="2275"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9" w:right="8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6"/>
              <w:jc w:val="center"/>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利润（万 元）</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5" w:right="35" w:hanging="24"/>
              <w:jc w:val="left"/>
              <w:rPr>
                <w:rFonts w:ascii="宋体" w:hAnsi="宋体" w:cs="宋体" w:eastAsia="宋体" w:hint="default"/>
                <w:sz w:val="18"/>
                <w:szCs w:val="18"/>
              </w:rPr>
            </w:pPr>
            <w:r>
              <w:rPr>
                <w:rFonts w:ascii="宋体" w:hAnsi="宋体" w:cs="宋体" w:eastAsia="宋体" w:hint="default"/>
                <w:sz w:val="18"/>
                <w:szCs w:val="18"/>
              </w:rPr>
              <w:t>出售对公司的 影响（注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1" w:right="74"/>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7"/>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7"/>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所涉及的债 权债务是否 已全部转移</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 w:right="38"/>
              <w:jc w:val="center"/>
              <w:rPr>
                <w:rFonts w:ascii="宋体" w:hAnsi="宋体" w:cs="宋体" w:eastAsia="宋体" w:hint="default"/>
                <w:sz w:val="18"/>
                <w:szCs w:val="18"/>
              </w:rPr>
            </w:pPr>
            <w:r>
              <w:rPr>
                <w:rFonts w:ascii="宋体" w:hAnsi="宋体" w:cs="宋体" w:eastAsia="宋体" w:hint="default"/>
                <w:sz w:val="18"/>
                <w:szCs w:val="18"/>
              </w:rPr>
              <w:t>是否按计划如期 实施，如未按计 划实施，应当说 明原因及公司已 采取的措施</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王某某</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83"/>
              <w:jc w:val="left"/>
              <w:rPr>
                <w:rFonts w:ascii="宋体" w:hAnsi="宋体" w:cs="宋体" w:eastAsia="宋体" w:hint="default"/>
                <w:sz w:val="18"/>
                <w:szCs w:val="18"/>
              </w:rPr>
            </w:pPr>
            <w:r>
              <w:rPr>
                <w:rFonts w:ascii="宋体" w:hAnsi="宋体" w:cs="宋体" w:eastAsia="宋体" w:hint="default"/>
                <w:sz w:val="18"/>
                <w:szCs w:val="18"/>
              </w:rPr>
              <w:t>济南市市中区 顺河东街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银座晶都国际 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1-2006 </w:t>
            </w:r>
            <w:r>
              <w:rPr>
                <w:rFonts w:ascii="宋体" w:hAnsi="宋体" w:cs="宋体" w:eastAsia="宋体" w:hint="default"/>
                <w:sz w:val="18"/>
                <w:szCs w:val="18"/>
              </w:rPr>
              <w:t>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113.62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113.62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4"/>
              <w:ind w:left="24" w:right="23"/>
              <w:jc w:val="left"/>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z w:val="18"/>
                <w:szCs w:val="18"/>
              </w:rPr>
              <w:t> 上的《关于处置公司房 </w:t>
            </w:r>
            <w:r>
              <w:rPr>
                <w:rFonts w:ascii="宋体" w:hAnsi="宋体" w:cs="宋体" w:eastAsia="宋体" w:hint="default"/>
                <w:spacing w:val="-11"/>
                <w:sz w:val="18"/>
                <w:szCs w:val="18"/>
              </w:rPr>
              <w:t>产的公告》（公告编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r>
        <w:trPr>
          <w:trHeight w:val="165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35"/>
              <w:jc w:val="both"/>
              <w:rPr>
                <w:rFonts w:ascii="宋体" w:hAnsi="宋体" w:cs="宋体" w:eastAsia="宋体" w:hint="default"/>
                <w:sz w:val="18"/>
                <w:szCs w:val="18"/>
              </w:rPr>
            </w:pPr>
            <w:r>
              <w:rPr>
                <w:rFonts w:ascii="宋体" w:hAnsi="宋体" w:cs="宋体" w:eastAsia="宋体" w:hint="default"/>
                <w:sz w:val="18"/>
                <w:szCs w:val="18"/>
              </w:rPr>
              <w:t>北京新 发领航 文化传 播有限 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5"/>
              <w:jc w:val="left"/>
              <w:rPr>
                <w:rFonts w:ascii="宋体" w:hAnsi="宋体" w:cs="宋体" w:eastAsia="宋体" w:hint="default"/>
                <w:sz w:val="18"/>
                <w:szCs w:val="18"/>
              </w:rPr>
            </w:pPr>
            <w:r>
              <w:rPr>
                <w:rFonts w:ascii="宋体" w:hAnsi="宋体" w:cs="宋体" w:eastAsia="宋体" w:hint="default"/>
                <w:sz w:val="18"/>
                <w:szCs w:val="18"/>
              </w:rPr>
              <w:t>北京市通州区 景盛南四街甲</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1,146.64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1,146.64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4" w:right="23"/>
              <w:jc w:val="left"/>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z w:val="18"/>
                <w:szCs w:val="18"/>
              </w:rPr>
              <w:t> 上的《关于处置公司房 </w:t>
            </w:r>
            <w:r>
              <w:rPr>
                <w:rFonts w:ascii="宋体" w:hAnsi="宋体" w:cs="宋体" w:eastAsia="宋体" w:hint="default"/>
                <w:spacing w:val="-11"/>
                <w:sz w:val="18"/>
                <w:szCs w:val="18"/>
              </w:rPr>
              <w:t>产的公告》（公告编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335" w:lineRule="exact"/>
        <w:ind w:left="245" w:right="12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40" w:right="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140" w:right="128"/>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6840" w:h="11910" w:orient="landscape"/>
          <w:pgMar w:header="867" w:footer="980" w:top="1060" w:bottom="1160" w:left="1300" w:right="130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300"/>
          <w:cols w:num="2" w:equalWidth="0">
            <w:col w:w="4838" w:space="8403"/>
            <w:col w:w="999"/>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80"/>
        <w:gridCol w:w="864"/>
        <w:gridCol w:w="5314"/>
        <w:gridCol w:w="1090"/>
        <w:gridCol w:w="1250"/>
        <w:gridCol w:w="1253"/>
        <w:gridCol w:w="1251"/>
        <w:gridCol w:w="1181"/>
        <w:gridCol w:w="1181"/>
      </w:tblGrid>
      <w:tr>
        <w:trPr>
          <w:trHeight w:val="729" w:hRule="exact"/>
        </w:trPr>
        <w:tc>
          <w:tcPr>
            <w:tcW w:w="68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2" w:right="65"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8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53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9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5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网络技术服务；电脑游戏软件开发。计算机、软件及辅助设备销 售；第二类增值电信业务中的信息服务业务（不含固定网电话信息 </w:t>
            </w:r>
            <w:r>
              <w:rPr>
                <w:rFonts w:ascii="宋体" w:hAnsi="宋体" w:cs="宋体" w:eastAsia="宋体" w:hint="default"/>
                <w:spacing w:val="-4"/>
                <w:sz w:val="18"/>
                <w:szCs w:val="18"/>
              </w:rPr>
              <w:t>服务和互联网信息服务）；互联网游戏出版；手机游戏出版</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962,248,955.68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691,323,480.43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692,654,289.04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237,566,891.76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264,981,569.07</w:t>
            </w:r>
          </w:p>
        </w:tc>
      </w:tr>
      <w:tr>
        <w:trPr>
          <w:trHeight w:val="1652"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106"/>
              <w:jc w:val="left"/>
              <w:rPr>
                <w:rFonts w:ascii="宋体" w:hAnsi="宋体" w:cs="宋体" w:eastAsia="宋体" w:hint="default"/>
                <w:sz w:val="18"/>
                <w:szCs w:val="18"/>
              </w:rPr>
            </w:pPr>
            <w:r>
              <w:rPr>
                <w:rFonts w:ascii="宋体" w:hAnsi="宋体" w:cs="宋体" w:eastAsia="宋体" w:hint="default"/>
                <w:sz w:val="18"/>
                <w:szCs w:val="18"/>
              </w:rPr>
              <w:t>上海季 娱</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从事网络技术、计算机技术领域内的技术开发、技术咨询、技术转 让、技术服务，计算机系统集成，图文设计制作，设计、制作、代 理各类广告，利用自有媒体发布广告，企业形象策划，展览展示服 务，计算机、软件及辅助设备的销售，从事货物及技术的进出口业 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37,038,618.19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-3,024,148.19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98,405,848.21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1,021,920.06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50,904.47</w:t>
            </w:r>
          </w:p>
        </w:tc>
      </w:tr>
    </w:tbl>
    <w:p>
      <w:pPr>
        <w:pStyle w:val="BodyText"/>
        <w:spacing w:line="240" w:lineRule="auto" w:before="49"/>
        <w:ind w:left="220" w:right="198"/>
        <w:jc w:val="left"/>
      </w:pPr>
      <w:r>
        <w:rPr/>
        <w:t>报告期内取得和处置子公司的情况</w:t>
      </w:r>
    </w:p>
    <w:p>
      <w:pPr>
        <w:pStyle w:val="BodyText"/>
        <w:spacing w:line="240" w:lineRule="auto" w:before="115"/>
        <w:ind w:left="220" w:right="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4650"/>
        <w:gridCol w:w="4649"/>
        <w:gridCol w:w="4652"/>
      </w:tblGrid>
      <w:tr>
        <w:trPr>
          <w:trHeight w:val="403" w:hRule="exact"/>
        </w:trPr>
        <w:tc>
          <w:tcPr>
            <w:tcW w:w="4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葫芦岛共创网络科技有限公司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哆可梦子公司，本报告期内共创网络已完成注销手续</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-0.02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4"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铁匣电力设备（深圳）有限责任公司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公司与喀什中汇联银新设子公司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深圳市一零电力设备有限责任公司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公司与喀什中汇联银新设子公司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 </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40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深圳市零玖电力设备有限责任公司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公司与喀什中汇联银新设子公司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成都多趣网络科技有限公司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哆可梦新设子公司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-0.01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成都缘中缘网络科技有限公司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哆可梦新设子公司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-114.83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tc>
      </w:tr>
      <w:tr>
        <w:trPr>
          <w:trHeight w:val="40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成都致合世纪网络科技有限公司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哆可梦新设子公司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-51.75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4"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江西省高奇网络科技有限公司</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哆可梦新设子公司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暂无</w:t>
            </w:r>
          </w:p>
        </w:tc>
      </w:tr>
      <w:tr>
        <w:trPr>
          <w:trHeight w:val="40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链接世界株式会社</w:t>
            </w:r>
          </w:p>
        </w:tc>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公司新设子公司</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对归属于上市公司净利润的影响为</w:t>
            </w:r>
            <w:r>
              <w:rPr>
                <w:rFonts w:ascii="Times New Roman" w:hAnsi="Times New Roman" w:cs="Times New Roman" w:eastAsia="Times New Roman" w:hint="default"/>
                <w:sz w:val="18"/>
                <w:szCs w:val="18"/>
              </w:rPr>
              <w:t>-16.03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49"/>
        <w:ind w:left="220" w:right="198"/>
        <w:jc w:val="left"/>
      </w:pPr>
      <w:r>
        <w:rPr/>
        <w:t>主要控股参股公司情况说明</w:t>
      </w:r>
    </w:p>
    <w:p>
      <w:pPr>
        <w:pStyle w:val="BodyText"/>
        <w:spacing w:line="300" w:lineRule="auto" w:before="117"/>
        <w:ind w:left="220" w:right="198"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月，经公司总裁办公会审议批准，控股子公司哆可梦出资</w:t>
      </w:r>
      <w:r>
        <w:rPr>
          <w:rFonts w:ascii="Times New Roman" w:hAnsi="Times New Roman" w:cs="Times New Roman" w:eastAsia="Times New Roman" w:hint="default"/>
        </w:rPr>
        <w:t>100</w:t>
      </w:r>
      <w:r>
        <w:rPr/>
        <w:t>万元设立全资子公司共创网络。</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月，经公司总裁办公会审议批准，因共创网络自成立以来未 实际开展业务并且无法取得相关优惠政策，哆可梦尚未实际出资，哆可梦注销共创网络，相关注销登记手续已办理完毕。</w:t>
      </w:r>
    </w:p>
    <w:p>
      <w:pPr>
        <w:pStyle w:val="BodyText"/>
        <w:spacing w:line="240" w:lineRule="auto" w:before="31"/>
        <w:ind w:left="578" w:right="19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月，经公司总裁办公会审议批准，控股子公司哆可梦出资</w:t>
      </w:r>
      <w:r>
        <w:rPr>
          <w:rFonts w:ascii="Times New Roman" w:hAnsi="Times New Roman" w:cs="Times New Roman" w:eastAsia="Times New Roman" w:hint="default"/>
        </w:rPr>
        <w:t>1,000</w:t>
      </w:r>
      <w:r>
        <w:rPr/>
        <w:t>万元在成都市成立孙公司多趣网络。</w:t>
      </w:r>
    </w:p>
    <w:p>
      <w:pPr>
        <w:spacing w:after="0" w:line="240" w:lineRule="auto"/>
        <w:jc w:val="left"/>
        <w:sectPr>
          <w:pgSz w:w="16840" w:h="11910" w:orient="landscape"/>
          <w:pgMar w:header="867" w:footer="980" w:top="1060" w:bottom="1160" w:left="1220" w:right="1320"/>
        </w:sectPr>
      </w:pPr>
    </w:p>
    <w:p>
      <w:pPr>
        <w:spacing w:line="240" w:lineRule="auto" w:before="11"/>
        <w:rPr>
          <w:rFonts w:ascii="宋体" w:hAnsi="宋体" w:cs="宋体" w:eastAsia="宋体" w:hint="default"/>
          <w:sz w:val="21"/>
          <w:szCs w:val="21"/>
        </w:rPr>
      </w:pPr>
    </w:p>
    <w:p>
      <w:pPr>
        <w:pStyle w:val="BodyText"/>
        <w:spacing w:line="300" w:lineRule="auto" w:before="44"/>
        <w:ind w:right="1126" w:firstLine="35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月，经公司总裁办公会审议批准，公司与子公司喀什中汇联银成立</w:t>
      </w:r>
      <w:r>
        <w:rPr>
          <w:rFonts w:ascii="Times New Roman" w:hAnsi="Times New Roman" w:cs="Times New Roman" w:eastAsia="Times New Roman" w:hint="default"/>
        </w:rPr>
        <w:t>1</w:t>
      </w:r>
      <w:r>
        <w:rPr/>
        <w:t>家下属公司铁匣电力，注册资本为人民 币</w:t>
      </w:r>
      <w:r>
        <w:rPr>
          <w:rFonts w:ascii="Times New Roman" w:hAnsi="Times New Roman" w:cs="Times New Roman" w:eastAsia="Times New Roman" w:hint="default"/>
        </w:rPr>
        <w:t>100</w:t>
      </w:r>
      <w:r>
        <w:rPr/>
        <w:t>万元，其中：公司认缴出资额</w:t>
      </w:r>
      <w:r>
        <w:rPr>
          <w:rFonts w:ascii="Times New Roman" w:hAnsi="Times New Roman" w:cs="Times New Roman" w:eastAsia="Times New Roman" w:hint="default"/>
        </w:rPr>
        <w:t>60</w:t>
      </w:r>
      <w:r>
        <w:rPr/>
        <w:t>万元，出资比例为</w:t>
      </w:r>
      <w:r>
        <w:rPr>
          <w:rFonts w:ascii="Times New Roman" w:hAnsi="Times New Roman" w:cs="Times New Roman" w:eastAsia="Times New Roman" w:hint="default"/>
        </w:rPr>
        <w:t>60%</w:t>
      </w:r>
      <w:r>
        <w:rPr/>
        <w:t>；喀什中汇联银认缴出资额</w:t>
      </w:r>
      <w:r>
        <w:rPr>
          <w:rFonts w:ascii="Times New Roman" w:hAnsi="Times New Roman" w:cs="Times New Roman" w:eastAsia="Times New Roman" w:hint="default"/>
        </w:rPr>
        <w:t>40</w:t>
      </w:r>
      <w:r>
        <w:rPr/>
        <w:t>万元，出资比例为</w:t>
      </w:r>
      <w:r>
        <w:rPr>
          <w:rFonts w:ascii="Times New Roman" w:hAnsi="Times New Roman" w:cs="Times New Roman" w:eastAsia="Times New Roman" w:hint="default"/>
        </w:rPr>
        <w:t>40%</w:t>
      </w:r>
      <w:r>
        <w:rPr/>
        <w:t>。</w:t>
      </w:r>
    </w:p>
    <w:p>
      <w:pPr>
        <w:pStyle w:val="BodyText"/>
        <w:spacing w:line="300" w:lineRule="auto" w:before="13"/>
        <w:ind w:right="1141" w:firstLine="358"/>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月，经公司总裁办公会审议批准，公司与子公司喀什中汇联银成立</w:t>
      </w:r>
      <w:r>
        <w:rPr>
          <w:rFonts w:ascii="Times New Roman" w:hAnsi="Times New Roman" w:cs="Times New Roman" w:eastAsia="Times New Roman" w:hint="default"/>
        </w:rPr>
        <w:t>2</w:t>
      </w:r>
      <w:r>
        <w:rPr/>
        <w:t>家下属公司，名称分别为一零电力、零 玖电力，注册资本均为人民币</w:t>
      </w:r>
      <w:r>
        <w:rPr>
          <w:rFonts w:ascii="Times New Roman" w:hAnsi="Times New Roman" w:cs="Times New Roman" w:eastAsia="Times New Roman" w:hint="default"/>
        </w:rPr>
        <w:t>100</w:t>
      </w:r>
      <w:r>
        <w:rPr/>
        <w:t>万元，其中股权结构均为：公司认缴出资额</w:t>
      </w:r>
      <w:r>
        <w:rPr>
          <w:rFonts w:ascii="Times New Roman" w:hAnsi="Times New Roman" w:cs="Times New Roman" w:eastAsia="Times New Roman" w:hint="default"/>
        </w:rPr>
        <w:t>60</w:t>
      </w:r>
      <w:r>
        <w:rPr/>
        <w:t>万元，出资比例为</w:t>
      </w:r>
      <w:r>
        <w:rPr>
          <w:rFonts w:ascii="Times New Roman" w:hAnsi="Times New Roman" w:cs="Times New Roman" w:eastAsia="Times New Roman" w:hint="default"/>
        </w:rPr>
        <w:t>60%</w:t>
      </w:r>
      <w:r>
        <w:rPr/>
        <w:t>；喀什中汇联银认缴 出资额</w:t>
      </w:r>
      <w:r>
        <w:rPr>
          <w:rFonts w:ascii="Times New Roman" w:hAnsi="Times New Roman" w:cs="Times New Roman" w:eastAsia="Times New Roman" w:hint="default"/>
        </w:rPr>
        <w:t>40</w:t>
      </w:r>
      <w:r>
        <w:rPr/>
        <w:t>万元，出资比例为</w:t>
      </w:r>
      <w:r>
        <w:rPr>
          <w:rFonts w:ascii="Times New Roman" w:hAnsi="Times New Roman" w:cs="Times New Roman" w:eastAsia="Times New Roman" w:hint="default"/>
        </w:rPr>
        <w:t>40%</w:t>
      </w:r>
      <w:r>
        <w:rPr/>
        <w:t>。</w:t>
      </w:r>
    </w:p>
    <w:p>
      <w:pPr>
        <w:pStyle w:val="BodyText"/>
        <w:spacing w:line="300" w:lineRule="auto" w:before="13"/>
        <w:ind w:right="1216" w:firstLine="358"/>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月，经公司总裁办公会审议批准，控股子公司哆可梦在成都市成立</w:t>
      </w:r>
      <w:r>
        <w:rPr>
          <w:rFonts w:ascii="Times New Roman" w:hAnsi="Times New Roman" w:cs="Times New Roman" w:eastAsia="Times New Roman" w:hint="default"/>
        </w:rPr>
        <w:t>2</w:t>
      </w:r>
      <w:r>
        <w:rPr/>
        <w:t>家孙公司、在江西省成立</w:t>
      </w:r>
      <w:r>
        <w:rPr>
          <w:rFonts w:ascii="Times New Roman" w:hAnsi="Times New Roman" w:cs="Times New Roman" w:eastAsia="Times New Roman" w:hint="default"/>
        </w:rPr>
        <w:t>1</w:t>
      </w:r>
      <w:r>
        <w:rPr/>
        <w:t>家孙公司， 孙公司名称分别为缘中缘网络、致合世纪、高奇网络，注册资本均为人民币</w:t>
      </w:r>
      <w:r>
        <w:rPr>
          <w:rFonts w:ascii="Times New Roman" w:hAnsi="Times New Roman" w:cs="Times New Roman" w:eastAsia="Times New Roman" w:hint="default"/>
        </w:rPr>
        <w:t>300</w:t>
      </w:r>
      <w:r>
        <w:rPr/>
        <w:t>万元。</w:t>
      </w:r>
    </w:p>
    <w:p>
      <w:pPr>
        <w:pStyle w:val="BodyText"/>
        <w:spacing w:line="240" w:lineRule="auto" w:before="17"/>
        <w:ind w:left="51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月，经公司第六届董事会第三十七次会议审议批准，公司在日本设立一家全资游戏研发、发行子公司</w:t>
      </w:r>
      <w:r>
        <w:rPr>
          <w:rFonts w:ascii="Times New Roman" w:hAnsi="Times New Roman" w:cs="Times New Roman" w:eastAsia="Times New Roman" w:hint="default"/>
          <w:color w:val="333333"/>
          <w:sz w:val="20"/>
          <w:szCs w:val="20"/>
        </w:rPr>
        <w:t>——</w:t>
      </w:r>
      <w:r>
        <w:rPr>
          <w:rFonts w:ascii="Times New Roman" w:hAnsi="Times New Roman" w:cs="Times New Roman" w:eastAsia="Times New Roman" w:hint="default"/>
          <w:sz w:val="20"/>
          <w:szCs w:val="20"/>
        </w:rPr>
      </w:r>
    </w:p>
    <w:p>
      <w:pPr>
        <w:pStyle w:val="BodyText"/>
        <w:spacing w:line="240" w:lineRule="auto" w:before="53"/>
        <w:ind w:right="0"/>
        <w:jc w:val="both"/>
      </w:pPr>
      <w:r>
        <w:rPr/>
        <w:t>链接世界，作为惠程海外游戏运作平台。截止本报告期末，当地注册登记文件已办理完毕。</w:t>
      </w:r>
    </w:p>
    <w:p>
      <w:pPr>
        <w:pStyle w:val="BodyText"/>
        <w:spacing w:line="240" w:lineRule="auto" w:before="76"/>
        <w:ind w:left="510" w:right="0"/>
        <w:jc w:val="left"/>
      </w:pPr>
      <w:r>
        <w:rPr>
          <w:rFonts w:ascii="Times New Roman" w:hAnsi="Times New Roman" w:cs="Times New Roman" w:eastAsia="Times New Roman" w:hint="default"/>
        </w:rPr>
        <w:t>7</w:t>
      </w:r>
      <w:r>
        <w:rPr/>
        <w:t>、报告期内，哆可梦继续坚持</w:t>
      </w:r>
      <w:r>
        <w:rPr>
          <w:rFonts w:ascii="Times New Roman" w:hAnsi="Times New Roman" w:cs="Times New Roman" w:eastAsia="Times New Roman" w:hint="default"/>
        </w:rPr>
        <w:t>“</w:t>
      </w:r>
      <w:r>
        <w:rPr/>
        <w:t>业务平台化、市场全球化、流量自有化、生态链泛娱乐化</w:t>
      </w:r>
      <w:r>
        <w:rPr>
          <w:rFonts w:ascii="Times New Roman" w:hAnsi="Times New Roman" w:cs="Times New Roman" w:eastAsia="Times New Roman" w:hint="default"/>
        </w:rPr>
        <w:t>”</w:t>
      </w:r>
      <w:r>
        <w:rPr/>
        <w:t>的发展战略，实现营业收入</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69,265.43</w:t>
      </w:r>
      <w:r>
        <w:rPr/>
        <w:t>万元，扣非后净利润</w:t>
      </w:r>
      <w:r>
        <w:rPr>
          <w:rFonts w:ascii="Times New Roman" w:hAnsi="Times New Roman" w:cs="Times New Roman" w:eastAsia="Times New Roman" w:hint="default"/>
        </w:rPr>
        <w:t>25,385.51</w:t>
      </w:r>
      <w:r>
        <w:rPr/>
        <w:t>万元，业绩承诺完成度达到</w:t>
      </w:r>
      <w:r>
        <w:rPr>
          <w:rFonts w:ascii="Times New Roman" w:hAnsi="Times New Roman" w:cs="Times New Roman" w:eastAsia="Times New Roman" w:hint="default"/>
        </w:rPr>
        <w:t>103.61%</w:t>
      </w:r>
      <w:r>
        <w:rPr/>
        <w:t>，经减值测试，收购哆可梦形成的商誉在</w:t>
      </w:r>
      <w:r>
        <w:rPr>
          <w:rFonts w:ascii="Times New Roman" w:hAnsi="Times New Roman" w:cs="Times New Roman" w:eastAsia="Times New Roman" w:hint="default"/>
        </w:rPr>
        <w:t>2019</w:t>
      </w:r>
    </w:p>
    <w:p>
      <w:pPr>
        <w:pStyle w:val="BodyText"/>
        <w:spacing w:line="240" w:lineRule="auto" w:before="63"/>
        <w:ind w:right="0"/>
        <w:jc w:val="both"/>
      </w:pPr>
      <w:r>
        <w:rPr/>
        <w:t>年底未发生减值，不存在计提商誉减值准备的情形。</w:t>
      </w:r>
    </w:p>
    <w:p>
      <w:pPr>
        <w:pStyle w:val="BodyText"/>
        <w:spacing w:line="300" w:lineRule="auto" w:before="77"/>
        <w:ind w:right="1214" w:firstLine="358"/>
        <w:jc w:val="left"/>
        <w:rPr>
          <w:rFonts w:ascii="宋体" w:hAnsi="宋体" w:cs="宋体" w:eastAsia="宋体" w:hint="default"/>
        </w:rPr>
      </w:pPr>
      <w:r>
        <w:rPr>
          <w:rFonts w:ascii="Times New Roman" w:hAnsi="Times New Roman" w:cs="Times New Roman" w:eastAsia="Times New Roman" w:hint="default"/>
        </w:rPr>
        <w:t>8</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月成立以来，上海季娱立足国内市场，运用自身的渠道与流量优势，专注于各类精品手机游戏的研发和 发行业务，尤其是擅长在腾讯渠道和苹果</w:t>
      </w:r>
      <w:r>
        <w:rPr>
          <w:rFonts w:ascii="Times New Roman" w:hAnsi="Times New Roman" w:cs="Times New Roman" w:eastAsia="Times New Roman" w:hint="default"/>
        </w:rPr>
        <w:t>IOS</w:t>
      </w:r>
      <w:r>
        <w:rPr/>
        <w:t>端渠道的游戏发行业务，致力于为玩家提供高品质的手游产品和多样化娱乐 服务。上海季娱在成立后的</w:t>
      </w:r>
      <w:r>
        <w:rPr>
          <w:rFonts w:ascii="Times New Roman" w:hAnsi="Times New Roman" w:cs="Times New Roman" w:eastAsia="Times New Roman" w:hint="default"/>
        </w:rPr>
        <w:t>1</w:t>
      </w:r>
      <w:r>
        <w:rPr/>
        <w:t>年多时间内已成功联合发行</w:t>
      </w:r>
      <w:r>
        <w:rPr>
          <w:rFonts w:ascii="Times New Roman" w:hAnsi="Times New Roman" w:cs="Times New Roman" w:eastAsia="Times New Roman" w:hint="default"/>
        </w:rPr>
        <w:t>2</w:t>
      </w:r>
      <w:r>
        <w:rPr/>
        <w:t>款大型精品</w:t>
      </w:r>
      <w:r>
        <w:rPr>
          <w:rFonts w:ascii="Times New Roman" w:hAnsi="Times New Roman" w:cs="Times New Roman" w:eastAsia="Times New Roman" w:hint="default"/>
        </w:rPr>
        <w:t>MMO</w:t>
      </w:r>
      <w:r>
        <w:rPr/>
        <w:t>游戏，</w:t>
      </w:r>
      <w:r>
        <w:rPr>
          <w:rFonts w:ascii="Times New Roman" w:hAnsi="Times New Roman" w:cs="Times New Roman" w:eastAsia="Times New Roman" w:hint="default"/>
        </w:rPr>
        <w:t>2019</w:t>
      </w:r>
      <w:r>
        <w:rPr/>
        <w:t>年实现营业收入</w:t>
      </w:r>
      <w:r>
        <w:rPr>
          <w:rFonts w:ascii="Times New Roman" w:hAnsi="Times New Roman" w:cs="Times New Roman" w:eastAsia="Times New Roman" w:hint="default"/>
        </w:rPr>
        <w:t>9,840.58</w:t>
      </w:r>
      <w:r>
        <w:rPr/>
        <w:t>万元，相比 </w:t>
      </w:r>
      <w:r>
        <w:rPr>
          <w:rFonts w:ascii="Times New Roman" w:hAnsi="Times New Roman" w:cs="Times New Roman" w:eastAsia="Times New Roman" w:hint="default"/>
        </w:rPr>
        <w:t>2018</w:t>
      </w:r>
      <w:r>
        <w:rPr/>
        <w:t>年已成功实现扭亏为盈，期末净利润低系</w:t>
      </w:r>
      <w:r>
        <w:rPr>
          <w:rFonts w:ascii="宋体" w:hAnsi="宋体" w:cs="宋体" w:eastAsia="宋体" w:hint="default"/>
        </w:rPr>
        <w:t>2019</w:t>
      </w:r>
      <w:r>
        <w:rPr/>
        <w:t>年第四季度上海季娱加大了重点产品的推广，导致推广费支出较多所 致。</w:t>
      </w:r>
      <w:r>
        <w:rPr>
          <w:rFonts w:ascii="宋体" w:hAnsi="宋体" w:cs="宋体" w:eastAsia="宋体" w:hint="default"/>
        </w:rPr>
        <w:t> </w:t>
      </w:r>
    </w:p>
    <w:p>
      <w:pPr>
        <w:spacing w:line="240" w:lineRule="auto" w:before="13"/>
        <w:rPr>
          <w:rFonts w:ascii="宋体" w:hAnsi="宋体" w:cs="宋体" w:eastAsia="宋体" w:hint="default"/>
          <w:sz w:val="15"/>
          <w:szCs w:val="15"/>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九、公司未来发展的展望</w:t>
      </w:r>
      <w:r>
        <w:rPr>
          <w:b w:val="0"/>
          <w:bCs w:val="0"/>
        </w:rPr>
      </w:r>
    </w:p>
    <w:p>
      <w:pPr>
        <w:spacing w:line="240" w:lineRule="auto" w:before="1"/>
        <w:rPr>
          <w:rFonts w:ascii="Microsoft JhengHei" w:hAnsi="Microsoft JhengHei" w:cs="Microsoft JhengHei" w:eastAsia="Microsoft JhengHei" w:hint="default"/>
          <w:b/>
          <w:bCs/>
          <w:sz w:val="15"/>
          <w:szCs w:val="15"/>
        </w:rPr>
      </w:pPr>
    </w:p>
    <w:p>
      <w:pPr>
        <w:pStyle w:val="Heading4"/>
        <w:spacing w:line="271" w:lineRule="auto"/>
        <w:ind w:right="8953"/>
        <w:jc w:val="left"/>
        <w:rPr>
          <w:b w:val="0"/>
          <w:bCs w:val="0"/>
        </w:rPr>
      </w:pPr>
      <w:r>
        <w:rPr>
          <w:rFonts w:ascii="Times New Roman" w:hAnsi="Times New Roman" w:cs="Times New Roman" w:eastAsia="Times New Roman" w:hint="default"/>
        </w:rPr>
        <w:t>1</w:t>
      </w:r>
      <w:r>
        <w:rPr/>
        <w:t>、行业情况</w:t>
      </w:r>
      <w:r>
        <w:rPr>
          <w:spacing w:val="-42"/>
        </w:rPr>
        <w:t> </w:t>
      </w:r>
      <w:r>
        <w:rPr>
          <w:spacing w:val="-42"/>
        </w:rPr>
      </w:r>
      <w:r>
        <w:rPr/>
        <w:t>互联网游戏行业：</w:t>
      </w:r>
      <w:r>
        <w:rPr>
          <w:b w:val="0"/>
          <w:bCs w:val="0"/>
        </w:rPr>
      </w:r>
    </w:p>
    <w:p>
      <w:pPr>
        <w:pStyle w:val="BodyText"/>
        <w:spacing w:line="304" w:lineRule="auto" w:before="63"/>
        <w:ind w:right="1134" w:firstLine="360"/>
        <w:jc w:val="left"/>
      </w:pPr>
      <w:r>
        <w:rPr>
          <w:rFonts w:ascii="Times New Roman" w:hAnsi="Times New Roman" w:cs="Times New Roman" w:eastAsia="Times New Roman" w:hint="default"/>
        </w:rPr>
        <w:t>2018</w:t>
      </w:r>
      <w:r>
        <w:rPr/>
        <w:t>年以来，随着行业监管政策的变化，游戏行业在行业准入、商业变现以及融资渠道等方面都面临着全面收紧的态 势。游戏版号的管理部门已变成中宣部；</w:t>
      </w:r>
      <w:r>
        <w:rPr>
          <w:rFonts w:ascii="Times New Roman" w:hAnsi="Times New Roman" w:cs="Times New Roman" w:eastAsia="Times New Roman" w:hint="default"/>
        </w:rPr>
        <w:t>2018</w:t>
      </w:r>
      <w:r>
        <w:rPr/>
        <w:t>年在暂停版号发放将近</w:t>
      </w:r>
      <w:r>
        <w:rPr>
          <w:rFonts w:ascii="Times New Roman" w:hAnsi="Times New Roman" w:cs="Times New Roman" w:eastAsia="Times New Roman" w:hint="default"/>
        </w:rPr>
        <w:t>9</w:t>
      </w:r>
      <w:r>
        <w:rPr/>
        <w:t>个月的情况下发放了国产及进口网游版号合计</w:t>
      </w:r>
      <w:r>
        <w:rPr>
          <w:rFonts w:ascii="Times New Roman" w:hAnsi="Times New Roman" w:cs="Times New Roman" w:eastAsia="Times New Roman" w:hint="default"/>
        </w:rPr>
        <w:t>2,140 </w:t>
      </w:r>
      <w:r>
        <w:rPr/>
        <w:t>个，而</w:t>
      </w:r>
      <w:r>
        <w:rPr>
          <w:rFonts w:ascii="Times New Roman" w:hAnsi="Times New Roman" w:cs="Times New Roman" w:eastAsia="Times New Roman" w:hint="default"/>
        </w:rPr>
        <w:t>2019</w:t>
      </w:r>
      <w:r>
        <w:rPr/>
        <w:t>年全年仅暂停</w:t>
      </w:r>
      <w:r>
        <w:rPr>
          <w:rFonts w:ascii="Times New Roman" w:hAnsi="Times New Roman" w:cs="Times New Roman" w:eastAsia="Times New Roman" w:hint="default"/>
        </w:rPr>
        <w:t>2</w:t>
      </w:r>
      <w:r>
        <w:rPr/>
        <w:t>个多月版号发放的情况下只发放了国产及进口网游版号合计</w:t>
      </w:r>
      <w:r>
        <w:rPr>
          <w:rFonts w:ascii="Times New Roman" w:hAnsi="Times New Roman" w:cs="Times New Roman" w:eastAsia="Times New Roman" w:hint="default"/>
        </w:rPr>
        <w:t>1,570</w:t>
      </w:r>
      <w:r>
        <w:rPr/>
        <w:t>个，版号数量同比锐减约 </w:t>
      </w:r>
      <w:r>
        <w:rPr>
          <w:rFonts w:ascii="Times New Roman" w:hAnsi="Times New Roman" w:cs="Times New Roman" w:eastAsia="Times New Roman" w:hint="default"/>
        </w:rPr>
        <w:t>27%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月，证监会向券商下发的《再融资审核财务知识问答》与《再融资审核非财务知识问答》中，明确提出了 </w:t>
      </w:r>
      <w:r>
        <w:rPr>
          <w:rFonts w:ascii="Times New Roman" w:hAnsi="Times New Roman" w:cs="Times New Roman" w:eastAsia="Times New Roman" w:hint="default"/>
        </w:rPr>
        <w:t>“</w:t>
      </w:r>
      <w:r>
        <w:rPr/>
        <w:t>上市公司募集资金应服务于实体经济、符合国家产业政策，主要投向主营业务。募集资金原则上不得跨界投资影视或游 戏</w:t>
      </w:r>
      <w:r>
        <w:rPr>
          <w:rFonts w:ascii="Times New Roman" w:hAnsi="Times New Roman" w:cs="Times New Roman" w:eastAsia="Times New Roman" w:hint="default"/>
        </w:rPr>
        <w:t>”</w:t>
      </w:r>
      <w:r>
        <w:rPr/>
        <w:t>的要求，一方面该文件进一步加重了游戏行业的资金链紧张情况，尤其对那些尚未获得盈利的初创企业而言，随着非游 戏上市公司的募集资金不再投向文娱产业，初创游戏公司的融资管道将进一步收窄；另一方面该文件变相为现存游戏业务 上市公司排除了新的竞争对手进入游戏行业，对于主营业务为游戏业务的上市公司而言，其面向游戏初创企业的吸引力将 得到进一步强化。</w:t>
      </w:r>
    </w:p>
    <w:p>
      <w:pPr>
        <w:pStyle w:val="BodyText"/>
        <w:spacing w:line="240" w:lineRule="auto" w:before="69"/>
        <w:ind w:left="513" w:right="0"/>
        <w:jc w:val="left"/>
      </w:pPr>
      <w:r>
        <w:rPr/>
        <w:t>根据中国音数协游戏工委（</w:t>
      </w:r>
      <w:r>
        <w:rPr>
          <w:rFonts w:ascii="Times New Roman" w:hAnsi="Times New Roman" w:cs="Times New Roman" w:eastAsia="Times New Roman" w:hint="default"/>
        </w:rPr>
        <w:t>GPC</w:t>
      </w:r>
      <w:r>
        <w:rPr/>
        <w:t>）发布的《</w:t>
      </w:r>
      <w:r>
        <w:rPr>
          <w:rFonts w:ascii="Times New Roman" w:hAnsi="Times New Roman" w:cs="Times New Roman" w:eastAsia="Times New Roman" w:hint="default"/>
        </w:rPr>
        <w:t>2019</w:t>
      </w:r>
      <w:r>
        <w:rPr/>
        <w:t>年中国游戏产业报告》，</w:t>
      </w:r>
      <w:r>
        <w:rPr>
          <w:rFonts w:ascii="Times New Roman" w:hAnsi="Times New Roman" w:cs="Times New Roman" w:eastAsia="Times New Roman" w:hint="default"/>
        </w:rPr>
        <w:t>2019</w:t>
      </w:r>
      <w:r>
        <w:rPr/>
        <w:t>年中国游戏市场实际销售收入同比增长</w:t>
      </w:r>
    </w:p>
    <w:p>
      <w:pPr>
        <w:pStyle w:val="BodyText"/>
        <w:spacing w:line="240" w:lineRule="auto" w:before="63"/>
        <w:ind w:right="0"/>
        <w:jc w:val="both"/>
      </w:pPr>
      <w:r>
        <w:rPr>
          <w:rFonts w:ascii="Times New Roman" w:hAnsi="Times New Roman" w:cs="Times New Roman" w:eastAsia="Times New Roman" w:hint="default"/>
        </w:rPr>
        <w:t>7.7%</w:t>
      </w:r>
      <w:r>
        <w:rPr/>
        <w:t>，行业发展逐渐回暖，</w:t>
      </w:r>
      <w:r>
        <w:rPr>
          <w:rFonts w:ascii="Times New Roman" w:hAnsi="Times New Roman" w:cs="Times New Roman" w:eastAsia="Times New Roman" w:hint="default"/>
        </w:rPr>
        <w:t>2019</w:t>
      </w:r>
      <w:r>
        <w:rPr/>
        <w:t>年中国游戏用户规模达</w:t>
      </w:r>
      <w:r>
        <w:rPr>
          <w:rFonts w:ascii="Times New Roman" w:hAnsi="Times New Roman" w:cs="Times New Roman" w:eastAsia="Times New Roman" w:hint="default"/>
        </w:rPr>
        <w:t>6.4</w:t>
      </w:r>
      <w:r>
        <w:rPr/>
        <w:t>亿人，进入稳定发展阶段；同时国内游戏产业链持续升级，</w:t>
      </w:r>
    </w:p>
    <w:p>
      <w:pPr>
        <w:pStyle w:val="BodyText"/>
        <w:spacing w:line="309" w:lineRule="auto" w:before="63"/>
        <w:ind w:right="1181"/>
        <w:jc w:val="both"/>
      </w:pPr>
      <w:r>
        <w:rPr>
          <w:rFonts w:ascii="Times New Roman" w:hAnsi="Times New Roman" w:cs="Times New Roman" w:eastAsia="Times New Roman" w:hint="default"/>
        </w:rPr>
        <w:t>5G</w:t>
      </w:r>
      <w:r>
        <w:rPr/>
        <w:t>、云游戏、</w:t>
      </w:r>
      <w:r>
        <w:rPr>
          <w:rFonts w:ascii="Times New Roman" w:hAnsi="Times New Roman" w:cs="Times New Roman" w:eastAsia="Times New Roman" w:hint="default"/>
        </w:rPr>
        <w:t>VR/AR</w:t>
      </w:r>
      <w:r>
        <w:rPr/>
        <w:t>等前沿技术在游戏领域将陆续得以应用并催生更多新型细分板块。随着物质生活的不断丰富，精神文 化生活正成为人民日益增长的美好生活需要的重要组成部分，作为整个文化娱乐产业消费的重要驱动力，游戏将依托蓬勃 的用户需求获得持续发展，市场规模有望进一步保持正向增长。</w:t>
      </w:r>
    </w:p>
    <w:p>
      <w:pPr>
        <w:pStyle w:val="Heading4"/>
        <w:spacing w:line="240" w:lineRule="auto" w:before="7"/>
        <w:ind w:right="0"/>
        <w:jc w:val="left"/>
        <w:rPr>
          <w:b w:val="0"/>
          <w:bCs w:val="0"/>
        </w:rPr>
      </w:pPr>
      <w:r>
        <w:rPr/>
        <w:t>高端智能制造行业：</w:t>
      </w:r>
      <w:r>
        <w:rPr>
          <w:b w:val="0"/>
          <w:bCs w:val="0"/>
        </w:rPr>
      </w:r>
    </w:p>
    <w:p>
      <w:pPr>
        <w:pStyle w:val="BodyText"/>
        <w:spacing w:line="300" w:lineRule="auto" w:before="94"/>
        <w:ind w:right="1154" w:firstLine="360"/>
        <w:jc w:val="left"/>
      </w:pPr>
      <w:r>
        <w:rPr/>
        <w:t>根据《国家电网智能化规划总报告》，</w:t>
      </w:r>
      <w:r>
        <w:rPr>
          <w:rFonts w:ascii="Times New Roman" w:hAnsi="Times New Roman" w:cs="Times New Roman" w:eastAsia="Times New Roman" w:hint="default"/>
        </w:rPr>
        <w:t>2009-2020</w:t>
      </w:r>
      <w:r>
        <w:rPr/>
        <w:t>年国家电网总投资</w:t>
      </w:r>
      <w:r>
        <w:rPr>
          <w:rFonts w:ascii="Times New Roman" w:hAnsi="Times New Roman" w:cs="Times New Roman" w:eastAsia="Times New Roman" w:hint="default"/>
        </w:rPr>
        <w:t>3.45</w:t>
      </w:r>
      <w:r>
        <w:rPr/>
        <w:t>万亿元，其中针对智能电网的投资额高达</w:t>
      </w:r>
      <w:r>
        <w:rPr>
          <w:rFonts w:ascii="Times New Roman" w:hAnsi="Times New Roman" w:cs="Times New Roman" w:eastAsia="Times New Roman" w:hint="default"/>
        </w:rPr>
        <w:t>3,841 </w:t>
      </w:r>
      <w:r>
        <w:rPr/>
        <w:t>亿元，占电网总投资的</w:t>
      </w:r>
      <w:r>
        <w:rPr>
          <w:rFonts w:ascii="Times New Roman" w:hAnsi="Times New Roman" w:cs="Times New Roman" w:eastAsia="Times New Roman" w:hint="default"/>
        </w:rPr>
        <w:t>11.1%</w:t>
      </w:r>
      <w:r>
        <w:rPr/>
        <w:t>。而且，按不同时间阶段划分，越到规划后期，智能化投资将占比越高。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日，国 网公司召开工作会议，国家电网公司正式提出将建设枢纽型、平台型、共享型企业，在建设坚强智能电网的基础上建设泛</w:t>
      </w:r>
    </w:p>
    <w:p>
      <w:pPr>
        <w:spacing w:after="0" w:line="300" w:lineRule="auto"/>
        <w:jc w:val="left"/>
        <w:sectPr>
          <w:headerReference w:type="default" r:id="rId21"/>
          <w:footerReference w:type="default" r:id="rId22"/>
          <w:pgSz w:w="11910" w:h="16840"/>
          <w:pgMar w:header="877" w:footer="980" w:top="1100" w:bottom="1160" w:left="980" w:right="0"/>
          <w:pgNumType w:start="7"/>
        </w:sectPr>
      </w:pPr>
    </w:p>
    <w:p>
      <w:pPr>
        <w:spacing w:line="240" w:lineRule="auto" w:before="11"/>
        <w:rPr>
          <w:rFonts w:ascii="宋体" w:hAnsi="宋体" w:cs="宋体" w:eastAsia="宋体" w:hint="default"/>
          <w:sz w:val="21"/>
          <w:szCs w:val="21"/>
        </w:rPr>
      </w:pPr>
    </w:p>
    <w:p>
      <w:pPr>
        <w:pStyle w:val="BodyText"/>
        <w:spacing w:line="309" w:lineRule="auto" w:before="44"/>
        <w:ind w:right="1139"/>
        <w:jc w:val="left"/>
      </w:pPr>
      <w:r>
        <w:rPr/>
        <w:t>在电力物联网，共同构成能源流、业务流、数据流</w:t>
      </w:r>
      <w:r>
        <w:rPr>
          <w:rFonts w:ascii="Times New Roman" w:hAnsi="Times New Roman" w:cs="Times New Roman" w:eastAsia="Times New Roman" w:hint="default"/>
        </w:rPr>
        <w:t>“</w:t>
      </w:r>
      <w:r>
        <w:rPr/>
        <w:t>三流合一</w:t>
      </w:r>
      <w:r>
        <w:rPr>
          <w:rFonts w:ascii="Times New Roman" w:hAnsi="Times New Roman" w:cs="Times New Roman" w:eastAsia="Times New Roman" w:hint="default"/>
        </w:rPr>
        <w:t>”</w:t>
      </w:r>
      <w:r>
        <w:rPr/>
        <w:t>的能源互联网。泛在电力物联网建设规划分两阶段，到</w:t>
      </w:r>
      <w:r>
        <w:rPr>
          <w:rFonts w:ascii="Times New Roman" w:hAnsi="Times New Roman" w:cs="Times New Roman" w:eastAsia="Times New Roman" w:hint="default"/>
        </w:rPr>
        <w:t>2024 </w:t>
      </w:r>
      <w:r>
        <w:rPr/>
        <w:t>年全面建成泛在电力物联网。泛在电力物联网建设规划与本公司现有业务密切相关的是配电物联网建设，建设重点是统一 设备及终端的接入标准和配用电信息模型，实现中低压配电网全息感知、泛在连接、即插即用和边缘智能，支撑智慧能源 综合服务平台建设，转变供电企业管理模式和工作方式，全面提升电网安全运行、企业高效运营和客户优质服务能力。目 前国网系统接入的终端设备超过</w:t>
      </w:r>
      <w:r>
        <w:rPr>
          <w:rFonts w:ascii="Times New Roman" w:hAnsi="Times New Roman" w:cs="Times New Roman" w:eastAsia="Times New Roman" w:hint="default"/>
        </w:rPr>
        <w:t>5</w:t>
      </w:r>
      <w:r>
        <w:rPr/>
        <w:t>亿只（其中</w:t>
      </w:r>
      <w:r>
        <w:rPr>
          <w:rFonts w:ascii="Times New Roman" w:hAnsi="Times New Roman" w:cs="Times New Roman" w:eastAsia="Times New Roman" w:hint="default"/>
        </w:rPr>
        <w:t>4.5</w:t>
      </w:r>
      <w:r>
        <w:rPr/>
        <w:t>亿只电表，各类保护、采集、控制设备几千万台），国网规划到</w:t>
      </w:r>
      <w:r>
        <w:rPr>
          <w:rFonts w:ascii="Times New Roman" w:hAnsi="Times New Roman" w:cs="Times New Roman" w:eastAsia="Times New Roman" w:hint="default"/>
        </w:rPr>
        <w:t>2030</w:t>
      </w:r>
      <w:r>
        <w:rPr/>
        <w:t>年，</w:t>
      </w:r>
      <w:r>
        <w:rPr>
          <w:spacing w:val="-3"/>
        </w:rPr>
        <w:t> </w:t>
      </w:r>
      <w:r>
        <w:rPr/>
        <w:t>接入</w:t>
      </w:r>
      <w:r>
        <w:rPr>
          <w:rFonts w:ascii="Times New Roman" w:hAnsi="Times New Roman" w:cs="Times New Roman" w:eastAsia="Times New Roman" w:hint="default"/>
        </w:rPr>
        <w:t>SG-eIoT</w:t>
      </w:r>
      <w:r>
        <w:rPr/>
        <w:t>系统的设备数量将达到</w:t>
      </w:r>
      <w:r>
        <w:rPr>
          <w:rFonts w:ascii="Times New Roman" w:hAnsi="Times New Roman" w:cs="Times New Roman" w:eastAsia="Times New Roman" w:hint="default"/>
        </w:rPr>
        <w:t>20</w:t>
      </w:r>
      <w:r>
        <w:rPr/>
        <w:t>亿，整个泛在电力物联网将是接入设备最大的物联网生态圈，智能终端市场需求量巨</w:t>
      </w:r>
      <w:r>
        <w:rPr>
          <w:w w:val="99"/>
        </w:rPr>
        <w:t> </w:t>
      </w:r>
      <w:r>
        <w:rPr/>
        <w:t>大，上述终端设备领域也将是公司未来重点建设领域。</w:t>
      </w:r>
    </w:p>
    <w:p>
      <w:pPr>
        <w:pStyle w:val="BodyText"/>
        <w:spacing w:line="304" w:lineRule="auto" w:before="65"/>
        <w:ind w:right="1174" w:firstLine="360"/>
        <w:jc w:val="left"/>
      </w:pPr>
      <w:r>
        <w:rPr/>
        <w:t>自</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发展规划提出将发展智能制造作为长期坚持的战略任务开始，近年来中国智能制造推进体系初步形成，关 键领域实现突破，试点示范成效明显，开放合作不断拓展，在国家层面实施了</w:t>
      </w:r>
      <w:r>
        <w:rPr>
          <w:rFonts w:ascii="Times New Roman" w:hAnsi="Times New Roman" w:cs="Times New Roman" w:eastAsia="Times New Roman" w:hint="default"/>
        </w:rPr>
        <w:t>305</w:t>
      </w:r>
      <w:r>
        <w:rPr/>
        <w:t>个试点示范项目，生产效率平均提高近 </w:t>
      </w:r>
      <w:r>
        <w:rPr>
          <w:rFonts w:ascii="Times New Roman" w:hAnsi="Times New Roman" w:cs="Times New Roman" w:eastAsia="Times New Roman" w:hint="default"/>
        </w:rPr>
        <w:t>30%</w:t>
      </w:r>
      <w:r>
        <w:rPr/>
        <w:t>。工业机器人、</w:t>
      </w:r>
      <w:r>
        <w:rPr>
          <w:rFonts w:ascii="Times New Roman" w:hAnsi="Times New Roman" w:cs="Times New Roman" w:eastAsia="Times New Roman" w:hint="default"/>
        </w:rPr>
        <w:t>3D</w:t>
      </w:r>
      <w:r>
        <w:rPr/>
        <w:t>打印产业均为《中国制造</w:t>
      </w:r>
      <w:r>
        <w:rPr>
          <w:rFonts w:ascii="Times New Roman" w:hAnsi="Times New Roman" w:cs="Times New Roman" w:eastAsia="Times New Roman" w:hint="default"/>
        </w:rPr>
        <w:t>2025</w:t>
      </w:r>
      <w:r>
        <w:rPr/>
        <w:t>》的发展重点，尽管</w:t>
      </w:r>
      <w:r>
        <w:rPr>
          <w:rFonts w:ascii="Times New Roman" w:hAnsi="Times New Roman" w:cs="Times New Roman" w:eastAsia="Times New Roman" w:hint="default"/>
        </w:rPr>
        <w:t>2018</w:t>
      </w:r>
      <w:r>
        <w:rPr/>
        <w:t>年以来受全球经济下行压力和中美贸易战的 影响，机器人、</w:t>
      </w:r>
      <w:r>
        <w:rPr>
          <w:rFonts w:ascii="Times New Roman" w:hAnsi="Times New Roman" w:cs="Times New Roman" w:eastAsia="Times New Roman" w:hint="default"/>
        </w:rPr>
        <w:t>3D</w:t>
      </w:r>
      <w:r>
        <w:rPr/>
        <w:t>打印等行业投资力度有所放缓，但从中长期来看，我国正处于制造业升级的重要时间窗口，产业发展面 临绝佳机遇，人工智能、工业互联网、大数据、云计算等技术的发展为制造业转型升级提供了重大机遇，智能制造热潮持 续升温，机器人、</w:t>
      </w:r>
      <w:r>
        <w:rPr>
          <w:rFonts w:ascii="Times New Roman" w:hAnsi="Times New Roman" w:cs="Times New Roman" w:eastAsia="Times New Roman" w:hint="default"/>
        </w:rPr>
        <w:t>3D</w:t>
      </w:r>
      <w:r>
        <w:rPr/>
        <w:t>打印等智能制造行业仍保持持续向好的发展态势。</w:t>
      </w:r>
    </w:p>
    <w:p>
      <w:pPr>
        <w:pStyle w:val="Heading4"/>
        <w:spacing w:line="303" w:lineRule="exact"/>
        <w:ind w:right="0"/>
        <w:jc w:val="left"/>
        <w:rPr>
          <w:b w:val="0"/>
          <w:bCs w:val="0"/>
        </w:rPr>
      </w:pPr>
      <w:r>
        <w:rPr/>
        <w:t>投资行业：</w:t>
      </w:r>
      <w:r>
        <w:rPr>
          <w:b w:val="0"/>
          <w:bCs w:val="0"/>
        </w:rPr>
      </w:r>
    </w:p>
    <w:p>
      <w:pPr>
        <w:pStyle w:val="BodyText"/>
        <w:spacing w:line="309" w:lineRule="auto" w:before="96"/>
        <w:ind w:right="1214" w:firstLine="360"/>
        <w:jc w:val="left"/>
      </w:pPr>
      <w:r>
        <w:rPr>
          <w:rFonts w:ascii="Times New Roman" w:hAnsi="Times New Roman" w:cs="Times New Roman" w:eastAsia="Times New Roman" w:hint="default"/>
        </w:rPr>
        <w:t>2019</w:t>
      </w:r>
      <w:r>
        <w:rPr/>
        <w:t>年中国国内生产总值</w:t>
      </w:r>
      <w:r>
        <w:rPr>
          <w:rFonts w:ascii="Times New Roman" w:hAnsi="Times New Roman" w:cs="Times New Roman" w:eastAsia="Times New Roman" w:hint="default"/>
        </w:rPr>
        <w:t>990,865</w:t>
      </w:r>
      <w:r>
        <w:rPr/>
        <w:t>亿元，逼近</w:t>
      </w:r>
      <w:r>
        <w:rPr>
          <w:rFonts w:ascii="Times New Roman" w:hAnsi="Times New Roman" w:cs="Times New Roman" w:eastAsia="Times New Roman" w:hint="default"/>
        </w:rPr>
        <w:t>100</w:t>
      </w:r>
      <w:r>
        <w:rPr/>
        <w:t>万亿元，折合</w:t>
      </w:r>
      <w:r>
        <w:rPr>
          <w:rFonts w:ascii="Times New Roman" w:hAnsi="Times New Roman" w:cs="Times New Roman" w:eastAsia="Times New Roman" w:hint="default"/>
        </w:rPr>
        <w:t>14.4</w:t>
      </w:r>
      <w:r>
        <w:rPr/>
        <w:t>万亿美元，同比上年增长</w:t>
      </w:r>
      <w:r>
        <w:rPr>
          <w:rFonts w:ascii="Times New Roman" w:hAnsi="Times New Roman" w:cs="Times New Roman" w:eastAsia="Times New Roman" w:hint="default"/>
        </w:rPr>
        <w:t>6.1%</w:t>
      </w:r>
      <w:r>
        <w:rPr/>
        <w:t>，稳居世界第二；人 均国内生产总值</w:t>
      </w:r>
      <w:r>
        <w:rPr>
          <w:rFonts w:ascii="Times New Roman" w:hAnsi="Times New Roman" w:cs="Times New Roman" w:eastAsia="Times New Roman" w:hint="default"/>
        </w:rPr>
        <w:t>70,892</w:t>
      </w:r>
      <w:r>
        <w:rPr/>
        <w:t>元，折合</w:t>
      </w:r>
      <w:r>
        <w:rPr>
          <w:rFonts w:ascii="Times New Roman" w:hAnsi="Times New Roman" w:cs="Times New Roman" w:eastAsia="Times New Roman" w:hint="default"/>
        </w:rPr>
        <w:t>10,276</w:t>
      </w:r>
      <w:r>
        <w:rPr/>
        <w:t>美元，首次突破</w:t>
      </w:r>
      <w:r>
        <w:rPr>
          <w:rFonts w:ascii="Times New Roman" w:hAnsi="Times New Roman" w:cs="Times New Roman" w:eastAsia="Times New Roman" w:hint="default"/>
        </w:rPr>
        <w:t>1</w:t>
      </w:r>
      <w:r>
        <w:rPr/>
        <w:t>万美元大关，综合经济实力跃上新台阶。尽管</w:t>
      </w:r>
      <w:r>
        <w:rPr>
          <w:rFonts w:ascii="Times New Roman" w:hAnsi="Times New Roman" w:cs="Times New Roman" w:eastAsia="Times New Roman" w:hint="default"/>
        </w:rPr>
        <w:t>2019</w:t>
      </w:r>
      <w:r>
        <w:rPr/>
        <w:t>年底新冠疫情的 爆发对</w:t>
      </w:r>
      <w:r>
        <w:rPr>
          <w:rFonts w:ascii="Times New Roman" w:hAnsi="Times New Roman" w:cs="Times New Roman" w:eastAsia="Times New Roman" w:hint="default"/>
        </w:rPr>
        <w:t>2020</w:t>
      </w:r>
      <w:r>
        <w:rPr/>
        <w:t>年中国经济构成严峻的挑战，制造业、餐饮旅游、酒店等行业都受到不同程度的影响，国务院已于近期推出了 减免企业社保费等一系列举措，以稳定经济和就业。但是，基于中国经济正面临产能过剩的问题以及国内电商和物流行业 多年来的超前发展，因疫情损失的工作日产出可以在未来弥补，本次疫情对长期经济的负面影响可能有限。而且近几年来 互联网基础设施的完善也为在线教育、远程办公、生鲜电商等行业在本次疫情中的短期爆发带来了应对基础，也构成了经 济减震的重要手段。</w:t>
      </w:r>
    </w:p>
    <w:p>
      <w:pPr>
        <w:pStyle w:val="BodyText"/>
        <w:spacing w:line="307" w:lineRule="auto" w:before="65"/>
        <w:ind w:right="1195" w:firstLine="360"/>
        <w:jc w:val="left"/>
      </w:pPr>
      <w:r>
        <w:rPr>
          <w:rFonts w:ascii="Times New Roman" w:hAnsi="Times New Roman" w:cs="Times New Roman" w:eastAsia="Times New Roman" w:hint="default"/>
        </w:rPr>
        <w:t>2018</w:t>
      </w:r>
      <w:r>
        <w:rPr/>
        <w:t>年以来，资源新规、财税</w:t>
      </w:r>
      <w:r>
        <w:rPr>
          <w:rFonts w:ascii="Times New Roman" w:hAnsi="Times New Roman" w:cs="Times New Roman" w:eastAsia="Times New Roman" w:hint="default"/>
        </w:rPr>
        <w:t>55</w:t>
      </w:r>
      <w:r>
        <w:rPr/>
        <w:t>号文、资管新规细则、新《备案须知》等法规陆续出台，从备案、募资、管理等多方 面加强私募基金监管，监管逐渐向全面化、规范化和差异化发展。然而，在国家政策的引导下，多地区相继出台创投创业 支持政策，包括北京</w:t>
      </w:r>
      <w:r>
        <w:rPr>
          <w:rFonts w:ascii="Times New Roman" w:hAnsi="Times New Roman" w:cs="Times New Roman" w:eastAsia="Times New Roman" w:hint="default"/>
        </w:rPr>
        <w:t>“</w:t>
      </w:r>
      <w:r>
        <w:rPr/>
        <w:t>科创</w:t>
      </w:r>
      <w:r>
        <w:rPr>
          <w:rFonts w:ascii="Times New Roman" w:hAnsi="Times New Roman" w:cs="Times New Roman" w:eastAsia="Times New Roman" w:hint="default"/>
        </w:rPr>
        <w:t>30</w:t>
      </w:r>
      <w:r>
        <w:rPr/>
        <w:t>条</w:t>
      </w:r>
      <w:r>
        <w:rPr>
          <w:rFonts w:ascii="Times New Roman" w:hAnsi="Times New Roman" w:cs="Times New Roman" w:eastAsia="Times New Roman" w:hint="default"/>
        </w:rPr>
        <w:t>”</w:t>
      </w:r>
      <w:r>
        <w:rPr/>
        <w:t>、上海科改</w:t>
      </w:r>
      <w:r>
        <w:rPr>
          <w:rFonts w:ascii="Times New Roman" w:hAnsi="Times New Roman" w:cs="Times New Roman" w:eastAsia="Times New Roman" w:hint="default"/>
        </w:rPr>
        <w:t>“25</w:t>
      </w:r>
      <w:r>
        <w:rPr/>
        <w:t>条</w:t>
      </w:r>
      <w:r>
        <w:rPr>
          <w:rFonts w:ascii="Times New Roman" w:hAnsi="Times New Roman" w:cs="Times New Roman" w:eastAsia="Times New Roman" w:hint="default"/>
        </w:rPr>
        <w:t>”</w:t>
      </w:r>
      <w:r>
        <w:rPr/>
        <w:t>以及深圳</w:t>
      </w:r>
      <w:r>
        <w:rPr>
          <w:rFonts w:ascii="Times New Roman" w:hAnsi="Times New Roman" w:cs="Times New Roman" w:eastAsia="Times New Roman" w:hint="default"/>
        </w:rPr>
        <w:t>“</w:t>
      </w:r>
      <w:r>
        <w:rPr/>
        <w:t>建设中国特色社会主义先行示范区</w:t>
      </w:r>
      <w:r>
        <w:rPr>
          <w:rFonts w:ascii="Times New Roman" w:hAnsi="Times New Roman" w:cs="Times New Roman" w:eastAsia="Times New Roman" w:hint="default"/>
        </w:rPr>
        <w:t>”</w:t>
      </w:r>
      <w:r>
        <w:rPr/>
        <w:t>等，境内省份出台</w:t>
      </w:r>
      <w:r>
        <w:rPr>
          <w:rFonts w:ascii="Times New Roman" w:hAnsi="Times New Roman" w:cs="Times New Roman" w:eastAsia="Times New Roman" w:hint="default"/>
        </w:rPr>
        <w:t>“</w:t>
      </w:r>
      <w:r>
        <w:rPr/>
        <w:t>支持创 业</w:t>
      </w:r>
      <w:r>
        <w:rPr>
          <w:rFonts w:ascii="Times New Roman" w:hAnsi="Times New Roman" w:cs="Times New Roman" w:eastAsia="Times New Roman" w:hint="default"/>
        </w:rPr>
        <w:t>”</w:t>
      </w:r>
      <w:r>
        <w:rPr/>
        <w:t>相关政策覆盖率</w:t>
      </w:r>
      <w:r>
        <w:rPr>
          <w:rFonts w:ascii="Times New Roman" w:hAnsi="Times New Roman" w:cs="Times New Roman" w:eastAsia="Times New Roman" w:hint="default"/>
        </w:rPr>
        <w:t>100%</w:t>
      </w:r>
      <w:r>
        <w:rPr/>
        <w:t>，出台</w:t>
      </w:r>
      <w:r>
        <w:rPr>
          <w:rFonts w:ascii="Times New Roman" w:hAnsi="Times New Roman" w:cs="Times New Roman" w:eastAsia="Times New Roman" w:hint="default"/>
        </w:rPr>
        <w:t>“</w:t>
      </w:r>
      <w:r>
        <w:rPr/>
        <w:t>双创升级版</w:t>
      </w:r>
      <w:r>
        <w:rPr>
          <w:rFonts w:ascii="Times New Roman" w:hAnsi="Times New Roman" w:cs="Times New Roman" w:eastAsia="Times New Roman" w:hint="default"/>
        </w:rPr>
        <w:t>”</w:t>
      </w:r>
      <w:r>
        <w:rPr/>
        <w:t>实施意见省份超过三分之二，深入实施创新驱动发展战略，进一步激发市场 活力和社会创造力。伴随着证券法的修订、注册制改革的加快、再融资新政的出台以及新三板的全面深化改革，股权投资 市场退出渠道拓宽，一、二级市场估值价差将会减少，市场结构将加速调整和分化，投资机构走向差异化竞争已成大势。</w:t>
      </w:r>
    </w:p>
    <w:p>
      <w:pPr>
        <w:pStyle w:val="BodyText"/>
        <w:spacing w:line="304" w:lineRule="auto" w:before="64"/>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月底，证监会启动了内地首批基金投资顾问业务的试点，</w:t>
      </w:r>
      <w:r>
        <w:rPr>
          <w:rFonts w:ascii="Times New Roman" w:hAnsi="Times New Roman" w:cs="Times New Roman" w:eastAsia="Times New Roman" w:hint="default"/>
        </w:rPr>
        <w:t>12</w:t>
      </w:r>
      <w:r>
        <w:rPr/>
        <w:t>月，证监会发布</w:t>
      </w:r>
      <w:r>
        <w:rPr>
          <w:rFonts w:ascii="Times New Roman" w:hAnsi="Times New Roman" w:cs="Times New Roman" w:eastAsia="Times New Roman" w:hint="default"/>
        </w:rPr>
        <w:t>MOM</w:t>
      </w:r>
      <w:r>
        <w:rPr/>
        <w:t>产品指引，前者助力投研实 力相对薄弱的银行机构通过投顾力量布局权益市场，后者</w:t>
      </w:r>
      <w:r>
        <w:rPr>
          <w:rFonts w:ascii="Times New Roman" w:hAnsi="Times New Roman" w:cs="Times New Roman" w:eastAsia="Times New Roman" w:hint="default"/>
        </w:rPr>
        <w:t>MOM</w:t>
      </w:r>
      <w:r>
        <w:rPr/>
        <w:t>产品多元化的资产配置、多元化的投资风格、多元化的子管 理人等特质也将是银行理财资金投资于权益市场的优先策略选择。加上</w:t>
      </w:r>
      <w:r>
        <w:rPr>
          <w:rFonts w:ascii="Times New Roman" w:hAnsi="Times New Roman" w:cs="Times New Roman" w:eastAsia="Times New Roman" w:hint="default"/>
        </w:rPr>
        <w:t>2019</w:t>
      </w:r>
      <w:r>
        <w:rPr/>
        <w:t>年已有</w:t>
      </w:r>
      <w:r>
        <w:rPr>
          <w:rFonts w:ascii="Times New Roman" w:hAnsi="Times New Roman" w:cs="Times New Roman" w:eastAsia="Times New Roman" w:hint="default"/>
        </w:rPr>
        <w:t>15</w:t>
      </w:r>
      <w:r>
        <w:rPr/>
        <w:t>家银行获批筹建理财子公司且理财子 公司公募产品可以直接投资股票，同时新修订的证券法将促进我国资本市场基础性制度变化和长期健康发展，为整个资本 市场发展带来新活力。综合上述监管政策，未来证券投资和理财投资市场有望迎来较大的发展机遇。</w:t>
      </w:r>
    </w:p>
    <w:p>
      <w:pPr>
        <w:pStyle w:val="BodyText"/>
        <w:spacing w:line="314" w:lineRule="auto" w:before="11"/>
        <w:ind w:left="513" w:right="1253"/>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、公司未来发展战略</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公司已形成</w:t>
      </w:r>
      <w:r>
        <w:rPr>
          <w:rFonts w:ascii="Times New Roman" w:hAnsi="Times New Roman" w:cs="Times New Roman" w:eastAsia="Times New Roman" w:hint="default"/>
        </w:rPr>
        <w:t>“</w:t>
      </w:r>
      <w:r>
        <w:rPr/>
        <w:t>互联网游戏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双轮驱动的多业务板块支撑且重点突出的业务格局，互联网游戏业务已成</w:t>
      </w:r>
    </w:p>
    <w:p>
      <w:pPr>
        <w:pStyle w:val="BodyText"/>
        <w:spacing w:line="309" w:lineRule="auto" w:before="1"/>
        <w:ind w:right="1230"/>
        <w:jc w:val="both"/>
      </w:pPr>
      <w:r>
        <w:rPr/>
        <w:t>为上市公司主要的收入和利润来源，属于上市公司的核心业务。未来，在</w:t>
      </w:r>
      <w:r>
        <w:rPr>
          <w:rFonts w:ascii="Times New Roman" w:hAnsi="Times New Roman" w:cs="Times New Roman" w:eastAsia="Times New Roman" w:hint="default"/>
        </w:rPr>
        <w:t>“</w:t>
      </w:r>
      <w:r>
        <w:rPr/>
        <w:t>互联网游戏</w:t>
      </w:r>
      <w:r>
        <w:rPr>
          <w:rFonts w:ascii="Times New Roman" w:hAnsi="Times New Roman" w:cs="Times New Roman" w:eastAsia="Times New Roman" w:hint="default"/>
        </w:rPr>
        <w:t>”</w:t>
      </w:r>
      <w:r>
        <w:rPr/>
        <w:t>板块，公司将更加重视哆可梦品牌 的塑造，不断加大自研产品的研发力度，提高自研和定制独代产品的收入比重，充分发挥哆可梦</w:t>
      </w:r>
      <w:r>
        <w:rPr>
          <w:color w:val="333333"/>
        </w:rPr>
        <w:t>在大数据精准流量营销的</w:t>
      </w:r>
      <w:r>
        <w:rPr>
          <w:color w:val="333333"/>
        </w:rPr>
        <w:t> 核心竞争力，依靠自身流量组织能力和分发能力，通过丰富的产品布局，打造闭环生态</w:t>
      </w:r>
      <w:r>
        <w:rPr/>
        <w:t>；在</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板块，公司将 利用自身核心技术和持续创新能力，加大产品的自主研发力度，将低附加值竞争力弱的产品转变为适应并引领市场需求的 智能化高附加值产品，探索轻资产化、重自主研发的新商业模式；此外，公司还将充分发挥投资业务对产业发展的促进作 用，按照发展战略寻找</w:t>
      </w:r>
      <w:r>
        <w:rPr>
          <w:rFonts w:ascii="Times New Roman" w:hAnsi="Times New Roman" w:cs="Times New Roman" w:eastAsia="Times New Roman" w:hint="default"/>
        </w:rPr>
        <w:t>“</w:t>
      </w:r>
      <w:r>
        <w:rPr/>
        <w:t>互联网游戏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领域的优质标的，夯实产业基础并延伸生产链条，以进一步完善公 司产业布局，寻求更多的发展机会，增强公司的竞争力，改善公司产品质量和经营业绩，维护广大投资者利益。</w:t>
      </w:r>
    </w:p>
    <w:p>
      <w:pPr>
        <w:pStyle w:val="Heading4"/>
        <w:spacing w:line="240" w:lineRule="auto" w:before="5"/>
        <w:ind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年度经营计划</w:t>
      </w:r>
      <w:r>
        <w:rPr>
          <w:b w:val="0"/>
          <w:bCs w:val="0"/>
        </w:rPr>
      </w:r>
    </w:p>
    <w:p>
      <w:pPr>
        <w:pStyle w:val="BodyText"/>
        <w:spacing w:line="240" w:lineRule="auto" w:before="56"/>
        <w:ind w:left="513" w:right="0"/>
        <w:jc w:val="left"/>
      </w:pPr>
      <w:r>
        <w:rPr>
          <w:rFonts w:ascii="Times New Roman" w:hAnsi="Times New Roman" w:cs="Times New Roman" w:eastAsia="Times New Roman" w:hint="default"/>
        </w:rPr>
        <w:t>2020</w:t>
      </w:r>
      <w:r>
        <w:rPr/>
        <w:t>年公司将注重各业务板块优秀人才的引进及管理团队的长期激励机制，构建核心管理团队及技术团队，提高公司</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31"/>
        <w:jc w:val="both"/>
      </w:pPr>
      <w:r>
        <w:rPr/>
        <w:t>创新能力，完善公司各项业务的规范运作，提升自身的运营效率和核心竞争力，认真分析发展方向并抓住机遇，充分利用 资本市场的积极政策，促进公司各业务板块进一步转型升级，提高自身品牌影响力，增强持续盈利能力和综合竞争力，保 证公司稳健发展。</w:t>
      </w:r>
    </w:p>
    <w:p>
      <w:pPr>
        <w:pStyle w:val="BodyText"/>
        <w:spacing w:line="312" w:lineRule="auto" w:before="17"/>
        <w:ind w:right="1174" w:firstLine="360"/>
        <w:jc w:val="left"/>
      </w:pPr>
      <w:r>
        <w:rPr/>
        <w:t>互联网游戏层面：公司将认真学习和领会各项监管政策及行业发展动态，保证产品内容的合法合规性，实现业务规范 运作。公司继续围绕</w:t>
      </w:r>
      <w:r>
        <w:rPr>
          <w:rFonts w:ascii="Times New Roman" w:hAnsi="Times New Roman" w:cs="Times New Roman" w:eastAsia="Times New Roman" w:hint="default"/>
        </w:rPr>
        <w:t>IP</w:t>
      </w:r>
      <w:r>
        <w:rPr/>
        <w:t>化，坚持既定的</w:t>
      </w:r>
      <w:r>
        <w:rPr>
          <w:rFonts w:ascii="Times New Roman" w:hAnsi="Times New Roman" w:cs="Times New Roman" w:eastAsia="Times New Roman" w:hint="default"/>
        </w:rPr>
        <w:t>“</w:t>
      </w:r>
      <w:r>
        <w:rPr/>
        <w:t>业务平台化、产品精细化、流量自主化、市场全球化</w:t>
      </w:r>
      <w:r>
        <w:rPr>
          <w:rFonts w:ascii="Times New Roman" w:hAnsi="Times New Roman" w:cs="Times New Roman" w:eastAsia="Times New Roman" w:hint="default"/>
        </w:rPr>
        <w:t>”</w:t>
      </w:r>
      <w:r>
        <w:rPr/>
        <w:t>的发展战略，同时注重</w:t>
      </w:r>
      <w:r>
        <w:rPr>
          <w:rFonts w:ascii="Times New Roman" w:hAnsi="Times New Roman" w:cs="Times New Roman" w:eastAsia="Times New Roman" w:hint="default"/>
        </w:rPr>
        <w:t>“</w:t>
      </w:r>
      <w:r>
        <w:rPr/>
        <w:t>研运</w:t>
      </w:r>
      <w:r>
        <w:rPr>
          <w:spacing w:val="2"/>
        </w:rPr>
        <w:t> </w:t>
      </w:r>
      <w:r>
        <w:rPr/>
        <w:t>一体</w:t>
      </w:r>
      <w:r>
        <w:rPr>
          <w:rFonts w:ascii="Times New Roman" w:hAnsi="Times New Roman" w:cs="Times New Roman" w:eastAsia="Times New Roman" w:hint="default"/>
        </w:rPr>
        <w:t>”</w:t>
      </w:r>
      <w:r>
        <w:rPr/>
        <w:t>，持续加大产品研发投入和人才培养力度，充分调研市场并利用大数据以敏锐把握用户需求变化，增强自身研发能 力，不断完善产品研发体系和产品类型，推出更多有质量、有内容、具有智能化和创新性的精品游戏，提高自研游戏产品 的占比和业绩贡献度；公司已构建一套较为成熟的流量精准营销的自主经营及分发模式，取得了一定的市场占有率，未来 将进一步充分利用大数据及云计算等核心手段，夯实业务基础；会充分利用上市公司的平台优势、品牌优势和资金优势， 重点发展国内市场同时还会不断拓展海外市场，也将根据行业的竞争态势及时调整业务发展节奏，以保持公司长久持续的 发展潜力。</w:t>
      </w:r>
    </w:p>
    <w:p>
      <w:pPr>
        <w:pStyle w:val="BodyText"/>
        <w:spacing w:line="309" w:lineRule="auto" w:before="22"/>
        <w:ind w:right="1214" w:firstLine="360"/>
        <w:jc w:val="left"/>
      </w:pPr>
      <w:r>
        <w:rPr/>
        <w:t>高端智能制造层面：公司将继续推进原有的电气设备业务发展，加大对配电设备一二次融合</w:t>
      </w:r>
      <w:r>
        <w:rPr>
          <w:rFonts w:ascii="Times New Roman" w:hAnsi="Times New Roman" w:cs="Times New Roman" w:eastAsia="Times New Roman" w:hint="default"/>
        </w:rPr>
        <w:t>/</w:t>
      </w:r>
      <w:r>
        <w:rPr/>
        <w:t>智能成套产品的研发力 度，继续借助</w:t>
      </w:r>
      <w:r>
        <w:rPr>
          <w:rFonts w:ascii="Times New Roman" w:hAnsi="Times New Roman" w:cs="Times New Roman" w:eastAsia="Times New Roman" w:hint="default"/>
        </w:rPr>
        <w:t>20</w:t>
      </w:r>
      <w:r>
        <w:rPr/>
        <w:t>年电气行业的深厚技术和客户资源，抓住电气设备智能化和信息化的物联网创新发展机遇，夯实电气业务 基础并实现向高端智能制造领域的战略转型；公司将重视制造板块人才引进工作，构建核心管理团队以及研发、销售团 队，进一步增强公司的核心竞争力；公司将以无人配送机器人的生产制造为切入点，同时深入加大对工业制造机器人的生 产研发力度，积极推进</w:t>
      </w:r>
      <w:r>
        <w:rPr>
          <w:rFonts w:ascii="Times New Roman" w:hAnsi="Times New Roman" w:cs="Times New Roman" w:eastAsia="Times New Roman" w:hint="default"/>
        </w:rPr>
        <w:t>Xjet</w:t>
      </w:r>
      <w:r>
        <w:rPr/>
        <w:t>公司的</w:t>
      </w:r>
      <w:r>
        <w:rPr>
          <w:rFonts w:ascii="Times New Roman" w:hAnsi="Times New Roman" w:cs="Times New Roman" w:eastAsia="Times New Roman" w:hint="default"/>
        </w:rPr>
        <w:t>3D</w:t>
      </w:r>
      <w:r>
        <w:rPr/>
        <w:t>打印项目，加快对高端智能制造领域的深度开拓和发展。</w:t>
      </w:r>
    </w:p>
    <w:p>
      <w:pPr>
        <w:pStyle w:val="BodyText"/>
        <w:spacing w:line="314" w:lineRule="auto" w:before="5"/>
        <w:ind w:right="1230" w:firstLine="360"/>
        <w:jc w:val="both"/>
      </w:pPr>
      <w:r>
        <w:rPr/>
        <w:t>投资层面：鉴于投资业务相关行情的变化，</w:t>
      </w:r>
      <w:r>
        <w:rPr>
          <w:rFonts w:ascii="Times New Roman" w:hAnsi="Times New Roman" w:cs="Times New Roman" w:eastAsia="Times New Roman" w:hint="default"/>
        </w:rPr>
        <w:t>2019</w:t>
      </w:r>
      <w:r>
        <w:rPr/>
        <w:t>年度公司重点加强投资业务的风险管控，适度下调证券投资额度，降 低证券投资频率，谋求投资业务的持续稳定发展。未来，公司将继续重点加强投资业务的风险管控，明确投资方向，坚持 价值投资理念，谋求投资业务的持续稳定发展，公司将时刻关注最新的政策导向，充分利用再融资政策支持智能制造业务 和互联网游戏业务的发展，充分发挥上市公司平台的投融资功效，让资本驱动产业发展，通过内生式增长和外延式并购相 结合的方式不断完善公司上下游产业链，谋求新的利润增长点。</w:t>
      </w:r>
    </w:p>
    <w:p>
      <w:pPr>
        <w:pStyle w:val="Heading4"/>
        <w:spacing w:line="277" w:lineRule="exact"/>
        <w:ind w:right="0"/>
        <w:jc w:val="left"/>
        <w:rPr>
          <w:b w:val="0"/>
          <w:bCs w:val="0"/>
        </w:rPr>
      </w:pPr>
      <w:r>
        <w:rPr>
          <w:rFonts w:ascii="Times New Roman" w:hAnsi="Times New Roman" w:cs="Times New Roman" w:eastAsia="Times New Roman" w:hint="default"/>
        </w:rPr>
        <w:t>4</w:t>
      </w:r>
      <w:r>
        <w:rPr/>
        <w:t>、可能面对的风险及解决方案</w:t>
      </w:r>
      <w:r>
        <w:rPr>
          <w:b w:val="0"/>
          <w:bCs w:val="0"/>
        </w:rPr>
      </w:r>
    </w:p>
    <w:p>
      <w:pPr>
        <w:pStyle w:val="BodyText"/>
        <w:spacing w:line="338" w:lineRule="auto" w:before="96"/>
        <w:ind w:left="513" w:right="1213"/>
        <w:jc w:val="left"/>
      </w:pPr>
      <w:r>
        <w:rPr/>
        <w:t>（</w:t>
      </w:r>
      <w:r>
        <w:rPr>
          <w:rFonts w:ascii="Times New Roman" w:hAnsi="Times New Roman" w:cs="Times New Roman" w:eastAsia="Times New Roman" w:hint="default"/>
        </w:rPr>
        <w:t>1</w:t>
      </w:r>
      <w:r>
        <w:rPr/>
        <w:t>）行业政策变化风险 公司电气业务的主要客户为国家电网公司、南方电网公司及其各级电力公司，如果国家调整电网投资规模，国家电网</w:t>
      </w:r>
    </w:p>
    <w:p>
      <w:pPr>
        <w:pStyle w:val="BodyText"/>
        <w:spacing w:line="312" w:lineRule="auto" w:before="2"/>
        <w:ind w:right="1184"/>
        <w:jc w:val="left"/>
      </w:pPr>
      <w:r>
        <w:rPr/>
        <w:t>公司和南方电网公司调整采购或招投标模式，将可能改变市场竞争格局，进而对公司的经营产生较大影响。针对此种情 况，公司将积极响应国家电网关于</w:t>
      </w:r>
      <w:r>
        <w:rPr>
          <w:rFonts w:ascii="Times New Roman" w:hAnsi="Times New Roman" w:cs="Times New Roman" w:eastAsia="Times New Roman" w:hint="default"/>
        </w:rPr>
        <w:t>“</w:t>
      </w:r>
      <w:r>
        <w:rPr/>
        <w:t>泛在电力物联网</w:t>
      </w:r>
      <w:r>
        <w:rPr>
          <w:rFonts w:ascii="Times New Roman" w:hAnsi="Times New Roman" w:cs="Times New Roman" w:eastAsia="Times New Roman" w:hint="default"/>
        </w:rPr>
        <w:t>”</w:t>
      </w:r>
      <w:r>
        <w:rPr/>
        <w:t>规划建设，加大对配电设备一二次融合</w:t>
      </w:r>
      <w:r>
        <w:rPr>
          <w:rFonts w:ascii="Times New Roman" w:hAnsi="Times New Roman" w:cs="Times New Roman" w:eastAsia="Times New Roman" w:hint="default"/>
        </w:rPr>
        <w:t>/</w:t>
      </w:r>
      <w:r>
        <w:rPr/>
        <w:t>智能成套产品的研发力度，抓 住电气设备智能化和信息化的泛在电力物联网创新发展机遇，夯实电气业务基础并实现向高端智能制造领域的战略转型； 公司将继续探索无人配送机器人的生产制造业务，加快对高端智能制造领域的深度开拓和发展。</w:t>
      </w:r>
    </w:p>
    <w:p>
      <w:pPr>
        <w:pStyle w:val="BodyText"/>
        <w:spacing w:line="307" w:lineRule="auto" w:before="63"/>
        <w:ind w:right="1214" w:firstLine="360"/>
        <w:jc w:val="left"/>
      </w:pPr>
      <w:r>
        <w:rPr/>
        <w:t>互联网行业受文化和新闻出版、工业信息等部门监管，尤其</w:t>
      </w:r>
      <w:r>
        <w:rPr>
          <w:rFonts w:ascii="Times New Roman" w:hAnsi="Times New Roman" w:cs="Times New Roman" w:eastAsia="Times New Roman" w:hint="default"/>
        </w:rPr>
        <w:t>2018</w:t>
      </w:r>
      <w:r>
        <w:rPr/>
        <w:t>年以来国家加强对互联网游戏行业的监管力度，控制 游戏版号审批发放、控制未成年人上网时间等政策对游戏行业影响较大，尽管</w:t>
      </w:r>
      <w:r>
        <w:rPr>
          <w:rFonts w:ascii="Times New Roman" w:hAnsi="Times New Roman" w:cs="Times New Roman" w:eastAsia="Times New Roman" w:hint="default"/>
        </w:rPr>
        <w:t>2018</w:t>
      </w:r>
      <w:r>
        <w:rPr/>
        <w:t>年底版号审批重启，但行业监管严格 化、规范化是大势所趋。哆可梦所运营游戏产品不涉及棋牌类、主要玩家为成年人，并且在</w:t>
      </w:r>
      <w:r>
        <w:rPr>
          <w:rFonts w:ascii="Times New Roman" w:hAnsi="Times New Roman" w:cs="Times New Roman" w:eastAsia="Times New Roman" w:hint="default"/>
        </w:rPr>
        <w:t>2018</w:t>
      </w:r>
      <w:r>
        <w:rPr/>
        <w:t>年底游戏版号恢复正常审 批后已经获得了多款版号；哆可梦在研发上注重推出对我国青少年儿童身心健康发展的有益产品及内容，在游戏内树立正 确的世界观、价值观，投放运营中对未成年人作出隔绝和限制，以符合</w:t>
      </w:r>
      <w:r>
        <w:rPr>
          <w:rFonts w:ascii="Times New Roman" w:hAnsi="Times New Roman" w:cs="Times New Roman" w:eastAsia="Times New Roman" w:hint="default"/>
        </w:rPr>
        <w:t>18</w:t>
      </w:r>
      <w:r>
        <w:rPr/>
        <w:t>周岁为限制准入条件，这些都将有助于在行业竞 争中占据优势；公司将密切关注相关行业政策发展的动态，加强对行业政策变化的分析，并针对行业政策变化及时调整公 司的经营策略，在充分把握当前监管政策精神及行业发展趋势的前提下，加强对优质游戏产品内容的研发，提升市场竞争 实力。</w:t>
      </w:r>
    </w:p>
    <w:p>
      <w:pPr>
        <w:pStyle w:val="BodyText"/>
        <w:spacing w:line="338" w:lineRule="auto" w:before="67"/>
        <w:ind w:left="513" w:right="1213"/>
        <w:jc w:val="left"/>
      </w:pPr>
      <w:r>
        <w:rPr/>
        <w:t>（</w:t>
      </w:r>
      <w:r>
        <w:rPr>
          <w:rFonts w:ascii="Times New Roman" w:hAnsi="Times New Roman" w:cs="Times New Roman" w:eastAsia="Times New Roman" w:hint="default"/>
        </w:rPr>
        <w:t>2</w:t>
      </w:r>
      <w:r>
        <w:rPr/>
        <w:t>）市场竞争风险 随着游戏行业增量用户红利期的逐渐消失，进入存量时代，其他娱乐形式的出现及兴起，用户对产品的要求也日趋提</w:t>
      </w:r>
    </w:p>
    <w:p>
      <w:pPr>
        <w:pStyle w:val="BodyText"/>
        <w:spacing w:line="316" w:lineRule="auto" w:before="2"/>
        <w:ind w:right="1230"/>
        <w:jc w:val="both"/>
      </w:pPr>
      <w:r>
        <w:rPr/>
        <w:t>高，激烈的市场竞争，将会从产品和市场渠道等方面给公司互联网游戏业务的发展带来挑战。作为应对措施，产品方面， 公司及哆可梦一方面将持续加大研发投入，积极进行精品游戏研发和创新，另一方面，公司及哆可梦将保持与优秀研发厂 商的密切合作并参与培育优秀的独立游戏工作室，保障优质产品的供给，用持续的精品游戏实现与用户的持续连接；市场 渠道方面，哆可梦将进一步发挥流量经营的作用，深化立体营销、精准推送和长线服务的经营策略，持续提升市场核心竞 争力，另一方面，公司将顺应行业发展趋势，积极开拓游戏出海模式，以保持公司长久持续的发展潜力。</w:t>
      </w:r>
    </w:p>
    <w:p>
      <w:pPr>
        <w:pStyle w:val="BodyText"/>
        <w:spacing w:line="240" w:lineRule="auto" w:before="59"/>
        <w:ind w:left="513" w:right="0"/>
        <w:jc w:val="left"/>
      </w:pPr>
      <w:r>
        <w:rPr/>
        <w:t>随着国家经济和电力设备行业的快速发展，输配电设备企业数量迅速增加，同时国外输配电企业纷纷进入我国市场，</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14"/>
        <w:jc w:val="left"/>
      </w:pPr>
      <w:r>
        <w:rPr/>
        <w:t>导致供给增加、竞争加剧。公司将紧跟市场，采取差异化产品战略，加快产品结构调整，提高产品智能化水平，优化生产 管理流程，完善销售网络建设，切实提高公司竞争实力和抗风险能力。</w:t>
      </w:r>
    </w:p>
    <w:p>
      <w:pPr>
        <w:pStyle w:val="BodyText"/>
        <w:spacing w:line="240" w:lineRule="auto" w:before="58"/>
        <w:ind w:left="513" w:right="0"/>
        <w:jc w:val="left"/>
      </w:pPr>
      <w:r>
        <w:rPr/>
        <w:t>（</w:t>
      </w:r>
      <w:r>
        <w:rPr>
          <w:rFonts w:ascii="Times New Roman" w:hAnsi="Times New Roman" w:cs="Times New Roman" w:eastAsia="Times New Roman" w:hint="default"/>
        </w:rPr>
        <w:t>3</w:t>
      </w:r>
      <w:r>
        <w:rPr/>
        <w:t>）商誉减值风险</w:t>
      </w:r>
    </w:p>
    <w:p>
      <w:pPr>
        <w:pStyle w:val="BodyText"/>
        <w:spacing w:line="307" w:lineRule="auto" w:before="101"/>
        <w:ind w:right="1185" w:firstLine="360"/>
        <w:jc w:val="both"/>
      </w:pPr>
      <w:r>
        <w:rPr>
          <w:rFonts w:ascii="Times New Roman" w:hAnsi="Times New Roman" w:cs="Times New Roman" w:eastAsia="Times New Roman" w:hint="default"/>
        </w:rPr>
        <w:t>2017</w:t>
      </w:r>
      <w:r>
        <w:rPr/>
        <w:t>年公司以现金方式收购哆可梦</w:t>
      </w:r>
      <w:r>
        <w:rPr>
          <w:rFonts w:ascii="Times New Roman" w:hAnsi="Times New Roman" w:cs="Times New Roman" w:eastAsia="Times New Roman" w:hint="default"/>
        </w:rPr>
        <w:t>77.57%</w:t>
      </w:r>
      <w:r>
        <w:rPr/>
        <w:t>股权为非同一控制下企业合并，且哆可梦为轻资产型公司，本报告期末公司 存在商誉</w:t>
      </w:r>
      <w:r>
        <w:rPr>
          <w:rFonts w:ascii="Times New Roman" w:hAnsi="Times New Roman" w:cs="Times New Roman" w:eastAsia="Times New Roman" w:hint="default"/>
        </w:rPr>
        <w:t>12.21</w:t>
      </w:r>
      <w:r>
        <w:rPr/>
        <w:t>亿元，根据《企业会计准则》等相关规定，商誉不作摊销处理，但需在未来每年年度终了做减值测试。如哆 可梦受到行业政策和行业竞争白炽化、核心团队人员流失、产品竞争力下降等因素影响导致业务发展滞后、未来经营状况 恶化，则公司将存在商誉减值的风险，从而对公司当期损益造成不利影响。</w:t>
      </w:r>
    </w:p>
    <w:p>
      <w:pPr>
        <w:pStyle w:val="BodyText"/>
        <w:spacing w:line="304" w:lineRule="auto" w:before="67"/>
        <w:ind w:right="1169" w:firstLine="360"/>
        <w:jc w:val="left"/>
      </w:pPr>
      <w:r>
        <w:rPr/>
        <w:t>首先，哆可梦已完成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年对赌期的业绩承诺，已经充分展示了哆可梦作为国内领先的移动游戏综合运营商的 优秀实力。其次，</w:t>
      </w:r>
      <w:r>
        <w:rPr>
          <w:rFonts w:ascii="Times New Roman" w:hAnsi="Times New Roman" w:cs="Times New Roman" w:eastAsia="Times New Roman" w:hint="default"/>
        </w:rPr>
        <w:t>2020</w:t>
      </w:r>
      <w:r>
        <w:rPr/>
        <w:t>年春节前夕，新冠肺炎疫情突然爆发，全民延长了春节假期，大家都减少外出，尽量足不出户地宅 在家里，这极大地提升了移动互联网行业特别是手游行业的用户活跃度，几乎所有主流产品的</w:t>
      </w:r>
      <w:r>
        <w:rPr>
          <w:rFonts w:ascii="Times New Roman" w:hAnsi="Times New Roman" w:cs="Times New Roman" w:eastAsia="Times New Roman" w:hint="default"/>
        </w:rPr>
        <w:t>DAU</w:t>
      </w:r>
      <w:r>
        <w:rPr/>
        <w:t>、用户在线时长，在环 比以及同比层面都出现显著上升，哆可梦旗下游戏产品流水在</w:t>
      </w:r>
      <w:r>
        <w:rPr>
          <w:rFonts w:ascii="Times New Roman" w:hAnsi="Times New Roman" w:cs="Times New Roman" w:eastAsia="Times New Roman" w:hint="default"/>
        </w:rPr>
        <w:t>2020</w:t>
      </w:r>
      <w:r>
        <w:rPr/>
        <w:t>年春节期间与行业一样预计迎来</w:t>
      </w:r>
      <w:r>
        <w:rPr>
          <w:rFonts w:ascii="Times New Roman" w:hAnsi="Times New Roman" w:cs="Times New Roman" w:eastAsia="Times New Roman" w:hint="default"/>
        </w:rPr>
        <w:t>40</w:t>
      </w:r>
      <w:r>
        <w:rPr/>
        <w:t>％</w:t>
      </w:r>
      <w:r>
        <w:rPr>
          <w:rFonts w:ascii="Times New Roman" w:hAnsi="Times New Roman" w:cs="Times New Roman" w:eastAsia="Times New Roman" w:hint="default"/>
        </w:rPr>
        <w:t>-50</w:t>
      </w:r>
      <w:r>
        <w:rPr/>
        <w:t>％的提升，同时 </w:t>
      </w:r>
      <w:r>
        <w:rPr>
          <w:rFonts w:ascii="Times New Roman" w:hAnsi="Times New Roman" w:cs="Times New Roman" w:eastAsia="Times New Roman" w:hint="default"/>
        </w:rPr>
        <w:t>2020</w:t>
      </w:r>
      <w:r>
        <w:rPr/>
        <w:t>年哆可梦预计将上线多款自研和独代产品，其中《刀剑情缘》这款重磅</w:t>
      </w:r>
      <w:r>
        <w:rPr>
          <w:rFonts w:ascii="Times New Roman" w:hAnsi="Times New Roman" w:cs="Times New Roman" w:eastAsia="Times New Roman" w:hint="default"/>
        </w:rPr>
        <w:t>ARPG</w:t>
      </w:r>
      <w:r>
        <w:rPr/>
        <w:t>游戏已在</w:t>
      </w:r>
      <w:r>
        <w:rPr>
          <w:rFonts w:ascii="Times New Roman" w:hAnsi="Times New Roman" w:cs="Times New Roman" w:eastAsia="Times New Roman" w:hint="default"/>
        </w:rPr>
        <w:t>2020</w:t>
      </w:r>
      <w:r>
        <w:rPr/>
        <w:t>年第一季度上线发行，已 成熟运营的《文明曙光》、《太古封魔录》、《爆破三国》等产品也将持续获得新用户导入并持续贡献稳定收入。最后， 哆可梦已计划紧抓</w:t>
      </w:r>
      <w:r>
        <w:rPr>
          <w:rFonts w:ascii="Times New Roman" w:hAnsi="Times New Roman" w:cs="Times New Roman" w:eastAsia="Times New Roman" w:hint="default"/>
        </w:rPr>
        <w:t>5G</w:t>
      </w:r>
      <w:r>
        <w:rPr/>
        <w:t>时代机遇，积极布局云游戏平台。综上，公司对哆可梦在未来的</w:t>
      </w:r>
      <w:r>
        <w:rPr>
          <w:rFonts w:ascii="Times New Roman" w:hAnsi="Times New Roman" w:cs="Times New Roman" w:eastAsia="Times New Roman" w:hint="default"/>
        </w:rPr>
        <w:t>3-5</w:t>
      </w:r>
      <w:r>
        <w:rPr/>
        <w:t>年内保持业务的继续高速发展具 有较大信心，公司也将采取多种措施调动哆可梦团队的积极性和创造性，为哆可梦提供发展所需的各种资源和机会，保持 哆可梦的持续盈利能力，保证公司与哆可梦的整体利益最大化。</w:t>
      </w:r>
    </w:p>
    <w:p>
      <w:pPr>
        <w:pStyle w:val="BodyText"/>
        <w:spacing w:line="338" w:lineRule="auto" w:before="68"/>
        <w:ind w:left="513" w:right="1213"/>
        <w:jc w:val="left"/>
      </w:pPr>
      <w:r>
        <w:rPr/>
        <w:t>（</w:t>
      </w:r>
      <w:r>
        <w:rPr>
          <w:rFonts w:ascii="Times New Roman" w:hAnsi="Times New Roman" w:cs="Times New Roman" w:eastAsia="Times New Roman" w:hint="default"/>
        </w:rPr>
        <w:t>4</w:t>
      </w:r>
      <w:r>
        <w:rPr/>
        <w:t>）人才流失风险 优秀的管理团队和人才团队是公司的核心优势之一，公司高端智能制造行业需要具有高素质的专业人才，同样互联网</w:t>
      </w:r>
    </w:p>
    <w:p>
      <w:pPr>
        <w:pStyle w:val="BodyText"/>
        <w:spacing w:line="316" w:lineRule="auto" w:before="2"/>
        <w:ind w:right="1214"/>
        <w:jc w:val="left"/>
      </w:pPr>
      <w:r>
        <w:rPr/>
        <w:t>游戏行业属于轻资产运营模式，人才的重要性尤为突出。如果公司不能有效保持核心人员的激励机制并根据环境变化而不 断完善，将会影响到核心人员积极性、创造性的发挥，甚至造成核心人员的流失。</w:t>
      </w:r>
    </w:p>
    <w:p>
      <w:pPr>
        <w:pStyle w:val="BodyText"/>
        <w:spacing w:line="316" w:lineRule="auto" w:before="59"/>
        <w:ind w:right="1231" w:firstLine="360"/>
        <w:jc w:val="both"/>
      </w:pPr>
      <w:r>
        <w:rPr/>
        <w:t>公司将更加重视吸引人才、培养人才，向员工制定培训计划，为人员提供锻炼机会、业务发展及职务晋升空间，给予 其更大的创作空间；从外部引进并保留与业务发展所需密切相关的技术及运营人才，重视企业文化的建设，增强员工对公 司的归属感，提升员工的主人翁精神。</w:t>
      </w:r>
    </w:p>
    <w:p>
      <w:pPr>
        <w:pStyle w:val="BodyText"/>
        <w:spacing w:line="338" w:lineRule="auto" w:before="60"/>
        <w:ind w:left="513" w:right="1213"/>
        <w:jc w:val="left"/>
      </w:pPr>
      <w:r>
        <w:rPr/>
        <w:t>（</w:t>
      </w:r>
      <w:r>
        <w:rPr>
          <w:rFonts w:ascii="Times New Roman" w:hAnsi="Times New Roman" w:cs="Times New Roman" w:eastAsia="Times New Roman" w:hint="default"/>
        </w:rPr>
        <w:t>5</w:t>
      </w:r>
      <w:r>
        <w:rPr/>
        <w:t>）融资难度加大风险 本报告期内由于公司游戏业务的收入减少，以及哆可梦为布局</w:t>
      </w:r>
      <w:r>
        <w:rPr>
          <w:rFonts w:ascii="Times New Roman" w:hAnsi="Times New Roman" w:cs="Times New Roman" w:eastAsia="Times New Roman" w:hint="default"/>
        </w:rPr>
        <w:t>2020</w:t>
      </w:r>
      <w:r>
        <w:rPr/>
        <w:t>年相关业务支付的预付款项有所增加导致公司经营</w:t>
      </w:r>
    </w:p>
    <w:p>
      <w:pPr>
        <w:pStyle w:val="BodyText"/>
        <w:spacing w:line="230" w:lineRule="exact"/>
        <w:ind w:right="0"/>
        <w:jc w:val="left"/>
      </w:pPr>
      <w:r>
        <w:rPr/>
        <w:t>活动的</w:t>
      </w:r>
      <w:r>
        <w:rPr>
          <w:rFonts w:ascii="Times New Roman" w:hAnsi="Times New Roman" w:cs="Times New Roman" w:eastAsia="Times New Roman" w:hint="default"/>
        </w:rPr>
        <w:t>“</w:t>
      </w:r>
      <w:r>
        <w:rPr/>
        <w:t>造血功能</w:t>
      </w:r>
      <w:r>
        <w:rPr>
          <w:rFonts w:ascii="Times New Roman" w:hAnsi="Times New Roman" w:cs="Times New Roman" w:eastAsia="Times New Roman" w:hint="default"/>
        </w:rPr>
        <w:t>”</w:t>
      </w:r>
      <w:r>
        <w:rPr/>
        <w:t>有所下降。同时近两年整个融资市场资金面紧张，融资难度大、融资成本高，对民营企业和中小企业更</w:t>
      </w:r>
    </w:p>
    <w:p>
      <w:pPr>
        <w:pStyle w:val="BodyText"/>
        <w:spacing w:line="316" w:lineRule="auto" w:before="63"/>
        <w:ind w:right="1214"/>
        <w:jc w:val="left"/>
      </w:pPr>
      <w:r>
        <w:rPr/>
        <w:t>是不易，随着公司业务规模的扩大以及公司传统业务的转型升级，生产经营所所需的资金也会增多，后续资金需求会有所 增加，融资面临难度加大的风险。</w:t>
      </w:r>
    </w:p>
    <w:p>
      <w:pPr>
        <w:pStyle w:val="BodyText"/>
        <w:spacing w:line="307" w:lineRule="auto" w:before="59"/>
        <w:ind w:right="1214" w:firstLine="360"/>
        <w:jc w:val="left"/>
      </w:pPr>
      <w:r>
        <w:rPr/>
        <w:t>为缓解公司的流动性压力，公司不仅需要提高自身</w:t>
      </w:r>
      <w:r>
        <w:rPr>
          <w:rFonts w:ascii="Times New Roman" w:hAnsi="Times New Roman" w:cs="Times New Roman" w:eastAsia="Times New Roman" w:hint="default"/>
        </w:rPr>
        <w:t>“</w:t>
      </w:r>
      <w:r>
        <w:rPr/>
        <w:t>造血能力</w:t>
      </w:r>
      <w:r>
        <w:rPr>
          <w:rFonts w:ascii="Times New Roman" w:hAnsi="Times New Roman" w:cs="Times New Roman" w:eastAsia="Times New Roman" w:hint="default"/>
        </w:rPr>
        <w:t>”</w:t>
      </w:r>
      <w:r>
        <w:rPr/>
        <w:t>，还要开拓更多的融资渠道，为公司转型升级提供强有 力的资金支持。对内部，公司将重点发展主营业务，扩大主营业务规模、提高业绩，减少不必要的费用支出，实现降本增 效和</w:t>
      </w:r>
      <w:r>
        <w:rPr>
          <w:rFonts w:ascii="Times New Roman" w:hAnsi="Times New Roman" w:cs="Times New Roman" w:eastAsia="Times New Roman" w:hint="default"/>
        </w:rPr>
        <w:t>“</w:t>
      </w:r>
      <w:r>
        <w:rPr/>
        <w:t>开源节流</w:t>
      </w:r>
      <w:r>
        <w:rPr>
          <w:rFonts w:ascii="Times New Roman" w:hAnsi="Times New Roman" w:cs="Times New Roman" w:eastAsia="Times New Roman" w:hint="default"/>
        </w:rPr>
        <w:t>”</w:t>
      </w:r>
      <w:r>
        <w:rPr/>
        <w:t>，加强资金管理和对应收款项的催收工作，也充分利用商业信用，进一步增强主营业务自身的</w:t>
      </w:r>
      <w:r>
        <w:rPr>
          <w:rFonts w:ascii="Times New Roman" w:hAnsi="Times New Roman" w:cs="Times New Roman" w:eastAsia="Times New Roman" w:hint="default"/>
        </w:rPr>
        <w:t>“</w:t>
      </w:r>
      <w:r>
        <w:rPr/>
        <w:t>造血功 能</w:t>
      </w:r>
      <w:r>
        <w:rPr>
          <w:rFonts w:ascii="Times New Roman" w:hAnsi="Times New Roman" w:cs="Times New Roman" w:eastAsia="Times New Roman" w:hint="default"/>
        </w:rPr>
        <w:t>”</w:t>
      </w:r>
      <w:r>
        <w:rPr/>
        <w:t>；对外部，公司将密切关注各项融资政策，加强与银行、信托等金融机构的业务合作，研究和充分利用各类再融资工 具，拓宽融资渠道以低成本获取充足资金。公司将制定长期的融资策略，形成长远的资本运营能力，实现公司健康稳定发 展。</w:t>
      </w:r>
    </w:p>
    <w:p>
      <w:pPr>
        <w:spacing w:line="240" w:lineRule="auto" w:before="8"/>
        <w:rPr>
          <w:rFonts w:ascii="宋体" w:hAnsi="宋体" w:cs="宋体" w:eastAsia="宋体" w:hint="default"/>
          <w:sz w:val="15"/>
          <w:szCs w:val="15"/>
        </w:rPr>
      </w:pPr>
    </w:p>
    <w:p>
      <w:pPr>
        <w:pStyle w:val="Heading2"/>
        <w:spacing w:line="240" w:lineRule="auto"/>
        <w:ind w:right="0"/>
        <w:jc w:val="left"/>
        <w:rPr>
          <w:b w:val="0"/>
          <w:bCs w:val="0"/>
        </w:rPr>
      </w:pPr>
      <w:r>
        <w:rPr/>
        <w:t>十、接待调研、沟通、采访等活动</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footerReference w:type="default" r:id="rId23"/>
          <w:pgSz w:w="11910" w:h="16840"/>
          <w:pgMar w:footer="980"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1473"/>
        <w:jc w:val="center"/>
        <w:rPr>
          <w:b w:val="0"/>
          <w:bCs w:val="0"/>
        </w:rPr>
      </w:pPr>
      <w:bookmarkStart w:name="_bookmark4" w:id="5"/>
      <w:bookmarkEnd w:id="5"/>
      <w:r>
        <w:rPr>
          <w:b w:val="0"/>
          <w:bCs w:val="0"/>
        </w:rPr>
      </w:r>
      <w:r>
        <w:rPr/>
        <w:t>第五节重要事项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21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根据中国证监会《关于进一步落实上市公司现金分红有关事项的通知》及深圳证监局有关文件等的规定和要求，</w:t>
      </w:r>
      <w:r>
        <w:rPr>
          <w:rFonts w:ascii="Times New Roman" w:hAnsi="Times New Roman" w:cs="Times New Roman" w:eastAsia="Times New Roman" w:hint="default"/>
        </w:rPr>
        <w:t>2018</w:t>
      </w:r>
    </w:p>
    <w:p>
      <w:pPr>
        <w:pStyle w:val="BodyText"/>
        <w:spacing w:line="230" w:lineRule="exact"/>
        <w:ind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日公司第六届董事会第十一次会议审议通过并发布了《未来三年股东回报规划（</w:t>
      </w:r>
      <w:r>
        <w:rPr>
          <w:rFonts w:ascii="Times New Roman" w:hAnsi="Times New Roman" w:cs="Times New Roman" w:eastAsia="Times New Roman" w:hint="default"/>
        </w:rPr>
        <w:t>2018-2020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w:t>
      </w:r>
    </w:p>
    <w:p>
      <w:pPr>
        <w:pStyle w:val="BodyText"/>
        <w:spacing w:line="300" w:lineRule="auto" w:before="63"/>
        <w:ind w:right="1454"/>
        <w:jc w:val="left"/>
      </w:pPr>
      <w:r>
        <w:rPr/>
        <w:t>司召开的</w:t>
      </w:r>
      <w:r>
        <w:rPr>
          <w:rFonts w:ascii="Times New Roman" w:hAnsi="Times New Roman" w:cs="Times New Roman" w:eastAsia="Times New Roman" w:hint="default"/>
        </w:rPr>
        <w:t>2017</w:t>
      </w:r>
      <w:r>
        <w:rPr/>
        <w:t>年年度股东大会审议通过了该规划。公司制定《未来三年股东回报规划（</w:t>
      </w:r>
      <w:r>
        <w:rPr>
          <w:rFonts w:ascii="Times New Roman" w:hAnsi="Times New Roman" w:cs="Times New Roman" w:eastAsia="Times New Roman" w:hint="default"/>
        </w:rPr>
        <w:t>2018-2020</w:t>
      </w:r>
      <w:r>
        <w:rPr/>
        <w:t>）》，明确了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- 2020</w:t>
      </w:r>
      <w:r>
        <w:rPr/>
        <w:t>年期间公司的利润分配形式、利润分配周期、利润分配比例和利润分配方案的制定和执行。</w:t>
      </w:r>
    </w:p>
    <w:p>
      <w:pPr>
        <w:spacing w:line="240" w:lineRule="auto" w:before="5"/>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6489"/>
        <w:gridCol w:w="3080"/>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139"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年度利润分配方案：公司</w:t>
      </w:r>
      <w:r>
        <w:rPr>
          <w:rFonts w:ascii="Times New Roman" w:hAnsi="Times New Roman" w:cs="Times New Roman" w:eastAsia="Times New Roman" w:hint="default"/>
        </w:rPr>
        <w:t>2017</w:t>
      </w:r>
      <w:r>
        <w:rPr/>
        <w:t>年度不进行利润分配，不进行分红送股，也不以资本公积金转增股本，留存收 益全部用于公司日常生产经营。</w:t>
      </w:r>
    </w:p>
    <w:p>
      <w:pPr>
        <w:pStyle w:val="BodyText"/>
        <w:spacing w:line="300" w:lineRule="auto" w:before="72"/>
        <w:ind w:right="113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年度利润分配方案：公司</w:t>
      </w:r>
      <w:r>
        <w:rPr>
          <w:rFonts w:ascii="Times New Roman" w:hAnsi="Times New Roman" w:cs="Times New Roman" w:eastAsia="Times New Roman" w:hint="default"/>
        </w:rPr>
        <w:t>2018</w:t>
      </w:r>
      <w:r>
        <w:rPr/>
        <w:t>年度不进行利润分配，不进行分红送股，也不以资本公积金转增股本，留存收 益全部用于公司日常生产经营。</w:t>
      </w:r>
    </w:p>
    <w:p>
      <w:pPr>
        <w:pStyle w:val="BodyText"/>
        <w:spacing w:line="300" w:lineRule="auto" w:before="72"/>
        <w:ind w:right="1132"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年度利润分配预案：鉴于截止到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日公司以现金为对价，采用集中竞价方式已累计回购公司股份 </w:t>
      </w:r>
      <w:r>
        <w:rPr>
          <w:rFonts w:ascii="Times New Roman" w:hAnsi="Times New Roman" w:cs="Times New Roman" w:eastAsia="Times New Roman" w:hint="default"/>
          <w:spacing w:val="-1"/>
        </w:rPr>
        <w:t>17,766,200</w:t>
      </w:r>
      <w:r>
        <w:rPr>
          <w:spacing w:val="-1"/>
        </w:rPr>
        <w:t>股，支付的总金额为</w:t>
      </w:r>
      <w:r>
        <w:rPr>
          <w:rFonts w:ascii="Times New Roman" w:hAnsi="Times New Roman" w:cs="Times New Roman" w:eastAsia="Times New Roman" w:hint="default"/>
          <w:spacing w:val="-1"/>
        </w:rPr>
        <w:t>147,613,580.50</w:t>
      </w:r>
      <w:r>
        <w:rPr>
          <w:spacing w:val="-1"/>
        </w:rPr>
        <w:t>元（不含交易费用）。根据《深圳证券交易所上市公司回购股份实施细则》第</w:t>
      </w:r>
      <w:r>
        <w:rPr>
          <w:spacing w:val="-71"/>
        </w:rPr>
        <w:t> </w:t>
      </w:r>
      <w:r>
        <w:rPr>
          <w:spacing w:val="-71"/>
        </w:rPr>
      </w:r>
      <w:r>
        <w:rPr/>
        <w:t>七条的相关规定，</w:t>
      </w:r>
      <w:r>
        <w:rPr>
          <w:rFonts w:ascii="Times New Roman" w:hAnsi="Times New Roman" w:cs="Times New Roman" w:eastAsia="Times New Roman" w:hint="default"/>
        </w:rPr>
        <w:t>“</w:t>
      </w:r>
      <w:r>
        <w:rPr/>
        <w:t>上市公司以现金为对价，采用要约方式、集中竞价方式回购股份的，当年已实施的回购股份金额视同现</w:t>
      </w:r>
      <w:r>
        <w:rPr>
          <w:spacing w:val="-76"/>
        </w:rPr>
        <w:t> </w:t>
      </w:r>
      <w:r>
        <w:rPr>
          <w:spacing w:val="-76"/>
        </w:rPr>
      </w:r>
      <w:r>
        <w:rPr>
          <w:spacing w:val="-2"/>
        </w:rPr>
        <w:t>金分红金额，纳入该年度现金分红的相关比例计算。</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1"/>
        </w:rPr>
        <w:t>同时考虑到公司日常生产经营、未来投资和发展需要大量资金，所以</w:t>
      </w:r>
      <w:r>
        <w:rPr>
          <w:spacing w:val="-88"/>
        </w:rPr>
        <w:t> </w:t>
      </w:r>
      <w:r>
        <w:rPr>
          <w:spacing w:val="-88"/>
        </w:rPr>
      </w:r>
      <w:r>
        <w:rPr/>
        <w:t>公司不再派发现金红利，不送红股，不以资本公积金转增股本。</w:t>
      </w:r>
    </w:p>
    <w:p>
      <w:pPr>
        <w:pStyle w:val="BodyText"/>
        <w:spacing w:line="240" w:lineRule="auto" w:before="70"/>
        <w:ind w:right="0"/>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50"/>
        <w:gridCol w:w="710"/>
        <w:gridCol w:w="1702"/>
        <w:gridCol w:w="991"/>
        <w:gridCol w:w="1277"/>
        <w:gridCol w:w="1416"/>
        <w:gridCol w:w="1426"/>
        <w:gridCol w:w="1195"/>
      </w:tblGrid>
      <w:tr>
        <w:trPr>
          <w:trHeight w:val="227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现金分 红金额</w:t>
            </w:r>
          </w:p>
          <w:p>
            <w:pPr>
              <w:pStyle w:val="TableParagraph"/>
              <w:spacing w:line="316" w:lineRule="auto" w:before="19"/>
              <w:ind w:left="170" w:right="168"/>
              <w:jc w:val="left"/>
              <w:rPr>
                <w:rFonts w:ascii="宋体" w:hAnsi="宋体" w:cs="宋体" w:eastAsia="宋体" w:hint="default"/>
                <w:sz w:val="18"/>
                <w:szCs w:val="18"/>
              </w:rPr>
            </w:pPr>
            <w:r>
              <w:rPr>
                <w:rFonts w:ascii="宋体" w:hAnsi="宋体" w:cs="宋体" w:eastAsia="宋体" w:hint="default"/>
                <w:sz w:val="18"/>
                <w:szCs w:val="18"/>
              </w:rPr>
              <w:t>（含 税）</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6" w:right="3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93" w:right="93" w:hanging="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1"/>
              <w:jc w:val="center"/>
              <w:rPr>
                <w:rFonts w:ascii="宋体" w:hAnsi="宋体" w:cs="宋体" w:eastAsia="宋体" w:hint="default"/>
                <w:sz w:val="18"/>
                <w:szCs w:val="18"/>
              </w:rPr>
            </w:pPr>
            <w:r>
              <w:rPr>
                <w:rFonts w:ascii="宋体" w:hAnsi="宋体" w:cs="宋体" w:eastAsia="宋体" w:hint="default"/>
                <w:sz w:val="18"/>
                <w:szCs w:val="18"/>
              </w:rPr>
              <w:t>以其他方式现金 分红金额占合并 报表中归属于上 市公司普通股股 东的净利润的比 例</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79"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0"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134,997,926.83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147,613,580.50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9" w:right="0"/>
              <w:jc w:val="left"/>
              <w:rPr>
                <w:rFonts w:ascii="Times New Roman" w:hAnsi="Times New Roman" w:cs="Times New Roman" w:eastAsia="Times New Roman" w:hint="default"/>
                <w:sz w:val="18"/>
                <w:szCs w:val="18"/>
              </w:rPr>
            </w:pPr>
            <w:r>
              <w:rPr>
                <w:rFonts w:ascii="Times New Roman"/>
                <w:sz w:val="18"/>
              </w:rPr>
              <w:t>109.35%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147,613,580.50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109.35%</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80" w:header="877" w:top="1100" w:bottom="1160" w:left="980" w:right="0"/>
          <w:pgNumType w:start="1"/>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850"/>
        <w:gridCol w:w="710"/>
        <w:gridCol w:w="1702"/>
        <w:gridCol w:w="991"/>
        <w:gridCol w:w="1277"/>
        <w:gridCol w:w="1416"/>
        <w:gridCol w:w="1426"/>
        <w:gridCol w:w="1195"/>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336,389,804.53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-107,607,635.77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二、本报告期利润分配及资本公积金转增股本情况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537"/>
        <w:gridCol w:w="5031"/>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801,929,568</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147,613,580.50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147,613,580.50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425,415,052.34</w:t>
            </w: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鉴于截止到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日公司以现金为对价，采用集中竞价方式已累计回购公司股份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17,766,200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股，支付的总金额 为 </w:t>
            </w:r>
            <w:r>
              <w:rPr>
                <w:rFonts w:ascii="Times New Roman" w:hAnsi="Times New Roman" w:cs="Times New Roman" w:eastAsia="Times New Roman" w:hint="default"/>
                <w:spacing w:val="-1"/>
                <w:sz w:val="18"/>
                <w:szCs w:val="18"/>
              </w:rPr>
              <w:t>147,613,580.50</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元（不含交易费用）。根据《深圳证券交易所上市公司回购股份实施细则》第七条的相关规定，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w:t>
            </w:r>
            <w:r>
              <w:rPr>
                <w:rFonts w:ascii="宋体" w:hAnsi="宋体" w:cs="宋体" w:eastAsia="宋体" w:hint="default"/>
                <w:spacing w:val="-80"/>
                <w:sz w:val="18"/>
                <w:szCs w:val="18"/>
              </w:rPr>
              <w:t> </w:t>
            </w:r>
            <w:r>
              <w:rPr>
                <w:rFonts w:ascii="宋体" w:hAnsi="宋体" w:cs="宋体" w:eastAsia="宋体" w:hint="default"/>
                <w:sz w:val="18"/>
                <w:szCs w:val="18"/>
              </w:rPr>
              <w:t>司以现金为对价，采用要约方式、集中竞价方式回购股份的，当年已实施的回购股份金额视同现金分红金额，纳入该年</w:t>
            </w:r>
            <w:r>
              <w:rPr>
                <w:rFonts w:ascii="宋体" w:hAnsi="宋体" w:cs="宋体" w:eastAsia="宋体" w:hint="default"/>
                <w:sz w:val="18"/>
                <w:szCs w:val="18"/>
              </w:rPr>
              <w:t> 度现金分红的相关比例计算。</w:t>
            </w:r>
            <w:r>
              <w:rPr>
                <w:rFonts w:ascii="Times New Roman" w:hAnsi="Times New Roman" w:cs="Times New Roman" w:eastAsia="Times New Roman" w:hint="default"/>
                <w:sz w:val="18"/>
                <w:szCs w:val="18"/>
              </w:rPr>
              <w:t>” </w:t>
            </w:r>
            <w:r>
              <w:rPr>
                <w:rFonts w:ascii="宋体" w:hAnsi="宋体" w:cs="宋体" w:eastAsia="宋体" w:hint="default"/>
                <w:sz w:val="18"/>
                <w:szCs w:val="18"/>
              </w:rPr>
              <w:t>同时考虑到公司日常生产经营、未来投资和发展需要大量资金，所以公司不再派发现金 红利，不送红股，不以资本公积金转增股本。</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三、承诺事项履行情况</w:t>
      </w:r>
      <w:r>
        <w:rPr>
          <w:b w:val="0"/>
          <w:bCs w:val="0"/>
        </w:rPr>
      </w:r>
    </w:p>
    <w:p>
      <w:pPr>
        <w:spacing w:after="0" w:line="367" w:lineRule="exact"/>
        <w:jc w:val="left"/>
        <w:sectPr>
          <w:pgSz w:w="11910" w:h="16840"/>
          <w:pgMar w:header="877" w:footer="980" w:top="1100" w:bottom="1160" w:left="980" w:right="0"/>
        </w:sectPr>
      </w:pPr>
    </w:p>
    <w:p>
      <w:pPr>
        <w:pStyle w:val="Heading3"/>
        <w:spacing w:line="352" w:lineRule="exact"/>
        <w:ind w:left="140" w:right="128"/>
        <w:jc w:val="left"/>
        <w:rPr>
          <w:b w:val="0"/>
          <w:bCs w:val="0"/>
        </w:rPr>
      </w:pPr>
      <w:r>
        <w:rPr/>
        <w:pict>
          <v:group style="position:absolute;margin-left:70.559998pt;margin-top:2.202064pt;width:700.9pt;height:.1pt;mso-position-horizontal-relative:page;mso-position-vertical-relative:paragraph;z-index:-1128280" coordorigin="1411,44" coordsize="14018,2">
            <v:shape style="position:absolute;left:1411;top:44;width:14018;height:2" coordorigin="1411,44" coordsize="14018,0" path="m1411,44l15429,44e" filled="false" stroked="true" strokeweight=".72pt" strokecolor="#000000">
              <v:path arrowok="t"/>
            </v:shape>
            <w10:wrap type="none"/>
          </v:group>
        </w:pict>
      </w:r>
      <w:r>
        <w:rPr/>
        <w:pict>
          <v:shape style="position:absolute;margin-left:589.234558pt;margin-top:570.43042pt;width:42.067787pt;height:18.946561pt;mso-position-horizontal-relative:page;mso-position-vertical-relative:page;z-index:1168" type="#_x0000_t75" stroked="false">
            <v:imagedata r:id="rId27" o:title=""/>
          </v:shape>
        </w:pict>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40" w:right="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157"/>
        <w:gridCol w:w="1550"/>
        <w:gridCol w:w="974"/>
        <w:gridCol w:w="6522"/>
        <w:gridCol w:w="973"/>
        <w:gridCol w:w="1721"/>
        <w:gridCol w:w="1054"/>
      </w:tblGrid>
      <w:tr>
        <w:trPr>
          <w:trHeight w:val="401"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7"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中驰惠程；中源信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保证深圳惠程在资产、人员、财务、业务和机构等方面独立。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 长期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85" w:hRule="exact"/>
        </w:trPr>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4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74"/>
              <w:jc w:val="left"/>
              <w:rPr>
                <w:rFonts w:ascii="宋体" w:hAnsi="宋体" w:cs="宋体" w:eastAsia="宋体" w:hint="default"/>
                <w:sz w:val="18"/>
                <w:szCs w:val="18"/>
              </w:rPr>
            </w:pPr>
            <w:r>
              <w:rPr>
                <w:rFonts w:ascii="宋体" w:hAnsi="宋体" w:cs="宋体" w:eastAsia="宋体" w:hint="default"/>
                <w:sz w:val="18"/>
                <w:szCs w:val="18"/>
              </w:rPr>
              <w:t>中驰惠程；中源 信；信中利；汪超 涌；田勇</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86"/>
              <w:jc w:val="both"/>
              <w:rPr>
                <w:rFonts w:ascii="宋体" w:hAnsi="宋体" w:cs="宋体" w:eastAsia="宋体" w:hint="default"/>
                <w:sz w:val="18"/>
                <w:szCs w:val="18"/>
              </w:rPr>
            </w:pPr>
            <w:r>
              <w:rPr>
                <w:rFonts w:ascii="宋体" w:hAnsi="宋体" w:cs="宋体" w:eastAsia="宋体" w:hint="default"/>
                <w:sz w:val="18"/>
                <w:szCs w:val="18"/>
              </w:rPr>
              <w:t>自身及其控制的企业不会直接或间接从事或参与任何与深圳惠程及其下属企业构 成竞争的任何业务或活动，不以任何方式从事或参与任何与深圳惠程及其下属企 业业务相同、相似或可能取代深圳惠程及其下属企业业务的活动。</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中驰惠程、中源信、 信中利、汪超涌：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长期；田勇（自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9" w:lineRule="auto" w:before="63"/>
              <w:ind w:left="23" w:right="10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日起终止 </w:t>
            </w:r>
            <w:r>
              <w:rPr>
                <w:rFonts w:ascii="宋体" w:hAnsi="宋体" w:cs="宋体" w:eastAsia="宋体" w:hint="default"/>
                <w:spacing w:val="-12"/>
                <w:sz w:val="18"/>
                <w:szCs w:val="18"/>
              </w:rPr>
              <w:t>一致行动关系）：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中驰惠程、 中源信、信 中利、汪超 涌：正常履 行中；田 勇：已履行 完毕</w:t>
            </w:r>
          </w:p>
        </w:tc>
      </w:tr>
      <w:tr>
        <w:trPr>
          <w:trHeight w:val="1028"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中驰惠程</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自交易完成之日起六十个月内，保证不主动放弃对上市公司的控股股东地位，详 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日《重大资产购买暨关联交易报告书（草案）（二次修订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6"/>
                <w:sz w:val="18"/>
                <w:szCs w:val="18"/>
              </w:rPr>
              <w:t>稿）》。</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5"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汪超涌；李亦非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自交易完成之日起六十个月内，本人及本人控制的主体保证不会主动放弃对上市 公司的控制权，保证上市公司控制权不发生变化，详见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日《重大 </w:t>
            </w:r>
            <w:r>
              <w:rPr>
                <w:rFonts w:ascii="宋体" w:hAnsi="宋体" w:cs="宋体" w:eastAsia="宋体" w:hint="default"/>
                <w:spacing w:val="-11"/>
                <w:sz w:val="18"/>
                <w:szCs w:val="18"/>
              </w:rPr>
              <w:t>资产购买暨关联交易报告书（草案）（二次修订稿）》。</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8"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54"/>
              <w:jc w:val="left"/>
              <w:rPr>
                <w:rFonts w:ascii="宋体" w:hAnsi="宋体" w:cs="宋体" w:eastAsia="宋体" w:hint="default"/>
                <w:sz w:val="18"/>
                <w:szCs w:val="18"/>
              </w:rPr>
            </w:pPr>
            <w:r>
              <w:rPr>
                <w:rFonts w:ascii="宋体" w:hAnsi="宋体" w:cs="宋体" w:eastAsia="宋体" w:hint="default"/>
                <w:sz w:val="18"/>
                <w:szCs w:val="18"/>
              </w:rPr>
              <w:t>中驰惠程；汪超 涌；李亦非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交易完成之后的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个月内，本公司（本人）并无通过影响上市公司股东大会、董 事会而将上市公司现有业务相关的主要资产予以剥离的计划、意向或安排。详见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日《重大资产购买暨关联交易报告书（草案）（二次修订稿）》。</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9"/>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37"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信中利；中源信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自交易完成之日起六十个月内，本公司（本企业）保证在维护上市公司实际控制 权稳定的前提下不主动终止与上市公司控股股东的一致行动关系，并积极维护上 市公司实际控制权的稳定。详见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日《重大资产购买暨关联交易报 </w:t>
            </w:r>
            <w:r>
              <w:rPr>
                <w:rFonts w:ascii="宋体" w:hAnsi="宋体" w:cs="宋体" w:eastAsia="宋体" w:hint="default"/>
                <w:spacing w:val="-19"/>
                <w:sz w:val="18"/>
                <w:szCs w:val="18"/>
              </w:rPr>
              <w:t>告书（草案）（二次修订稿）》。</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headerReference w:type="default" r:id="rId25"/>
          <w:footerReference w:type="default" r:id="rId26"/>
          <w:pgSz w:w="16840" w:h="11910" w:orient="landscape"/>
          <w:pgMar w:header="867" w:footer="980" w:top="1060" w:bottom="1160" w:left="1300" w:right="1300"/>
          <w:pgNumType w:start="3"/>
        </w:sectPr>
      </w:pPr>
    </w:p>
    <w:p>
      <w:pPr>
        <w:spacing w:line="240" w:lineRule="auto" w:before="2"/>
        <w:rPr>
          <w:rFonts w:ascii="Times New Roman" w:hAnsi="Times New Roman" w:cs="Times New Roman" w:eastAsia="Times New Roman" w:hint="default"/>
          <w:sz w:val="3"/>
          <w:szCs w:val="3"/>
        </w:rPr>
      </w:pPr>
      <w:r>
        <w:rPr/>
        <w:pict>
          <v:group style="position:absolute;margin-left:72.480003pt;margin-top:57.236008pt;width:57.4pt;height:538.1pt;mso-position-horizontal-relative:page;mso-position-vertical-relative:page;z-index:-1128232" coordorigin="1450,1145" coordsize="1148,10762">
            <v:group style="position:absolute;left:1450;top:1145;width:1148;height:1640" coordorigin="1450,1145" coordsize="1148,1640">
              <v:shape style="position:absolute;left:1450;top:1145;width:1148;height:1640" coordorigin="1450,1145" coordsize="1148,1640" path="m1450,2784l2597,2784,2597,1145,1450,1145,1450,2784xe" filled="true" fillcolor="#d2d2d2" stroked="false">
                <v:path arrowok="t"/>
                <v:fill type="solid"/>
              </v:shape>
            </v:group>
            <v:group style="position:absolute;left:1450;top:2784;width:1148;height:1652" coordorigin="1450,2784" coordsize="1148,1652">
              <v:shape style="position:absolute;left:1450;top:2784;width:1148;height:1652" coordorigin="1450,2784" coordsize="1148,1652" path="m1450,4436l2597,4436,2597,2784,1450,2784,1450,4436xe" filled="true" fillcolor="#d2d2d2" stroked="false">
                <v:path arrowok="t"/>
                <v:fill type="solid"/>
              </v:shape>
            </v:group>
            <v:group style="position:absolute;left:1450;top:4436;width:1148;height:1649" coordorigin="1450,4436" coordsize="1148,1649">
              <v:shape style="position:absolute;left:1450;top:4436;width:1148;height:1649" coordorigin="1450,4436" coordsize="1148,1649" path="m1450,6085l2597,6085,2597,4436,1450,4436,1450,6085xe" filled="true" fillcolor="#d2d2d2" stroked="false">
                <v:path arrowok="t"/>
                <v:fill type="solid"/>
              </v:shape>
            </v:group>
            <v:group style="position:absolute;left:1450;top:6085;width:1148;height:1652" coordorigin="1450,6085" coordsize="1148,1652">
              <v:shape style="position:absolute;left:1450;top:6085;width:1148;height:1652" coordorigin="1450,6085" coordsize="1148,1652" path="m1450,7737l2597,7737,2597,6085,1450,6085,1450,7737xe" filled="true" fillcolor="#d2d2d2" stroked="false">
                <v:path arrowok="t"/>
                <v:fill type="solid"/>
              </v:shape>
            </v:group>
            <v:group style="position:absolute;left:1450;top:7737;width:1148;height:1650" coordorigin="1450,7737" coordsize="1148,1650">
              <v:shape style="position:absolute;left:1450;top:7737;width:1148;height:1650" coordorigin="1450,7737" coordsize="1148,1650" path="m1450,9386l2597,9386,2597,7737,1450,7737,1450,9386xe" filled="true" fillcolor="#d2d2d2" stroked="false">
                <v:path arrowok="t"/>
                <v:fill type="solid"/>
              </v:shape>
            </v:group>
            <v:group style="position:absolute;left:1450;top:9386;width:1148;height:2521" coordorigin="1450,9386" coordsize="1148,2521">
              <v:shape style="position:absolute;left:1450;top:9386;width:1148;height:2521" coordorigin="1450,9386" coordsize="1148,2521" path="m2597,11906l2597,9386,1450,9386,1450,11906,2597,11906xe" filled="true" fillcolor="#d2d2d2" stroked="false">
                <v:path arrowok="t"/>
                <v:fill type="solid"/>
              </v:shape>
            </v:group>
            <w10:wrap type="none"/>
          </v:group>
        </w:pict>
      </w:r>
      <w:r>
        <w:rPr/>
        <w:pict>
          <v:shape style="position:absolute;margin-left:589.234558pt;margin-top:570.43042pt;width:42.067787pt;height:18.946561pt;mso-position-horizontal-relative:page;mso-position-vertical-relative:page;z-index:1216" type="#_x0000_t75" stroked="false">
            <v:imagedata r:id="rId27" o:title=""/>
          </v:shape>
        </w:pict>
      </w:r>
    </w:p>
    <w:tbl>
      <w:tblPr>
        <w:tblW w:w="0" w:type="auto"/>
        <w:jc w:val="left"/>
        <w:tblInd w:w="100" w:type="dxa"/>
        <w:tblLayout w:type="fixed"/>
        <w:tblCellMar>
          <w:top w:w="0" w:type="dxa"/>
          <w:left w:w="0" w:type="dxa"/>
          <w:bottom w:w="0" w:type="dxa"/>
          <w:right w:w="0" w:type="dxa"/>
        </w:tblCellMar>
        <w:tblLook w:val="01E0"/>
      </w:tblPr>
      <w:tblGrid>
        <w:gridCol w:w="1157"/>
        <w:gridCol w:w="1550"/>
        <w:gridCol w:w="974"/>
        <w:gridCol w:w="6522"/>
        <w:gridCol w:w="973"/>
        <w:gridCol w:w="1721"/>
        <w:gridCol w:w="1054"/>
      </w:tblGrid>
      <w:tr>
        <w:trPr>
          <w:trHeight w:val="1666" w:hRule="exact"/>
        </w:trPr>
        <w:tc>
          <w:tcPr>
            <w:tcW w:w="1157" w:type="dxa"/>
            <w:vMerge w:val="restart"/>
            <w:tcBorders>
              <w:top w:val="single" w:sz="15" w:space="0" w:color="000000"/>
              <w:left w:val="single" w:sz="4" w:space="0" w:color="000000"/>
              <w:right w:val="single" w:sz="4" w:space="0" w:color="000000"/>
            </w:tcBorders>
            <w:shd w:val="clear" w:color="auto" w:fill="D2D2D2"/>
          </w:tcPr>
          <w:p>
            <w:pPr/>
          </w:p>
        </w:tc>
        <w:tc>
          <w:tcPr>
            <w:tcW w:w="15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97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3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65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86"/>
              <w:jc w:val="both"/>
              <w:rPr>
                <w:rFonts w:ascii="宋体" w:hAnsi="宋体" w:cs="宋体" w:eastAsia="宋体" w:hint="default"/>
                <w:sz w:val="18"/>
                <w:szCs w:val="18"/>
              </w:rPr>
            </w:pPr>
            <w:r>
              <w:rPr>
                <w:rFonts w:ascii="宋体" w:hAnsi="宋体" w:cs="宋体" w:eastAsia="宋体" w:hint="default"/>
                <w:sz w:val="18"/>
                <w:szCs w:val="18"/>
              </w:rPr>
              <w:t>本次交易完成后，本人及本人控制的企业不会直接或间接经营任何与哆可梦、上 市公司及其下属公司经营的业务构成竞争或可能构成竞争的业务，亦不会投资任 何与哆可梦、上市公司及其下属公司经营的业务构成竞争或可能构成竞争的其他 企业。</w:t>
            </w:r>
          </w:p>
        </w:tc>
        <w:tc>
          <w:tcPr>
            <w:tcW w:w="9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6"/>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 长期</w:t>
            </w:r>
          </w:p>
        </w:tc>
        <w:tc>
          <w:tcPr>
            <w:tcW w:w="10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49"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86"/>
              <w:jc w:val="left"/>
              <w:rPr>
                <w:rFonts w:ascii="宋体" w:hAnsi="宋体" w:cs="宋体" w:eastAsia="宋体" w:hint="default"/>
                <w:sz w:val="18"/>
                <w:szCs w:val="18"/>
              </w:rPr>
            </w:pPr>
            <w:r>
              <w:rPr>
                <w:rFonts w:ascii="宋体" w:hAnsi="宋体" w:cs="宋体" w:eastAsia="宋体" w:hint="default"/>
                <w:sz w:val="18"/>
                <w:szCs w:val="18"/>
              </w:rPr>
              <w:t>本次交易完成后，本人及本人控制的企业将尽可能减少与上市公司及其下属公司 的关联交易，若发生必要且不可避免的关联交易，保证关联交易价格具有公允 性，不损害上市公司及上市公司其他股东的合法权益。</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 长期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1"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86"/>
              <w:jc w:val="left"/>
              <w:rPr>
                <w:rFonts w:ascii="宋体" w:hAnsi="宋体" w:cs="宋体" w:eastAsia="宋体" w:hint="default"/>
                <w:sz w:val="18"/>
                <w:szCs w:val="18"/>
              </w:rPr>
            </w:pPr>
            <w:r>
              <w:rPr>
                <w:rFonts w:ascii="宋体" w:hAnsi="宋体" w:cs="宋体" w:eastAsia="宋体" w:hint="default"/>
                <w:sz w:val="18"/>
                <w:szCs w:val="18"/>
              </w:rPr>
              <w:t>本次交易完成后，本人不会占用哆可梦的资金或要求其为本人及本人控制的企业 提供担保，否则，本人应承担个别及连带责任。</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 长期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49"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若因哆可梦及其下属子公司存在因资产交割日前已形成的事实原因受到相关主管 部门处罚，而导致哆可梦及其下属子公司遭受罚款或其他经济损失的，由本人无 条件代哆可梦及其下属子公司承担，并放弃对哆可梦及其下属子公司的追索权。 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日《重大资产购买暨关联交易报告书（草案）（二次修订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6"/>
                <w:sz w:val="18"/>
                <w:szCs w:val="18"/>
              </w:rPr>
              <w:t>稿）》。</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 长期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2"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本人在哆可梦（包括其全资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控股子公司、参股公司、分公司）的任职期限将自哆 可梦</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77.57%</w:t>
            </w:r>
            <w:r>
              <w:rPr>
                <w:rFonts w:ascii="宋体" w:hAnsi="宋体" w:cs="宋体" w:eastAsia="宋体" w:hint="default"/>
                <w:spacing w:val="-1"/>
                <w:sz w:val="18"/>
                <w:szCs w:val="18"/>
              </w:rPr>
              <w:t>股权过户至上市公司名下之日起不少于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365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天为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年），且不得</w:t>
            </w:r>
            <w:r>
              <w:rPr>
                <w:rFonts w:ascii="宋体" w:hAnsi="宋体" w:cs="宋体" w:eastAsia="宋体" w:hint="default"/>
                <w:sz w:val="18"/>
                <w:szCs w:val="18"/>
              </w:rPr>
              <w:t> 无故解除与哆可梦的劳动合同。本人在资产交割日前与哆可梦签订令上市公司满 意的竞业禁止协议，且在哆可梦任职期间以及离职后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年内，不从事与哆可梦相 同或竞争的业务。</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8"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陈家斌；杨莲莲</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本人在哆可梦（包括其全资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控股子公司、参股公司、分公司）的任职期限将自哆 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股权过户至上市公司名下之日起不少于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年，且不得无故解除与哆可 梦的劳动合同。本人在资产交割日前与哆可梦签订令上市公司满意的竞业禁止协 议，且在哆可梦任职期间以及离职后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年内，不从事与哆可梦相同或竞争的业</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40" w:right="1320"/>
        </w:sectPr>
      </w:pPr>
    </w:p>
    <w:p>
      <w:pPr>
        <w:spacing w:line="240" w:lineRule="auto" w:before="2"/>
        <w:rPr>
          <w:rFonts w:ascii="Times New Roman" w:hAnsi="Times New Roman" w:cs="Times New Roman" w:eastAsia="Times New Roman" w:hint="default"/>
          <w:sz w:val="3"/>
          <w:szCs w:val="3"/>
        </w:rPr>
      </w:pPr>
      <w:r>
        <w:rPr/>
        <w:pict>
          <v:group style="position:absolute;margin-left:72.480003pt;margin-top:57.240005pt;width:57.4pt;height:538.1pt;mso-position-horizontal-relative:page;mso-position-vertical-relative:page;z-index:-1128184" coordorigin="1450,1145" coordsize="1148,10762">
            <v:group style="position:absolute;left:1450;top:1145;width:1148;height:351" coordorigin="1450,1145" coordsize="1148,351">
              <v:shape style="position:absolute;left:1450;top:1145;width:1148;height:351" coordorigin="1450,1145" coordsize="1148,351" path="m1450,1496l2597,1496,2597,1145,1450,1145,1450,1496xe" filled="true" fillcolor="#d2d2d2" stroked="false">
                <v:path arrowok="t"/>
                <v:fill type="solid"/>
              </v:shape>
            </v:group>
            <v:group style="position:absolute;left:1450;top:1496;width:1148;height:3212" coordorigin="1450,1496" coordsize="1148,3212">
              <v:shape style="position:absolute;left:1450;top:1496;width:1148;height:3212" coordorigin="1450,1496" coordsize="1148,3212" path="m1450,4707l2597,4707,2597,1496,1450,1496,1450,4707xe" filled="true" fillcolor="#d2d2d2" stroked="false">
                <v:path arrowok="t"/>
                <v:fill type="solid"/>
              </v:shape>
            </v:group>
            <v:group style="position:absolute;left:1450;top:4707;width:1148;height:1337" coordorigin="1450,4707" coordsize="1148,1337">
              <v:shape style="position:absolute;left:1450;top:4707;width:1148;height:1337" coordorigin="1450,4707" coordsize="1148,1337" path="m1450,6044l2597,6044,2597,4707,1450,4707,1450,6044xe" filled="true" fillcolor="#d2d2d2" stroked="false">
                <v:path arrowok="t"/>
                <v:fill type="solid"/>
              </v:shape>
            </v:group>
            <v:group style="position:absolute;left:1450;top:6044;width:1148;height:2286" coordorigin="1450,6044" coordsize="1148,2286">
              <v:shape style="position:absolute;left:1450;top:6044;width:1148;height:2286" coordorigin="1450,6044" coordsize="1148,2286" path="m1450,8330l2597,8330,2597,6044,1450,6044,1450,8330xe" filled="true" fillcolor="#d2d2d2" stroked="false">
                <v:path arrowok="t"/>
                <v:fill type="solid"/>
              </v:shape>
            </v:group>
            <v:group style="position:absolute;left:1450;top:10372;width:1148;height:1535" coordorigin="1450,10372" coordsize="1148,1535">
              <v:shape style="position:absolute;left:1450;top:10372;width:1148;height:1535" coordorigin="1450,10372" coordsize="1148,1535" path="m1450,11906l2597,11906,2597,10372,1450,10372,1450,11906xe" filled="true" fillcolor="#d2d2d2" stroked="false">
                <v:path arrowok="t"/>
                <v:fill type="solid"/>
              </v:shape>
            </v:group>
            <v:group style="position:absolute;left:1450;top:8330;width:1148;height:2043" coordorigin="1450,8330" coordsize="1148,2043">
              <v:shape style="position:absolute;left:1450;top:8330;width:1148;height:2043" coordorigin="1450,8330" coordsize="1148,2043" path="m1450,10372l2597,10372,2597,8330,1450,8330,1450,10372xe" filled="true" fillcolor="#d2d2d2" stroked="false">
                <v:path arrowok="t"/>
                <v:fill type="solid"/>
              </v:shape>
            </v:group>
            <v:group style="position:absolute;left:1474;top:9156;width:1100;height:392" coordorigin="1474,9156" coordsize="1100,392">
              <v:shape style="position:absolute;left:1474;top:9156;width:1100;height:392" coordorigin="1474,9156" coordsize="1100,392" path="m1474,9547l2573,9547,2573,9156,1474,9156,1474,9547xe" filled="true" fillcolor="#d2d2d2" stroked="false">
                <v:path arrowok="t"/>
                <v:fill type="solid"/>
              </v:shape>
            </v:group>
            <w10:wrap type="none"/>
          </v:group>
        </w:pict>
      </w:r>
      <w:r>
        <w:rPr/>
        <w:pict>
          <v:shape style="position:absolute;margin-left:589.234558pt;margin-top:570.43042pt;width:42.067787pt;height:18.946561pt;mso-position-horizontal-relative:page;mso-position-vertical-relative:page;z-index:1264" type="#_x0000_t75" stroked="false">
            <v:imagedata r:id="rId27" o:title=""/>
          </v:shape>
        </w:pict>
      </w:r>
    </w:p>
    <w:tbl>
      <w:tblPr>
        <w:tblW w:w="0" w:type="auto"/>
        <w:jc w:val="left"/>
        <w:tblInd w:w="100" w:type="dxa"/>
        <w:tblLayout w:type="fixed"/>
        <w:tblCellMar>
          <w:top w:w="0" w:type="dxa"/>
          <w:left w:w="0" w:type="dxa"/>
          <w:bottom w:w="0" w:type="dxa"/>
          <w:right w:w="0" w:type="dxa"/>
        </w:tblCellMar>
        <w:tblLook w:val="01E0"/>
      </w:tblPr>
      <w:tblGrid>
        <w:gridCol w:w="1157"/>
        <w:gridCol w:w="1550"/>
        <w:gridCol w:w="974"/>
        <w:gridCol w:w="6522"/>
        <w:gridCol w:w="973"/>
        <w:gridCol w:w="1721"/>
        <w:gridCol w:w="1054"/>
      </w:tblGrid>
      <w:tr>
        <w:trPr>
          <w:trHeight w:val="377" w:hRule="exact"/>
        </w:trPr>
        <w:tc>
          <w:tcPr>
            <w:tcW w:w="1157" w:type="dxa"/>
            <w:vMerge w:val="restart"/>
            <w:tcBorders>
              <w:top w:val="single" w:sz="15" w:space="0" w:color="000000"/>
              <w:left w:val="single" w:sz="4" w:space="0" w:color="000000"/>
              <w:right w:val="single" w:sz="4" w:space="0" w:color="000000"/>
            </w:tcBorders>
            <w:shd w:val="clear" w:color="auto" w:fill="D2D2D2"/>
          </w:tcPr>
          <w:p>
            <w:pPr/>
          </w:p>
        </w:tc>
        <w:tc>
          <w:tcPr>
            <w:tcW w:w="1550" w:type="dxa"/>
            <w:tcBorders>
              <w:top w:val="single" w:sz="15" w:space="0" w:color="000000"/>
              <w:left w:val="single" w:sz="4" w:space="0" w:color="000000"/>
              <w:bottom w:val="single" w:sz="4" w:space="0" w:color="000000"/>
              <w:right w:val="single" w:sz="4" w:space="0" w:color="000000"/>
            </w:tcBorders>
          </w:tcPr>
          <w:p>
            <w:pPr/>
          </w:p>
        </w:tc>
        <w:tc>
          <w:tcPr>
            <w:tcW w:w="974" w:type="dxa"/>
            <w:tcBorders>
              <w:top w:val="single" w:sz="15" w:space="0" w:color="000000"/>
              <w:left w:val="single" w:sz="4" w:space="0" w:color="000000"/>
              <w:bottom w:val="single" w:sz="4" w:space="0" w:color="000000"/>
              <w:right w:val="single" w:sz="4" w:space="0" w:color="000000"/>
            </w:tcBorders>
          </w:tcPr>
          <w:p>
            <w:pPr/>
          </w:p>
        </w:tc>
        <w:tc>
          <w:tcPr>
            <w:tcW w:w="65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73" w:type="dxa"/>
            <w:tcBorders>
              <w:top w:val="single" w:sz="15" w:space="0" w:color="000000"/>
              <w:left w:val="single" w:sz="4" w:space="0" w:color="000000"/>
              <w:bottom w:val="single" w:sz="4" w:space="0" w:color="000000"/>
              <w:right w:val="single" w:sz="4" w:space="0" w:color="000000"/>
            </w:tcBorders>
          </w:tcPr>
          <w:p>
            <w:pPr/>
          </w:p>
        </w:tc>
        <w:tc>
          <w:tcPr>
            <w:tcW w:w="1721" w:type="dxa"/>
            <w:tcBorders>
              <w:top w:val="single" w:sz="15" w:space="0" w:color="000000"/>
              <w:left w:val="single" w:sz="4" w:space="0" w:color="000000"/>
              <w:bottom w:val="single" w:sz="4" w:space="0" w:color="000000"/>
              <w:right w:val="single" w:sz="4" w:space="0" w:color="000000"/>
            </w:tcBorders>
          </w:tcPr>
          <w:p>
            <w:pPr/>
          </w:p>
        </w:tc>
        <w:tc>
          <w:tcPr>
            <w:tcW w:w="1054" w:type="dxa"/>
            <w:tcBorders>
              <w:top w:val="single" w:sz="15" w:space="0" w:color="000000"/>
              <w:left w:val="single" w:sz="4" w:space="0" w:color="000000"/>
              <w:bottom w:val="single" w:sz="4" w:space="0" w:color="000000"/>
              <w:right w:val="single" w:sz="4" w:space="0" w:color="000000"/>
            </w:tcBorders>
          </w:tcPr>
          <w:p>
            <w:pPr/>
          </w:p>
        </w:tc>
      </w:tr>
      <w:tr>
        <w:trPr>
          <w:trHeight w:val="3212"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寇汉；林嘉喜；宁 夏和中股权投资管 理合伙企业（有限 </w:t>
            </w:r>
            <w:r>
              <w:rPr>
                <w:rFonts w:ascii="宋体" w:hAnsi="宋体" w:cs="宋体" w:eastAsia="宋体" w:hint="default"/>
                <w:spacing w:val="-12"/>
                <w:sz w:val="18"/>
                <w:szCs w:val="18"/>
              </w:rPr>
              <w:t>合伙）；深圳国金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凯撒创业投资企业</w:t>
            </w:r>
          </w:p>
          <w:p>
            <w:pPr>
              <w:pStyle w:val="TableParagraph"/>
              <w:spacing w:line="319" w:lineRule="auto" w:before="19"/>
              <w:ind w:left="23" w:right="74"/>
              <w:jc w:val="left"/>
              <w:rPr>
                <w:rFonts w:ascii="宋体" w:hAnsi="宋体" w:cs="宋体" w:eastAsia="宋体" w:hint="default"/>
                <w:sz w:val="18"/>
                <w:szCs w:val="18"/>
              </w:rPr>
            </w:pPr>
            <w:r>
              <w:rPr>
                <w:rFonts w:ascii="宋体" w:hAnsi="宋体" w:cs="宋体" w:eastAsia="宋体" w:hint="default"/>
                <w:spacing w:val="-12"/>
                <w:sz w:val="18"/>
                <w:szCs w:val="18"/>
              </w:rPr>
              <w:t>（有限合伙）；深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圳市岚悦网络科技 有限公司；完美世 界（北京）软件科 技发展有限公司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4"/>
              <w:jc w:val="left"/>
              <w:rPr>
                <w:rFonts w:ascii="宋体" w:hAnsi="宋体" w:cs="宋体" w:eastAsia="宋体" w:hint="default"/>
                <w:sz w:val="18"/>
                <w:szCs w:val="18"/>
              </w:rPr>
            </w:pPr>
            <w:r>
              <w:rPr>
                <w:rFonts w:ascii="宋体" w:hAnsi="宋体" w:cs="宋体" w:eastAsia="宋体" w:hint="default"/>
                <w:sz w:val="18"/>
                <w:szCs w:val="18"/>
              </w:rPr>
              <w:t>本次交易不涉及本方（本人）在取得交易对价后购买上市公司股票的约定或安 排，也不涉及与上市公司其他股东达成股票购买的约定或安排；自本声明签署后 直至本次交易完成后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个月内，本方（本人）并不因本次交易而直接或间接持有 上市公司的股份，也没有以任何方式单独或与他人共同谋求上市公司控制权，或 使上市公司股权结构发生重大变化的计划、意向或安排。</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37"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寇汉；林嘉喜</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84"/>
              <w:jc w:val="both"/>
              <w:rPr>
                <w:rFonts w:ascii="宋体" w:hAnsi="宋体" w:cs="宋体" w:eastAsia="宋体" w:hint="default"/>
                <w:sz w:val="18"/>
                <w:szCs w:val="18"/>
              </w:rPr>
            </w:pPr>
            <w:r>
              <w:rPr>
                <w:rFonts w:ascii="宋体" w:hAnsi="宋体" w:cs="宋体" w:eastAsia="宋体" w:hint="default"/>
                <w:sz w:val="18"/>
                <w:szCs w:val="18"/>
              </w:rPr>
              <w:t>作为业绩补偿义务人承诺哆可梦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年各年度实现的净利润（以扣除 非经常性损益前后孰低者为计算依据）不少于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24,500 </w:t>
            </w:r>
            <w:r>
              <w:rPr>
                <w:rFonts w:ascii="宋体" w:hAnsi="宋体" w:cs="宋体" w:eastAsia="宋体" w:hint="default"/>
                <w:sz w:val="18"/>
                <w:szCs w:val="18"/>
              </w:rPr>
              <w:t>万元，如哆可梦任一会计年度未实现承诺净利润则在相应会计年度《专项审核报 告》公开披露之日起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个工作日承担相应的盈利补偿义务。</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76"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94"/>
              <w:jc w:val="left"/>
              <w:rPr>
                <w:rFonts w:ascii="宋体" w:hAnsi="宋体" w:cs="宋体" w:eastAsia="宋体" w:hint="default"/>
                <w:sz w:val="18"/>
                <w:szCs w:val="18"/>
              </w:rPr>
            </w:pPr>
            <w:r>
              <w:rPr>
                <w:rFonts w:ascii="宋体" w:hAnsi="宋体" w:cs="宋体" w:eastAsia="宋体" w:hint="default"/>
                <w:sz w:val="18"/>
                <w:szCs w:val="18"/>
              </w:rPr>
              <w:t>如哆可梦在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年度累计实现净利润总和大于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度承诺净利润总和的，上市公司将该等超过部分净利润的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作为哆可梦管理团 队、核心人员的业绩奖励，于哆可梦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年度《专项审核报告》公开披露之日起 十个工作日内一次性以现金方式支付。</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截止本报告 披露日，哆 可梦管理团 队、核心人 员已声明放 弃该笔超额 业绩奖励</w:t>
            </w:r>
          </w:p>
        </w:tc>
      </w:tr>
      <w:tr>
        <w:trPr>
          <w:trHeight w:val="1025" w:hRule="exact"/>
        </w:trPr>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公司在《深圳市惠程电气股份有限公司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年限制性股票激励计划（草案）》摘</w:t>
            </w:r>
            <w:r>
              <w:rPr>
                <w:rFonts w:ascii="宋体" w:hAnsi="宋体" w:cs="宋体" w:eastAsia="宋体" w:hint="default"/>
                <w:sz w:val="18"/>
                <w:szCs w:val="18"/>
              </w:rPr>
              <w:t> 要（修订稿）中承诺公司不为激励对象依本激励计划获取有关权益提供贷款以及 其他任何形式的财务资助，包括为其贷款提供担保。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7"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公司在《深圳市惠程电气股份有限公司第二期限制性股票与股票期权激励计划</w:t>
            </w:r>
          </w:p>
          <w:p>
            <w:pPr>
              <w:pStyle w:val="TableParagraph"/>
              <w:spacing w:line="316" w:lineRule="auto" w:before="76"/>
              <w:ind w:left="23" w:right="95"/>
              <w:jc w:val="left"/>
              <w:rPr>
                <w:rFonts w:ascii="宋体" w:hAnsi="宋体" w:cs="宋体" w:eastAsia="宋体" w:hint="default"/>
                <w:sz w:val="18"/>
                <w:szCs w:val="18"/>
              </w:rPr>
            </w:pPr>
            <w:r>
              <w:rPr>
                <w:rFonts w:ascii="宋体" w:hAnsi="宋体" w:cs="宋体" w:eastAsia="宋体" w:hint="default"/>
                <w:spacing w:val="-3"/>
                <w:sz w:val="18"/>
                <w:szCs w:val="18"/>
              </w:rPr>
              <w:t>（草案）》中承诺不为激励对象获取有关权益提供贷款以及其他任何形式的财务资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助，包括为其贷款提供担保。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5"/>
              <w:jc w:val="center"/>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40" w:right="1320"/>
        </w:sectPr>
      </w:pPr>
    </w:p>
    <w:p>
      <w:pPr>
        <w:spacing w:line="240" w:lineRule="auto" w:before="2"/>
        <w:rPr>
          <w:rFonts w:ascii="Times New Roman" w:hAnsi="Times New Roman" w:cs="Times New Roman" w:eastAsia="Times New Roman" w:hint="default"/>
          <w:sz w:val="3"/>
          <w:szCs w:val="3"/>
        </w:rPr>
      </w:pPr>
      <w:r>
        <w:rPr/>
        <w:pict>
          <v:shape style="position:absolute;margin-left:589.234558pt;margin-top:570.43042pt;width:42.067787pt;height:18.946561pt;mso-position-horizontal-relative:page;mso-position-vertical-relative:page;z-index:1288" type="#_x0000_t75" stroked="false">
            <v:imagedata r:id="rId27" o:title=""/>
          </v:shape>
        </w:pict>
      </w:r>
    </w:p>
    <w:tbl>
      <w:tblPr>
        <w:tblW w:w="0" w:type="auto"/>
        <w:jc w:val="left"/>
        <w:tblInd w:w="100" w:type="dxa"/>
        <w:tblLayout w:type="fixed"/>
        <w:tblCellMar>
          <w:top w:w="0" w:type="dxa"/>
          <w:left w:w="0" w:type="dxa"/>
          <w:bottom w:w="0" w:type="dxa"/>
          <w:right w:w="0" w:type="dxa"/>
        </w:tblCellMar>
        <w:tblLook w:val="01E0"/>
      </w:tblPr>
      <w:tblGrid>
        <w:gridCol w:w="1157"/>
        <w:gridCol w:w="1550"/>
        <w:gridCol w:w="974"/>
        <w:gridCol w:w="6522"/>
        <w:gridCol w:w="973"/>
        <w:gridCol w:w="1721"/>
        <w:gridCol w:w="1054"/>
      </w:tblGrid>
      <w:tr>
        <w:trPr>
          <w:trHeight w:val="2602" w:hRule="exact"/>
        </w:trPr>
        <w:tc>
          <w:tcPr>
            <w:tcW w:w="1157"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5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中驰惠程；中源 信；信中利；汪超 涌；田勇</w:t>
            </w:r>
          </w:p>
        </w:tc>
        <w:tc>
          <w:tcPr>
            <w:tcW w:w="9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65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2" w:lineRule="auto"/>
              <w:ind w:left="23" w:right="94"/>
              <w:jc w:val="left"/>
              <w:rPr>
                <w:rFonts w:ascii="宋体" w:hAnsi="宋体" w:cs="宋体" w:eastAsia="宋体" w:hint="default"/>
                <w:sz w:val="18"/>
                <w:szCs w:val="18"/>
              </w:rPr>
            </w:pPr>
            <w:r>
              <w:rPr>
                <w:rFonts w:ascii="宋体" w:hAnsi="宋体" w:cs="宋体" w:eastAsia="宋体" w:hint="default"/>
                <w:sz w:val="18"/>
                <w:szCs w:val="18"/>
              </w:rPr>
              <w:t>在作为深圳惠程控股股东及一致行动人、实际控制人期间，及上述期间届满（或 终止）后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月内不会直接或间接从事或参与任何与深圳惠程及其下属企业构成竞 争的任何业务或活动，不以任何方式从事或参与任何与深圳惠程及其下属企业业 务相同、相似或可能取代深圳惠程及其下属企业业务的活动。</w:t>
            </w:r>
          </w:p>
        </w:tc>
        <w:tc>
          <w:tcPr>
            <w:tcW w:w="9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中驰惠程、中源信、 信中利、汪超涌：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长期；田勇（自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9" w:lineRule="auto" w:before="63"/>
              <w:ind w:left="23" w:right="10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日起终止 </w:t>
            </w:r>
            <w:r>
              <w:rPr>
                <w:rFonts w:ascii="宋体" w:hAnsi="宋体" w:cs="宋体" w:eastAsia="宋体" w:hint="default"/>
                <w:spacing w:val="-11"/>
                <w:sz w:val="18"/>
                <w:szCs w:val="18"/>
              </w:rPr>
              <w:t>一致行动人关系）：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0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中驰惠程、 中源信、信 中利、汪超 涌：正常履 行中；田 勇：已履行 完毕</w:t>
            </w:r>
          </w:p>
        </w:tc>
      </w:tr>
      <w:tr>
        <w:trPr>
          <w:trHeight w:val="1649"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4"/>
              <w:jc w:val="both"/>
              <w:rPr>
                <w:rFonts w:ascii="宋体" w:hAnsi="宋体" w:cs="宋体" w:eastAsia="宋体" w:hint="default"/>
                <w:sz w:val="18"/>
                <w:szCs w:val="18"/>
              </w:rPr>
            </w:pPr>
            <w:r>
              <w:rPr>
                <w:rFonts w:ascii="宋体" w:hAnsi="宋体" w:cs="宋体" w:eastAsia="宋体" w:hint="default"/>
                <w:sz w:val="18"/>
                <w:szCs w:val="18"/>
              </w:rPr>
              <w:t>中驰惠程；信中利 宝信；汪超涌；李 亦非</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38"/>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基于对公司未来发展的信心，自公告日起未来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个月内中驰惠程及其一致行动人 计划继续通过深圳证券交易所股票交易系统允许的方式（包括但不限于集中竞价 和大宗交易）增持公司股份，拟增持金额原则上不少于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w:t>
            </w:r>
          </w:p>
          <w:p>
            <w:pPr>
              <w:pStyle w:val="TableParagraph"/>
              <w:spacing w:line="300" w:lineRule="auto" w:before="5"/>
              <w:ind w:left="23" w:right="91"/>
              <w:jc w:val="left"/>
              <w:rPr>
                <w:rFonts w:ascii="宋体" w:hAnsi="宋体" w:cs="宋体" w:eastAsia="宋体" w:hint="default"/>
                <w:sz w:val="18"/>
                <w:szCs w:val="18"/>
              </w:rPr>
            </w:pPr>
            <w:r>
              <w:rPr>
                <w:rFonts w:ascii="宋体" w:hAnsi="宋体" w:cs="宋体" w:eastAsia="宋体" w:hint="default"/>
                <w:sz w:val="18"/>
                <w:szCs w:val="18"/>
              </w:rPr>
              <w:t>若增持计划实施期间，公司股票如因筹划重大事项等情形出现连续停牌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日以上的，增持期限将相应往后顺延。</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652"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38"/>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日发布《关于子公司喀什中汇联银创业投资有限公司与专 </w:t>
            </w:r>
            <w:r>
              <w:rPr>
                <w:rFonts w:ascii="宋体" w:hAnsi="宋体" w:cs="宋体" w:eastAsia="宋体" w:hint="default"/>
                <w:spacing w:val="-3"/>
                <w:sz w:val="18"/>
                <w:szCs w:val="18"/>
              </w:rPr>
              <w:t>业投资机构合作投资的进展公告》，公司承诺在本次追加投资事项后的十二个月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内，不使用闲置募集资金暂时补充流动资金、将募集资金投向变更为永久性补充 </w:t>
            </w:r>
            <w:r>
              <w:rPr>
                <w:rFonts w:ascii="宋体" w:hAnsi="宋体" w:cs="宋体" w:eastAsia="宋体" w:hint="default"/>
                <w:spacing w:val="-3"/>
                <w:sz w:val="18"/>
                <w:szCs w:val="18"/>
              </w:rPr>
              <w:t>流动资金（不含节余募集资金）、将超募资金永久性用于补充流动资金或者归还银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行贷款。</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5" w:hRule="exact"/>
        </w:trPr>
        <w:tc>
          <w:tcPr>
            <w:tcW w:w="1157" w:type="dxa"/>
            <w:vMerge/>
            <w:tcBorders>
              <w:left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日发布《关于公司继续利用自有资金进行证券投资事项的 </w:t>
            </w:r>
            <w:r>
              <w:rPr>
                <w:rFonts w:ascii="宋体" w:hAnsi="宋体" w:cs="宋体" w:eastAsia="宋体" w:hint="default"/>
                <w:spacing w:val="-3"/>
                <w:sz w:val="18"/>
                <w:szCs w:val="18"/>
              </w:rPr>
              <w:t>公告》，公司承诺自进行证券投资后的十二个月内，不使用闲置募集资金暂时补充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流动资金，不将募集资金投向变更为永久性补充流动资金。</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截止本报告 披露日，已 履行完毕</w:t>
            </w:r>
          </w:p>
        </w:tc>
      </w:tr>
      <w:tr>
        <w:trPr>
          <w:trHeight w:val="1028"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中驰惠程；信中 利；信中利宝信； 中源信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在《关于控股股东及其一致行动人完成增持公司股份计划的公告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2019-019</w:t>
            </w:r>
            <w:r>
              <w:rPr>
                <w:rFonts w:ascii="宋体" w:hAnsi="宋体" w:cs="宋体" w:eastAsia="宋体" w:hint="default"/>
                <w:sz w:val="18"/>
                <w:szCs w:val="18"/>
              </w:rPr>
              <w:t>）中驰惠程及其一致行动人将严格遵守《上市公司收购管理办法》第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条关于收购人的相关规定，在增持完成后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个月内不减持所持公司股份。</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截止本报告 披露日，已 履行完毕</w:t>
            </w:r>
          </w:p>
        </w:tc>
      </w:tr>
      <w:tr>
        <w:trPr>
          <w:trHeight w:val="715"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40" w:right="1320"/>
        </w:sectPr>
      </w:pPr>
    </w:p>
    <w:p>
      <w:pPr>
        <w:spacing w:line="240" w:lineRule="auto" w:before="8"/>
        <w:rPr>
          <w:rFonts w:ascii="Times New Roman" w:hAnsi="Times New Roman" w:cs="Times New Roman" w:eastAsia="Times New Roman" w:hint="default"/>
          <w:sz w:val="23"/>
          <w:szCs w:val="23"/>
        </w:rPr>
      </w:pPr>
    </w:p>
    <w:p>
      <w:pPr>
        <w:pStyle w:val="Heading3"/>
        <w:spacing w:line="314" w:lineRule="exact" w:before="30"/>
        <w:ind w:left="252" w:right="112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5"/>
        </w:rPr>
        <w:t> </w:t>
      </w:r>
      <w:r>
        <w:rPr>
          <w:spacing w:val="25"/>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left="25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277"/>
        <w:gridCol w:w="991"/>
        <w:gridCol w:w="994"/>
        <w:gridCol w:w="991"/>
        <w:gridCol w:w="991"/>
        <w:gridCol w:w="1277"/>
        <w:gridCol w:w="991"/>
        <w:gridCol w:w="2228"/>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1" w:right="38"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25,385.51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3" w:right="32"/>
              <w:jc w:val="left"/>
              <w:rPr>
                <w:rFonts w:ascii="宋体" w:hAnsi="宋体" w:cs="宋体" w:eastAsia="宋体" w:hint="default"/>
                <w:sz w:val="18"/>
                <w:szCs w:val="18"/>
              </w:rPr>
            </w:pPr>
            <w:r>
              <w:rPr>
                <w:rFonts w:ascii="宋体" w:hAnsi="宋体" w:cs="宋体" w:eastAsia="宋体" w:hint="default"/>
                <w:spacing w:val="-6"/>
                <w:w w:val="100"/>
                <w:sz w:val="18"/>
                <w:szCs w:val="18"/>
              </w:rPr>
              <w:t>（</w:t>
            </w:r>
            <w:hyperlink r:id="rId13">
              <w:r>
                <w:rPr>
                  <w:rFonts w:ascii="Times New Roman" w:hAnsi="Times New Roman" w:cs="Times New Roman" w:eastAsia="Times New Roman" w:hint="default"/>
                  <w:spacing w:val="-6"/>
                  <w:w w:val="100"/>
                  <w:sz w:val="18"/>
                  <w:szCs w:val="18"/>
                </w:rPr>
                <w:t>www.cninfo.com.cn</w:t>
              </w:r>
            </w:hyperlink>
            <w:r>
              <w:rPr>
                <w:rFonts w:ascii="宋体" w:hAnsi="宋体" w:cs="宋体" w:eastAsia="宋体" w:hint="default"/>
                <w:spacing w:val="-6"/>
                <w:w w:val="100"/>
                <w:sz w:val="18"/>
                <w:szCs w:val="18"/>
              </w:rPr>
              <w:t>）《重</w:t>
            </w:r>
            <w:r>
              <w:rPr>
                <w:rFonts w:ascii="宋体" w:hAnsi="宋体" w:cs="宋体" w:eastAsia="宋体" w:hint="default"/>
                <w:spacing w:val="-75"/>
                <w:w w:val="100"/>
                <w:sz w:val="18"/>
                <w:szCs w:val="18"/>
              </w:rPr>
              <w:t> </w:t>
            </w:r>
            <w:r>
              <w:rPr>
                <w:rFonts w:ascii="宋体" w:hAnsi="宋体" w:cs="宋体" w:eastAsia="宋体" w:hint="default"/>
                <w:spacing w:val="-75"/>
                <w:w w:val="100"/>
                <w:sz w:val="18"/>
                <w:szCs w:val="18"/>
              </w:rPr>
            </w:r>
            <w:r>
              <w:rPr>
                <w:rFonts w:ascii="宋体" w:hAnsi="宋体" w:cs="宋体" w:eastAsia="宋体" w:hint="default"/>
                <w:sz w:val="18"/>
                <w:szCs w:val="18"/>
              </w:rPr>
              <w:t>大资产购买暨关联交易报告 </w:t>
            </w:r>
            <w:r>
              <w:rPr>
                <w:rFonts w:ascii="宋体" w:hAnsi="宋体" w:cs="宋体" w:eastAsia="宋体" w:hint="default"/>
                <w:spacing w:val="-15"/>
                <w:sz w:val="18"/>
                <w:szCs w:val="18"/>
              </w:rPr>
              <w:t>书（草案）（二次修订稿）》</w:t>
            </w:r>
          </w:p>
        </w:tc>
      </w:tr>
    </w:tbl>
    <w:p>
      <w:pPr>
        <w:pStyle w:val="BodyText"/>
        <w:spacing w:line="240" w:lineRule="auto" w:before="49"/>
        <w:ind w:left="252" w:right="1124"/>
        <w:jc w:val="left"/>
      </w:pPr>
      <w:r>
        <w:rPr/>
        <w:t>公司股东、交易对手方在报告年度经营业绩做出的承诺情况</w:t>
      </w:r>
    </w:p>
    <w:p>
      <w:pPr>
        <w:pStyle w:val="BodyText"/>
        <w:spacing w:line="340" w:lineRule="auto" w:before="115"/>
        <w:ind w:left="6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交易对手方寇汉、林嘉喜作为业绩补偿义务人承诺哆可梦</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年各年度实现的净利润（以扣除非经常性损益</w:t>
      </w:r>
    </w:p>
    <w:p>
      <w:pPr>
        <w:pStyle w:val="BodyText"/>
        <w:spacing w:line="228" w:lineRule="exact"/>
        <w:ind w:left="252" w:right="1124"/>
        <w:jc w:val="left"/>
      </w:pPr>
      <w:r>
        <w:rPr/>
        <w:t>前后孰低者为计算依据）不少于</w:t>
      </w:r>
      <w:r>
        <w:rPr>
          <w:rFonts w:ascii="Times New Roman" w:hAnsi="Times New Roman" w:cs="Times New Roman" w:eastAsia="Times New Roman" w:hint="default"/>
        </w:rPr>
        <w:t>14,500</w:t>
      </w:r>
      <w:r>
        <w:rPr/>
        <w:t>万元、</w:t>
      </w:r>
      <w:r>
        <w:rPr>
          <w:rFonts w:ascii="Times New Roman" w:hAnsi="Times New Roman" w:cs="Times New Roman" w:eastAsia="Times New Roman" w:hint="default"/>
        </w:rPr>
        <w:t>18,800</w:t>
      </w:r>
      <w:r>
        <w:rPr/>
        <w:t>万元、</w:t>
      </w:r>
      <w:r>
        <w:rPr>
          <w:rFonts w:ascii="Times New Roman" w:hAnsi="Times New Roman" w:cs="Times New Roman" w:eastAsia="Times New Roman" w:hint="default"/>
        </w:rPr>
        <w:t>24,500</w:t>
      </w:r>
      <w:r>
        <w:rPr/>
        <w:t>万元，并承担相应的盈利补偿义务。</w:t>
      </w:r>
    </w:p>
    <w:p>
      <w:pPr>
        <w:pStyle w:val="BodyText"/>
        <w:spacing w:line="357" w:lineRule="auto" w:before="103"/>
        <w:ind w:left="613" w:right="1198" w:hanging="361"/>
        <w:jc w:val="left"/>
      </w:pPr>
      <w:r>
        <w:rPr/>
        <w:t>业绩承诺的完成情况及其对商誉减值测试的影响 公司</w:t>
      </w:r>
      <w:r>
        <w:rPr>
          <w:rFonts w:ascii="Times New Roman" w:hAnsi="Times New Roman" w:cs="Times New Roman" w:eastAsia="Times New Roman" w:hint="default"/>
        </w:rPr>
        <w:t>2017</w:t>
      </w:r>
      <w:r>
        <w:rPr/>
        <w:t>年度收购哆可梦</w:t>
      </w:r>
      <w:r>
        <w:rPr>
          <w:rFonts w:ascii="Times New Roman" w:hAnsi="Times New Roman" w:cs="Times New Roman" w:eastAsia="Times New Roman" w:hint="default"/>
        </w:rPr>
        <w:t>77.57%</w:t>
      </w:r>
      <w:r>
        <w:rPr/>
        <w:t>股权时并购重组相关方承诺哆可梦实现净利润（以扣除非经常性损益前后孰低者为计</w:t>
      </w:r>
    </w:p>
    <w:p>
      <w:pPr>
        <w:pStyle w:val="BodyText"/>
        <w:spacing w:line="214" w:lineRule="exact"/>
        <w:ind w:left="252" w:right="1124"/>
        <w:jc w:val="left"/>
      </w:pPr>
      <w:r>
        <w:rPr/>
        <w:t>算依据）不少于</w:t>
      </w:r>
      <w:r>
        <w:rPr>
          <w:rFonts w:ascii="Times New Roman" w:hAnsi="Times New Roman" w:cs="Times New Roman" w:eastAsia="Times New Roman" w:hint="default"/>
        </w:rPr>
        <w:t>24,500</w:t>
      </w:r>
      <w:r>
        <w:rPr/>
        <w:t>万元，哆可梦</w:t>
      </w:r>
      <w:r>
        <w:rPr>
          <w:rFonts w:ascii="Times New Roman" w:hAnsi="Times New Roman" w:cs="Times New Roman" w:eastAsia="Times New Roman" w:hint="default"/>
        </w:rPr>
        <w:t>2019</w:t>
      </w:r>
      <w:r>
        <w:rPr/>
        <w:t>年度实现净利润</w:t>
      </w:r>
      <w:r>
        <w:rPr>
          <w:rFonts w:ascii="Times New Roman" w:hAnsi="Times New Roman" w:cs="Times New Roman" w:eastAsia="Times New Roman" w:hint="default"/>
        </w:rPr>
        <w:t>25,385.51</w:t>
      </w:r>
      <w:r>
        <w:rPr/>
        <w:t>万元，业绩承诺完成度达到</w:t>
      </w:r>
      <w:r>
        <w:rPr>
          <w:rFonts w:ascii="Times New Roman" w:hAnsi="Times New Roman" w:cs="Times New Roman" w:eastAsia="Times New Roman" w:hint="default"/>
        </w:rPr>
        <w:t>103.61%</w:t>
      </w:r>
      <w:r>
        <w:rPr/>
        <w:t>，经减值测试，收购</w:t>
      </w:r>
    </w:p>
    <w:p>
      <w:pPr>
        <w:pStyle w:val="BodyText"/>
        <w:spacing w:line="240" w:lineRule="auto" w:before="63"/>
        <w:ind w:left="252" w:right="1124"/>
        <w:jc w:val="left"/>
      </w:pPr>
      <w:r>
        <w:rPr/>
        <w:t>哆可梦形成的商誉在</w:t>
      </w:r>
      <w:r>
        <w:rPr>
          <w:rFonts w:ascii="Times New Roman" w:hAnsi="Times New Roman" w:cs="Times New Roman" w:eastAsia="Times New Roman" w:hint="default"/>
        </w:rPr>
        <w:t>2019</w:t>
      </w:r>
      <w:r>
        <w:rPr/>
        <w:t>年底未发生减值，不存在计提商誉减值准备的情形。</w:t>
      </w:r>
    </w:p>
    <w:p>
      <w:pPr>
        <w:spacing w:line="240" w:lineRule="auto" w:before="5"/>
        <w:rPr>
          <w:rFonts w:ascii="宋体" w:hAnsi="宋体" w:cs="宋体" w:eastAsia="宋体" w:hint="default"/>
          <w:sz w:val="18"/>
          <w:szCs w:val="18"/>
        </w:rPr>
      </w:pPr>
    </w:p>
    <w:p>
      <w:pPr>
        <w:pStyle w:val="Heading2"/>
        <w:spacing w:line="240" w:lineRule="auto"/>
        <w:ind w:left="252" w:right="1124"/>
        <w:jc w:val="left"/>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left="25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left="252" w:right="112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5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252" w:right="1124"/>
        <w:jc w:val="left"/>
        <w:rPr>
          <w:b w:val="0"/>
          <w:bCs w:val="0"/>
        </w:rPr>
      </w:pPr>
      <w:r>
        <w:rPr/>
        <w:t>六、与上年度财务报告相比，会计政策、会计估计和核算方法发生变化的情况说明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5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613" w:right="112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日公司第六届董事会第二十九次会议通过《关于公司会计政策变更的议案》，根据财政部于修订后的</w:t>
      </w:r>
    </w:p>
    <w:p>
      <w:pPr>
        <w:pStyle w:val="BodyText"/>
        <w:spacing w:line="240" w:lineRule="auto" w:before="63"/>
        <w:ind w:left="252" w:right="1124"/>
        <w:jc w:val="left"/>
      </w:pPr>
      <w:r>
        <w:rPr/>
        <w:t>《企业会计准则第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p>
    <w:p>
      <w:pPr>
        <w:pStyle w:val="BodyText"/>
        <w:spacing w:line="240" w:lineRule="auto" w:before="63"/>
        <w:ind w:left="252" w:right="1124"/>
        <w:jc w:val="left"/>
      </w:pP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金融工具列报》，对金融资产的分类、计量及列报进行以下变更：</w:t>
      </w:r>
    </w:p>
    <w:p>
      <w:pPr>
        <w:pStyle w:val="BodyText"/>
        <w:spacing w:line="309" w:lineRule="auto" w:before="63"/>
        <w:ind w:left="252" w:right="1179" w:firstLine="360"/>
        <w:jc w:val="both"/>
      </w:pPr>
      <w:r>
        <w:rPr/>
        <w:t>（</w:t>
      </w:r>
      <w:r>
        <w:rPr>
          <w:rFonts w:ascii="Times New Roman" w:hAnsi="Times New Roman" w:cs="Times New Roman" w:eastAsia="Times New Roman" w:hint="default"/>
        </w:rPr>
        <w:t>1</w:t>
      </w:r>
      <w:r>
        <w:rPr/>
        <w:t>）以企业持有金融资产的</w:t>
      </w:r>
      <w:r>
        <w:rPr>
          <w:rFonts w:ascii="Times New Roman" w:hAnsi="Times New Roman" w:cs="Times New Roman" w:eastAsia="Times New Roman" w:hint="default"/>
        </w:rPr>
        <w:t>“</w:t>
      </w:r>
      <w:r>
        <w:rPr/>
        <w:t>业务模式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金融资产合同现金流量特征</w:t>
      </w:r>
      <w:r>
        <w:rPr>
          <w:rFonts w:ascii="Times New Roman" w:hAnsi="Times New Roman" w:cs="Times New Roman" w:eastAsia="Times New Roman" w:hint="default"/>
        </w:rPr>
        <w:t>”</w:t>
      </w:r>
      <w:r>
        <w:rPr/>
        <w:t>作为金融资产分类的判断依据，将金融资产分 类为以摊余成本计量的金融资产、以公允价值计量且其变动计入其他综合收益的金融资产以及以公允价值计量且其变动计 入当期损益的金融资产三类；</w:t>
      </w:r>
    </w:p>
    <w:p>
      <w:pPr>
        <w:pStyle w:val="BodyText"/>
        <w:spacing w:line="300" w:lineRule="auto" w:before="24"/>
        <w:ind w:left="252" w:right="1164" w:firstLine="360"/>
        <w:jc w:val="left"/>
      </w:pPr>
      <w:r>
        <w:rPr/>
        <w:t>（</w:t>
      </w:r>
      <w:r>
        <w:rPr>
          <w:rFonts w:ascii="Times New Roman" w:hAnsi="Times New Roman" w:cs="Times New Roman" w:eastAsia="Times New Roman" w:hint="default"/>
        </w:rPr>
        <w:t>2</w:t>
      </w:r>
      <w:r>
        <w:rPr/>
        <w:t>）将金融资产减值会计处理由</w:t>
      </w:r>
      <w:r>
        <w:rPr>
          <w:rFonts w:ascii="Times New Roman" w:hAnsi="Times New Roman" w:cs="Times New Roman" w:eastAsia="Times New Roman" w:hint="default"/>
        </w:rPr>
        <w:t>“</w:t>
      </w:r>
      <w:r>
        <w:rPr/>
        <w:t>已发生损失法</w:t>
      </w:r>
      <w:r>
        <w:rPr>
          <w:rFonts w:ascii="Times New Roman" w:hAnsi="Times New Roman" w:cs="Times New Roman" w:eastAsia="Times New Roman" w:hint="default"/>
        </w:rPr>
        <w:t>”</w:t>
      </w:r>
      <w:r>
        <w:rPr/>
        <w:t>修改为</w:t>
      </w:r>
      <w:r>
        <w:rPr>
          <w:rFonts w:ascii="Times New Roman" w:hAnsi="Times New Roman" w:cs="Times New Roman" w:eastAsia="Times New Roman" w:hint="default"/>
        </w:rPr>
        <w:t>“</w:t>
      </w:r>
      <w:r>
        <w:rPr/>
        <w:t>预期损失法</w:t>
      </w:r>
      <w:r>
        <w:rPr>
          <w:rFonts w:ascii="Times New Roman" w:hAnsi="Times New Roman" w:cs="Times New Roman" w:eastAsia="Times New Roman" w:hint="default"/>
        </w:rPr>
        <w:t>”</w:t>
      </w:r>
      <w:r>
        <w:rPr/>
        <w:t>，要求考虑金融资产未来预期信用损失情况，从 而更加及时、足额地计提金融资产减值准备；</w:t>
      </w:r>
    </w:p>
    <w:p>
      <w:pPr>
        <w:pStyle w:val="BodyText"/>
        <w:spacing w:line="309" w:lineRule="auto" w:before="31"/>
        <w:ind w:left="252" w:right="1124" w:firstLine="360"/>
        <w:jc w:val="left"/>
      </w:pPr>
      <w:r>
        <w:rPr/>
        <w:t>（</w:t>
      </w:r>
      <w:r>
        <w:rPr>
          <w:rFonts w:ascii="Times New Roman" w:hAnsi="Times New Roman" w:cs="Times New Roman" w:eastAsia="Times New Roman" w:hint="default"/>
        </w:rPr>
        <w:t>3</w:t>
      </w:r>
      <w:r>
        <w:rPr/>
        <w:t>）调整非交易性权益工具投资的会计处理，允许企业将非交易性权益工具投资指定为以公允价值计量且其变动计入 其他综合收益进行处理，但该指定不可撤销，且在处置时不得将原计入其他综合收益的累计公允价值变动额结转计入当期 损益；</w:t>
      </w:r>
    </w:p>
    <w:p>
      <w:pPr>
        <w:pStyle w:val="BodyText"/>
        <w:spacing w:line="240" w:lineRule="auto" w:before="24"/>
        <w:ind w:left="613" w:right="1124"/>
        <w:jc w:val="left"/>
      </w:pPr>
      <w:r>
        <w:rPr/>
        <w:t>（</w:t>
      </w:r>
      <w:r>
        <w:rPr>
          <w:rFonts w:ascii="Times New Roman" w:hAnsi="Times New Roman" w:cs="Times New Roman" w:eastAsia="Times New Roman" w:hint="default"/>
        </w:rPr>
        <w:t>4</w:t>
      </w:r>
      <w:r>
        <w:rPr/>
        <w:t>）进一步明确金融资产转移的判断原则及其会计处理；</w:t>
      </w:r>
    </w:p>
    <w:p>
      <w:pPr>
        <w:spacing w:after="0" w:line="240" w:lineRule="auto"/>
        <w:jc w:val="left"/>
        <w:sectPr>
          <w:headerReference w:type="default" r:id="rId28"/>
          <w:footerReference w:type="default" r:id="rId29"/>
          <w:pgSz w:w="11910" w:h="16840"/>
          <w:pgMar w:header="877" w:footer="980" w:top="1100" w:bottom="1160" w:left="880" w:right="0"/>
          <w:pgNumType w:start="7"/>
        </w:sectPr>
      </w:pPr>
    </w:p>
    <w:p>
      <w:pPr>
        <w:spacing w:line="240" w:lineRule="auto" w:before="11"/>
        <w:rPr>
          <w:rFonts w:ascii="宋体" w:hAnsi="宋体" w:cs="宋体" w:eastAsia="宋体" w:hint="default"/>
          <w:sz w:val="21"/>
          <w:szCs w:val="21"/>
        </w:rPr>
      </w:pPr>
    </w:p>
    <w:p>
      <w:pPr>
        <w:pStyle w:val="BodyText"/>
        <w:spacing w:line="300" w:lineRule="auto" w:before="44"/>
        <w:ind w:left="513" w:right="1393"/>
        <w:jc w:val="left"/>
      </w:pPr>
      <w:r>
        <w:rPr/>
        <w:t>（</w:t>
      </w:r>
      <w:r>
        <w:rPr>
          <w:rFonts w:ascii="Times New Roman" w:hAnsi="Times New Roman" w:cs="Times New Roman" w:eastAsia="Times New Roman" w:hint="default"/>
        </w:rPr>
        <w:t>5</w:t>
      </w:r>
      <w:r>
        <w:rPr/>
        <w:t>）套期会计准则更加强调套期会计与企业风险管理活动的有机结合，更好地反映企业的风险管理活动。 根据新旧准则衔接规定，企业无需重述前期可比数。因此，公司自</w:t>
      </w:r>
      <w:r>
        <w:rPr>
          <w:rFonts w:ascii="Times New Roman" w:hAnsi="Times New Roman" w:cs="Times New Roman" w:eastAsia="Times New Roman" w:hint="default"/>
        </w:rPr>
        <w:t>2019</w:t>
      </w:r>
      <w:r>
        <w:rPr/>
        <w:t>年第一季度起按新准则要求进行会计报表披</w:t>
      </w:r>
    </w:p>
    <w:p>
      <w:pPr>
        <w:pStyle w:val="BodyText"/>
        <w:spacing w:line="240" w:lineRule="auto" w:before="13"/>
        <w:ind w:right="0"/>
        <w:jc w:val="left"/>
      </w:pPr>
      <w:r>
        <w:rPr/>
        <w:t>露，不重述</w:t>
      </w:r>
      <w:r>
        <w:rPr>
          <w:rFonts w:ascii="Times New Roman" w:hAnsi="Times New Roman" w:cs="Times New Roman" w:eastAsia="Times New Roman" w:hint="default"/>
        </w:rPr>
        <w:t>2018</w:t>
      </w:r>
      <w:r>
        <w:rPr/>
        <w:t>年可比数，本次会计政策变更不影响公司</w:t>
      </w:r>
      <w:r>
        <w:rPr>
          <w:rFonts w:ascii="Times New Roman" w:hAnsi="Times New Roman" w:cs="Times New Roman" w:eastAsia="Times New Roman" w:hint="default"/>
        </w:rPr>
        <w:t>2018</w:t>
      </w:r>
      <w:r>
        <w:rPr/>
        <w:t>年度相关财务指标。</w:t>
      </w:r>
    </w:p>
    <w:p>
      <w:pPr>
        <w:pStyle w:val="BodyText"/>
        <w:spacing w:line="300" w:lineRule="auto" w:before="63"/>
        <w:ind w:right="112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日公司第六届董事会第四十一次会议审议通过了《关于公司会计政策变更的议案》，根据财政部《关 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号），调整以下合并财务报表的列报：</w:t>
      </w:r>
    </w:p>
    <w:p>
      <w:pPr>
        <w:pStyle w:val="BodyText"/>
        <w:spacing w:line="300" w:lineRule="auto" w:before="13"/>
        <w:ind w:left="513" w:right="1374"/>
        <w:jc w:val="left"/>
      </w:pPr>
      <w:r>
        <w:rPr/>
        <w:t>（</w:t>
      </w:r>
      <w:r>
        <w:rPr>
          <w:rFonts w:ascii="Times New Roman" w:hAnsi="Times New Roman" w:cs="Times New Roman" w:eastAsia="Times New Roman" w:hint="default"/>
        </w:rPr>
        <w:t>1</w:t>
      </w:r>
      <w:r>
        <w:rPr/>
        <w:t>）合并资产负债表 合并资产负债表原</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项目。 合并资产负债表原</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项目。合并资产负债表新增</w:t>
      </w:r>
      <w:r>
        <w:rPr>
          <w:rFonts w:ascii="Times New Roman" w:hAnsi="Times New Roman" w:cs="Times New Roman" w:eastAsia="Times New Roman" w:hint="default"/>
        </w:rPr>
        <w:t>“</w:t>
      </w:r>
      <w:r>
        <w:rPr/>
        <w:t>使用权资</w:t>
      </w:r>
    </w:p>
    <w:p>
      <w:pPr>
        <w:pStyle w:val="BodyText"/>
        <w:spacing w:line="240" w:lineRule="auto" w:before="13"/>
        <w:ind w:right="0"/>
        <w:jc w:val="left"/>
      </w:pPr>
      <w:r>
        <w:rPr/>
        <w:t>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租赁负债</w:t>
      </w:r>
      <w:r>
        <w:rPr>
          <w:rFonts w:ascii="Times New Roman" w:hAnsi="Times New Roman" w:cs="Times New Roman" w:eastAsia="Times New Roman" w:hint="default"/>
        </w:rPr>
        <w:t>”</w:t>
      </w:r>
      <w:r>
        <w:rPr/>
        <w:t>项目。</w:t>
      </w:r>
    </w:p>
    <w:p>
      <w:pPr>
        <w:pStyle w:val="BodyText"/>
        <w:spacing w:line="300" w:lineRule="auto" w:before="63"/>
        <w:ind w:left="513" w:right="3053"/>
        <w:jc w:val="left"/>
      </w:pPr>
      <w:r>
        <w:rPr/>
        <w:t>（</w:t>
      </w:r>
      <w:r>
        <w:rPr>
          <w:rFonts w:ascii="Times New Roman" w:hAnsi="Times New Roman" w:cs="Times New Roman" w:eastAsia="Times New Roman" w:hint="default"/>
        </w:rPr>
        <w:t>2</w:t>
      </w:r>
      <w:r>
        <w:rPr/>
        <w:t>）合并利润表 合并利润表中</w:t>
      </w:r>
      <w:r>
        <w:rPr>
          <w:rFonts w:ascii="Times New Roman" w:hAnsi="Times New Roman" w:cs="Times New Roman" w:eastAsia="Times New Roman" w:hint="default"/>
        </w:rPr>
        <w:t>“</w:t>
      </w:r>
      <w:r>
        <w:rPr/>
        <w:t>投资收益</w:t>
      </w:r>
      <w:r>
        <w:rPr>
          <w:rFonts w:ascii="Times New Roman" w:hAnsi="Times New Roman" w:cs="Times New Roman" w:eastAsia="Times New Roman" w:hint="default"/>
        </w:rPr>
        <w:t>”</w:t>
      </w:r>
      <w:r>
        <w:rPr/>
        <w:t>项目下增加</w:t>
      </w:r>
      <w:r>
        <w:rPr>
          <w:rFonts w:ascii="Times New Roman" w:hAnsi="Times New Roman" w:cs="Times New Roman" w:eastAsia="Times New Roman" w:hint="default"/>
        </w:rPr>
        <w:t>“</w:t>
      </w:r>
      <w:r>
        <w:rPr/>
        <w:t>其中：以摊余成本计量的金融资产终止确认收益</w:t>
      </w:r>
      <w:r>
        <w:rPr>
          <w:rFonts w:ascii="Times New Roman" w:hAnsi="Times New Roman" w:cs="Times New Roman" w:eastAsia="Times New Roman" w:hint="default"/>
        </w:rPr>
        <w:t>”</w:t>
      </w:r>
      <w:r>
        <w:rPr/>
        <w:t>项目。</w:t>
      </w:r>
    </w:p>
    <w:p>
      <w:pPr>
        <w:pStyle w:val="BodyText"/>
        <w:spacing w:line="300" w:lineRule="auto" w:before="13"/>
        <w:ind w:left="513" w:right="1213"/>
        <w:jc w:val="left"/>
      </w:pPr>
      <w:r>
        <w:rPr/>
        <w:t>（</w:t>
      </w:r>
      <w:r>
        <w:rPr>
          <w:rFonts w:ascii="Times New Roman" w:hAnsi="Times New Roman" w:cs="Times New Roman" w:eastAsia="Times New Roman" w:hint="default"/>
        </w:rPr>
        <w:t>3</w:t>
      </w:r>
      <w:r>
        <w:rPr/>
        <w:t>）合并现金流量表 删除原合并现金流量表中</w:t>
      </w:r>
      <w:r>
        <w:rPr>
          <w:rFonts w:ascii="Times New Roman" w:hAnsi="Times New Roman" w:cs="Times New Roman" w:eastAsia="Times New Roman" w:hint="default"/>
        </w:rPr>
        <w:t>“</w:t>
      </w:r>
      <w:r>
        <w:rPr/>
        <w:t>为交易目的而持有的金融资产净增加额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发行债券收到的现金</w:t>
      </w:r>
      <w:r>
        <w:rPr>
          <w:rFonts w:ascii="Times New Roman" w:hAnsi="Times New Roman" w:cs="Times New Roman" w:eastAsia="Times New Roman" w:hint="default"/>
        </w:rPr>
        <w:t>”</w:t>
      </w:r>
      <w:r>
        <w:rPr/>
        <w:t>项目。 公司本次仅对合并财务报表格式和部分科目列示产生影响，不涉及对公司以前年度的追溯调整，对公司财务状况、经</w:t>
      </w:r>
    </w:p>
    <w:p>
      <w:pPr>
        <w:pStyle w:val="BodyText"/>
        <w:spacing w:line="240" w:lineRule="auto" w:before="31"/>
        <w:ind w:right="0"/>
        <w:jc w:val="left"/>
      </w:pPr>
      <w:r>
        <w:rPr/>
        <w:t>营成果和现金流量无重大影响。</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394" w:firstLine="360"/>
        <w:jc w:val="left"/>
      </w:pPr>
      <w:r>
        <w:rPr>
          <w:rFonts w:ascii="Times New Roman" w:hAnsi="Times New Roman" w:cs="Times New Roman" w:eastAsia="Times New Roman" w:hint="default"/>
        </w:rPr>
        <w:t>2019</w:t>
      </w:r>
      <w:r>
        <w:rPr/>
        <w:t>年合并报表范围相比上年，增加铁匣电力、一零电力、零玖电力、高奇网络、多趣网络、缘中缘网络、致合世 纪、链接世界</w:t>
      </w:r>
      <w:r>
        <w:rPr>
          <w:rFonts w:ascii="Times New Roman" w:hAnsi="Times New Roman" w:cs="Times New Roman" w:eastAsia="Times New Roman" w:hint="default"/>
        </w:rPr>
        <w:t>8</w:t>
      </w:r>
      <w:r>
        <w:rPr/>
        <w:t>家公司。</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91"/>
        <w:gridCol w:w="4777"/>
      </w:tblGrid>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张晓荣、唐慧珏</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当期是否改聘会计师事务所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43"/>
        <w:ind w:left="513" w:right="119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因</w:t>
      </w:r>
      <w:r>
        <w:rPr>
          <w:rFonts w:ascii="Times New Roman" w:hAnsi="Times New Roman" w:cs="Times New Roman" w:eastAsia="Times New Roman" w:hint="default"/>
        </w:rPr>
        <w:t>2017</w:t>
      </w:r>
      <w:r>
        <w:rPr/>
        <w:t>年度收购哆可梦</w:t>
      </w:r>
      <w:r>
        <w:rPr>
          <w:rFonts w:ascii="Times New Roman" w:hAnsi="Times New Roman" w:cs="Times New Roman" w:eastAsia="Times New Roman" w:hint="default"/>
        </w:rPr>
        <w:t>77.57%</w:t>
      </w:r>
      <w:r>
        <w:rPr/>
        <w:t>股权事项聘请海通证券股份有限公司为持续督导期间的独立财务顾问，根据合同付款安</w:t>
      </w:r>
    </w:p>
    <w:p>
      <w:pPr>
        <w:pStyle w:val="BodyText"/>
        <w:spacing w:line="215" w:lineRule="exact"/>
        <w:ind w:right="0"/>
        <w:jc w:val="left"/>
      </w:pPr>
      <w:r>
        <w:rPr/>
        <w:t>排，前期费用已支付完毕，本年度尚未发生新的费用支付。</w:t>
      </w:r>
    </w:p>
    <w:p>
      <w:pPr>
        <w:spacing w:after="0" w:line="215" w:lineRule="exact"/>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844"/>
        <w:gridCol w:w="819"/>
        <w:gridCol w:w="881"/>
        <w:gridCol w:w="994"/>
        <w:gridCol w:w="1985"/>
        <w:gridCol w:w="991"/>
        <w:gridCol w:w="994"/>
        <w:gridCol w:w="1061"/>
      </w:tblGrid>
      <w:tr>
        <w:trPr>
          <w:trHeight w:val="102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7"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4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314" w:right="67"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898" w:right="24" w:hanging="8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0" w:right="38" w:firstLine="2"/>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判决执行情 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9" w:lineRule="auto"/>
              <w:ind w:left="24" w:right="115"/>
              <w:jc w:val="left"/>
              <w:rPr>
                <w:rFonts w:ascii="宋体" w:hAnsi="宋体" w:cs="宋体" w:eastAsia="宋体" w:hint="default"/>
                <w:sz w:val="18"/>
                <w:szCs w:val="18"/>
              </w:rPr>
            </w:pPr>
            <w:r>
              <w:rPr>
                <w:rFonts w:ascii="宋体" w:hAnsi="宋体" w:cs="宋体" w:eastAsia="宋体" w:hint="default"/>
                <w:sz w:val="18"/>
                <w:szCs w:val="18"/>
              </w:rPr>
              <w:t>上海玄霆娱乐信息科 技有限公司（简称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 海玄霆</w:t>
            </w:r>
            <w:r>
              <w:rPr>
                <w:rFonts w:ascii="Times New Roman" w:hAnsi="Times New Roman" w:cs="Times New Roman" w:eastAsia="Times New Roman" w:hint="default"/>
                <w:sz w:val="18"/>
                <w:szCs w:val="18"/>
              </w:rPr>
              <w:t>"</w:t>
            </w:r>
            <w:r>
              <w:rPr>
                <w:rFonts w:ascii="宋体" w:hAnsi="宋体" w:cs="宋体" w:eastAsia="宋体" w:hint="default"/>
                <w:sz w:val="18"/>
                <w:szCs w:val="18"/>
              </w:rPr>
              <w:t>）诉四三九九 网络股份有限公司、 吉乾科技著作权纠纷</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509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6" w:right="55"/>
              <w:jc w:val="both"/>
              <w:rPr>
                <w:rFonts w:ascii="宋体" w:hAnsi="宋体" w:cs="宋体" w:eastAsia="宋体" w:hint="default"/>
                <w:sz w:val="18"/>
                <w:szCs w:val="18"/>
              </w:rPr>
            </w:pPr>
            <w:r>
              <w:rPr>
                <w:rFonts w:ascii="宋体" w:hAnsi="宋体" w:cs="宋体" w:eastAsia="宋体" w:hint="default"/>
                <w:sz w:val="18"/>
                <w:szCs w:val="18"/>
              </w:rPr>
              <w:t>一审判决； 吉乾科技已 上诉并收到 受理通知书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4" w:right="55"/>
              <w:jc w:val="both"/>
              <w:rPr>
                <w:rFonts w:ascii="宋体" w:hAnsi="宋体" w:cs="宋体" w:eastAsia="宋体" w:hint="default"/>
                <w:sz w:val="18"/>
                <w:szCs w:val="18"/>
              </w:rPr>
            </w:pPr>
            <w:r>
              <w:rPr>
                <w:rFonts w:ascii="宋体" w:hAnsi="宋体" w:cs="宋体" w:eastAsia="宋体" w:hint="default"/>
                <w:sz w:val="18"/>
                <w:szCs w:val="18"/>
              </w:rPr>
              <w:t>一审判决吉乾科技于判 决生效之日起二十日内 赔偿上海玄霆经济损失 及合理开支共计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 元，驳回上海玄霆其他 诉讼请求；案件受理费 </w:t>
            </w:r>
            <w:r>
              <w:rPr>
                <w:rFonts w:ascii="Times New Roman" w:hAnsi="Times New Roman" w:cs="Times New Roman" w:eastAsia="Times New Roman" w:hint="default"/>
                <w:sz w:val="18"/>
                <w:szCs w:val="18"/>
              </w:rPr>
              <w:t>142,063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元，由上海玄霆</w:t>
            </w:r>
          </w:p>
          <w:p>
            <w:pPr>
              <w:pStyle w:val="TableParagraph"/>
              <w:spacing w:line="240" w:lineRule="auto" w:before="1"/>
              <w:ind w:left="24" w:right="0"/>
              <w:jc w:val="both"/>
              <w:rPr>
                <w:rFonts w:ascii="宋体" w:hAnsi="宋体" w:cs="宋体" w:eastAsia="宋体" w:hint="default"/>
                <w:sz w:val="18"/>
                <w:szCs w:val="18"/>
              </w:rPr>
            </w:pPr>
            <w:r>
              <w:rPr>
                <w:rFonts w:ascii="宋体" w:hAnsi="宋体" w:cs="宋体" w:eastAsia="宋体" w:hint="default"/>
                <w:sz w:val="18"/>
                <w:szCs w:val="18"/>
              </w:rPr>
              <w:t>负担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元，吉乾科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技负担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吉乾科技已 向法院提起 上诉并已收 到受理通知 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3" w:right="5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p>
            <w:pPr>
              <w:pStyle w:val="TableParagraph"/>
              <w:spacing w:line="316" w:lineRule="auto" w:before="13"/>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《关于控股 孙公司诉讼 事项的进展 </w:t>
            </w:r>
            <w:r>
              <w:rPr>
                <w:rFonts w:ascii="宋体" w:hAnsi="宋体" w:cs="宋体" w:eastAsia="宋体" w:hint="default"/>
                <w:spacing w:val="-16"/>
                <w:sz w:val="18"/>
                <w:szCs w:val="18"/>
              </w:rPr>
              <w:t>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w:t>
            </w:r>
          </w:p>
          <w:p>
            <w:pPr>
              <w:pStyle w:val="TableParagraph"/>
              <w:spacing w:line="312" w:lineRule="auto"/>
              <w:ind w:left="23" w:right="34"/>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006</w:t>
            </w:r>
            <w:r>
              <w:rPr>
                <w:rFonts w:ascii="宋体" w:hAnsi="宋体" w:cs="宋体" w:eastAsia="宋体" w:hint="default"/>
                <w:spacing w:val="-23"/>
                <w:sz w:val="18"/>
                <w:szCs w:val="18"/>
              </w:rPr>
              <w:t>）、《关于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控股子公司 诉讼事项的 进展公告》</w:t>
            </w:r>
          </w:p>
          <w:p>
            <w:pPr>
              <w:pStyle w:val="TableParagraph"/>
              <w:spacing w:line="309" w:lineRule="auto" w:before="22"/>
              <w:ind w:left="23" w:right="242"/>
              <w:jc w:val="left"/>
              <w:rPr>
                <w:rFonts w:ascii="宋体" w:hAnsi="宋体" w:cs="宋体" w:eastAsia="宋体" w:hint="default"/>
                <w:sz w:val="18"/>
                <w:szCs w:val="18"/>
              </w:rPr>
            </w:pP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2018- 120</w:t>
            </w:r>
            <w:r>
              <w:rPr>
                <w:rFonts w:ascii="宋体" w:hAnsi="宋体" w:cs="宋体" w:eastAsia="宋体" w:hint="default"/>
                <w:sz w:val="18"/>
                <w:szCs w:val="18"/>
              </w:rPr>
              <w:t>）</w:t>
            </w:r>
          </w:p>
        </w:tc>
      </w:tr>
      <w:tr>
        <w:trPr>
          <w:trHeight w:val="414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4" w:right="189"/>
              <w:jc w:val="left"/>
              <w:rPr>
                <w:rFonts w:ascii="宋体" w:hAnsi="宋体" w:cs="宋体" w:eastAsia="宋体" w:hint="default"/>
                <w:sz w:val="18"/>
                <w:szCs w:val="18"/>
              </w:rPr>
            </w:pPr>
            <w:r>
              <w:rPr>
                <w:rFonts w:ascii="宋体" w:hAnsi="宋体" w:cs="宋体" w:eastAsia="宋体" w:hint="default"/>
                <w:sz w:val="18"/>
                <w:szCs w:val="18"/>
              </w:rPr>
              <w:t>上海玄霆诉四三九 九、完美世界（北 京）数字科技有限公 司、完美世界（重 庆）互动科技有限公 司、哆可梦著作权纠 纷案</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6" w:right="55"/>
              <w:jc w:val="both"/>
              <w:rPr>
                <w:rFonts w:ascii="宋体" w:hAnsi="宋体" w:cs="宋体" w:eastAsia="宋体" w:hint="default"/>
                <w:sz w:val="18"/>
                <w:szCs w:val="18"/>
              </w:rPr>
            </w:pPr>
            <w:r>
              <w:rPr>
                <w:rFonts w:ascii="宋体" w:hAnsi="宋体" w:cs="宋体" w:eastAsia="宋体" w:hint="default"/>
                <w:sz w:val="18"/>
                <w:szCs w:val="18"/>
              </w:rPr>
              <w:t>一审判决； 哆可梦已上 诉并收到受 理通知书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哆可梦于判决生效之日 起立即停止自行或授权 他人运营、宣传推广</w:t>
            </w:r>
          </w:p>
          <w:p>
            <w:pPr>
              <w:pStyle w:val="TableParagraph"/>
              <w:spacing w:line="314" w:lineRule="auto" w:before="19"/>
              <w:ind w:left="24" w:right="146"/>
              <w:jc w:val="left"/>
              <w:rPr>
                <w:rFonts w:ascii="宋体" w:hAnsi="宋体" w:cs="宋体" w:eastAsia="宋体" w:hint="default"/>
                <w:sz w:val="18"/>
                <w:szCs w:val="18"/>
              </w:rPr>
            </w:pPr>
            <w:r>
              <w:rPr>
                <w:rFonts w:ascii="宋体" w:hAnsi="宋体" w:cs="宋体" w:eastAsia="宋体" w:hint="default"/>
                <w:sz w:val="18"/>
                <w:szCs w:val="18"/>
              </w:rPr>
              <w:t>《斗罗大陆神界传说》 游戏，于判决生效之日 起二十日内赔偿上海玄 霆经济损失及合理开支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万元，驳回上 海玄霆其他诉讼请求； 案件受理费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142,070 </w:t>
            </w:r>
            <w:r>
              <w:rPr>
                <w:rFonts w:ascii="宋体" w:hAnsi="宋体" w:cs="宋体" w:eastAsia="宋体" w:hint="default"/>
                <w:sz w:val="18"/>
                <w:szCs w:val="18"/>
              </w:rPr>
              <w:t>元，由上海玄霆负担 </w:t>
            </w:r>
            <w:r>
              <w:rPr>
                <w:rFonts w:ascii="Times New Roman" w:hAnsi="Times New Roman" w:cs="Times New Roman" w:eastAsia="Times New Roman" w:hint="default"/>
                <w:sz w:val="18"/>
                <w:szCs w:val="18"/>
              </w:rPr>
              <w:t>62,070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元，哆可梦负担</w:t>
            </w:r>
          </w:p>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哆可梦已向 法院提起上 诉并已收到 受理通知书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5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p>
            <w:pPr>
              <w:pStyle w:val="TableParagraph"/>
              <w:spacing w:line="316" w:lineRule="auto" w:before="13"/>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《关于控股 子公司诉讼 事项的进展 </w:t>
            </w:r>
            <w:r>
              <w:rPr>
                <w:rFonts w:ascii="宋体" w:hAnsi="宋体" w:cs="宋体" w:eastAsia="宋体" w:hint="default"/>
                <w:spacing w:val="-16"/>
                <w:sz w:val="18"/>
                <w:szCs w:val="18"/>
              </w:rPr>
              <w:t>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844"/>
        <w:gridCol w:w="819"/>
        <w:gridCol w:w="881"/>
        <w:gridCol w:w="994"/>
        <w:gridCol w:w="1985"/>
        <w:gridCol w:w="991"/>
        <w:gridCol w:w="994"/>
        <w:gridCol w:w="1061"/>
      </w:tblGrid>
      <w:tr>
        <w:trPr>
          <w:trHeight w:val="508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2" w:lineRule="auto"/>
              <w:ind w:left="24" w:right="185"/>
              <w:jc w:val="both"/>
              <w:rPr>
                <w:rFonts w:ascii="宋体" w:hAnsi="宋体" w:cs="宋体" w:eastAsia="宋体" w:hint="default"/>
                <w:sz w:val="18"/>
                <w:szCs w:val="18"/>
              </w:rPr>
            </w:pPr>
            <w:r>
              <w:rPr>
                <w:rFonts w:ascii="宋体" w:hAnsi="宋体" w:cs="宋体" w:eastAsia="宋体" w:hint="default"/>
                <w:sz w:val="18"/>
                <w:szCs w:val="18"/>
              </w:rPr>
              <w:t>报告期内未达到重大 诉讼披露标准的其他 诉讼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项（公司或子 公司作为被告）</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1,754.01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6"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项一审判 决；</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项调 解结案；</w:t>
            </w:r>
            <w:r>
              <w:rPr>
                <w:rFonts w:ascii="Times New Roman" w:hAnsi="Times New Roman" w:cs="Times New Roman" w:eastAsia="Times New Roman" w:hint="default"/>
                <w:sz w:val="18"/>
                <w:szCs w:val="18"/>
              </w:rPr>
              <w:t>1 </w:t>
            </w:r>
            <w:r>
              <w:rPr>
                <w:rFonts w:ascii="宋体" w:hAnsi="宋体" w:cs="宋体" w:eastAsia="宋体" w:hint="default"/>
                <w:sz w:val="18"/>
                <w:szCs w:val="18"/>
              </w:rPr>
              <w:t>项哆可梦被 追加为本案 第三人，原 告已撤诉</w:t>
            </w:r>
          </w:p>
          <w:p>
            <w:pPr>
              <w:pStyle w:val="TableParagraph"/>
              <w:spacing w:line="240" w:lineRule="auto" w:before="24"/>
              <w:ind w:left="26"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 </w:t>
            </w:r>
            <w:r>
              <w:rPr>
                <w:rFonts w:ascii="宋体" w:hAnsi="宋体" w:cs="宋体" w:eastAsia="宋体" w:hint="default"/>
                <w:sz w:val="18"/>
                <w:szCs w:val="18"/>
              </w:rPr>
              <w:t>万</w:t>
            </w:r>
          </w:p>
          <w:p>
            <w:pPr>
              <w:pStyle w:val="TableParagraph"/>
              <w:spacing w:line="314" w:lineRule="auto" w:before="63"/>
              <w:ind w:left="26" w:right="55"/>
              <w:jc w:val="left"/>
              <w:rPr>
                <w:rFonts w:ascii="Times New Roman" w:hAnsi="Times New Roman" w:cs="Times New Roman" w:eastAsia="Times New Roman" w:hint="default"/>
                <w:sz w:val="18"/>
                <w:szCs w:val="18"/>
              </w:rPr>
            </w:pPr>
            <w:r>
              <w:rPr>
                <w:rFonts w:ascii="宋体" w:hAnsi="宋体" w:cs="宋体" w:eastAsia="宋体" w:hint="default"/>
                <w:spacing w:val="-23"/>
                <w:sz w:val="18"/>
                <w:szCs w:val="18"/>
              </w:rPr>
              <w:t>元）；</w:t>
            </w:r>
            <w:r>
              <w:rPr>
                <w:rFonts w:ascii="Times New Roman" w:hAnsi="Times New Roman" w:cs="Times New Roman" w:eastAsia="Times New Roman" w:hint="default"/>
                <w:spacing w:val="-23"/>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已提交管辖 权异议上诉 状（涉案金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148,796</w:t>
            </w:r>
          </w:p>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5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项一审判决公司作为 五位共同被告之一共同 承担向原告支付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及利息的连带清偿责任 和案件受理费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8,550</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元；调解结案中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项约</w:t>
            </w:r>
          </w:p>
          <w:p>
            <w:pPr>
              <w:pStyle w:val="TableParagraph"/>
              <w:spacing w:line="300" w:lineRule="auto" w:before="63"/>
              <w:ind w:left="24" w:right="146"/>
              <w:jc w:val="both"/>
              <w:rPr>
                <w:rFonts w:ascii="宋体" w:hAnsi="宋体" w:cs="宋体" w:eastAsia="宋体" w:hint="default"/>
                <w:sz w:val="18"/>
                <w:szCs w:val="18"/>
              </w:rPr>
            </w:pPr>
            <w:r>
              <w:rPr>
                <w:rFonts w:ascii="宋体" w:hAnsi="宋体" w:cs="宋体" w:eastAsia="宋体" w:hint="default"/>
                <w:sz w:val="18"/>
                <w:szCs w:val="18"/>
              </w:rPr>
              <w:t>定由其他方承担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51,155 </w:t>
            </w:r>
            <w:r>
              <w:rPr>
                <w:rFonts w:ascii="宋体" w:hAnsi="宋体" w:cs="宋体" w:eastAsia="宋体" w:hint="default"/>
                <w:sz w:val="18"/>
                <w:szCs w:val="18"/>
              </w:rPr>
              <w:t>元的赔偿责任，</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项约 定由哆可梦分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期支付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月分成款 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9,078,140.35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元及承</w:t>
            </w:r>
          </w:p>
          <w:p>
            <w:pPr>
              <w:pStyle w:val="TableParagraph"/>
              <w:spacing w:line="312" w:lineRule="auto" w:before="13"/>
              <w:ind w:left="24" w:right="62"/>
              <w:jc w:val="left"/>
              <w:rPr>
                <w:rFonts w:ascii="宋体" w:hAnsi="宋体" w:cs="宋体" w:eastAsia="宋体" w:hint="default"/>
                <w:sz w:val="18"/>
                <w:szCs w:val="18"/>
              </w:rPr>
            </w:pPr>
            <w:r>
              <w:rPr>
                <w:rFonts w:ascii="宋体" w:hAnsi="宋体" w:cs="宋体" w:eastAsia="宋体" w:hint="default"/>
                <w:sz w:val="18"/>
                <w:szCs w:val="18"/>
              </w:rPr>
              <w:t>担一半诉讼费用共 </w:t>
            </w:r>
            <w:r>
              <w:rPr>
                <w:rFonts w:ascii="Times New Roman" w:hAnsi="Times New Roman" w:cs="Times New Roman" w:eastAsia="Times New Roman" w:hint="default"/>
                <w:sz w:val="18"/>
                <w:szCs w:val="18"/>
              </w:rPr>
              <w:t>21,170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项双方互 不承担赔偿责任（涉案 金额合计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5,110,820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项一审判 决，公司作 为五被告之 一，尚未协 商确定应分 摊的清偿责 任数额，判 决尚未执 行；调解结 案中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项其 他方已按约 定承担赔偿 责任，</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哆可梦正在 如期履行调 解约定</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4"/>
              <w:ind w:left="24" w:right="101"/>
              <w:jc w:val="left"/>
              <w:rPr>
                <w:rFonts w:ascii="宋体" w:hAnsi="宋体" w:cs="宋体" w:eastAsia="宋体" w:hint="default"/>
                <w:sz w:val="18"/>
                <w:szCs w:val="18"/>
              </w:rPr>
            </w:pPr>
            <w:r>
              <w:rPr>
                <w:rFonts w:ascii="宋体" w:hAnsi="宋体" w:cs="宋体" w:eastAsia="宋体" w:hint="default"/>
                <w:sz w:val="18"/>
                <w:szCs w:val="18"/>
              </w:rPr>
              <w:t>报告期内未达到重大 诉讼披露标准的其他 诉讼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项（公司或子 公司作为原告）</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867.56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项已撤诉</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118"/>
              <w:ind w:left="26" w:right="0"/>
              <w:jc w:val="left"/>
              <w:rPr>
                <w:rFonts w:ascii="Times New Roman" w:hAnsi="Times New Roman" w:cs="Times New Roman" w:eastAsia="Times New Roman" w:hint="default"/>
                <w:sz w:val="18"/>
                <w:szCs w:val="18"/>
              </w:rPr>
            </w:pPr>
            <w:r>
              <w:rPr>
                <w:rFonts w:ascii="Times New Roman"/>
                <w:sz w:val="18"/>
              </w:rPr>
              <w:t>168,463.70</w:t>
            </w:r>
          </w:p>
          <w:p>
            <w:pPr>
              <w:pStyle w:val="TableParagraph"/>
              <w:spacing w:line="300" w:lineRule="auto" w:before="63"/>
              <w:ind w:left="26" w:right="55"/>
              <w:jc w:val="left"/>
              <w:rPr>
                <w:rFonts w:ascii="宋体" w:hAnsi="宋体" w:cs="宋体" w:eastAsia="宋体" w:hint="default"/>
                <w:sz w:val="18"/>
                <w:szCs w:val="18"/>
              </w:rPr>
            </w:pPr>
            <w:r>
              <w:rPr>
                <w:rFonts w:ascii="宋体" w:hAnsi="宋体" w:cs="宋体" w:eastAsia="宋体" w:hint="default"/>
                <w:spacing w:val="-23"/>
                <w:sz w:val="18"/>
                <w:szCs w:val="18"/>
              </w:rPr>
              <w:t>元）；</w:t>
            </w:r>
            <w:r>
              <w:rPr>
                <w:rFonts w:ascii="Times New Roman" w:hAnsi="Times New Roman" w:cs="Times New Roman" w:eastAsia="Times New Roman" w:hint="default"/>
                <w:spacing w:val="-23"/>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正在审理中</w:t>
            </w:r>
          </w:p>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118"/>
              <w:ind w:left="26" w:right="0"/>
              <w:jc w:val="left"/>
              <w:rPr>
                <w:rFonts w:ascii="Times New Roman" w:hAnsi="Times New Roman" w:cs="Times New Roman" w:eastAsia="Times New Roman" w:hint="default"/>
                <w:sz w:val="18"/>
                <w:szCs w:val="18"/>
              </w:rPr>
            </w:pPr>
            <w:r>
              <w:rPr>
                <w:rFonts w:ascii="Times New Roman"/>
                <w:sz w:val="18"/>
              </w:rPr>
              <w:t>3,505,880</w:t>
            </w:r>
          </w:p>
          <w:p>
            <w:pPr>
              <w:pStyle w:val="TableParagraph"/>
              <w:spacing w:line="300" w:lineRule="auto" w:before="63"/>
              <w:ind w:left="26" w:right="191"/>
              <w:jc w:val="left"/>
              <w:rPr>
                <w:rFonts w:ascii="宋体" w:hAnsi="宋体" w:cs="宋体" w:eastAsia="宋体" w:hint="default"/>
                <w:sz w:val="18"/>
                <w:szCs w:val="18"/>
              </w:rPr>
            </w:pPr>
            <w:r>
              <w:rPr>
                <w:rFonts w:ascii="宋体" w:hAnsi="宋体" w:cs="宋体" w:eastAsia="宋体" w:hint="default"/>
                <w:spacing w:val="-23"/>
                <w:sz w:val="18"/>
                <w:szCs w:val="18"/>
              </w:rPr>
              <w:t>元）；</w:t>
            </w:r>
            <w:r>
              <w:rPr>
                <w:rFonts w:ascii="Times New Roman" w:hAnsi="Times New Roman" w:cs="Times New Roman" w:eastAsia="Times New Roman" w:hint="default"/>
                <w:spacing w:val="-23"/>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调解结案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7" w:lineRule="auto"/>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项调解结案双方互不 承担赔偿责任（涉案金 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5,001,238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十三、处罚及整改情况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46"/>
        <w:ind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年第二期股权激励计划实施情况</w:t>
      </w:r>
      <w:r>
        <w:rPr>
          <w:b w:val="0"/>
          <w:bCs w:val="0"/>
        </w:rPr>
      </w:r>
    </w:p>
    <w:p>
      <w:pPr>
        <w:pStyle w:val="BodyText"/>
        <w:spacing w:line="300" w:lineRule="auto" w:before="56"/>
        <w:ind w:right="1224"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日公司第五届董事会第十八次会议和第五届监事会第八次会议、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2015</w:t>
      </w:r>
      <w:r>
        <w:rPr/>
        <w:t>年第六次临时 股东大会审议通过了</w:t>
      </w:r>
      <w:r>
        <w:rPr>
          <w:rFonts w:ascii="Times New Roman" w:hAnsi="Times New Roman" w:cs="Times New Roman" w:eastAsia="Times New Roman" w:hint="default"/>
        </w:rPr>
        <w:t>2015</w:t>
      </w:r>
      <w:r>
        <w:rPr/>
        <w:t>年第二期股权激励计划。</w:t>
      </w:r>
    </w:p>
    <w:p>
      <w:pPr>
        <w:pStyle w:val="BodyText"/>
        <w:spacing w:line="300" w:lineRule="auto" w:before="13"/>
        <w:ind w:right="113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日公司第五届董事会第二十次会议、第五届监事会第十次会议审议通过了关于向</w:t>
      </w:r>
      <w:r>
        <w:rPr>
          <w:rFonts w:ascii="Times New Roman" w:hAnsi="Times New Roman" w:cs="Times New Roman" w:eastAsia="Times New Roman" w:hint="default"/>
        </w:rPr>
        <w:t>2015</w:t>
      </w:r>
      <w:r>
        <w:rPr/>
        <w:t>年第二期股权激励计 划激励对象首次授予限制性股票与股票期权的议案，确定授予日为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日，独立董事就此发表了同意的独立意见， 相应的授予登记工作已于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日完成，授予的限制性股票已于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日上市。</w:t>
      </w:r>
    </w:p>
    <w:p>
      <w:pPr>
        <w:spacing w:after="0" w:line="300" w:lineRule="auto"/>
        <w:jc w:val="both"/>
        <w:sectPr>
          <w:footerReference w:type="default" r:id="rId30"/>
          <w:pgSz w:w="11910" w:h="16840"/>
          <w:pgMar w:footer="980" w:header="877"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日公司第五届董事会第二十九次会议、第五届监事会第十七次会议审议通过了关于向激励对象授予</w:t>
      </w:r>
      <w:r>
        <w:rPr>
          <w:rFonts w:ascii="Times New Roman" w:hAnsi="Times New Roman" w:cs="Times New Roman" w:eastAsia="Times New Roman" w:hint="default"/>
        </w:rPr>
        <w:t>2015</w:t>
      </w:r>
      <w:r>
        <w:rPr/>
        <w:t>年 第二期股权激励计划预留股份的议案，独立董事对相关事项发表了同意的独立意见，相应的授予登记工作已于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 </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日上市。</w:t>
      </w:r>
    </w:p>
    <w:p>
      <w:pPr>
        <w:pStyle w:val="BodyText"/>
        <w:spacing w:line="307" w:lineRule="auto" w:before="13"/>
        <w:ind w:right="112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日公司第五届董事会第三十六次会议、第五届监事会第二十一次会议审议通过了关于</w:t>
      </w:r>
      <w:r>
        <w:rPr>
          <w:rFonts w:ascii="Times New Roman" w:hAnsi="Times New Roman" w:cs="Times New Roman" w:eastAsia="Times New Roman" w:hint="default"/>
        </w:rPr>
        <w:t>2015</w:t>
      </w:r>
      <w:r>
        <w:rPr/>
        <w:t>年第二期股权激 励计划首次授予的限制性股票与股票期权第一个解锁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行权条件的议案和关于</w:t>
      </w:r>
      <w:r>
        <w:rPr>
          <w:rFonts w:ascii="Times New Roman" w:hAnsi="Times New Roman" w:cs="Times New Roman" w:eastAsia="Times New Roman" w:hint="default"/>
        </w:rPr>
        <w:t>2015</w:t>
      </w:r>
      <w:r>
        <w:rPr/>
        <w:t>年第二期股权激励计划 首次授予的股票期权第一个行权期采用自主行权模式的议案，独立董事对相关事项发表了同意的独立意见，符合解锁条件 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日解锁上市流通，符合行权条件的股票期权已于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日全部行权完毕。</w:t>
      </w:r>
    </w:p>
    <w:p>
      <w:pPr>
        <w:pStyle w:val="BodyText"/>
        <w:spacing w:line="307" w:lineRule="auto" w:before="7"/>
        <w:ind w:right="11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日公司第五届董事会第四十一次会议、第五届监事会第二十三次会议审议通过了关于回购注销</w:t>
      </w:r>
      <w:r>
        <w:rPr>
          <w:rFonts w:ascii="Times New Roman" w:hAnsi="Times New Roman" w:cs="Times New Roman" w:eastAsia="Times New Roman" w:hint="default"/>
        </w:rPr>
        <w:t>2015</w:t>
      </w:r>
      <w:r>
        <w:rPr/>
        <w:t>年两期 股权激励计划部分限制性股票和股票期权的议案，董事会同意根据</w:t>
      </w:r>
      <w:r>
        <w:rPr>
          <w:rFonts w:ascii="Times New Roman" w:hAnsi="Times New Roman" w:cs="Times New Roman" w:eastAsia="Times New Roman" w:hint="default"/>
        </w:rPr>
        <w:t>2015</w:t>
      </w:r>
      <w:r>
        <w:rPr/>
        <w:t>年第二期股权激励计划的相关规定，对已离职激励 对象纪晓文先生已获授未解锁的限制性股票及已获授未行权的股票期权进行回购注销处理，公司独立董事对此发表了同意 的独立意见。本次回购注销事项已于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7"/>
        <w:ind w:right="11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日公司第五届董事会第五十一次会议、第五届监事会第二十九次会议审议通过了关于</w:t>
      </w:r>
      <w:r>
        <w:rPr>
          <w:rFonts w:ascii="Times New Roman" w:hAnsi="Times New Roman" w:cs="Times New Roman" w:eastAsia="Times New Roman" w:hint="default"/>
        </w:rPr>
        <w:t>2015</w:t>
      </w:r>
      <w:r>
        <w:rPr/>
        <w:t>年第二期股权激 励计划授予的预留限制性股票与股票期权第一个解锁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 的独立意见，符合解锁条件的限制性股票已于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0" w:lineRule="auto" w:before="13"/>
        <w:ind w:right="1139" w:firstLine="57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日公司第六届董事会第十一次会议、第六届监事会第五次会议审议通过了关于回购注销</w:t>
      </w:r>
      <w:r>
        <w:rPr>
          <w:rFonts w:ascii="Times New Roman" w:hAnsi="Times New Roman" w:cs="Times New Roman" w:eastAsia="Times New Roman" w:hint="default"/>
        </w:rPr>
        <w:t>2015</w:t>
      </w:r>
      <w:r>
        <w:rPr/>
        <w:t>年两期股 权激励计划部分限制性股票和股票期权的议案，董事会同意根据</w:t>
      </w:r>
      <w:r>
        <w:rPr>
          <w:rFonts w:ascii="Times New Roman" w:hAnsi="Times New Roman" w:cs="Times New Roman" w:eastAsia="Times New Roman" w:hint="default"/>
        </w:rPr>
        <w:t>2015</w:t>
      </w:r>
      <w:r>
        <w:rPr/>
        <w:t>年第二期股权激励计划的相关规定，对</w:t>
      </w:r>
      <w:r>
        <w:rPr>
          <w:rFonts w:ascii="Times New Roman" w:hAnsi="Times New Roman" w:cs="Times New Roman" w:eastAsia="Times New Roman" w:hint="default"/>
        </w:rPr>
        <w:t>2015</w:t>
      </w:r>
      <w:r>
        <w:rPr/>
        <w:t>年第二期 股权激励计划首次授予部分第三个解锁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480 </w:t>
      </w:r>
      <w:r>
        <w:rPr/>
        <w:t>万股限制性股票和</w:t>
      </w:r>
      <w:r>
        <w:rPr>
          <w:rFonts w:ascii="Times New Roman" w:hAnsi="Times New Roman" w:cs="Times New Roman" w:eastAsia="Times New Roman" w:hint="default"/>
        </w:rPr>
        <w:t>216</w:t>
      </w:r>
      <w:r>
        <w:rPr/>
        <w:t>万份股票期权进行回购注销处理，公司独立董事对此发表了同意的独立意见。本次回购注销事项已于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日完成。</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日公司第六届董事会第十四次会议、第六届监事会第七次会议审议通过了关于</w:t>
      </w:r>
      <w:r>
        <w:rPr>
          <w:rFonts w:ascii="Times New Roman" w:hAnsi="Times New Roman" w:cs="Times New Roman" w:eastAsia="Times New Roman" w:hint="default"/>
        </w:rPr>
        <w:t>2015</w:t>
      </w:r>
      <w:r>
        <w:rPr/>
        <w:t>年第二期股权激励计划 首次授予的限制性股票与股票期权第二个解锁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行权条件的议案，独立董事对相关事项发表了同意的独立 意见，符合解锁条件的限制性股票已于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日解锁上市流通，符合行权条件的股票期权截至行权期限届满共计行权 </w:t>
      </w:r>
      <w:r>
        <w:rPr>
          <w:rFonts w:ascii="Times New Roman" w:hAnsi="Times New Roman" w:cs="Times New Roman" w:eastAsia="Times New Roman" w:hint="default"/>
        </w:rPr>
        <w:t>112.98</w:t>
      </w:r>
      <w:r>
        <w:rPr/>
        <w:t>万份。</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日公司第六届董事会第二十次会议、第六届监事会第八次会议审议通过了关于注销</w:t>
      </w:r>
      <w:r>
        <w:rPr>
          <w:rFonts w:ascii="Times New Roman" w:hAnsi="Times New Roman" w:cs="Times New Roman" w:eastAsia="Times New Roman" w:hint="default"/>
        </w:rPr>
        <w:t>2015</w:t>
      </w:r>
      <w:r>
        <w:rPr/>
        <w:t>年两期股权激励计 划预留部分第一个行权期已到期未行权股票期权的议案，董事会同意根据</w:t>
      </w:r>
      <w:r>
        <w:rPr>
          <w:rFonts w:ascii="Times New Roman" w:hAnsi="Times New Roman" w:cs="Times New Roman" w:eastAsia="Times New Roman" w:hint="default"/>
        </w:rPr>
        <w:t>2015</w:t>
      </w:r>
      <w:r>
        <w:rPr/>
        <w:t>年第二期股权激励计划的相关规定，对</w:t>
      </w:r>
      <w:r>
        <w:rPr>
          <w:rFonts w:ascii="Times New Roman" w:hAnsi="Times New Roman" w:cs="Times New Roman" w:eastAsia="Times New Roman" w:hint="default"/>
        </w:rPr>
        <w:t>2015 </w:t>
      </w:r>
      <w:r>
        <w:rPr/>
        <w:t>年第二期股权激励计划预留部分第一个行权期已到期未行权股票期权</w:t>
      </w:r>
      <w:r>
        <w:rPr>
          <w:rFonts w:ascii="Times New Roman" w:hAnsi="Times New Roman" w:cs="Times New Roman" w:eastAsia="Times New Roman" w:hint="default"/>
        </w:rPr>
        <w:t>30</w:t>
      </w:r>
      <w:r>
        <w:rPr/>
        <w:t>万份进行注销处理，独立董事对相关事项发表了同 意的独立意见。本次注销事项已于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w:t>
      </w:r>
    </w:p>
    <w:p>
      <w:pPr>
        <w:pStyle w:val="BodyText"/>
        <w:spacing w:line="300" w:lineRule="auto" w:before="13"/>
        <w:ind w:right="1142" w:firstLine="43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日公司第六届董事会第二十八次会议、第六届监事会第十二次会议审议通过了关于注销</w:t>
      </w:r>
      <w:r>
        <w:rPr>
          <w:rFonts w:ascii="Times New Roman" w:hAnsi="Times New Roman" w:cs="Times New Roman" w:eastAsia="Times New Roman" w:hint="default"/>
        </w:rPr>
        <w:t>2015</w:t>
      </w:r>
      <w:r>
        <w:rPr/>
        <w:t>年第二期股权 激励计划首次授予部分第二个行权期已到期未行权股票期权的议案，董事会同意根据</w:t>
      </w:r>
      <w:r>
        <w:rPr>
          <w:rFonts w:ascii="Times New Roman" w:hAnsi="Times New Roman" w:cs="Times New Roman" w:eastAsia="Times New Roman" w:hint="default"/>
        </w:rPr>
        <w:t>2015</w:t>
      </w:r>
      <w:r>
        <w:rPr/>
        <w:t>年第二期股权激励计划的相关规 定，对</w:t>
      </w:r>
      <w:r>
        <w:rPr>
          <w:rFonts w:ascii="Times New Roman" w:hAnsi="Times New Roman" w:cs="Times New Roman" w:eastAsia="Times New Roman" w:hint="default"/>
        </w:rPr>
        <w:t>2015</w:t>
      </w:r>
      <w:r>
        <w:rPr/>
        <w:t>年第二期股权激励计划首次授予部分第二个行权期已到期未行权股票期权</w:t>
      </w:r>
      <w:r>
        <w:rPr>
          <w:rFonts w:ascii="Times New Roman" w:hAnsi="Times New Roman" w:cs="Times New Roman" w:eastAsia="Times New Roman" w:hint="default"/>
        </w:rPr>
        <w:t>26.52</w:t>
      </w:r>
      <w:r>
        <w:rPr/>
        <w:t>万份进行注销处理，独立董事对 相关事项发布了同意的独立意见。本次注销事项已于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日完成。</w:t>
      </w:r>
    </w:p>
    <w:p>
      <w:pPr>
        <w:pStyle w:val="Heading4"/>
        <w:spacing w:line="269" w:lineRule="exact"/>
        <w:ind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年限制性股票激励计划实施情况</w:t>
      </w:r>
      <w:r>
        <w:rPr>
          <w:b w:val="0"/>
          <w:bCs w:val="0"/>
        </w:rPr>
      </w:r>
    </w:p>
    <w:p>
      <w:pPr>
        <w:pStyle w:val="BodyText"/>
        <w:spacing w:line="300" w:lineRule="auto" w:before="56"/>
        <w:ind w:right="112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日公司第五届董事会第二十九次会议和第五届监事会第十七次会议、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2016</w:t>
      </w:r>
      <w:r>
        <w:rPr/>
        <w:t>年第三次临时 股东大会审议通过了</w:t>
      </w:r>
      <w:r>
        <w:rPr>
          <w:rFonts w:ascii="Times New Roman" w:hAnsi="Times New Roman" w:cs="Times New Roman" w:eastAsia="Times New Roman" w:hint="default"/>
        </w:rPr>
        <w:t>2016</w:t>
      </w:r>
      <w:r>
        <w:rPr/>
        <w:t>年限制性股票激励计划。</w:t>
      </w:r>
    </w:p>
    <w:p>
      <w:pPr>
        <w:pStyle w:val="BodyText"/>
        <w:spacing w:line="300" w:lineRule="auto" w:before="13"/>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日公司第五届董事会第三十次会议、第五届监事会第十九次会议审议通过了关于向公司</w:t>
      </w:r>
      <w:r>
        <w:rPr>
          <w:rFonts w:ascii="Times New Roman" w:hAnsi="Times New Roman" w:cs="Times New Roman" w:eastAsia="Times New Roman" w:hint="default"/>
        </w:rPr>
        <w:t>2016</w:t>
      </w:r>
      <w:r>
        <w:rPr/>
        <w:t>年限制性股票 激励计划激励对象授予限制性股票的议案，确定授予日为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日，独立董事就此发表了同意的独立意见，相应的授 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日上市。</w:t>
      </w:r>
    </w:p>
    <w:p>
      <w:pPr>
        <w:pStyle w:val="BodyText"/>
        <w:spacing w:line="309"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日公司第六届董事会第十四次会议、第六届监事会第七次会议审议通过了关于</w:t>
      </w:r>
      <w:r>
        <w:rPr>
          <w:rFonts w:ascii="Times New Roman" w:hAnsi="Times New Roman" w:cs="Times New Roman" w:eastAsia="Times New Roman" w:hint="default"/>
        </w:rPr>
        <w:t>2016</w:t>
      </w:r>
      <w:r>
        <w:rPr/>
        <w:t>年限制性股票激励计划 授予的限制性股票第一个解锁期符合解锁条件的议案，独立董事对相关事项发表了同意的独立意见，符合解锁条件的限制 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9" w:lineRule="auto" w:before="5"/>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日公司第六届董事会第二十六次会议、第六届监事会第十次会议审议通过了关于</w:t>
      </w:r>
      <w:r>
        <w:rPr>
          <w:rFonts w:ascii="Times New Roman" w:hAnsi="Times New Roman" w:cs="Times New Roman" w:eastAsia="Times New Roman" w:hint="default"/>
        </w:rPr>
        <w:t>2016</w:t>
      </w:r>
      <w:r>
        <w:rPr/>
        <w:t>年限制性股票激励计 划授予的限制性股票第二个解锁期符合解锁条件的议案，独立董事对相关事项发布了同意的独立意见，符合解锁条件的限 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日解锁上市流通。</w:t>
      </w:r>
    </w:p>
    <w:p>
      <w:pPr>
        <w:pStyle w:val="BodyText"/>
        <w:spacing w:line="240" w:lineRule="auto" w:before="5"/>
        <w:ind w:left="51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w:t>
      </w:r>
    </w:p>
    <w:p>
      <w:pPr>
        <w:spacing w:after="0" w:line="240" w:lineRule="auto"/>
        <w:jc w:val="left"/>
        <w:sectPr>
          <w:footerReference w:type="default" r:id="rId31"/>
          <w:pgSz w:w="11910" w:h="16840"/>
          <w:pgMar w:footer="980" w:header="877" w:top="1100" w:bottom="1160" w:left="980" w:right="0"/>
          <w:pgNumType w:start="1"/>
        </w:sectPr>
      </w:pPr>
    </w:p>
    <w:p>
      <w:pPr>
        <w:spacing w:line="240" w:lineRule="auto" w:before="11"/>
        <w:rPr>
          <w:rFonts w:ascii="宋体" w:hAnsi="宋体" w:cs="宋体" w:eastAsia="宋体" w:hint="default"/>
          <w:sz w:val="21"/>
          <w:szCs w:val="21"/>
        </w:rPr>
      </w:pPr>
    </w:p>
    <w:p>
      <w:pPr>
        <w:pStyle w:val="BodyText"/>
        <w:spacing w:line="300" w:lineRule="auto" w:before="44"/>
        <w:ind w:right="1184"/>
        <w:jc w:val="both"/>
      </w:pPr>
      <w:r>
        <w:rPr/>
        <w:t>股东大会审议通过了关于回购注销</w:t>
      </w:r>
      <w:r>
        <w:rPr>
          <w:rFonts w:ascii="Times New Roman" w:hAnsi="Times New Roman" w:cs="Times New Roman" w:eastAsia="Times New Roman" w:hint="default"/>
        </w:rPr>
        <w:t>2016</w:t>
      </w:r>
      <w:r>
        <w:rPr/>
        <w:t>年限制性股票激励计划部分限制性股票的议案，鉴于根据公司绩效考核管理相关制 度和</w:t>
      </w:r>
      <w:r>
        <w:rPr>
          <w:rFonts w:ascii="Times New Roman" w:hAnsi="Times New Roman" w:cs="Times New Roman" w:eastAsia="Times New Roman" w:hint="default"/>
        </w:rPr>
        <w:t>2016</w:t>
      </w:r>
      <w:r>
        <w:rPr/>
        <w:t>年限制性股票激励计划的相关规定，激励对象</w:t>
      </w:r>
      <w:r>
        <w:rPr>
          <w:rFonts w:ascii="Times New Roman" w:hAnsi="Times New Roman" w:cs="Times New Roman" w:eastAsia="Times New Roman" w:hint="default"/>
        </w:rPr>
        <w:t>2018</w:t>
      </w:r>
      <w:r>
        <w:rPr/>
        <w:t>年度绩效考核考评结果均为不合格，公司决定对</w:t>
      </w:r>
      <w:r>
        <w:rPr>
          <w:rFonts w:ascii="Times New Roman" w:hAnsi="Times New Roman" w:cs="Times New Roman" w:eastAsia="Times New Roman" w:hint="default"/>
        </w:rPr>
        <w:t>2016</w:t>
      </w:r>
      <w:r>
        <w:rPr/>
        <w:t>年限制性 股票激励计划第三个解锁期因激励对象个人绩效考核结果不达标导致不能解锁的</w:t>
      </w:r>
      <w:r>
        <w:rPr>
          <w:rFonts w:ascii="Times New Roman" w:hAnsi="Times New Roman" w:cs="Times New Roman" w:eastAsia="Times New Roman" w:hint="default"/>
        </w:rPr>
        <w:t>1,221</w:t>
      </w:r>
      <w:r>
        <w:rPr/>
        <w:t>万股限制性股票进行回购注销，独立 董事对此发表了同意的独立意见。本次回购注销已于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日完成。</w:t>
      </w:r>
    </w:p>
    <w:p>
      <w:pPr>
        <w:pStyle w:val="BodyText"/>
        <w:spacing w:line="338" w:lineRule="auto" w:before="13"/>
        <w:ind w:left="513" w:right="1213"/>
        <w:jc w:val="left"/>
      </w:pPr>
      <w:r>
        <w:rPr/>
        <w:t>以上内容详情请参见公司刊登于巨潮资讯网（</w:t>
      </w:r>
      <w:hyperlink r:id="rId13">
        <w:r>
          <w:rPr>
            <w:rFonts w:ascii="Times New Roman" w:hAnsi="Times New Roman" w:cs="Times New Roman" w:eastAsia="Times New Roman" w:hint="default"/>
          </w:rPr>
          <w:t>www.cninfo.com.cn</w:t>
        </w:r>
      </w:hyperlink>
      <w:r>
        <w:rPr/>
        <w:t>）上的相关公告。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公司已授予的股权激励已全部实施完毕，相关费用已计入以前期间，本报告期内不再计提相关费用，不影响本报告期</w:t>
      </w:r>
    </w:p>
    <w:p>
      <w:pPr>
        <w:pStyle w:val="BodyText"/>
        <w:spacing w:line="240" w:lineRule="auto" w:before="2"/>
        <w:ind w:right="0"/>
        <w:jc w:val="both"/>
      </w:pPr>
      <w:r>
        <w:rPr/>
        <w:t>上市公司净利润。</w:t>
      </w:r>
    </w:p>
    <w:p>
      <w:pPr>
        <w:spacing w:after="0" w:line="240" w:lineRule="auto"/>
        <w:jc w:val="both"/>
        <w:sectPr>
          <w:pgSz w:w="11910" w:h="16840"/>
          <w:pgMar w:header="877" w:footer="980" w:top="1100" w:bottom="1160" w:left="980" w:right="0"/>
        </w:sectPr>
      </w:pPr>
    </w:p>
    <w:p>
      <w:pPr>
        <w:pStyle w:val="Heading2"/>
        <w:spacing w:line="369" w:lineRule="exact"/>
        <w:ind w:left="140" w:right="128"/>
        <w:jc w:val="left"/>
        <w:rPr>
          <w:b w:val="0"/>
          <w:bCs w:val="0"/>
        </w:rPr>
      </w:pPr>
      <w:r>
        <w:rPr/>
        <w:pict>
          <v:group style="position:absolute;margin-left:70.559998pt;margin-top:2.202064pt;width:700.9pt;height:.1pt;mso-position-horizontal-relative:page;mso-position-vertical-relative:paragraph;z-index:-1128112" coordorigin="1411,44" coordsize="14018,2">
            <v:shape style="position:absolute;left:1411;top:44;width:14018;height:2" coordorigin="1411,44" coordsize="14018,0" path="m1411,44l15429,44e" filled="false" stroked="true" strokeweight=".72pt" strokecolor="#000000">
              <v:path arrowok="t"/>
            </v:shape>
            <w10:wrap type="none"/>
          </v:group>
        </w:pict>
      </w: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140" w:right="12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40" w:right="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735"/>
        <w:gridCol w:w="989"/>
        <w:gridCol w:w="542"/>
        <w:gridCol w:w="852"/>
        <w:gridCol w:w="994"/>
        <w:gridCol w:w="1416"/>
        <w:gridCol w:w="991"/>
        <w:gridCol w:w="710"/>
        <w:gridCol w:w="850"/>
        <w:gridCol w:w="852"/>
        <w:gridCol w:w="989"/>
        <w:gridCol w:w="850"/>
        <w:gridCol w:w="994"/>
        <w:gridCol w:w="2186"/>
      </w:tblGrid>
      <w:tr>
        <w:trPr>
          <w:trHeight w:val="1340"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93" w:hanging="92"/>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6"/>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6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0" w:right="41"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38"/>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8" w:right="60" w:hanging="92"/>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 w:right="60"/>
              <w:jc w:val="left"/>
              <w:rPr>
                <w:rFonts w:ascii="宋体" w:hAnsi="宋体" w:cs="宋体" w:eastAsia="宋体" w:hint="default"/>
                <w:sz w:val="18"/>
                <w:szCs w:val="18"/>
              </w:rPr>
            </w:pPr>
            <w:r>
              <w:rPr>
                <w:rFonts w:ascii="宋体" w:hAnsi="宋体" w:cs="宋体" w:eastAsia="宋体" w:hint="default"/>
                <w:sz w:val="18"/>
                <w:szCs w:val="18"/>
              </w:rPr>
              <w:t>是否超过 获批额度</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0" w:right="36"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信中利</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同一控制下 关联企业</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子公司北 京中汇联 银向信中 利租赁办 公场所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4"/>
              <w:jc w:val="center"/>
              <w:rPr>
                <w:rFonts w:ascii="宋体" w:hAnsi="宋体" w:cs="宋体" w:eastAsia="宋体" w:hint="default"/>
                <w:sz w:val="18"/>
                <w:szCs w:val="18"/>
              </w:rPr>
            </w:pPr>
            <w:r>
              <w:rPr>
                <w:rFonts w:ascii="宋体" w:hAnsi="宋体" w:cs="宋体" w:eastAsia="宋体" w:hint="default"/>
                <w:sz w:val="18"/>
                <w:szCs w:val="18"/>
              </w:rPr>
              <w:t>市场公允价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1" w:right="35"/>
              <w:jc w:val="left"/>
              <w:rPr>
                <w:rFonts w:ascii="宋体" w:hAnsi="宋体" w:cs="宋体" w:eastAsia="宋体" w:hint="default"/>
                <w:sz w:val="18"/>
                <w:szCs w:val="18"/>
              </w:rPr>
            </w:pPr>
            <w:r>
              <w:rPr>
                <w:rFonts w:ascii="宋体" w:hAnsi="宋体" w:cs="宋体" w:eastAsia="宋体" w:hint="default"/>
                <w:sz w:val="18"/>
                <w:szCs w:val="18"/>
              </w:rPr>
              <w:t>房屋租金为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平方 </w:t>
            </w:r>
            <w:r>
              <w:rPr>
                <w:rFonts w:ascii="宋体" w:hAnsi="宋体" w:cs="宋体" w:eastAsia="宋体" w:hint="default"/>
                <w:spacing w:val="-12"/>
                <w:sz w:val="18"/>
                <w:szCs w:val="18"/>
              </w:rPr>
              <w:t>米），物业管理费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平 </w:t>
            </w:r>
            <w:r>
              <w:rPr>
                <w:rFonts w:ascii="宋体" w:hAnsi="宋体" w:cs="宋体" w:eastAsia="宋体" w:hint="default"/>
                <w:spacing w:val="-12"/>
                <w:sz w:val="18"/>
                <w:szCs w:val="18"/>
              </w:rPr>
              <w:t>方米），建筑面积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 米，</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年房屋租 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594 </w:t>
            </w:r>
            <w:r>
              <w:rPr>
                <w:rFonts w:ascii="宋体" w:hAnsi="宋体" w:cs="宋体" w:eastAsia="宋体" w:hint="default"/>
                <w:sz w:val="18"/>
                <w:szCs w:val="18"/>
              </w:rPr>
              <w:t>万元</w:t>
            </w:r>
          </w:p>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z w:val="18"/>
              </w:rPr>
              <w:t>52.47%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594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198.00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1"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 的《关于子公司中汇联银 投资管理（北京）有限公 司向关联方租赁办公场所 </w:t>
            </w:r>
            <w:r>
              <w:rPr>
                <w:rFonts w:ascii="宋体" w:hAnsi="宋体" w:cs="宋体" w:eastAsia="宋体" w:hint="default"/>
                <w:spacing w:val="-6"/>
                <w:sz w:val="18"/>
                <w:szCs w:val="18"/>
              </w:rPr>
              <w:t>的公告》（公告编号：</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080</w:t>
            </w:r>
            <w:r>
              <w:rPr>
                <w:rFonts w:ascii="宋体" w:hAnsi="宋体" w:cs="宋体" w:eastAsia="宋体" w:hint="default"/>
                <w:spacing w:val="-13"/>
                <w:sz w:val="18"/>
                <w:szCs w:val="18"/>
              </w:rPr>
              <w:t>）、《深圳市惠程信息科</w:t>
            </w:r>
            <w:r>
              <w:rPr>
                <w:rFonts w:ascii="宋体" w:hAnsi="宋体" w:cs="宋体" w:eastAsia="宋体" w:hint="default"/>
                <w:sz w:val="18"/>
                <w:szCs w:val="18"/>
              </w:rPr>
              <w:t> 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三季度报告全文》</w:t>
            </w:r>
          </w:p>
        </w:tc>
      </w:tr>
      <w:tr>
        <w:trPr>
          <w:trHeight w:val="352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3" w:right="159"/>
              <w:jc w:val="left"/>
              <w:rPr>
                <w:rFonts w:ascii="宋体" w:hAnsi="宋体" w:cs="宋体" w:eastAsia="宋体" w:hint="default"/>
                <w:sz w:val="18"/>
                <w:szCs w:val="18"/>
              </w:rPr>
            </w:pPr>
            <w:r>
              <w:rPr>
                <w:rFonts w:ascii="宋体" w:hAnsi="宋体" w:cs="宋体" w:eastAsia="宋体" w:hint="default"/>
                <w:sz w:val="18"/>
                <w:szCs w:val="18"/>
              </w:rPr>
              <w:t>京城九 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4" w:right="53"/>
              <w:jc w:val="left"/>
              <w:rPr>
                <w:rFonts w:ascii="宋体" w:hAnsi="宋体" w:cs="宋体" w:eastAsia="宋体" w:hint="default"/>
                <w:sz w:val="18"/>
                <w:szCs w:val="18"/>
              </w:rPr>
            </w:pPr>
            <w:r>
              <w:rPr>
                <w:rFonts w:ascii="宋体" w:hAnsi="宋体" w:cs="宋体" w:eastAsia="宋体" w:hint="default"/>
                <w:sz w:val="18"/>
                <w:szCs w:val="18"/>
              </w:rPr>
              <w:t>控股股东关 联方</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96"/>
              <w:jc w:val="both"/>
              <w:rPr>
                <w:rFonts w:ascii="宋体" w:hAnsi="宋体" w:cs="宋体" w:eastAsia="宋体" w:hint="default"/>
                <w:sz w:val="18"/>
                <w:szCs w:val="18"/>
              </w:rPr>
            </w:pPr>
            <w:r>
              <w:rPr>
                <w:rFonts w:ascii="宋体" w:hAnsi="宋体" w:cs="宋体" w:eastAsia="宋体" w:hint="default"/>
                <w:sz w:val="18"/>
                <w:szCs w:val="18"/>
              </w:rPr>
              <w:t>孙公司中 行置盛向 京城九方 租赁办公 场所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市场公允价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1" w:right="120"/>
              <w:jc w:val="left"/>
              <w:rPr>
                <w:rFonts w:ascii="宋体" w:hAnsi="宋体" w:cs="宋体" w:eastAsia="宋体" w:hint="default"/>
                <w:sz w:val="18"/>
                <w:szCs w:val="18"/>
              </w:rPr>
            </w:pPr>
            <w:r>
              <w:rPr>
                <w:rFonts w:ascii="宋体" w:hAnsi="宋体" w:cs="宋体" w:eastAsia="宋体" w:hint="default"/>
                <w:sz w:val="18"/>
                <w:szCs w:val="18"/>
              </w:rPr>
              <w:t>房屋租金为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平方 </w:t>
            </w:r>
            <w:r>
              <w:rPr>
                <w:rFonts w:ascii="宋体" w:hAnsi="宋体" w:cs="宋体" w:eastAsia="宋体" w:hint="default"/>
                <w:spacing w:val="-23"/>
                <w:sz w:val="18"/>
                <w:szCs w:val="18"/>
              </w:rPr>
              <w:t>米），自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日租赁面</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积由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 </w:t>
            </w:r>
            <w:r>
              <w:rPr>
                <w:rFonts w:ascii="宋体" w:hAnsi="宋体" w:cs="宋体" w:eastAsia="宋体" w:hint="default"/>
                <w:sz w:val="18"/>
                <w:szCs w:val="18"/>
              </w:rPr>
              <w:t>平方</w:t>
            </w:r>
          </w:p>
          <w:p>
            <w:pPr>
              <w:pStyle w:val="TableParagraph"/>
              <w:spacing w:line="300" w:lineRule="auto" w:before="63"/>
              <w:ind w:left="21" w:right="120"/>
              <w:jc w:val="both"/>
              <w:rPr>
                <w:rFonts w:ascii="Times New Roman" w:hAnsi="Times New Roman" w:cs="Times New Roman" w:eastAsia="Times New Roman" w:hint="default"/>
                <w:sz w:val="18"/>
                <w:szCs w:val="18"/>
              </w:rPr>
            </w:pPr>
            <w:r>
              <w:rPr>
                <w:rFonts w:ascii="宋体" w:hAnsi="宋体" w:cs="宋体" w:eastAsia="宋体" w:hint="default"/>
                <w:sz w:val="18"/>
                <w:szCs w:val="18"/>
              </w:rPr>
              <w:t>米调整为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平 方米，</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年房屋 租金共计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498.42 </w:t>
            </w:r>
            <w:r>
              <w:rPr>
                <w:rFonts w:ascii="宋体" w:hAnsi="宋体" w:cs="宋体" w:eastAsia="宋体" w:hint="default"/>
                <w:sz w:val="18"/>
                <w:szCs w:val="18"/>
              </w:rPr>
              <w:t>万元（含税）</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1" w:right="53"/>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 的《关于孙公司中行置盛 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有限公司向关联 方续租办公场所的公告》</w:t>
            </w:r>
          </w:p>
          <w:p>
            <w:pPr>
              <w:pStyle w:val="TableParagraph"/>
              <w:spacing w:line="240" w:lineRule="auto" w:before="26"/>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97</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63"/>
              <w:ind w:left="21"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《关于孙公司中行置盛投 资（北京）有限公司向关 联方续租办公场所的进展 </w:t>
            </w:r>
            <w:r>
              <w:rPr>
                <w:rFonts w:ascii="宋体" w:hAnsi="宋体" w:cs="宋体" w:eastAsia="宋体" w:hint="default"/>
                <w:spacing w:val="-7"/>
                <w:sz w:val="18"/>
                <w:szCs w:val="18"/>
              </w:rPr>
              <w:t>公告》（公告编号：</w:t>
            </w:r>
            <w:r>
              <w:rPr>
                <w:rFonts w:ascii="Times New Roman" w:hAnsi="Times New Roman" w:cs="Times New Roman" w:eastAsia="Times New Roman" w:hint="default"/>
                <w:spacing w:val="-7"/>
                <w:sz w:val="18"/>
                <w:szCs w:val="18"/>
              </w:rPr>
              <w:t>2018-</w:t>
            </w:r>
          </w:p>
          <w:p>
            <w:pPr>
              <w:pStyle w:val="TableParagraph"/>
              <w:spacing w:line="248"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w:t>
            </w:r>
            <w:r>
              <w:rPr>
                <w:rFonts w:ascii="宋体" w:hAnsi="宋体" w:cs="宋体" w:eastAsia="宋体" w:hint="default"/>
                <w:sz w:val="18"/>
                <w:szCs w:val="18"/>
              </w:rPr>
              <w:t>、</w:t>
            </w:r>
            <w:r>
              <w:rPr>
                <w:rFonts w:ascii="Times New Roman" w:hAnsi="Times New Roman" w:cs="Times New Roman" w:eastAsia="Times New Roman" w:hint="default"/>
                <w:sz w:val="18"/>
                <w:szCs w:val="18"/>
              </w:rPr>
              <w:t>2018-167</w:t>
            </w:r>
            <w:r>
              <w:rPr>
                <w:rFonts w:ascii="宋体" w:hAnsi="宋体" w:cs="宋体" w:eastAsia="宋体" w:hint="default"/>
                <w:sz w:val="18"/>
                <w:szCs w:val="18"/>
              </w:rPr>
              <w:t>）</w:t>
            </w:r>
          </w:p>
        </w:tc>
      </w:tr>
    </w:tbl>
    <w:p>
      <w:pPr>
        <w:spacing w:after="0" w:line="248" w:lineRule="exact"/>
        <w:jc w:val="left"/>
        <w:rPr>
          <w:rFonts w:ascii="宋体" w:hAnsi="宋体" w:cs="宋体" w:eastAsia="宋体" w:hint="default"/>
          <w:sz w:val="18"/>
          <w:szCs w:val="18"/>
        </w:rPr>
        <w:sectPr>
          <w:headerReference w:type="default" r:id="rId32"/>
          <w:footerReference w:type="default" r:id="rId33"/>
          <w:pgSz w:w="16840" w:h="11910" w:orient="landscape"/>
          <w:pgMar w:header="867" w:footer="980" w:top="1060" w:bottom="1160" w:left="1300" w:right="1300"/>
          <w:pgNumType w:start="3"/>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35"/>
        <w:gridCol w:w="989"/>
        <w:gridCol w:w="542"/>
        <w:gridCol w:w="852"/>
        <w:gridCol w:w="994"/>
        <w:gridCol w:w="1416"/>
        <w:gridCol w:w="991"/>
        <w:gridCol w:w="710"/>
        <w:gridCol w:w="850"/>
        <w:gridCol w:w="852"/>
        <w:gridCol w:w="989"/>
        <w:gridCol w:w="850"/>
        <w:gridCol w:w="994"/>
        <w:gridCol w:w="2186"/>
      </w:tblGrid>
      <w:tr>
        <w:trPr>
          <w:trHeight w:val="5099" w:hRule="exact"/>
        </w:trPr>
        <w:tc>
          <w:tcPr>
            <w:tcW w:w="73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成都启 成投资 发展有 限公司</w:t>
            </w:r>
          </w:p>
          <w:p>
            <w:pPr>
              <w:pStyle w:val="TableParagraph"/>
              <w:spacing w:line="314" w:lineRule="auto" w:before="19"/>
              <w:ind w:left="23" w:right="79"/>
              <w:jc w:val="left"/>
              <w:rPr>
                <w:rFonts w:ascii="宋体" w:hAnsi="宋体" w:cs="宋体" w:eastAsia="宋体" w:hint="default"/>
                <w:sz w:val="18"/>
                <w:szCs w:val="18"/>
              </w:rPr>
            </w:pP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启 成投 </w:t>
            </w:r>
            <w:r>
              <w:rPr>
                <w:rFonts w:ascii="宋体" w:hAnsi="宋体" w:cs="宋体" w:eastAsia="宋体" w:hint="default"/>
                <w:spacing w:val="-47"/>
                <w:w w:val="100"/>
                <w:sz w:val="18"/>
                <w:szCs w:val="18"/>
              </w:rPr>
              <w:t>资</w:t>
            </w:r>
            <w:r>
              <w:rPr>
                <w:rFonts w:ascii="Times New Roman" w:hAnsi="Times New Roman" w:cs="Times New Roman" w:eastAsia="Times New Roman" w:hint="default"/>
                <w:spacing w:val="-47"/>
                <w:w w:val="100"/>
                <w:sz w:val="18"/>
                <w:szCs w:val="18"/>
              </w:rPr>
              <w:t>”</w:t>
            </w:r>
            <w:r>
              <w:rPr>
                <w:rFonts w:ascii="宋体" w:hAnsi="宋体" w:cs="宋体" w:eastAsia="宋体" w:hint="default"/>
                <w:spacing w:val="-47"/>
                <w:w w:val="100"/>
                <w:sz w:val="18"/>
                <w:szCs w:val="18"/>
              </w:rPr>
              <w:t>）、</w:t>
            </w:r>
            <w:r>
              <w:rPr>
                <w:rFonts w:ascii="宋体" w:hAnsi="宋体" w:cs="宋体" w:eastAsia="宋体" w:hint="default"/>
                <w:spacing w:val="-87"/>
                <w:w w:val="100"/>
                <w:sz w:val="18"/>
                <w:szCs w:val="18"/>
              </w:rPr>
              <w:t> </w:t>
            </w:r>
            <w:r>
              <w:rPr>
                <w:rFonts w:ascii="宋体" w:hAnsi="宋体" w:cs="宋体" w:eastAsia="宋体" w:hint="default"/>
                <w:sz w:val="18"/>
                <w:szCs w:val="18"/>
              </w:rPr>
              <w:t>四川瑞</w:t>
            </w:r>
            <w:r>
              <w:rPr>
                <w:rFonts w:ascii="宋体" w:hAnsi="宋体" w:cs="宋体" w:eastAsia="宋体" w:hint="default"/>
                <w:sz w:val="18"/>
                <w:szCs w:val="18"/>
              </w:rPr>
              <w:t> 美森国 际教育 咨询有 限公司</w:t>
            </w:r>
          </w:p>
          <w:p>
            <w:pPr>
              <w:pStyle w:val="TableParagraph"/>
              <w:spacing w:line="309" w:lineRule="auto" w:before="20"/>
              <w:ind w:left="23" w:right="79"/>
              <w:jc w:val="left"/>
              <w:rPr>
                <w:rFonts w:ascii="宋体" w:hAnsi="宋体" w:cs="宋体" w:eastAsia="宋体" w:hint="default"/>
                <w:sz w:val="18"/>
                <w:szCs w:val="18"/>
              </w:rPr>
            </w:pP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瑞 美森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5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控股子公 司哆可梦 将其承租 的房产转 租给启成 投资、瑞 美森</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4"/>
              <w:jc w:val="center"/>
              <w:rPr>
                <w:rFonts w:ascii="宋体" w:hAnsi="宋体" w:cs="宋体" w:eastAsia="宋体" w:hint="default"/>
                <w:sz w:val="18"/>
                <w:szCs w:val="18"/>
              </w:rPr>
            </w:pPr>
            <w:r>
              <w:rPr>
                <w:rFonts w:ascii="宋体" w:hAnsi="宋体" w:cs="宋体" w:eastAsia="宋体" w:hint="default"/>
                <w:sz w:val="18"/>
                <w:szCs w:val="18"/>
              </w:rPr>
              <w:t>市场公允价</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租赁期限均为自</w:t>
            </w:r>
          </w:p>
          <w:p>
            <w:pPr>
              <w:pStyle w:val="TableParagraph"/>
              <w:spacing w:line="240" w:lineRule="auto" w:before="74"/>
              <w:ind w:left="21"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21"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日，三年房屋 租赁费用合计均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交易金额总计为</w:t>
            </w:r>
          </w:p>
          <w:p>
            <w:pPr>
              <w:pStyle w:val="TableParagraph"/>
              <w:spacing w:line="240" w:lineRule="auto" w:before="26"/>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372.13 </w:t>
            </w:r>
            <w:r>
              <w:rPr>
                <w:rFonts w:ascii="宋体" w:hAnsi="宋体" w:cs="宋体" w:eastAsia="宋体" w:hint="default"/>
                <w:sz w:val="18"/>
                <w:szCs w:val="18"/>
              </w:rPr>
              <w:t>万元。</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36.99</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1" w:right="0"/>
              <w:jc w:val="left"/>
              <w:rPr>
                <w:rFonts w:ascii="Times New Roman" w:hAnsi="Times New Roman" w:cs="Times New Roman" w:eastAsia="Times New Roman" w:hint="default"/>
                <w:sz w:val="18"/>
                <w:szCs w:val="18"/>
              </w:rPr>
            </w:pPr>
            <w:r>
              <w:rPr>
                <w:rFonts w:ascii="Times New Roman"/>
                <w:sz w:val="18"/>
              </w:rPr>
              <w:t>9.80%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372.13</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407"/>
              <w:jc w:val="right"/>
              <w:rPr>
                <w:rFonts w:ascii="Times New Roman" w:hAnsi="Times New Roman" w:cs="Times New Roman" w:eastAsia="Times New Roman" w:hint="default"/>
                <w:sz w:val="18"/>
                <w:szCs w:val="18"/>
              </w:rPr>
            </w:pPr>
            <w:r>
              <w:rPr>
                <w:rFonts w:ascii="Times New Roman"/>
                <w:sz w:val="18"/>
              </w:rPr>
              <w:t>36.99</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4"/>
              <w:ind w:left="21" w:right="7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 的《深圳市惠程信息科技 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 季度报告全文》</w:t>
            </w:r>
          </w:p>
        </w:tc>
      </w:tr>
      <w:tr>
        <w:trPr>
          <w:trHeight w:val="401" w:hRule="exact"/>
        </w:trPr>
        <w:tc>
          <w:tcPr>
            <w:tcW w:w="31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377.34</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1,464.55</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83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1083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1083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40" w:right="1320"/>
        </w:sectPr>
      </w:pPr>
    </w:p>
    <w:p>
      <w:pPr>
        <w:spacing w:line="240" w:lineRule="auto" w:before="8"/>
        <w:rPr>
          <w:rFonts w:ascii="Times New Roman" w:hAnsi="Times New Roman" w:cs="Times New Roman" w:eastAsia="Times New Roman"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708"/>
        <w:gridCol w:w="852"/>
        <w:gridCol w:w="2269"/>
        <w:gridCol w:w="850"/>
        <w:gridCol w:w="1133"/>
        <w:gridCol w:w="994"/>
        <w:gridCol w:w="708"/>
        <w:gridCol w:w="946"/>
        <w:gridCol w:w="1109"/>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 w:right="38"/>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189"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65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上市公司 副总裁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根据哆可梦前控股股东、实 际控制人寇汉在公司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年重大资产重组时出具承 诺，公司向寇汉预收的诉讼 赔偿保证金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上市公司 副总裁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尚未到期的哆可梦股权受让 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47,371.17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32,766.31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14,604.86</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上市公司 副总裁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代收成都市人才奖励计划奖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林嘉喜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尚未到期的哆可梦股权受让 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4,674.98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3,233.65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1,441.33</w:t>
            </w:r>
          </w:p>
        </w:tc>
      </w:tr>
      <w:tr>
        <w:trPr>
          <w:trHeight w:val="1027" w:hRule="exact"/>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关联债务对公司经 营成果及财务状况 的影响</w:t>
            </w:r>
          </w:p>
        </w:tc>
        <w:tc>
          <w:tcPr>
            <w:tcW w:w="80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headerReference w:type="default" r:id="rId34"/>
          <w:footerReference w:type="default" r:id="rId35"/>
          <w:pgSz w:w="11910" w:h="16840"/>
          <w:pgMar w:header="877" w:footer="980" w:top="1100" w:bottom="1160" w:left="980" w:right="0"/>
          <w:pgNumType w:start="5"/>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十七、重大合同及其履行情况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39"/>
        <w:ind w:right="0"/>
        <w:jc w:val="left"/>
        <w:rPr>
          <w:rFonts w:ascii="Times New Roman" w:hAnsi="Times New Roman" w:cs="Times New Roman" w:eastAsia="Times New Roman" w:hint="default"/>
        </w:rPr>
      </w:pPr>
      <w:r>
        <w:rPr/>
        <w:t>报告期内，公司及下属子公司合计发生房屋租赁不含税费用</w:t>
      </w:r>
      <w:r>
        <w:rPr>
          <w:spacing w:val="-25"/>
        </w:rPr>
        <w:t> </w:t>
      </w:r>
      <w:r>
        <w:rPr>
          <w:rFonts w:ascii="Times New Roman" w:hAnsi="Times New Roman" w:cs="Times New Roman" w:eastAsia="Times New Roman" w:hint="default"/>
        </w:rPr>
        <w:t>10,796,261.72</w:t>
      </w:r>
      <w:r>
        <w:rPr/>
        <w:t>元，合计取得房屋出租不含税收入</w:t>
      </w:r>
      <w:r>
        <w:rPr>
          <w:rFonts w:ascii="Times New Roman" w:hAnsi="Times New Roman" w:cs="Times New Roman" w:eastAsia="Times New Roman" w:hint="default"/>
        </w:rPr>
        <w:t>4,913,427.80</w:t>
      </w:r>
    </w:p>
    <w:p>
      <w:pPr>
        <w:pStyle w:val="BodyText"/>
        <w:spacing w:line="240" w:lineRule="auto" w:before="63"/>
        <w:ind w:right="0"/>
        <w:jc w:val="left"/>
      </w:pPr>
      <w:r>
        <w:rPr/>
        <w:t>元。</w:t>
      </w:r>
    </w:p>
    <w:p>
      <w:pPr>
        <w:pStyle w:val="BodyText"/>
        <w:spacing w:line="240" w:lineRule="auto" w:before="11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80"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868"/>
        <w:gridCol w:w="1964"/>
        <w:gridCol w:w="1980"/>
        <w:gridCol w:w="1909"/>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41,150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137"/>
        <w:jc w:val="right"/>
      </w:pPr>
      <w:r>
        <w:rPr/>
        <w:t>单位：万元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833"/>
        <w:gridCol w:w="859"/>
        <w:gridCol w:w="998"/>
        <w:gridCol w:w="571"/>
        <w:gridCol w:w="850"/>
        <w:gridCol w:w="948"/>
        <w:gridCol w:w="893"/>
        <w:gridCol w:w="566"/>
        <w:gridCol w:w="1133"/>
        <w:gridCol w:w="677"/>
        <w:gridCol w:w="818"/>
        <w:gridCol w:w="816"/>
        <w:gridCol w:w="816"/>
        <w:gridCol w:w="802"/>
        <w:gridCol w:w="799"/>
        <w:gridCol w:w="658"/>
        <w:gridCol w:w="912"/>
      </w:tblGrid>
      <w:tr>
        <w:trPr>
          <w:trHeight w:val="1339" w:hRule="exact"/>
        </w:trPr>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6" w:lineRule="auto" w:before="76"/>
              <w:ind w:left="62" w:right="65"/>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6" w:right="98"/>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70" w:right="111" w:hanging="360"/>
              <w:jc w:val="left"/>
              <w:rPr>
                <w:rFonts w:ascii="宋体" w:hAnsi="宋体" w:cs="宋体" w:eastAsia="宋体" w:hint="default"/>
                <w:sz w:val="18"/>
                <w:szCs w:val="18"/>
              </w:rPr>
            </w:pPr>
            <w:r>
              <w:rPr>
                <w:rFonts w:ascii="宋体" w:hAnsi="宋体" w:cs="宋体" w:eastAsia="宋体" w:hint="default"/>
                <w:sz w:val="18"/>
                <w:szCs w:val="18"/>
              </w:rPr>
              <w:t>报酬确定方 式</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 w:right="34"/>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5"/>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91"/>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p>
            <w:pPr>
              <w:pStyle w:val="TableParagraph"/>
              <w:spacing w:line="240" w:lineRule="auto" w:before="19"/>
              <w:ind w:left="88" w:right="0"/>
              <w:jc w:val="both"/>
              <w:rPr>
                <w:rFonts w:ascii="宋体" w:hAnsi="宋体" w:cs="宋体" w:eastAsia="宋体" w:hint="default"/>
                <w:sz w:val="18"/>
                <w:szCs w:val="18"/>
              </w:rPr>
            </w:pPr>
            <w:r>
              <w:rPr>
                <w:rFonts w:ascii="宋体" w:hAnsi="宋体" w:cs="宋体" w:eastAsia="宋体" w:hint="default"/>
                <w:sz w:val="18"/>
                <w:szCs w:val="18"/>
              </w:rPr>
              <w:t>（如有）</w:t>
            </w: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银行理财产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到期还本分 期付息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信托理财产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到期还本付 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信托理财产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到期还本付 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兴业银行 深圳分行</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银行理财产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到期还本分 期付息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34.20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信托理财产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到期还本付 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483.09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信托理财产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到期还本付 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416.64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416.64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416.64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信托理财产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到期还本付 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1,006.94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1,006.94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1,006.94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left"/>
              <w:rPr>
                <w:rFonts w:ascii="宋体" w:hAnsi="宋体" w:cs="宋体" w:eastAsia="宋体" w:hint="default"/>
                <w:sz w:val="18"/>
                <w:szCs w:val="18"/>
              </w:rPr>
            </w:pPr>
            <w:r>
              <w:rPr>
                <w:rFonts w:ascii="宋体" w:hAnsi="宋体" w:cs="宋体" w:eastAsia="宋体" w:hint="default"/>
                <w:sz w:val="18"/>
                <w:szCs w:val="18"/>
              </w:rPr>
              <w:t>信托理财产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01"/>
              <w:jc w:val="left"/>
              <w:rPr>
                <w:rFonts w:ascii="宋体" w:hAnsi="宋体" w:cs="宋体" w:eastAsia="宋体" w:hint="default"/>
                <w:sz w:val="18"/>
                <w:szCs w:val="18"/>
              </w:rPr>
            </w:pPr>
            <w:r>
              <w:rPr>
                <w:rFonts w:ascii="宋体" w:hAnsi="宋体" w:cs="宋体" w:eastAsia="宋体" w:hint="default"/>
                <w:sz w:val="18"/>
                <w:szCs w:val="18"/>
              </w:rPr>
              <w:t>到期还本付 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平安银行 坪山新区 支行</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银行理财产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201"/>
              <w:jc w:val="left"/>
              <w:rPr>
                <w:rFonts w:ascii="宋体" w:hAnsi="宋体" w:cs="宋体" w:eastAsia="宋体" w:hint="default"/>
                <w:sz w:val="18"/>
                <w:szCs w:val="18"/>
              </w:rPr>
            </w:pPr>
            <w:r>
              <w:rPr>
                <w:rFonts w:ascii="宋体" w:hAnsi="宋体" w:cs="宋体" w:eastAsia="宋体" w:hint="default"/>
                <w:sz w:val="18"/>
                <w:szCs w:val="18"/>
              </w:rPr>
              <w:t>到期还本一 次性付息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78.89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平安银行 坪山新区 支行</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银行理财产 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01"/>
              <w:jc w:val="left"/>
              <w:rPr>
                <w:rFonts w:ascii="宋体" w:hAnsi="宋体" w:cs="宋体" w:eastAsia="宋体" w:hint="default"/>
                <w:sz w:val="18"/>
                <w:szCs w:val="18"/>
              </w:rPr>
            </w:pPr>
            <w:r>
              <w:rPr>
                <w:rFonts w:ascii="宋体" w:hAnsi="宋体" w:cs="宋体" w:eastAsia="宋体" w:hint="default"/>
                <w:sz w:val="18"/>
                <w:szCs w:val="18"/>
              </w:rPr>
              <w:t>到期还本一 次性付息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24.19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6"/>
          <w:footerReference w:type="default" r:id="rId37"/>
          <w:pgSz w:w="16840" w:h="11910" w:orient="landscape"/>
          <w:pgMar w:header="867" w:footer="980" w:top="1060" w:bottom="1160" w:left="1300" w:right="1300"/>
          <w:pgNumType w:start="7"/>
        </w:sectPr>
      </w:pPr>
    </w:p>
    <w:p>
      <w:pPr>
        <w:spacing w:line="240" w:lineRule="auto" w:before="1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33"/>
        <w:gridCol w:w="859"/>
        <w:gridCol w:w="998"/>
        <w:gridCol w:w="571"/>
        <w:gridCol w:w="850"/>
        <w:gridCol w:w="948"/>
        <w:gridCol w:w="893"/>
        <w:gridCol w:w="566"/>
        <w:gridCol w:w="1133"/>
        <w:gridCol w:w="677"/>
        <w:gridCol w:w="818"/>
        <w:gridCol w:w="816"/>
        <w:gridCol w:w="816"/>
        <w:gridCol w:w="802"/>
        <w:gridCol w:w="799"/>
        <w:gridCol w:w="658"/>
        <w:gridCol w:w="912"/>
      </w:tblGrid>
      <w:tr>
        <w:trPr>
          <w:trHeight w:val="1042" w:hRule="exact"/>
        </w:trPr>
        <w:tc>
          <w:tcPr>
            <w:tcW w:w="83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平安银行 坪山新区 支行</w:t>
            </w:r>
          </w:p>
        </w:tc>
        <w:tc>
          <w:tcPr>
            <w:tcW w:w="8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银行理财产 品</w:t>
            </w:r>
          </w:p>
        </w:tc>
        <w:tc>
          <w:tcPr>
            <w:tcW w:w="5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201"/>
              <w:jc w:val="left"/>
              <w:rPr>
                <w:rFonts w:ascii="宋体" w:hAnsi="宋体" w:cs="宋体" w:eastAsia="宋体" w:hint="default"/>
                <w:sz w:val="18"/>
                <w:szCs w:val="18"/>
              </w:rPr>
            </w:pPr>
            <w:r>
              <w:rPr>
                <w:rFonts w:ascii="宋体" w:hAnsi="宋体" w:cs="宋体" w:eastAsia="宋体" w:hint="default"/>
                <w:sz w:val="18"/>
                <w:szCs w:val="18"/>
              </w:rPr>
              <w:t>到期还本一 次性付息</w:t>
            </w:r>
          </w:p>
        </w:tc>
        <w:tc>
          <w:tcPr>
            <w:tcW w:w="6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2.50%</w:t>
            </w: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c>
          <w:tcPr>
            <w:tcW w:w="8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c>
          <w:tcPr>
            <w:tcW w:w="8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0.10</w:t>
            </w: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6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90,750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2,206.82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2,064.34</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00" w:right="0"/>
        <w:jc w:val="left"/>
      </w:pPr>
      <w:r>
        <w:rPr/>
        <w:t>委托理财出现预期无法收回本金或存在其他可能导致减值的情形</w:t>
      </w:r>
    </w:p>
    <w:p>
      <w:pPr>
        <w:pStyle w:val="BodyText"/>
        <w:spacing w:line="240" w:lineRule="auto" w:before="115"/>
        <w:ind w:left="1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left="100"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left="100" w:right="117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16"/>
          <w:szCs w:val="16"/>
        </w:rPr>
      </w:pPr>
    </w:p>
    <w:p>
      <w:pPr>
        <w:pStyle w:val="Heading3"/>
        <w:spacing w:line="240" w:lineRule="auto"/>
        <w:ind w:left="100"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left="100" w:right="11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6840" w:h="11910" w:orient="landscape"/>
          <w:pgMar w:header="867" w:footer="980" w:top="1060" w:bottom="1160" w:left="134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367" w:lineRule="exact"/>
        <w:ind w:right="0"/>
        <w:jc w:val="left"/>
        <w:rPr>
          <w:b w:val="0"/>
          <w:bCs w:val="0"/>
        </w:rPr>
      </w:pPr>
      <w:r>
        <w:rPr/>
        <w:t>十八、社会责任情况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31" w:firstLine="360"/>
        <w:jc w:val="both"/>
      </w:pPr>
      <w:r>
        <w:rPr/>
        <w:t>公司自成立以来，一直积极履行自身社会责任，公司看重的不仅是经济利益，更重要的是企业和社会的可持续发展。 在生产经营和业务发展的过程中，在为股东创造价值的同时，努力做到经济效益与社会效益、短期利益与长期利益、自身 发展与社会发展协调统一，实现公司与员工、公司与社会、公司与环境的健康和谐发展。</w:t>
      </w:r>
    </w:p>
    <w:p>
      <w:pPr>
        <w:pStyle w:val="BodyText"/>
        <w:spacing w:line="316" w:lineRule="auto" w:before="19"/>
        <w:ind w:right="1214" w:firstLine="360"/>
        <w:jc w:val="left"/>
      </w:pPr>
      <w:r>
        <w:rPr/>
        <w:t>在股东和债权人权益保护方面，公司严格按照《公司法》、《证券法》、《公司章程》和其他有关法律法规的要求， 结合公司实际，建立了规范的法人治理结构，规范股东大会的召集、召开及表决程序，通过现场、网络等合法有效的方 式，让更多的股东特别是中小股东能够参加股东大会，确保股东对公司重大事项的知情权、参与权和表决权。公司认真履 行信息披露义务，秉持公平、公正、公开的原则对待全体投资者和债权人，维护广大投资者和债权人的利益。</w:t>
      </w:r>
    </w:p>
    <w:p>
      <w:pPr>
        <w:pStyle w:val="BodyText"/>
        <w:spacing w:line="309" w:lineRule="auto" w:before="19"/>
        <w:ind w:right="1174" w:firstLine="360"/>
        <w:jc w:val="left"/>
      </w:pPr>
      <w:r>
        <w:rPr/>
        <w:t>在职工权益保护方面，公司不断完善劳动用工与福利保障的相关管理制度，尊重和维护员工的个人权益，对人员录 用、员工培训、工资薪酬、福利保障等进行了详细规定，建立了较为完善的绩效考核体系。公司通过多种渠道和途径改善 员工工作环境和生活环境，重视人才培训和培养，实现员工与公司的共同成长，切实维护员工的合法权益。此外，为加强 企业文化建设，增强集体凝聚力，丰富员工文化生活，报告期内公司组织员工顺利召开第四届会员代表大会第一次全体会 议暨工会换届选举大会、举行庆祝建党九十八周年升旗仪式、举办惠程科技</w:t>
      </w:r>
      <w:r>
        <w:rPr>
          <w:rFonts w:ascii="Times New Roman" w:hAnsi="Times New Roman" w:cs="Times New Roman" w:eastAsia="Times New Roman" w:hint="default"/>
        </w:rPr>
        <w:t>2019</w:t>
      </w:r>
      <w:r>
        <w:rPr/>
        <w:t>年度台球比赛；在坪山区总工会召开的庆 祝</w:t>
      </w:r>
      <w:r>
        <w:rPr>
          <w:rFonts w:ascii="Times New Roman" w:hAnsi="Times New Roman" w:cs="Times New Roman" w:eastAsia="Times New Roman" w:hint="default"/>
        </w:rPr>
        <w:t>“</w:t>
      </w:r>
      <w:r>
        <w:rPr/>
        <w:t>五一</w:t>
      </w:r>
      <w:r>
        <w:rPr>
          <w:rFonts w:ascii="Times New Roman" w:hAnsi="Times New Roman" w:cs="Times New Roman" w:eastAsia="Times New Roman" w:hint="default"/>
        </w:rPr>
        <w:t>”</w:t>
      </w:r>
      <w:r>
        <w:rPr/>
        <w:t>国际劳动节暨表彰大会上，不仅公司获得了</w:t>
      </w:r>
      <w:r>
        <w:rPr>
          <w:rFonts w:ascii="Times New Roman" w:hAnsi="Times New Roman" w:cs="Times New Roman" w:eastAsia="Times New Roman" w:hint="default"/>
        </w:rPr>
        <w:t>“2019</w:t>
      </w:r>
      <w:r>
        <w:rPr/>
        <w:t>年深圳市五一劳动奖状</w:t>
      </w:r>
      <w:r>
        <w:rPr>
          <w:rFonts w:ascii="Times New Roman" w:hAnsi="Times New Roman" w:cs="Times New Roman" w:eastAsia="Times New Roman" w:hint="default"/>
        </w:rPr>
        <w:t>”</w:t>
      </w:r>
      <w:r>
        <w:rPr/>
        <w:t>荣誉，公司员工刘明征先生也获得</w:t>
      </w:r>
      <w:r>
        <w:rPr>
          <w:rFonts w:ascii="Times New Roman" w:hAnsi="Times New Roman" w:cs="Times New Roman" w:eastAsia="Times New Roman" w:hint="default"/>
        </w:rPr>
        <w:t>“2019 </w:t>
      </w:r>
      <w:r>
        <w:rPr/>
        <w:t>年深圳市坪山区五一劳动奖章</w:t>
      </w:r>
      <w:r>
        <w:rPr>
          <w:rFonts w:ascii="Times New Roman" w:hAnsi="Times New Roman" w:cs="Times New Roman" w:eastAsia="Times New Roman" w:hint="default"/>
        </w:rPr>
        <w:t>”</w:t>
      </w:r>
      <w:r>
        <w:rPr/>
        <w:t>，公司上一年度奖章获得者杨银泽先生的优秀事迹还在本次表彰大会中改编成话剧进行展 演。</w:t>
      </w:r>
    </w:p>
    <w:p>
      <w:pPr>
        <w:pStyle w:val="BodyText"/>
        <w:spacing w:line="312" w:lineRule="auto" w:before="24"/>
        <w:ind w:right="1231" w:firstLine="360"/>
        <w:jc w:val="both"/>
      </w:pPr>
      <w:r>
        <w:rPr/>
        <w:t>在供应商、客户和消费者权益保护方面，公司建立了一整套输配电设备采购和销售服务体系，确保产品质量，方便用 户使用，获得了较高的客户满意度和忠诚度。公司进一步加强对服务工作的重视，健全和完善服务管理体制和运行机制， 做到服务与经营工作同步推进，完善客户意见反馈机制、投诉处理机制和快速响应机制，</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的服务管理新体 系、新机制日趋完善。</w:t>
      </w:r>
    </w:p>
    <w:p>
      <w:pPr>
        <w:pStyle w:val="BodyText"/>
        <w:spacing w:line="316" w:lineRule="auto" w:before="23"/>
        <w:ind w:right="1230" w:firstLine="360"/>
        <w:jc w:val="both"/>
      </w:pPr>
      <w:r>
        <w:rPr/>
        <w:t>在环境保护与可持续发展方面，公司将环境保护和节能减排作为可持续发展战略的重要内容，注重环保宣传和全体人 员环保意识的提高，树立绿色发展和低碳发展的理念，坚持守法自律、清洁生产、节约资源、保护环境、可持续发展，加 大对新材料、新技术、新能源的探索，以改进生产工艺，争取实现生产全过程绿色化、低碳化。</w:t>
      </w:r>
    </w:p>
    <w:p>
      <w:pPr>
        <w:pStyle w:val="BodyText"/>
        <w:spacing w:line="316" w:lineRule="auto" w:before="59"/>
        <w:ind w:right="0" w:firstLine="360"/>
        <w:jc w:val="left"/>
      </w:pPr>
      <w:r>
        <w:rPr>
          <w:spacing w:val="-2"/>
        </w:rPr>
        <w:t>在公共关系、社会公益事业方面，公司多年前就成立了惠程股份义工协会，自成立以来一直积极组织员工参与各项爱心</w:t>
      </w:r>
      <w:r>
        <w:rPr/>
        <w:t> 活动，希望把关爱的惠程文化传播给身边每一个人，感召更多的人参与到义工活动中来。</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5714"/>
        <w:jc w:val="left"/>
      </w:pPr>
      <w:r>
        <w:rPr/>
        <w:t>上市公司及其子公司是否属于环境保护部门公布的重点排污单位 否</w:t>
      </w:r>
    </w:p>
    <w:p>
      <w:pPr>
        <w:pStyle w:val="BodyText"/>
        <w:spacing w:line="316" w:lineRule="auto" w:before="25"/>
        <w:ind w:right="1231" w:firstLine="360"/>
        <w:jc w:val="both"/>
      </w:pPr>
      <w:r>
        <w:rPr/>
        <w:t>公司不属于环境保护部门公布的重点排污单位，在环境保护方面，公司将环境保护和节能减排作为可持续发展战略的 重要内容，注重环保宣传和全体人员环保意识的提高，树立绿色发展和低碳发展的理念，坚持守法自律、清洁生产、节约 资源、保护环境、可持续发展，加大对新材料、新技术、新能源的探索，以改进生产工艺，争取实现生产全过程绿色化、 低碳化。</w:t>
      </w:r>
    </w:p>
    <w:p>
      <w:pPr>
        <w:spacing w:after="0" w:line="316" w:lineRule="auto"/>
        <w:jc w:val="both"/>
        <w:sectPr>
          <w:headerReference w:type="default" r:id="rId38"/>
          <w:footerReference w:type="default" r:id="rId39"/>
          <w:pgSz w:w="11910" w:h="16840"/>
          <w:pgMar w:header="877" w:footer="980" w:top="1100" w:bottom="1160" w:left="980" w:right="0"/>
          <w:pgNumType w:start="4"/>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十九、其他重大事项的说明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1"/>
        <w:ind w:right="1146" w:firstLine="35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月，经公司总裁办公会审议批准，公司与北京营报传媒文化发展有限责任公司（以下简称</w:t>
      </w:r>
      <w:r>
        <w:rPr>
          <w:rFonts w:ascii="Times New Roman" w:hAnsi="Times New Roman" w:cs="Times New Roman" w:eastAsia="Times New Roman" w:hint="default"/>
        </w:rPr>
        <w:t>“</w:t>
      </w:r>
      <w:r>
        <w:rPr/>
        <w:t>营报传媒</w:t>
      </w:r>
      <w:r>
        <w:rPr>
          <w:rFonts w:ascii="Times New Roman" w:hAnsi="Times New Roman" w:cs="Times New Roman" w:eastAsia="Times New Roman" w:hint="default"/>
        </w:rPr>
        <w:t>”</w:t>
      </w:r>
      <w:r>
        <w:rPr/>
        <w:t>）签 订《战略合作框架协议》，协议主要内容为：营报传媒及相关方将联合发起成立一家新公司，专业从事财经短视频内容产 生、聚集和分发的新媒体业务；在营报传媒及相关方获得必要的内部批准后</w:t>
      </w:r>
      <w:r>
        <w:rPr>
          <w:rFonts w:ascii="Times New Roman" w:hAnsi="Times New Roman" w:cs="Times New Roman" w:eastAsia="Times New Roman" w:hint="default"/>
        </w:rPr>
        <w:t>,</w:t>
      </w:r>
      <w:r>
        <w:rPr/>
        <w:t>公司将参与新公司未来的增资以及未来战略发 展。</w:t>
      </w:r>
    </w:p>
    <w:p>
      <w:pPr>
        <w:pStyle w:val="BodyText"/>
        <w:spacing w:line="300" w:lineRule="auto" w:before="26"/>
        <w:ind w:right="1230" w:firstLine="358"/>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月，经公司总裁办公会审议批准，公司以不超过人民币</w:t>
      </w:r>
      <w:r>
        <w:rPr>
          <w:rFonts w:ascii="Times New Roman" w:hAnsi="Times New Roman" w:cs="Times New Roman" w:eastAsia="Times New Roman" w:hint="default"/>
        </w:rPr>
        <w:t>500</w:t>
      </w:r>
      <w:r>
        <w:rPr/>
        <w:t>万元向北京智金未来传媒科技有限责任公司（以下 简称</w:t>
      </w:r>
      <w:r>
        <w:rPr>
          <w:rFonts w:ascii="Times New Roman" w:hAnsi="Times New Roman" w:cs="Times New Roman" w:eastAsia="Times New Roman" w:hint="default"/>
        </w:rPr>
        <w:t>“</w:t>
      </w:r>
      <w:r>
        <w:rPr/>
        <w:t>智金未来</w:t>
      </w:r>
      <w:r>
        <w:rPr>
          <w:rFonts w:ascii="Times New Roman" w:hAnsi="Times New Roman" w:cs="Times New Roman" w:eastAsia="Times New Roman" w:hint="default"/>
        </w:rPr>
        <w:t>”</w:t>
      </w:r>
      <w:r>
        <w:rPr/>
        <w:t>）进行增资，其中</w:t>
      </w:r>
      <w:r>
        <w:rPr>
          <w:rFonts w:ascii="Times New Roman" w:hAnsi="Times New Roman" w:cs="Times New Roman" w:eastAsia="Times New Roman" w:hint="default"/>
        </w:rPr>
        <w:t>37.04</w:t>
      </w:r>
      <w:r>
        <w:rPr/>
        <w:t>万元计入智金未来注册资本，剩余</w:t>
      </w:r>
      <w:r>
        <w:rPr>
          <w:rFonts w:ascii="Times New Roman" w:hAnsi="Times New Roman" w:cs="Times New Roman" w:eastAsia="Times New Roman" w:hint="default"/>
        </w:rPr>
        <w:t>462.96</w:t>
      </w:r>
      <w:r>
        <w:rPr/>
        <w:t>万元计入智金未来的资本公积金，增资完 成后公司持有智金未来</w:t>
      </w:r>
      <w:r>
        <w:rPr>
          <w:rFonts w:ascii="Times New Roman" w:hAnsi="Times New Roman" w:cs="Times New Roman" w:eastAsia="Times New Roman" w:hint="default"/>
        </w:rPr>
        <w:t>3.57%</w:t>
      </w:r>
      <w:r>
        <w:rPr/>
        <w:t>的股权。截止本报告披露日，相关工商变更登记手续已经办理完毕。</w:t>
      </w:r>
    </w:p>
    <w:p>
      <w:pPr>
        <w:pStyle w:val="BodyText"/>
        <w:spacing w:line="300" w:lineRule="auto" w:before="13"/>
        <w:ind w:right="1221" w:firstLine="28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月，经公司总裁办公会审议批准，公司以项目投资方式对</w:t>
      </w:r>
      <w:r>
        <w:rPr>
          <w:rFonts w:ascii="Times New Roman" w:hAnsi="Times New Roman" w:cs="Times New Roman" w:eastAsia="Times New Roman" w:hint="default"/>
        </w:rPr>
        <w:t>“</w:t>
      </w:r>
      <w:r>
        <w:rPr/>
        <w:t>北京互联星梦科技有限公司</w:t>
      </w:r>
      <w:r>
        <w:rPr>
          <w:rFonts w:ascii="Times New Roman" w:hAnsi="Times New Roman" w:cs="Times New Roman" w:eastAsia="Times New Roman" w:hint="default"/>
        </w:rPr>
        <w:t>”</w:t>
      </w:r>
      <w:r>
        <w:rPr/>
        <w:t>研发的游戏进行投 资，投资金额不超过人民币</w:t>
      </w:r>
      <w:r>
        <w:rPr>
          <w:rFonts w:ascii="Times New Roman" w:hAnsi="Times New Roman" w:cs="Times New Roman" w:eastAsia="Times New Roman" w:hint="default"/>
        </w:rPr>
        <w:t>400</w:t>
      </w:r>
      <w:r>
        <w:rPr/>
        <w:t>万。</w:t>
      </w:r>
    </w:p>
    <w:p>
      <w:pPr>
        <w:pStyle w:val="BodyText"/>
        <w:spacing w:line="240" w:lineRule="auto" w:before="13"/>
        <w:ind w:left="436" w:right="0"/>
        <w:jc w:val="left"/>
      </w:pPr>
      <w:r>
        <w:rPr>
          <w:rFonts w:ascii="Times New Roman" w:hAnsi="Times New Roman" w:cs="Times New Roman" w:eastAsia="Times New Roman" w:hint="default"/>
        </w:rPr>
        <w:t>3</w:t>
      </w:r>
      <w:r>
        <w:rPr/>
        <w:t>、其他已作为临时报告披露的重大事项：</w:t>
      </w:r>
    </w:p>
    <w:p>
      <w:pPr>
        <w:spacing w:line="240" w:lineRule="auto" w:before="2"/>
        <w:rPr>
          <w:rFonts w:ascii="宋体" w:hAnsi="宋体" w:cs="宋体" w:eastAsia="宋体" w:hint="default"/>
          <w:sz w:val="4"/>
          <w:szCs w:val="4"/>
        </w:rPr>
      </w:pPr>
    </w:p>
    <w:tbl>
      <w:tblPr>
        <w:tblW w:w="0" w:type="auto"/>
        <w:jc w:val="left"/>
        <w:tblInd w:w="172" w:type="dxa"/>
        <w:tblLayout w:type="fixed"/>
        <w:tblCellMar>
          <w:top w:w="0" w:type="dxa"/>
          <w:left w:w="0" w:type="dxa"/>
          <w:bottom w:w="0" w:type="dxa"/>
          <w:right w:w="0" w:type="dxa"/>
        </w:tblCellMar>
        <w:tblLook w:val="01E0"/>
      </w:tblPr>
      <w:tblGrid>
        <w:gridCol w:w="910"/>
        <w:gridCol w:w="4895"/>
        <w:gridCol w:w="1277"/>
        <w:gridCol w:w="2552"/>
      </w:tblGrid>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登载日期</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登载的互联网网站及检索路径</w:t>
            </w:r>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001</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关于公司与清华大学签订合作协议的公告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006</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5"/>
              <w:jc w:val="left"/>
              <w:rPr>
                <w:rFonts w:ascii="宋体" w:hAnsi="宋体" w:cs="宋体" w:eastAsia="宋体" w:hint="default"/>
                <w:sz w:val="18"/>
                <w:szCs w:val="18"/>
              </w:rPr>
            </w:pPr>
            <w:r>
              <w:rPr>
                <w:rFonts w:ascii="宋体" w:hAnsi="宋体" w:cs="宋体" w:eastAsia="宋体" w:hint="default"/>
                <w:sz w:val="18"/>
                <w:szCs w:val="18"/>
              </w:rPr>
              <w:t>关于注销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年第二期股权激励计划首次授予部分第二个行权 期已到期未行权股票期权的公告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007</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关于部分股票期权注销完成的公告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关于控股股东股票质押式回购交易到期购回的公告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010</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
              <w:jc w:val="left"/>
              <w:rPr>
                <w:rFonts w:ascii="宋体" w:hAnsi="宋体" w:cs="宋体" w:eastAsia="宋体" w:hint="default"/>
                <w:sz w:val="18"/>
                <w:szCs w:val="18"/>
              </w:rPr>
            </w:pPr>
            <w:r>
              <w:rPr>
                <w:rFonts w:ascii="宋体" w:hAnsi="宋体" w:cs="宋体" w:eastAsia="宋体" w:hint="default"/>
                <w:sz w:val="18"/>
                <w:szCs w:val="18"/>
              </w:rPr>
              <w:t>关于公司名称变更、注册资本变更、经营范围变更和章程修正 案备案完成工商登记的公告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011</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关于公司证券简称变更的公告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015</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关于部分董事、高级管理人员减持计划实施完毕的公告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016</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关于合作意向书之终止协议进展公告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关于控股股东进行股份质押的公告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019</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关于控股股东及其一致行动人完成增持公司股份计划的公告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023</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5"/>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年限制性股票激励计划部分限制性股票的公 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024</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029</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关于对外转让产业并购基金全部出资份额进展公告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033</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041</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关于并购贷款合同的进展公告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045</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关于回购公司股份的方案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9"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050</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关于增加理财产品投资额度的公告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055</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回购股份报告书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057</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关于签署股权收购意向协议暨关联交易的公告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058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关于首次回购公司股份的公告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061</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
              <w:jc w:val="left"/>
              <w:rPr>
                <w:rFonts w:ascii="宋体" w:hAnsi="宋体" w:cs="宋体" w:eastAsia="宋体" w:hint="default"/>
                <w:sz w:val="18"/>
                <w:szCs w:val="18"/>
              </w:rPr>
            </w:pPr>
            <w:r>
              <w:rPr>
                <w:rFonts w:ascii="宋体" w:hAnsi="宋体" w:cs="宋体" w:eastAsia="宋体" w:hint="default"/>
                <w:sz w:val="18"/>
                <w:szCs w:val="18"/>
              </w:rPr>
              <w:t>关于公司与武汉华工创业投资有限责任公司签订战略合作框架 协议的进展公告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067</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关于调整股份回购事项的公告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068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关于回购公司股份的方案（修订稿）</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72" w:type="dxa"/>
        <w:tblLayout w:type="fixed"/>
        <w:tblCellMar>
          <w:top w:w="0" w:type="dxa"/>
          <w:left w:w="0" w:type="dxa"/>
          <w:bottom w:w="0" w:type="dxa"/>
          <w:right w:w="0" w:type="dxa"/>
        </w:tblCellMar>
        <w:tblLook w:val="01E0"/>
      </w:tblPr>
      <w:tblGrid>
        <w:gridCol w:w="910"/>
        <w:gridCol w:w="4895"/>
        <w:gridCol w:w="1277"/>
        <w:gridCol w:w="2552"/>
      </w:tblGrid>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069</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075</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关于公司注册资本变更和章程修正案备案完成工商登记的公告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076</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5"/>
              <w:jc w:val="left"/>
              <w:rPr>
                <w:rFonts w:ascii="宋体" w:hAnsi="宋体" w:cs="宋体" w:eastAsia="宋体" w:hint="default"/>
                <w:sz w:val="18"/>
                <w:szCs w:val="18"/>
              </w:rPr>
            </w:pPr>
            <w:r>
              <w:rPr>
                <w:rFonts w:ascii="宋体" w:hAnsi="宋体" w:cs="宋体" w:eastAsia="宋体" w:hint="default"/>
                <w:sz w:val="18"/>
                <w:szCs w:val="18"/>
              </w:rPr>
              <w:t>关于参加</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年深圳上市公司投资者网上集体接待日活动的公 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078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关于对外转让产业并购基金全部出资份额进展公告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080</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关于签署股权收购意向协议暨关联交易的进展公告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081</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关于公司与以色列</w:t>
            </w:r>
            <w:r>
              <w:rPr>
                <w:rFonts w:ascii="Times New Roman" w:hAnsi="Times New Roman" w:cs="Times New Roman" w:eastAsia="Times New Roman" w:hint="default"/>
                <w:sz w:val="18"/>
                <w:szCs w:val="18"/>
              </w:rPr>
              <w:t>Xjet</w:t>
            </w:r>
            <w:r>
              <w:rPr>
                <w:rFonts w:ascii="宋体" w:hAnsi="宋体" w:cs="宋体" w:eastAsia="宋体" w:hint="default"/>
                <w:sz w:val="18"/>
                <w:szCs w:val="18"/>
              </w:rPr>
              <w:t>有限公司签订战略合作备忘录的公告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082</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关于对外转让产业并购基金全部出资份额进展公告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084</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关于投资以色列</w:t>
            </w:r>
            <w:r>
              <w:rPr>
                <w:rFonts w:ascii="Times New Roman" w:hAnsi="Times New Roman" w:cs="Times New Roman" w:eastAsia="Times New Roman" w:hint="default"/>
                <w:sz w:val="18"/>
                <w:szCs w:val="18"/>
              </w:rPr>
              <w:t>Xjet</w:t>
            </w:r>
            <w:r>
              <w:rPr>
                <w:rFonts w:ascii="宋体" w:hAnsi="宋体" w:cs="宋体" w:eastAsia="宋体" w:hint="default"/>
                <w:sz w:val="18"/>
                <w:szCs w:val="18"/>
              </w:rPr>
              <w:t>有限公司的公告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085</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关于续聘会计师事务所的公告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087</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关于对外转让产业并购基金全部出资份额进展公告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091</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关于监事辞职的公告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096</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098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
              <w:jc w:val="left"/>
              <w:rPr>
                <w:rFonts w:ascii="宋体" w:hAnsi="宋体" w:cs="宋体" w:eastAsia="宋体" w:hint="default"/>
                <w:sz w:val="18"/>
                <w:szCs w:val="18"/>
              </w:rPr>
            </w:pPr>
            <w:r>
              <w:rPr>
                <w:rFonts w:ascii="宋体" w:hAnsi="宋体" w:cs="宋体" w:eastAsia="宋体" w:hint="default"/>
                <w:sz w:val="18"/>
                <w:szCs w:val="18"/>
              </w:rPr>
              <w:t>关于向中国工商银行股份有限公司深圳分行申请融资额度并接 受关联方担保的公告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102</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关于投资以色列</w:t>
            </w:r>
            <w:r>
              <w:rPr>
                <w:rFonts w:ascii="Times New Roman" w:hAnsi="Times New Roman" w:cs="Times New Roman" w:eastAsia="Times New Roman" w:hint="default"/>
                <w:sz w:val="18"/>
                <w:szCs w:val="18"/>
              </w:rPr>
              <w:t>Xjet</w:t>
            </w:r>
            <w:r>
              <w:rPr>
                <w:rFonts w:ascii="宋体" w:hAnsi="宋体" w:cs="宋体" w:eastAsia="宋体" w:hint="default"/>
                <w:sz w:val="18"/>
                <w:szCs w:val="18"/>
              </w:rPr>
              <w:t>有限公司的进展公告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103</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关于回购公司股份期限届满暨回购实施完成的公告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104</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关于投资以色列</w:t>
            </w:r>
            <w:r>
              <w:rPr>
                <w:rFonts w:ascii="Times New Roman" w:hAnsi="Times New Roman" w:cs="Times New Roman" w:eastAsia="Times New Roman" w:hint="default"/>
                <w:sz w:val="18"/>
                <w:szCs w:val="18"/>
              </w:rPr>
              <w:t>Xjet</w:t>
            </w:r>
            <w:r>
              <w:rPr>
                <w:rFonts w:ascii="宋体" w:hAnsi="宋体" w:cs="宋体" w:eastAsia="宋体" w:hint="default"/>
                <w:sz w:val="18"/>
                <w:szCs w:val="18"/>
              </w:rPr>
              <w:t>有限公司的进展公告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105</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关于投资以色列</w:t>
            </w:r>
            <w:r>
              <w:rPr>
                <w:rFonts w:ascii="Times New Roman" w:hAnsi="Times New Roman" w:cs="Times New Roman" w:eastAsia="Times New Roman" w:hint="default"/>
                <w:sz w:val="18"/>
                <w:szCs w:val="18"/>
              </w:rPr>
              <w:t>Xjet</w:t>
            </w:r>
            <w:r>
              <w:rPr>
                <w:rFonts w:ascii="宋体" w:hAnsi="宋体" w:cs="宋体" w:eastAsia="宋体" w:hint="default"/>
                <w:sz w:val="18"/>
                <w:szCs w:val="18"/>
              </w:rPr>
              <w:t>有限公司的进展公告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107</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关于董事长辞职的公告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108</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关于董事辞职的公告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109</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关于高级管理人员辞职的公告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110</w:t>
            </w:r>
          </w:p>
        </w:tc>
        <w:tc>
          <w:tcPr>
            <w:tcW w:w="48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
              <w:jc w:val="left"/>
              <w:rPr>
                <w:rFonts w:ascii="宋体" w:hAnsi="宋体" w:cs="宋体" w:eastAsia="宋体" w:hint="default"/>
                <w:sz w:val="18"/>
                <w:szCs w:val="18"/>
              </w:rPr>
            </w:pPr>
            <w:r>
              <w:rPr>
                <w:rFonts w:ascii="宋体" w:hAnsi="宋体" w:cs="宋体" w:eastAsia="宋体" w:hint="default"/>
                <w:sz w:val="18"/>
                <w:szCs w:val="18"/>
              </w:rPr>
              <w:t>关于董事会秘书、副总裁辞职及聘任董事会秘书、副总裁的公 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二十、公司子公司重大事项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月，经公司总裁办公会审议批准，子公司喀什中汇联银以不超过</w:t>
      </w:r>
      <w:r>
        <w:rPr>
          <w:rFonts w:ascii="Times New Roman" w:hAnsi="Times New Roman" w:cs="Times New Roman" w:eastAsia="Times New Roman" w:hint="default"/>
        </w:rPr>
        <w:t>2,005</w:t>
      </w:r>
      <w:r>
        <w:rPr/>
        <w:t>万元人民币的价格受让爱酷游</w:t>
      </w:r>
      <w:r>
        <w:rPr>
          <w:rFonts w:ascii="Times New Roman" w:hAnsi="Times New Roman" w:cs="Times New Roman" w:eastAsia="Times New Roman" w:hint="default"/>
        </w:rPr>
        <w:t>853,000</w:t>
      </w:r>
    </w:p>
    <w:p>
      <w:pPr>
        <w:pStyle w:val="BodyText"/>
        <w:spacing w:line="240" w:lineRule="auto" w:before="63"/>
        <w:ind w:right="0"/>
        <w:jc w:val="left"/>
      </w:pPr>
      <w:r>
        <w:rPr/>
        <w:t>股股份，占爱酷游总股本的比例约</w:t>
      </w:r>
      <w:r>
        <w:rPr>
          <w:rFonts w:ascii="Times New Roman" w:hAnsi="Times New Roman" w:cs="Times New Roman" w:eastAsia="Times New Roman" w:hint="default"/>
        </w:rPr>
        <w:t>1.67%</w:t>
      </w:r>
      <w:r>
        <w:rPr/>
        <w:t>。截至报告期末，喀什中汇联银合计持有爱酷游</w:t>
      </w:r>
      <w:r>
        <w:rPr>
          <w:rFonts w:ascii="Times New Roman" w:hAnsi="Times New Roman" w:cs="Times New Roman" w:eastAsia="Times New Roman" w:hint="default"/>
        </w:rPr>
        <w:t>5.67%</w:t>
      </w:r>
      <w:r>
        <w:rPr/>
        <w:t>股权。</w:t>
      </w:r>
    </w:p>
    <w:p>
      <w:pPr>
        <w:pStyle w:val="BodyText"/>
        <w:spacing w:line="300" w:lineRule="auto" w:before="63"/>
        <w:ind w:right="113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月，经公司总裁办公会分别审议批准，子公司喀什中汇联银以不超过人民币</w:t>
      </w:r>
      <w:r>
        <w:rPr>
          <w:rFonts w:ascii="Times New Roman" w:hAnsi="Times New Roman" w:cs="Times New Roman" w:eastAsia="Times New Roman" w:hint="default"/>
        </w:rPr>
        <w:t>4,000</w:t>
      </w:r>
      <w:r>
        <w:rPr/>
        <w:t>万元向武汉君达合智信息 科技有限公司（以下简称</w:t>
      </w:r>
      <w:r>
        <w:rPr>
          <w:rFonts w:ascii="Times New Roman" w:hAnsi="Times New Roman" w:cs="Times New Roman" w:eastAsia="Times New Roman" w:hint="default"/>
        </w:rPr>
        <w:t>“</w:t>
      </w:r>
      <w:r>
        <w:rPr/>
        <w:t>君达合智</w:t>
      </w:r>
      <w:r>
        <w:rPr>
          <w:rFonts w:ascii="Times New Roman" w:hAnsi="Times New Roman" w:cs="Times New Roman" w:eastAsia="Times New Roman" w:hint="default"/>
        </w:rPr>
        <w:t>”</w:t>
      </w:r>
      <w:r>
        <w:rPr/>
        <w:t>）进行增资、以不超过人民币</w:t>
      </w:r>
      <w:r>
        <w:rPr>
          <w:rFonts w:ascii="Times New Roman" w:hAnsi="Times New Roman" w:cs="Times New Roman" w:eastAsia="Times New Roman" w:hint="default"/>
        </w:rPr>
        <w:t>3,450</w:t>
      </w:r>
      <w:r>
        <w:rPr/>
        <w:t>万元向北京芝士星球网络科技有限公司（以下简称 </w:t>
      </w:r>
      <w:r>
        <w:rPr>
          <w:rFonts w:ascii="Times New Roman" w:hAnsi="Times New Roman" w:cs="Times New Roman" w:eastAsia="Times New Roman" w:hint="default"/>
        </w:rPr>
        <w:t>“</w:t>
      </w:r>
      <w:r>
        <w:rPr/>
        <w:t>芝士星球</w:t>
      </w:r>
      <w:r>
        <w:rPr>
          <w:rFonts w:ascii="Times New Roman" w:hAnsi="Times New Roman" w:cs="Times New Roman" w:eastAsia="Times New Roman" w:hint="default"/>
        </w:rPr>
        <w:t>”</w:t>
      </w:r>
      <w:r>
        <w:rPr/>
        <w:t>）进行增资、以不超过人民币</w:t>
      </w:r>
      <w:r>
        <w:rPr>
          <w:rFonts w:ascii="Times New Roman" w:hAnsi="Times New Roman" w:cs="Times New Roman" w:eastAsia="Times New Roman" w:hint="default"/>
        </w:rPr>
        <w:t>4,000</w:t>
      </w:r>
      <w:r>
        <w:rPr/>
        <w:t>万元向深圳市利汇春科技有限公司（以下简称</w:t>
      </w:r>
      <w:r>
        <w:rPr>
          <w:rFonts w:ascii="Times New Roman" w:hAnsi="Times New Roman" w:cs="Times New Roman" w:eastAsia="Times New Roman" w:hint="default"/>
        </w:rPr>
        <w:t>“</w:t>
      </w:r>
      <w:r>
        <w:rPr/>
        <w:t>利汇春</w:t>
      </w:r>
      <w:r>
        <w:rPr>
          <w:rFonts w:ascii="Times New Roman" w:hAnsi="Times New Roman" w:cs="Times New Roman" w:eastAsia="Times New Roman" w:hint="default"/>
        </w:rPr>
        <w:t>”</w:t>
      </w:r>
      <w:r>
        <w:rPr/>
        <w:t>）进行增资，增资完 成后喀什中汇联银持有君达合智</w:t>
      </w:r>
      <w:r>
        <w:rPr>
          <w:rFonts w:ascii="Times New Roman" w:hAnsi="Times New Roman" w:cs="Times New Roman" w:eastAsia="Times New Roman" w:hint="default"/>
        </w:rPr>
        <w:t>20%</w:t>
      </w:r>
      <w:r>
        <w:rPr/>
        <w:t>的股权、持有芝士星球</w:t>
      </w:r>
      <w:r>
        <w:rPr>
          <w:rFonts w:ascii="Times New Roman" w:hAnsi="Times New Roman" w:cs="Times New Roman" w:eastAsia="Times New Roman" w:hint="default"/>
        </w:rPr>
        <w:t>30%</w:t>
      </w:r>
      <w:r>
        <w:rPr/>
        <w:t>的股权、持有利汇春</w:t>
      </w:r>
      <w:r>
        <w:rPr>
          <w:rFonts w:ascii="Times New Roman" w:hAnsi="Times New Roman" w:cs="Times New Roman" w:eastAsia="Times New Roman" w:hint="default"/>
        </w:rPr>
        <w:t>20%</w:t>
      </w:r>
      <w:r>
        <w:rPr/>
        <w:t>的股权。截至本报告披露日，上述</w:t>
      </w:r>
    </w:p>
    <w:p>
      <w:pPr>
        <w:spacing w:after="0" w:line="300" w:lineRule="auto"/>
        <w:jc w:val="both"/>
        <w:sectPr>
          <w:footerReference w:type="default" r:id="rId40"/>
          <w:pgSz w:w="11910" w:h="16840"/>
          <w:pgMar w:footer="980" w:header="877" w:top="1100" w:bottom="1160" w:left="980" w:right="0"/>
          <w:pgNumType w:start="1"/>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各项投资已签订相关协议，相关工商变更登记手续已办理完毕。</w:t>
      </w:r>
    </w:p>
    <w:p>
      <w:pPr>
        <w:pStyle w:val="BodyText"/>
        <w:spacing w:line="300" w:lineRule="auto" w:before="77"/>
        <w:ind w:right="112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月，经公司总裁办公会审议批准，子公司喀什中汇联银将持有的九天互娱</w:t>
      </w:r>
      <w:r>
        <w:rPr>
          <w:rFonts w:ascii="Times New Roman" w:hAnsi="Times New Roman" w:cs="Times New Roman" w:eastAsia="Times New Roman" w:hint="default"/>
        </w:rPr>
        <w:t>20%</w:t>
      </w:r>
      <w:r>
        <w:rPr/>
        <w:t>的股权转让给第三方张巧 珍，股权转让价款为</w:t>
      </w:r>
      <w:r>
        <w:rPr>
          <w:rFonts w:ascii="Times New Roman" w:hAnsi="Times New Roman" w:cs="Times New Roman" w:eastAsia="Times New Roman" w:hint="default"/>
        </w:rPr>
        <w:t>300</w:t>
      </w:r>
      <w:r>
        <w:rPr/>
        <w:t>万元。截止本报告披露日，上述事项已签订相关协议，喀什中汇联银已收到股权转让价款，相关工 商变更登记手续已办理完毕。</w:t>
      </w:r>
    </w:p>
    <w:p>
      <w:pPr>
        <w:pStyle w:val="BodyText"/>
        <w:spacing w:line="300" w:lineRule="auto" w:before="31"/>
        <w:ind w:right="1124" w:firstLine="360"/>
        <w:jc w:val="left"/>
      </w:pPr>
      <w:r>
        <w:rPr>
          <w:rFonts w:ascii="Times New Roman" w:hAnsi="Times New Roman" w:cs="Times New Roman" w:eastAsia="Times New Roman" w:hint="default"/>
        </w:rPr>
        <w:t>4</w:t>
      </w:r>
      <w:r>
        <w:rPr/>
        <w:t>、控股子公司哆可梦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日股东会决议，同意公司向全体股东派发现金分红金额总计</w:t>
      </w:r>
      <w:r>
        <w:rPr>
          <w:rFonts w:ascii="Times New Roman" w:hAnsi="Times New Roman" w:cs="Times New Roman" w:eastAsia="Times New Roman" w:hint="default"/>
        </w:rPr>
        <w:t>269,919,642.47</w:t>
      </w:r>
      <w:r>
        <w:rPr/>
        <w:t>元人民 币，股东按出资比例分取现金分红，其中：向公司派发现金分红</w:t>
      </w:r>
      <w:r>
        <w:rPr>
          <w:rFonts w:ascii="Times New Roman" w:hAnsi="Times New Roman" w:cs="Times New Roman" w:eastAsia="Times New Roman" w:hint="default"/>
        </w:rPr>
        <w:t>209,376,666.66</w:t>
      </w:r>
      <w:r>
        <w:rPr/>
        <w:t>元人民币，向中冀投资股份有限公司派发现 金分红</w:t>
      </w:r>
      <w:r>
        <w:rPr>
          <w:rFonts w:ascii="Times New Roman" w:hAnsi="Times New Roman" w:cs="Times New Roman" w:eastAsia="Times New Roman" w:hint="default"/>
        </w:rPr>
        <w:t>60,542,975.81</w:t>
      </w:r>
      <w:r>
        <w:rPr/>
        <w:t>元人民币。后经公司年审会计师初步核查，发现哆可梦在完成上述现金分红后导致</w:t>
      </w:r>
      <w:r>
        <w:rPr>
          <w:rFonts w:ascii="Times New Roman" w:hAnsi="Times New Roman" w:cs="Times New Roman" w:eastAsia="Times New Roman" w:hint="default"/>
        </w:rPr>
        <w:t>2019</w:t>
      </w:r>
      <w:r>
        <w:rPr/>
        <w:t>年度的未分配 利润出现负数，不符合法律法规及公司章程等相关规定，哆可梦也不具备按前述决议现金分红的客观条件。因此，</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20</w:t>
      </w:r>
      <w:r>
        <w:rPr/>
        <w:t>日经哆可梦股东一致决议，将前述现金分红方案修改为：哆可梦向全体股东派发现金分红金额总计</w:t>
      </w:r>
      <w:r>
        <w:rPr>
          <w:rFonts w:ascii="Times New Roman" w:hAnsi="Times New Roman" w:cs="Times New Roman" w:eastAsia="Times New Roman" w:hint="default"/>
        </w:rPr>
        <w:t>109,578,445.28</w:t>
      </w:r>
      <w:r>
        <w:rPr/>
        <w:t>元人</w:t>
      </w:r>
      <w:r>
        <w:rPr>
          <w:spacing w:val="-3"/>
        </w:rPr>
        <w:t> </w:t>
      </w:r>
      <w:r>
        <w:rPr/>
        <w:t>民币，股东按出资比例分取现金分红，其中：向公司派发现金分红</w:t>
      </w:r>
      <w:r>
        <w:rPr>
          <w:rFonts w:ascii="Times New Roman" w:hAnsi="Times New Roman" w:cs="Times New Roman" w:eastAsia="Times New Roman" w:hint="default"/>
        </w:rPr>
        <w:t>85,000,000.00</w:t>
      </w:r>
      <w:r>
        <w:rPr/>
        <w:t>元人民币，向中冀投资股份有限公司派发 现金分红</w:t>
      </w:r>
      <w:r>
        <w:rPr>
          <w:rFonts w:ascii="Times New Roman" w:hAnsi="Times New Roman" w:cs="Times New Roman" w:eastAsia="Times New Roman" w:hint="default"/>
        </w:rPr>
        <w:t>24,578,445.28</w:t>
      </w:r>
      <w:r>
        <w:rPr/>
        <w:t>元人民币。因哆可梦向公司的分红款项冲抵了双方的往来资金，不涉及支付现金分红款及退还超额 分红款事宜；哆可梦于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日向中冀投资股份有限公司实际派发现金分红</w:t>
      </w:r>
      <w:r>
        <w:rPr>
          <w:rFonts w:ascii="Times New Roman" w:hAnsi="Times New Roman" w:cs="Times New Roman" w:eastAsia="Times New Roman" w:hint="default"/>
        </w:rPr>
        <w:t>60,542,975.81</w:t>
      </w:r>
      <w:r>
        <w:rPr/>
        <w:t>元人民币，超额发放的现 金红利</w:t>
      </w:r>
      <w:r>
        <w:rPr>
          <w:rFonts w:ascii="Times New Roman" w:hAnsi="Times New Roman" w:cs="Times New Roman" w:eastAsia="Times New Roman" w:hint="default"/>
        </w:rPr>
        <w:t>35,964,530.53</w:t>
      </w:r>
      <w:r>
        <w:rPr/>
        <w:t>元应返还哆可梦。</w:t>
      </w:r>
    </w:p>
    <w:p>
      <w:pPr>
        <w:pStyle w:val="BodyText"/>
        <w:spacing w:line="240" w:lineRule="auto" w:before="13"/>
        <w:ind w:left="513" w:right="0"/>
        <w:jc w:val="left"/>
      </w:pPr>
      <w:r>
        <w:rPr>
          <w:rFonts w:ascii="Times New Roman" w:hAnsi="Times New Roman" w:cs="Times New Roman" w:eastAsia="Times New Roman" w:hint="default"/>
        </w:rPr>
        <w:t>5</w:t>
      </w:r>
      <w:r>
        <w:rPr/>
        <w:t>、其他已作为临时报告披露的重大事项：</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037"/>
        <w:gridCol w:w="4775"/>
        <w:gridCol w:w="1418"/>
        <w:gridCol w:w="2624"/>
      </w:tblGrid>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登载日期</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6" w:right="0"/>
              <w:jc w:val="left"/>
              <w:rPr>
                <w:rFonts w:ascii="宋体" w:hAnsi="宋体" w:cs="宋体" w:eastAsia="宋体" w:hint="default"/>
                <w:sz w:val="18"/>
                <w:szCs w:val="18"/>
              </w:rPr>
            </w:pPr>
            <w:r>
              <w:rPr>
                <w:rFonts w:ascii="宋体" w:hAnsi="宋体" w:cs="宋体" w:eastAsia="宋体" w:hint="default"/>
                <w:sz w:val="18"/>
                <w:szCs w:val="18"/>
              </w:rPr>
              <w:t>登载的互联网网站及检索路径</w:t>
            </w:r>
          </w:p>
        </w:tc>
      </w:tr>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012</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关于子公司投资的产业并购基金对外投资的进展公告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013</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3"/>
              <w:jc w:val="left"/>
              <w:rPr>
                <w:rFonts w:ascii="宋体" w:hAnsi="宋体" w:cs="宋体" w:eastAsia="宋体" w:hint="default"/>
                <w:sz w:val="18"/>
                <w:szCs w:val="18"/>
              </w:rPr>
            </w:pPr>
            <w:r>
              <w:rPr>
                <w:rFonts w:ascii="宋体" w:hAnsi="宋体" w:cs="宋体" w:eastAsia="宋体" w:hint="default"/>
                <w:sz w:val="18"/>
                <w:szCs w:val="18"/>
              </w:rPr>
              <w:t>关于参股公司收到全国中小企业股份转让系统终止挂牌申请 受理通知书的公告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017</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3"/>
              <w:jc w:val="left"/>
              <w:rPr>
                <w:rFonts w:ascii="宋体" w:hAnsi="宋体" w:cs="宋体" w:eastAsia="宋体" w:hint="default"/>
                <w:sz w:val="18"/>
                <w:szCs w:val="18"/>
              </w:rPr>
            </w:pPr>
            <w:r>
              <w:rPr>
                <w:rFonts w:ascii="宋体" w:hAnsi="宋体" w:cs="宋体" w:eastAsia="宋体" w:hint="default"/>
                <w:sz w:val="18"/>
                <w:szCs w:val="18"/>
              </w:rPr>
              <w:t>关于子公司喀什中汇联银创业投资有限公司与专业投资机构 合作投资的进展公告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020</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3"/>
              <w:jc w:val="left"/>
              <w:rPr>
                <w:rFonts w:ascii="宋体" w:hAnsi="宋体" w:cs="宋体" w:eastAsia="宋体" w:hint="default"/>
                <w:sz w:val="18"/>
                <w:szCs w:val="18"/>
              </w:rPr>
            </w:pPr>
            <w:r>
              <w:rPr>
                <w:rFonts w:ascii="宋体" w:hAnsi="宋体" w:cs="宋体" w:eastAsia="宋体" w:hint="default"/>
                <w:sz w:val="18"/>
                <w:szCs w:val="18"/>
              </w:rPr>
              <w:t>关于参股公司股票在全国中小企业股份转让系统终止挂牌的 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028</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关于控股子公司通过高新技术企业复审的公告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031</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关于子公司投资的产业并购基金对外投资的进展公告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053</w:t>
            </w:r>
          </w:p>
        </w:tc>
        <w:tc>
          <w:tcPr>
            <w:tcW w:w="4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关于子公司投资的产业并购基金对外投资的进展公告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456" w:lineRule="exact"/>
        <w:ind w:left="30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85"/>
        <w:gridCol w:w="1133"/>
        <w:gridCol w:w="852"/>
        <w:gridCol w:w="566"/>
        <w:gridCol w:w="566"/>
        <w:gridCol w:w="708"/>
        <w:gridCol w:w="994"/>
        <w:gridCol w:w="994"/>
        <w:gridCol w:w="979"/>
        <w:gridCol w:w="794"/>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-16,695,075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-16,695,075</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7,349,925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-15,131,325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-15,131,325</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6,138,675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-15,131,325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-15,131,325</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6,138,675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-1,563,750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1,211,250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-1,563,750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1,211,250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790,094,568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4,485,075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4,485,075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794,579,643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99.08%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790,094,568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4,485,075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794,579,643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99.08%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814,139,568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-12,210,000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-12,210,000</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801,929,568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 股东大会审议通过了关于回购注销</w:t>
      </w:r>
      <w:r>
        <w:rPr>
          <w:rFonts w:ascii="Times New Roman" w:hAnsi="Times New Roman" w:cs="Times New Roman" w:eastAsia="Times New Roman" w:hint="default"/>
        </w:rPr>
        <w:t>2016</w:t>
      </w:r>
      <w:r>
        <w:rPr/>
        <w:t>年限制性股票激励计划部分限制性股票的议案，鉴于根据公司绩效考核管理相关制 度和</w:t>
      </w:r>
      <w:r>
        <w:rPr>
          <w:rFonts w:ascii="Times New Roman" w:hAnsi="Times New Roman" w:cs="Times New Roman" w:eastAsia="Times New Roman" w:hint="default"/>
        </w:rPr>
        <w:t>2016</w:t>
      </w:r>
      <w:r>
        <w:rPr/>
        <w:t>年限制性股票激励计划的相关规定，激励对象</w:t>
      </w:r>
      <w:r>
        <w:rPr>
          <w:rFonts w:ascii="Times New Roman" w:hAnsi="Times New Roman" w:cs="Times New Roman" w:eastAsia="Times New Roman" w:hint="default"/>
        </w:rPr>
        <w:t>2018</w:t>
      </w:r>
      <w:r>
        <w:rPr/>
        <w:t>年度绩效考核考评结果均为不合格，公司决定对</w:t>
      </w:r>
      <w:r>
        <w:rPr>
          <w:rFonts w:ascii="Times New Roman" w:hAnsi="Times New Roman" w:cs="Times New Roman" w:eastAsia="Times New Roman" w:hint="default"/>
        </w:rPr>
        <w:t>2016</w:t>
      </w:r>
      <w:r>
        <w:rPr/>
        <w:t>年限制性 股票激励计划第三个解锁期因激励对象个人绩效考核结果不达标导致不能解锁的</w:t>
      </w:r>
      <w:r>
        <w:rPr>
          <w:rFonts w:ascii="Times New Roman" w:hAnsi="Times New Roman" w:cs="Times New Roman" w:eastAsia="Times New Roman" w:hint="default"/>
        </w:rPr>
        <w:t>1,221</w:t>
      </w:r>
      <w:r>
        <w:rPr/>
        <w:t>万股限制性股票进行回购注销，独立 董事对此发表了同意的独立意见。本次回购注销事宜已于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日办理完成，回购注销完成后公司总股本由 </w:t>
      </w:r>
      <w:r>
        <w:rPr>
          <w:rFonts w:ascii="Times New Roman" w:hAnsi="Times New Roman" w:cs="Times New Roman" w:eastAsia="Times New Roman" w:hint="default"/>
        </w:rPr>
        <w:t>814,139,568</w:t>
      </w:r>
      <w:r>
        <w:rPr/>
        <w:t>股变更为</w:t>
      </w:r>
      <w:r>
        <w:rPr>
          <w:rFonts w:ascii="Times New Roman" w:hAnsi="Times New Roman" w:cs="Times New Roman" w:eastAsia="Times New Roman" w:hint="default"/>
        </w:rPr>
        <w:t>801,929,568</w:t>
      </w:r>
      <w:r>
        <w:rPr/>
        <w:t>股。</w:t>
      </w:r>
    </w:p>
    <w:p>
      <w:pPr>
        <w:pStyle w:val="BodyText"/>
        <w:spacing w:line="240" w:lineRule="auto" w:before="53"/>
        <w:ind w:right="0"/>
        <w:jc w:val="left"/>
      </w:pPr>
      <w:r>
        <w:rPr/>
        <w:t>股份变动的批准情况</w:t>
      </w:r>
    </w:p>
    <w:p>
      <w:pPr>
        <w:pStyle w:val="BodyText"/>
        <w:spacing w:line="340" w:lineRule="auto" w:before="115"/>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回购注销</w:t>
      </w:r>
      <w:r>
        <w:rPr>
          <w:rFonts w:ascii="Times New Roman" w:hAnsi="Times New Roman" w:cs="Times New Roman" w:eastAsia="Times New Roman" w:hint="default"/>
        </w:rPr>
        <w:t>2016</w:t>
      </w:r>
      <w:r>
        <w:rPr/>
        <w:t>年限制性股票激励计划部分限制性股票事项经公司第六届董事会第二十九次会议、第六届监事会第十三</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3554"/>
        <w:jc w:val="left"/>
      </w:pPr>
      <w:r>
        <w:rPr/>
        <w:t>次会议和公司</w:t>
      </w:r>
      <w:r>
        <w:rPr>
          <w:rFonts w:ascii="Times New Roman" w:hAnsi="Times New Roman" w:cs="Times New Roman" w:eastAsia="Times New Roman" w:hint="default"/>
        </w:rPr>
        <w:t>2019</w:t>
      </w:r>
      <w:r>
        <w:rPr/>
        <w:t>年第二次临时股东大会审议批准，独立董事对此发表了同意的独立意见。 股份变动的过户情况</w:t>
      </w:r>
    </w:p>
    <w:p>
      <w:pPr>
        <w:pStyle w:val="BodyText"/>
        <w:spacing w:line="340" w:lineRule="auto" w:before="39"/>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上会会计师事务所出具了上会师报字（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4742</w:t>
      </w:r>
      <w:r>
        <w:rPr/>
        <w:t>号《验资报告》，审验了公司截至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日止减少注册资本</w:t>
      </w:r>
    </w:p>
    <w:p>
      <w:pPr>
        <w:pStyle w:val="BodyText"/>
        <w:spacing w:line="228" w:lineRule="exact"/>
        <w:ind w:right="0"/>
        <w:jc w:val="left"/>
      </w:pPr>
      <w:r>
        <w:rPr/>
        <w:t>及股本情况，认为：经我们审验，截至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日，贵公司已减少股本人民币</w:t>
      </w:r>
      <w:r>
        <w:rPr>
          <w:rFonts w:ascii="Times New Roman" w:hAnsi="Times New Roman" w:cs="Times New Roman" w:eastAsia="Times New Roman" w:hint="default"/>
        </w:rPr>
        <w:t>12,210,000.00</w:t>
      </w:r>
      <w:r>
        <w:rPr/>
        <w:t>元，其中：减少徐海啸出资</w:t>
      </w:r>
    </w:p>
    <w:p>
      <w:pPr>
        <w:pStyle w:val="BodyText"/>
        <w:spacing w:line="300" w:lineRule="auto" w:before="63"/>
        <w:ind w:right="1169"/>
        <w:jc w:val="left"/>
      </w:pPr>
      <w:r>
        <w:rPr/>
        <w:t>人民币</w:t>
      </w:r>
      <w:r>
        <w:rPr>
          <w:rFonts w:ascii="Times New Roman" w:hAnsi="Times New Roman" w:cs="Times New Roman" w:eastAsia="Times New Roman" w:hint="default"/>
        </w:rPr>
        <w:t>1,800,000.00</w:t>
      </w:r>
      <w:r>
        <w:rPr/>
        <w:t>元、减少沈晓超出资人民币</w:t>
      </w:r>
      <w:r>
        <w:rPr>
          <w:rFonts w:ascii="Times New Roman" w:hAnsi="Times New Roman" w:cs="Times New Roman" w:eastAsia="Times New Roman" w:hint="default"/>
        </w:rPr>
        <w:t>1,560,000.00</w:t>
      </w:r>
      <w:r>
        <w:rPr/>
        <w:t>元、减少陈丹出资人民币</w:t>
      </w:r>
      <w:r>
        <w:rPr>
          <w:rFonts w:ascii="Times New Roman" w:hAnsi="Times New Roman" w:cs="Times New Roman" w:eastAsia="Times New Roman" w:hint="default"/>
        </w:rPr>
        <w:t>1,350,000.00</w:t>
      </w:r>
      <w:r>
        <w:rPr/>
        <w:t>元、减少张晶出资人民币 </w:t>
      </w:r>
      <w:r>
        <w:rPr>
          <w:rFonts w:ascii="Times New Roman" w:hAnsi="Times New Roman" w:cs="Times New Roman" w:eastAsia="Times New Roman" w:hint="default"/>
        </w:rPr>
        <w:t>1,350,000.00</w:t>
      </w:r>
      <w:r>
        <w:rPr/>
        <w:t>元、减少</w:t>
      </w:r>
      <w:r>
        <w:rPr>
          <w:rFonts w:ascii="Times New Roman" w:hAnsi="Times New Roman" w:cs="Times New Roman" w:eastAsia="Times New Roman" w:hint="default"/>
        </w:rPr>
        <w:t>WAN XIAO</w:t>
      </w:r>
      <w:r>
        <w:rPr>
          <w:rFonts w:ascii="Times New Roman" w:hAnsi="Times New Roman" w:cs="Times New Roman" w:eastAsia="Times New Roman" w:hint="default"/>
          <w:spacing w:val="-5"/>
        </w:rPr>
        <w:t> </w:t>
      </w:r>
      <w:r>
        <w:rPr>
          <w:rFonts w:ascii="Times New Roman" w:hAnsi="Times New Roman" w:cs="Times New Roman" w:eastAsia="Times New Roman" w:hint="default"/>
        </w:rPr>
        <w:t>YANG</w:t>
      </w:r>
      <w:r>
        <w:rPr/>
        <w:t>出资人民币</w:t>
      </w:r>
      <w:r>
        <w:rPr>
          <w:rFonts w:ascii="Times New Roman" w:hAnsi="Times New Roman" w:cs="Times New Roman" w:eastAsia="Times New Roman" w:hint="default"/>
        </w:rPr>
        <w:t>870,000.00</w:t>
      </w:r>
      <w:r>
        <w:rPr/>
        <w:t>元、减少陈文龙出资人民币</w:t>
      </w:r>
      <w:r>
        <w:rPr>
          <w:rFonts w:ascii="Times New Roman" w:hAnsi="Times New Roman" w:cs="Times New Roman" w:eastAsia="Times New Roman" w:hint="default"/>
        </w:rPr>
        <w:t>1,560,000.00</w:t>
      </w:r>
      <w:r>
        <w:rPr/>
        <w:t>元、减少曹晓黎出资 人民币</w:t>
      </w:r>
      <w:r>
        <w:rPr>
          <w:rFonts w:ascii="Times New Roman" w:hAnsi="Times New Roman" w:cs="Times New Roman" w:eastAsia="Times New Roman" w:hint="default"/>
        </w:rPr>
        <w:t>1,350,000.00</w:t>
      </w:r>
      <w:r>
        <w:rPr/>
        <w:t>元、减少倪龙轶出资人民币</w:t>
      </w:r>
      <w:r>
        <w:rPr>
          <w:rFonts w:ascii="Times New Roman" w:hAnsi="Times New Roman" w:cs="Times New Roman" w:eastAsia="Times New Roman" w:hint="default"/>
        </w:rPr>
        <w:t>870,000.00</w:t>
      </w:r>
      <w:r>
        <w:rPr/>
        <w:t>元、减少李雨良出资人民币</w:t>
      </w:r>
      <w:r>
        <w:rPr>
          <w:rFonts w:ascii="Times New Roman" w:hAnsi="Times New Roman" w:cs="Times New Roman" w:eastAsia="Times New Roman" w:hint="default"/>
        </w:rPr>
        <w:t>1,200,000.00</w:t>
      </w:r>
      <w:r>
        <w:rPr/>
        <w:t>元和减少林日磊出资人民 币</w:t>
      </w:r>
      <w:r>
        <w:rPr>
          <w:rFonts w:ascii="Times New Roman" w:hAnsi="Times New Roman" w:cs="Times New Roman" w:eastAsia="Times New Roman" w:hint="default"/>
        </w:rPr>
        <w:t>300,000.00</w:t>
      </w:r>
      <w:r>
        <w:rPr/>
        <w:t>元。经深交所和中登公司审核确认，公司于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日完成相关限制性股票及股票期权的回购注销工作。</w:t>
      </w:r>
    </w:p>
    <w:p>
      <w:pPr>
        <w:pStyle w:val="BodyText"/>
        <w:spacing w:line="240" w:lineRule="auto" w:before="53"/>
        <w:ind w:right="0"/>
        <w:jc w:val="left"/>
      </w:pPr>
      <w:r>
        <w:rPr/>
        <w:t>股份回购的实施进展情况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495" w:right="1661"/>
        <w:jc w:val="cente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日期间，公司累计通过股票回购专用证券账户以集中竞价交易方式回购公司股份</w:t>
      </w:r>
    </w:p>
    <w:p>
      <w:pPr>
        <w:pStyle w:val="BodyText"/>
        <w:spacing w:line="240" w:lineRule="auto" w:before="63"/>
        <w:ind w:right="0"/>
        <w:jc w:val="left"/>
      </w:pPr>
      <w:r>
        <w:rPr>
          <w:rFonts w:ascii="Times New Roman" w:hAnsi="Times New Roman" w:cs="Times New Roman" w:eastAsia="Times New Roman" w:hint="default"/>
        </w:rPr>
        <w:t>17,766,200</w:t>
      </w:r>
      <w:r>
        <w:rPr/>
        <w:t>股，占公司总股本的</w:t>
      </w:r>
      <w:r>
        <w:rPr>
          <w:rFonts w:ascii="Times New Roman" w:hAnsi="Times New Roman" w:cs="Times New Roman" w:eastAsia="Times New Roman" w:hint="default"/>
        </w:rPr>
        <w:t>2.22%</w:t>
      </w:r>
      <w:r>
        <w:rPr/>
        <w:t>，最高成交价为</w:t>
      </w:r>
      <w:r>
        <w:rPr>
          <w:rFonts w:ascii="Times New Roman" w:hAnsi="Times New Roman" w:cs="Times New Roman" w:eastAsia="Times New Roman" w:hint="default"/>
        </w:rPr>
        <w:t>9.60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7.72</w:t>
      </w:r>
      <w:r>
        <w:rPr/>
        <w:t>元</w:t>
      </w:r>
      <w:r>
        <w:rPr>
          <w:rFonts w:ascii="Times New Roman" w:hAnsi="Times New Roman" w:cs="Times New Roman" w:eastAsia="Times New Roman" w:hint="default"/>
        </w:rPr>
        <w:t>/</w:t>
      </w:r>
      <w:r>
        <w:rPr/>
        <w:t>股，支付总金额为</w:t>
      </w:r>
      <w:r>
        <w:rPr>
          <w:rFonts w:ascii="Times New Roman" w:hAnsi="Times New Roman" w:cs="Times New Roman" w:eastAsia="Times New Roman" w:hint="default"/>
        </w:rPr>
        <w:t>147,613,580.50</w:t>
      </w:r>
      <w:r>
        <w:rPr/>
        <w:t>元</w:t>
      </w:r>
    </w:p>
    <w:p>
      <w:pPr>
        <w:pStyle w:val="BodyText"/>
        <w:spacing w:line="360" w:lineRule="auto" w:before="63"/>
        <w:ind w:right="5534"/>
        <w:jc w:val="left"/>
      </w:pPr>
      <w:r>
        <w:rPr/>
        <w:t>（不含交易费用）。报告期内本次回购股份期限届满并实施完毕。 采用集中竞价方式减持回购股份的实施进展情况</w:t>
      </w:r>
    </w:p>
    <w:p>
      <w:pPr>
        <w:pStyle w:val="BodyText"/>
        <w:spacing w:line="340" w:lineRule="auto" w:before="2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41"/>
        <w:ind w:right="116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按期初股本</w:t>
      </w:r>
      <w:r>
        <w:rPr>
          <w:rFonts w:ascii="Times New Roman" w:hAnsi="Times New Roman" w:cs="Times New Roman" w:eastAsia="Times New Roman" w:hint="default"/>
        </w:rPr>
        <w:t>814,139,568</w:t>
      </w:r>
      <w:r>
        <w:rPr/>
        <w:t>股计算，</w:t>
      </w:r>
      <w:r>
        <w:rPr>
          <w:rFonts w:ascii="Times New Roman" w:hAnsi="Times New Roman" w:cs="Times New Roman" w:eastAsia="Times New Roman" w:hint="default"/>
        </w:rPr>
        <w:t>2018</w:t>
      </w:r>
      <w:r>
        <w:rPr/>
        <w:t>年度的基本每股收益和稀释每股收益均为</w:t>
      </w:r>
      <w:r>
        <w:rPr>
          <w:rFonts w:ascii="Times New Roman" w:hAnsi="Times New Roman" w:cs="Times New Roman" w:eastAsia="Times New Roman" w:hint="default"/>
        </w:rPr>
        <w:t>0.4293</w:t>
      </w:r>
      <w:r>
        <w:rPr/>
        <w:t>元，归属于上市公司股东的每股净资 产为</w:t>
      </w:r>
      <w:r>
        <w:rPr>
          <w:rFonts w:ascii="Times New Roman" w:hAnsi="Times New Roman" w:cs="Times New Roman" w:eastAsia="Times New Roman" w:hint="default"/>
        </w:rPr>
        <w:t>2.3877</w:t>
      </w:r>
      <w:r>
        <w:rPr/>
        <w:t>元；</w:t>
      </w:r>
      <w:r>
        <w:rPr>
          <w:rFonts w:ascii="Times New Roman" w:hAnsi="Times New Roman" w:cs="Times New Roman" w:eastAsia="Times New Roman" w:hint="default"/>
        </w:rPr>
        <w:t>2019</w:t>
      </w:r>
      <w:r>
        <w:rPr/>
        <w:t>年第三季度的基本每股收益和稀释每股收益均为</w:t>
      </w:r>
      <w:r>
        <w:rPr>
          <w:rFonts w:ascii="Times New Roman" w:hAnsi="Times New Roman" w:cs="Times New Roman" w:eastAsia="Times New Roman" w:hint="default"/>
        </w:rPr>
        <w:t>0.1245</w:t>
      </w:r>
      <w:r>
        <w:rPr/>
        <w:t>元，归属于上市公司股东的每股净资产为</w:t>
      </w:r>
      <w:r>
        <w:rPr>
          <w:rFonts w:ascii="Times New Roman" w:hAnsi="Times New Roman" w:cs="Times New Roman" w:eastAsia="Times New Roman" w:hint="default"/>
        </w:rPr>
        <w:t>2.3285</w:t>
      </w:r>
    </w:p>
    <w:p>
      <w:pPr>
        <w:pStyle w:val="BodyText"/>
        <w:spacing w:line="233" w:lineRule="exact"/>
        <w:ind w:right="0"/>
        <w:jc w:val="left"/>
      </w:pPr>
      <w:r>
        <w:rPr/>
        <w:t>元。</w:t>
      </w:r>
    </w:p>
    <w:p>
      <w:pPr>
        <w:pStyle w:val="BodyText"/>
        <w:spacing w:line="319" w:lineRule="auto" w:before="117"/>
        <w:ind w:right="1131"/>
        <w:jc w:val="both"/>
      </w:pPr>
      <w:r>
        <w:rPr>
          <w:spacing w:val="-1"/>
        </w:rPr>
        <w:t>按期末股本</w:t>
      </w:r>
      <w:r>
        <w:rPr>
          <w:rFonts w:ascii="Times New Roman" w:hAnsi="Times New Roman" w:cs="Times New Roman" w:eastAsia="Times New Roman" w:hint="default"/>
          <w:spacing w:val="-1"/>
        </w:rPr>
        <w:t>801,929,568</w:t>
      </w:r>
      <w:r>
        <w:rPr>
          <w:spacing w:val="-1"/>
        </w:rPr>
        <w:t>股计算，</w:t>
      </w:r>
      <w:r>
        <w:rPr>
          <w:rFonts w:ascii="Times New Roman" w:hAnsi="Times New Roman" w:cs="Times New Roman" w:eastAsia="Times New Roman" w:hint="default"/>
          <w:spacing w:val="-1"/>
        </w:rPr>
        <w:t>2018</w:t>
      </w:r>
      <w:r>
        <w:rPr>
          <w:spacing w:val="-1"/>
        </w:rPr>
        <w:t>年度的基本每股收益和稀释每股收益均为</w:t>
      </w:r>
      <w:r>
        <w:rPr>
          <w:rFonts w:ascii="Times New Roman" w:hAnsi="Times New Roman" w:cs="Times New Roman" w:eastAsia="Times New Roman" w:hint="default"/>
          <w:spacing w:val="-1"/>
        </w:rPr>
        <w:t>0.4231</w:t>
      </w:r>
      <w:r>
        <w:rPr>
          <w:spacing w:val="-1"/>
        </w:rPr>
        <w:t>元，归属于上市公司股东的每股净资产</w:t>
      </w:r>
      <w:r>
        <w:rPr>
          <w:spacing w:val="-71"/>
        </w:rPr>
        <w:t> </w:t>
      </w:r>
      <w:r>
        <w:rPr>
          <w:spacing w:val="-71"/>
        </w:rPr>
      </w:r>
      <w:r>
        <w:rPr>
          <w:spacing w:val="-3"/>
        </w:rPr>
        <w:t>为</w:t>
      </w:r>
      <w:r>
        <w:rPr>
          <w:rFonts w:ascii="Times New Roman" w:hAnsi="Times New Roman" w:cs="Times New Roman" w:eastAsia="Times New Roman" w:hint="default"/>
          <w:spacing w:val="-3"/>
        </w:rPr>
        <w:t>2.4240</w:t>
      </w:r>
      <w:r>
        <w:rPr>
          <w:spacing w:val="-3"/>
        </w:rPr>
        <w:t>元；</w:t>
      </w:r>
      <w:r>
        <w:rPr>
          <w:rFonts w:ascii="Times New Roman" w:hAnsi="Times New Roman" w:cs="Times New Roman" w:eastAsia="Times New Roman" w:hint="default"/>
          <w:spacing w:val="-3"/>
        </w:rPr>
        <w:t>2019</w:t>
      </w:r>
      <w:r>
        <w:rPr>
          <w:spacing w:val="-3"/>
        </w:rPr>
        <w:t>年第三季度的基本每股收益和稀释每股收益均为</w:t>
      </w:r>
      <w:r>
        <w:rPr>
          <w:rFonts w:ascii="Times New Roman" w:hAnsi="Times New Roman" w:cs="Times New Roman" w:eastAsia="Times New Roman" w:hint="default"/>
          <w:spacing w:val="-3"/>
        </w:rPr>
        <w:t>0.1227</w:t>
      </w:r>
      <w:r>
        <w:rPr>
          <w:spacing w:val="-3"/>
        </w:rPr>
        <w:t>元，归属于上市公司股东的每股净资产为</w:t>
      </w:r>
      <w:r>
        <w:rPr>
          <w:rFonts w:ascii="Times New Roman" w:hAnsi="Times New Roman" w:cs="Times New Roman" w:eastAsia="Times New Roman" w:hint="default"/>
          <w:spacing w:val="-3"/>
        </w:rPr>
        <w:t>2.3639</w:t>
      </w:r>
      <w:r>
        <w:rPr>
          <w:spacing w:val="-3"/>
        </w:rPr>
        <w:t>元。</w:t>
      </w:r>
      <w:r>
        <w:rPr>
          <w:spacing w:val="-33"/>
        </w:rPr>
        <w:t> </w:t>
      </w:r>
      <w:r>
        <w:rPr/>
        <w:t>公司认为必要或证券监管机构要求披露的其他内容</w:t>
      </w:r>
    </w:p>
    <w:p>
      <w:pPr>
        <w:pStyle w:val="BodyText"/>
        <w:spacing w:line="240"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50"/>
        <w:gridCol w:w="960"/>
        <w:gridCol w:w="884"/>
        <w:gridCol w:w="994"/>
        <w:gridCol w:w="991"/>
        <w:gridCol w:w="960"/>
        <w:gridCol w:w="3934"/>
      </w:tblGrid>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4"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p>
            <w:pPr>
              <w:pStyle w:val="TableParagraph"/>
              <w:spacing w:line="300" w:lineRule="auto" w:before="63"/>
              <w:ind w:left="24"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万高管锁定股解除限售； 期末高管锁定股将按相关规定解除限售</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p>
            <w:pPr>
              <w:pStyle w:val="TableParagraph"/>
              <w:spacing w:line="300" w:lineRule="auto" w:before="63"/>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万高管锁定股解除限售；期 末高管锁定股将按相关规定解除限售</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p>
            <w:pPr>
              <w:pStyle w:val="TableParagraph"/>
              <w:spacing w:line="300" w:lineRule="auto" w:before="60"/>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万高管锁定股解除限售；期 末高管锁定股将按相关规定解除限售</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850"/>
        <w:gridCol w:w="960"/>
        <w:gridCol w:w="884"/>
        <w:gridCol w:w="994"/>
        <w:gridCol w:w="991"/>
        <w:gridCol w:w="960"/>
        <w:gridCol w:w="3934"/>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p>
            <w:pPr>
              <w:pStyle w:val="TableParagraph"/>
              <w:spacing w:line="300" w:lineRule="auto" w:before="63"/>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万高管锁定股解除限售；期 末高管锁定股将按相关规定解除限售</w:t>
            </w:r>
          </w:p>
        </w:tc>
      </w:tr>
      <w:tr>
        <w:trPr>
          <w:trHeight w:val="196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15"/>
              <w:jc w:val="both"/>
              <w:rPr>
                <w:rFonts w:ascii="Times New Roman" w:hAnsi="Times New Roman" w:cs="Times New Roman" w:eastAsia="Times New Roman" w:hint="default"/>
                <w:sz w:val="18"/>
                <w:szCs w:val="18"/>
              </w:rPr>
            </w:pPr>
            <w:r>
              <w:rPr>
                <w:rFonts w:ascii="Times New Roman"/>
                <w:spacing w:val="-8"/>
                <w:sz w:val="18"/>
              </w:rPr>
              <w:t>WAN</w:t>
            </w:r>
            <w:r>
              <w:rPr>
                <w:rFonts w:ascii="Times New Roman"/>
                <w:w w:val="99"/>
                <w:sz w:val="18"/>
              </w:rPr>
              <w:t> </w:t>
            </w:r>
            <w:r>
              <w:rPr>
                <w:rFonts w:ascii="Times New Roman"/>
                <w:sz w:val="18"/>
              </w:rPr>
              <w:t>XIAO</w:t>
            </w:r>
            <w:r>
              <w:rPr>
                <w:rFonts w:ascii="Times New Roman"/>
                <w:w w:val="99"/>
                <w:sz w:val="18"/>
              </w:rPr>
              <w:t> </w:t>
            </w:r>
            <w:r>
              <w:rPr>
                <w:rFonts w:ascii="Times New Roman"/>
                <w:spacing w:val="-6"/>
                <w:sz w:val="18"/>
              </w:rPr>
              <w:t>YANG</w:t>
            </w:r>
          </w:p>
          <w:p>
            <w:pPr>
              <w:pStyle w:val="TableParagraph"/>
              <w:spacing w:line="199" w:lineRule="exact"/>
              <w:ind w:left="24" w:right="0"/>
              <w:jc w:val="both"/>
              <w:rPr>
                <w:rFonts w:ascii="宋体" w:hAnsi="宋体" w:cs="宋体" w:eastAsia="宋体" w:hint="default"/>
                <w:sz w:val="18"/>
                <w:szCs w:val="18"/>
              </w:rPr>
            </w:pPr>
            <w:r>
              <w:rPr>
                <w:rFonts w:ascii="宋体" w:hAnsi="宋体" w:cs="宋体" w:eastAsia="宋体" w:hint="default"/>
                <w:sz w:val="18"/>
                <w:szCs w:val="18"/>
              </w:rPr>
              <w:t>（中文</w:t>
            </w:r>
          </w:p>
          <w:p>
            <w:pPr>
              <w:pStyle w:val="TableParagraph"/>
              <w:spacing w:line="316" w:lineRule="auto" w:before="76"/>
              <w:ind w:left="24" w:right="94"/>
              <w:jc w:val="left"/>
              <w:rPr>
                <w:rFonts w:ascii="宋体" w:hAnsi="宋体" w:cs="宋体" w:eastAsia="宋体" w:hint="default"/>
                <w:sz w:val="18"/>
                <w:szCs w:val="18"/>
              </w:rPr>
            </w:pPr>
            <w:r>
              <w:rPr>
                <w:rFonts w:ascii="宋体" w:hAnsi="宋体" w:cs="宋体" w:eastAsia="宋体" w:hint="default"/>
                <w:sz w:val="18"/>
                <w:szCs w:val="18"/>
              </w:rPr>
              <w:t>名：万晓 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1,563,750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1,211,250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 </w:t>
            </w:r>
            <w:r>
              <w:rPr>
                <w:rFonts w:ascii="宋体" w:hAnsi="宋体" w:cs="宋体" w:eastAsia="宋体" w:hint="default"/>
                <w:sz w:val="18"/>
                <w:szCs w:val="18"/>
              </w:rPr>
              <w:t>万股股权激励限售股；</w:t>
            </w:r>
          </w:p>
          <w:p>
            <w:pPr>
              <w:pStyle w:val="TableParagraph"/>
              <w:spacing w:line="300" w:lineRule="auto" w:before="60"/>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万高管锁定股解除限售； 期末高管锁定股将按相关规定解除限售</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438,750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万股高管锁定股解除限 售；期末高管锁定股将按相关规定解除限售</w:t>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股高管锁定股解除限售；期 末高管锁定股将按相关规定解除限售</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倪龙轶</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 </w:t>
            </w:r>
            <w:r>
              <w:rPr>
                <w:rFonts w:ascii="宋体" w:hAnsi="宋体" w:cs="宋体" w:eastAsia="宋体" w:hint="default"/>
                <w:sz w:val="18"/>
                <w:szCs w:val="18"/>
              </w:rPr>
              <w:t>万股股权激励限售股</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曹晓黎</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陈文龙</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林日磊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万股股权激励限售股</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李雨良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万股股权激励限售股</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24,045,000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16,695,075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7,349,925</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 股东大会审议通过了关于回购注销</w:t>
      </w:r>
      <w:r>
        <w:rPr>
          <w:rFonts w:ascii="Times New Roman" w:hAnsi="Times New Roman" w:cs="Times New Roman" w:eastAsia="Times New Roman" w:hint="default"/>
        </w:rPr>
        <w:t>2016</w:t>
      </w:r>
      <w:r>
        <w:rPr/>
        <w:t>年限制性股票激励计划部分限制性股票的议案，鉴于根据公司绩效考核管理相关制 度和</w:t>
      </w:r>
      <w:r>
        <w:rPr>
          <w:rFonts w:ascii="Times New Roman" w:hAnsi="Times New Roman" w:cs="Times New Roman" w:eastAsia="Times New Roman" w:hint="default"/>
        </w:rPr>
        <w:t>2016</w:t>
      </w:r>
      <w:r>
        <w:rPr/>
        <w:t>年限制性股票激励计划的相关规定，激励对象</w:t>
      </w:r>
      <w:r>
        <w:rPr>
          <w:rFonts w:ascii="Times New Roman" w:hAnsi="Times New Roman" w:cs="Times New Roman" w:eastAsia="Times New Roman" w:hint="default"/>
        </w:rPr>
        <w:t>2018</w:t>
      </w:r>
      <w:r>
        <w:rPr/>
        <w:t>年度绩效考核考评结果均为不合格，公司决定对</w:t>
      </w:r>
      <w:r>
        <w:rPr>
          <w:rFonts w:ascii="Times New Roman" w:hAnsi="Times New Roman" w:cs="Times New Roman" w:eastAsia="Times New Roman" w:hint="default"/>
        </w:rPr>
        <w:t>2016</w:t>
      </w:r>
      <w:r>
        <w:rPr/>
        <w:t>年限制性 股票激励计划第三个解锁期因激励对象个人绩效考核结果不达标导致不能解锁的</w:t>
      </w:r>
      <w:r>
        <w:rPr>
          <w:rFonts w:ascii="Times New Roman" w:hAnsi="Times New Roman" w:cs="Times New Roman" w:eastAsia="Times New Roman" w:hint="default"/>
        </w:rPr>
        <w:t>1,221</w:t>
      </w:r>
      <w:r>
        <w:rPr/>
        <w:t>万股限制性股票进行回购注销，独立 董事对此发表了同意的独立意见，上会会计师事务所出具了上会师报字（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4742</w:t>
      </w:r>
      <w:r>
        <w:rPr/>
        <w:t>号《验资报告》。本次回购注销事 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日办理完成，回购注销完成后公司总股本由</w:t>
      </w:r>
      <w:r>
        <w:rPr>
          <w:rFonts w:ascii="Times New Roman" w:hAnsi="Times New Roman" w:cs="Times New Roman" w:eastAsia="Times New Roman" w:hint="default"/>
        </w:rPr>
        <w:t>814,139,568</w:t>
      </w:r>
      <w:r>
        <w:rPr/>
        <w:t>股变更为</w:t>
      </w:r>
      <w:r>
        <w:rPr>
          <w:rFonts w:ascii="Times New Roman" w:hAnsi="Times New Roman" w:cs="Times New Roman" w:eastAsia="Times New Roman" w:hint="default"/>
        </w:rPr>
        <w:t>801,929,568</w:t>
      </w:r>
      <w:r>
        <w:rPr/>
        <w:t>股，公司股东结构、资产和 负债结构发生相应变动。</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三、股东和实际控制人情况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6"/>
        <w:gridCol w:w="756"/>
        <w:gridCol w:w="176"/>
        <w:gridCol w:w="1415"/>
        <w:gridCol w:w="569"/>
        <w:gridCol w:w="142"/>
        <w:gridCol w:w="959"/>
        <w:gridCol w:w="885"/>
        <w:gridCol w:w="850"/>
        <w:gridCol w:w="252"/>
        <w:gridCol w:w="740"/>
        <w:gridCol w:w="535"/>
        <w:gridCol w:w="741"/>
        <w:gridCol w:w="353"/>
      </w:tblGrid>
      <w:tr>
        <w:trPr>
          <w:trHeight w:val="134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48,730</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49"/>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1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48,068</w:t>
            </w:r>
          </w:p>
        </w:tc>
        <w:tc>
          <w:tcPr>
            <w:tcW w:w="1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 w:right="77"/>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9"/>
              <w:ind w:left="2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0</w:t>
            </w:r>
          </w:p>
        </w:tc>
        <w:tc>
          <w:tcPr>
            <w:tcW w:w="20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9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03" w:right="2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78" w:right="74"/>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6" w:hRule="exact"/>
        </w:trPr>
        <w:tc>
          <w:tcPr>
            <w:tcW w:w="1952" w:type="dxa"/>
            <w:gridSpan w:val="2"/>
            <w:vMerge/>
            <w:tcBorders>
              <w:left w:val="single" w:sz="4" w:space="0" w:color="000000"/>
              <w:bottom w:val="single" w:sz="4" w:space="0" w:color="000000"/>
              <w:right w:val="single" w:sz="4" w:space="0" w:color="000000"/>
            </w:tcBorders>
            <w:shd w:val="clear" w:color="auto" w:fill="D2D2D2"/>
          </w:tcPr>
          <w:p>
            <w:pPr/>
          </w:p>
        </w:tc>
        <w:tc>
          <w:tcPr>
            <w:tcW w:w="1592" w:type="dxa"/>
            <w:gridSpan w:val="2"/>
            <w:vMerge/>
            <w:tcBorders>
              <w:left w:val="single" w:sz="4" w:space="0" w:color="000000"/>
              <w:bottom w:val="single" w:sz="4" w:space="0" w:color="000000"/>
              <w:right w:val="single" w:sz="4" w:space="0" w:color="000000"/>
            </w:tcBorders>
            <w:shd w:val="clear" w:color="auto" w:fill="D2D2D2"/>
          </w:tcPr>
          <w:p>
            <w:pPr/>
          </w:p>
        </w:tc>
        <w:tc>
          <w:tcPr>
            <w:tcW w:w="710" w:type="dxa"/>
            <w:gridSpan w:val="2"/>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88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83"/>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共青城信中利宝信投资 合伙企业（有限合伙）</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13.67%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109,590,016</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4,660,238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109,590,016</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中驰惠程企业管理有限 公司</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10.54%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84,557,366</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84,557,366</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52,000,000</w:t>
            </w:r>
          </w:p>
        </w:tc>
      </w:tr>
      <w:tr>
        <w:trPr>
          <w:trHeight w:val="71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3.60%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28,882,200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28,882,200</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北京信中利投资股份有 限公司</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27,153,727</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27,153,727</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深圳市惠程信息科技股 份有限公司回购专用证 券账户</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2.22%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17,766,200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17,766,200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17,766,200</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共青城中源信投资管理 合伙企业（有限合伙）</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2.15%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17,223,762</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17,223,762</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1.71%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13,686,997</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13,686,997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13,686,997</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北京天象道通资产管理 有限公司－天象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 募证券投资基金</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1.09%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8,725,042</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8,725,042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8,725,042</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北京天象道通资产管理 有限公司－天象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 募证券投资基金</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1.05%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8,392,900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8,392,900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8,392,900</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张玉柱</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0.55%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4,442,000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4,442,000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4,442,000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4" w:type="dxa"/>
            <w:gridSpan w:val="2"/>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354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025" w:type="dxa"/>
            <w:gridSpan w:val="10"/>
            <w:vMerge w:val="restart"/>
            <w:tcBorders>
              <w:top w:val="single" w:sz="4" w:space="0" w:color="000000"/>
              <w:left w:val="single" w:sz="4" w:space="0" w:color="000000"/>
              <w:right w:val="single" w:sz="4" w:space="0" w:color="000000"/>
            </w:tcBorders>
          </w:tcPr>
          <w:p>
            <w:pPr>
              <w:pStyle w:val="TableParagraph"/>
              <w:spacing w:line="312" w:lineRule="auto" w:before="49"/>
              <w:ind w:left="26" w:right="72"/>
              <w:jc w:val="left"/>
              <w:rPr>
                <w:rFonts w:ascii="宋体" w:hAnsi="宋体" w:cs="宋体" w:eastAsia="宋体" w:hint="default"/>
                <w:sz w:val="18"/>
                <w:szCs w:val="18"/>
              </w:rPr>
            </w:pPr>
            <w:r>
              <w:rPr>
                <w:rFonts w:ascii="宋体" w:hAnsi="宋体" w:cs="宋体" w:eastAsia="宋体" w:hint="default"/>
                <w:spacing w:val="-3"/>
                <w:sz w:val="18"/>
                <w:szCs w:val="18"/>
              </w:rPr>
              <w:t>共青城中源信投资管理合伙企业（有限合伙）、共青城信中利宝信投资合伙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企业（有限合伙）、北京信中利投资股份有限公司系中驰惠程企业管理有限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公司的一致行动人，合计持股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238,524,871 </w:t>
            </w:r>
            <w:r>
              <w:rPr>
                <w:rFonts w:ascii="宋体" w:hAnsi="宋体" w:cs="宋体" w:eastAsia="宋体" w:hint="default"/>
                <w:sz w:val="18"/>
                <w:szCs w:val="18"/>
              </w:rPr>
              <w:t>股，占公司期末总股本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29.74%</w:t>
            </w:r>
            <w:r>
              <w:rPr>
                <w:rFonts w:ascii="宋体" w:hAnsi="宋体" w:cs="宋体" w:eastAsia="宋体" w:hint="default"/>
                <w:sz w:val="18"/>
                <w:szCs w:val="18"/>
              </w:rPr>
              <w:t>； 其他股东之间关系不详。</w:t>
            </w:r>
          </w:p>
        </w:tc>
      </w:tr>
      <w:tr>
        <w:trPr>
          <w:trHeight w:val="391" w:hRule="exact"/>
        </w:trPr>
        <w:tc>
          <w:tcPr>
            <w:tcW w:w="354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25" w:type="dxa"/>
            <w:gridSpan w:val="10"/>
            <w:vMerge/>
            <w:tcBorders>
              <w:left w:val="single" w:sz="4" w:space="0" w:color="000000"/>
              <w:right w:val="single" w:sz="4" w:space="0" w:color="000000"/>
            </w:tcBorders>
          </w:tcPr>
          <w:p>
            <w:pPr/>
          </w:p>
        </w:tc>
      </w:tr>
      <w:tr>
        <w:trPr>
          <w:trHeight w:val="473" w:hRule="exact"/>
        </w:trPr>
        <w:tc>
          <w:tcPr>
            <w:tcW w:w="354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025" w:type="dxa"/>
            <w:gridSpan w:val="10"/>
            <w:vMerge/>
            <w:tcBorders>
              <w:left w:val="single" w:sz="4" w:space="0" w:color="000000"/>
              <w:bottom w:val="single" w:sz="4" w:space="0" w:color="000000"/>
              <w:right w:val="single" w:sz="4" w:space="0" w:color="000000"/>
            </w:tcBorders>
          </w:tcPr>
          <w:p>
            <w:pPr/>
          </w:p>
        </w:tc>
      </w:tr>
      <w:tr>
        <w:trPr>
          <w:trHeight w:val="403"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087"/>
        <w:gridCol w:w="1843"/>
        <w:gridCol w:w="2283"/>
        <w:gridCol w:w="1261"/>
        <w:gridCol w:w="1094"/>
      </w:tblGrid>
      <w:tr>
        <w:trPr>
          <w:trHeight w:val="402" w:hRule="exact"/>
        </w:trPr>
        <w:tc>
          <w:tcPr>
            <w:tcW w:w="49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866" w:right="53" w:hanging="810"/>
              <w:jc w:val="left"/>
              <w:rPr>
                <w:rFonts w:ascii="宋体" w:hAnsi="宋体" w:cs="宋体" w:eastAsia="宋体" w:hint="default"/>
                <w:sz w:val="18"/>
                <w:szCs w:val="18"/>
              </w:rPr>
            </w:pPr>
            <w:r>
              <w:rPr>
                <w:rFonts w:ascii="宋体" w:hAnsi="宋体" w:cs="宋体" w:eastAsia="宋体" w:hint="default"/>
                <w:sz w:val="18"/>
                <w:szCs w:val="18"/>
              </w:rPr>
              <w:t>报告期末持有无限售条件股 份数量</w:t>
            </w:r>
          </w:p>
        </w:tc>
        <w:tc>
          <w:tcPr>
            <w:tcW w:w="23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4931" w:type="dxa"/>
            <w:gridSpan w:val="2"/>
            <w:vMerge/>
            <w:tcBorders>
              <w:left w:val="single" w:sz="4" w:space="0" w:color="000000"/>
              <w:bottom w:val="single" w:sz="4" w:space="0" w:color="000000"/>
              <w:right w:val="single" w:sz="4" w:space="0" w:color="000000"/>
            </w:tcBorders>
            <w:shd w:val="clear" w:color="auto" w:fill="D2D2D2"/>
          </w:tcPr>
          <w:p>
            <w:pPr/>
          </w:p>
        </w:tc>
        <w:tc>
          <w:tcPr>
            <w:tcW w:w="2283"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109,590,016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109,590,016</w:t>
            </w:r>
          </w:p>
        </w:tc>
      </w:tr>
      <w:tr>
        <w:trPr>
          <w:trHeight w:val="403"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84,557,366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84,557,366</w:t>
            </w:r>
          </w:p>
        </w:tc>
      </w:tr>
      <w:tr>
        <w:trPr>
          <w:trHeight w:val="401"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28,882,200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28,882,200</w:t>
            </w:r>
          </w:p>
        </w:tc>
      </w:tr>
      <w:tr>
        <w:trPr>
          <w:trHeight w:val="403"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27,153,727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27,153,727</w:t>
            </w:r>
          </w:p>
        </w:tc>
      </w:tr>
      <w:tr>
        <w:trPr>
          <w:trHeight w:val="401"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深圳市惠程信息科技股份有限公司回购专用证券账户</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17,766,200</w:t>
            </w:r>
          </w:p>
        </w:tc>
      </w:tr>
      <w:tr>
        <w:trPr>
          <w:trHeight w:val="403"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17,223,762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17,223,762</w:t>
            </w:r>
          </w:p>
        </w:tc>
      </w:tr>
      <w:tr>
        <w:trPr>
          <w:trHeight w:val="401"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13,686,997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13,686,997</w:t>
            </w:r>
          </w:p>
        </w:tc>
      </w:tr>
      <w:tr>
        <w:trPr>
          <w:trHeight w:val="404"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北京天象道通资产管理有限公司－天象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8,725,042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8,725,042</w:t>
            </w:r>
          </w:p>
        </w:tc>
      </w:tr>
      <w:tr>
        <w:trPr>
          <w:trHeight w:val="401"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北京天象道通资产管理有限公司－天象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8,392,900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8,392,900</w:t>
            </w:r>
          </w:p>
        </w:tc>
      </w:tr>
      <w:tr>
        <w:trPr>
          <w:trHeight w:val="403" w:hRule="exact"/>
        </w:trPr>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张玉柱</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4,442,000</w:t>
            </w:r>
          </w:p>
        </w:tc>
      </w:tr>
      <w:tr>
        <w:trPr>
          <w:trHeight w:val="1337"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w:t>
            </w:r>
          </w:p>
          <w:p>
            <w:pPr>
              <w:pStyle w:val="TableParagraph"/>
              <w:spacing w:line="300" w:lineRule="auto" w:before="63"/>
              <w:ind w:left="24" w:right="16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、共青城信中</w:t>
            </w:r>
            <w:r>
              <w:rPr>
                <w:rFonts w:ascii="宋体" w:hAnsi="宋体" w:cs="宋体" w:eastAsia="宋体" w:hint="default"/>
                <w:spacing w:val="2"/>
                <w:sz w:val="18"/>
                <w:szCs w:val="18"/>
              </w:rPr>
              <w:t>利</w:t>
            </w:r>
            <w:r>
              <w:rPr>
                <w:rFonts w:ascii="宋体" w:hAnsi="宋体" w:cs="宋体" w:eastAsia="宋体" w:hint="default"/>
                <w:sz w:val="18"/>
                <w:szCs w:val="18"/>
              </w:rPr>
              <w:t>宝信投资合伙企业</w:t>
            </w:r>
          </w:p>
          <w:p>
            <w:pPr>
              <w:pStyle w:val="TableParagraph"/>
              <w:spacing w:line="309" w:lineRule="auto" w:before="76"/>
              <w:ind w:left="23" w:right="54"/>
              <w:jc w:val="left"/>
              <w:rPr>
                <w:rFonts w:ascii="宋体" w:hAnsi="宋体" w:cs="宋体" w:eastAsia="宋体" w:hint="default"/>
                <w:sz w:val="18"/>
                <w:szCs w:val="18"/>
              </w:rPr>
            </w:pPr>
            <w:r>
              <w:rPr>
                <w:rFonts w:ascii="宋体" w:hAnsi="宋体" w:cs="宋体" w:eastAsia="宋体" w:hint="default"/>
                <w:spacing w:val="-3"/>
                <w:sz w:val="18"/>
                <w:szCs w:val="18"/>
              </w:rPr>
              <w:t>（有限合伙）、北京信中利投资股份有限公司系中驰惠程企业管理有限公司的一致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行动人，合计持股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238,524,871 </w:t>
            </w:r>
            <w:r>
              <w:rPr>
                <w:rFonts w:ascii="宋体" w:hAnsi="宋体" w:cs="宋体" w:eastAsia="宋体" w:hint="default"/>
                <w:sz w:val="18"/>
                <w:szCs w:val="18"/>
              </w:rPr>
              <w:t>股，占公司期末总股本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29.74%</w:t>
            </w:r>
            <w:r>
              <w:rPr>
                <w:rFonts w:ascii="宋体" w:hAnsi="宋体" w:cs="宋体" w:eastAsia="宋体" w:hint="default"/>
                <w:sz w:val="18"/>
                <w:szCs w:val="18"/>
              </w:rPr>
              <w:t>；其他股东之间关 系不详。</w:t>
            </w:r>
          </w:p>
        </w:tc>
      </w:tr>
      <w:tr>
        <w:trPr>
          <w:trHeight w:val="1652"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4" w:right="8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 </w:t>
            </w:r>
            <w:r>
              <w:rPr>
                <w:rFonts w:ascii="宋体" w:hAnsi="宋体" w:cs="宋体" w:eastAsia="宋体" w:hint="default"/>
                <w:spacing w:val="-8"/>
                <w:sz w:val="18"/>
                <w:szCs w:val="18"/>
              </w:rPr>
              <w:t>情况说明（如有）（参见注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中驰惠程企业管理有限公司、北京信中利投资股份有限公司、共青城中源信投资 </w:t>
            </w:r>
            <w:r>
              <w:rPr>
                <w:rFonts w:ascii="宋体" w:hAnsi="宋体" w:cs="宋体" w:eastAsia="宋体" w:hint="default"/>
                <w:spacing w:val="-3"/>
                <w:sz w:val="18"/>
                <w:szCs w:val="18"/>
              </w:rPr>
              <w:t>管理合伙企业（有限合伙）、北京天象道通资产管理有限公司－天象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w:t>
            </w:r>
          </w:p>
          <w:p>
            <w:pPr>
              <w:pStyle w:val="TableParagraph"/>
              <w:spacing w:line="300" w:lineRule="auto" w:before="1"/>
              <w:ind w:left="23" w:right="144"/>
              <w:jc w:val="left"/>
              <w:rPr>
                <w:rFonts w:ascii="宋体" w:hAnsi="宋体" w:cs="宋体" w:eastAsia="宋体" w:hint="default"/>
                <w:sz w:val="18"/>
                <w:szCs w:val="18"/>
              </w:rPr>
            </w:pPr>
            <w:r>
              <w:rPr>
                <w:rFonts w:ascii="宋体" w:hAnsi="宋体" w:cs="宋体" w:eastAsia="宋体" w:hint="default"/>
                <w:sz w:val="18"/>
                <w:szCs w:val="18"/>
              </w:rPr>
              <w:t>投资基金、北京天象道通资产管理有限公司－天象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号私募证券投资基金、张玉 柱参与融资融券业务，涉及的股份数分别为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32,557,366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25,886,647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17,223,762 </w:t>
            </w:r>
            <w:r>
              <w:rPr>
                <w:rFonts w:ascii="宋体" w:hAnsi="宋体" w:cs="宋体" w:eastAsia="宋体" w:hint="default"/>
                <w:sz w:val="18"/>
                <w:szCs w:val="18"/>
              </w:rPr>
              <w:t>股、</w:t>
            </w:r>
            <w:r>
              <w:rPr>
                <w:rFonts w:ascii="Times New Roman" w:hAnsi="Times New Roman" w:cs="Times New Roman" w:eastAsia="Times New Roman" w:hint="default"/>
                <w:sz w:val="18"/>
                <w:szCs w:val="18"/>
              </w:rPr>
              <w:t>8,725,042 </w:t>
            </w:r>
            <w:r>
              <w:rPr>
                <w:rFonts w:ascii="宋体" w:hAnsi="宋体" w:cs="宋体" w:eastAsia="宋体" w:hint="default"/>
                <w:sz w:val="18"/>
                <w:szCs w:val="18"/>
              </w:rPr>
              <w:t>股、</w:t>
            </w:r>
            <w:r>
              <w:rPr>
                <w:rFonts w:ascii="Times New Roman" w:hAnsi="Times New Roman" w:cs="Times New Roman" w:eastAsia="Times New Roman" w:hint="default"/>
                <w:sz w:val="18"/>
                <w:szCs w:val="18"/>
              </w:rPr>
              <w:t>8,392,900 </w:t>
            </w:r>
            <w:r>
              <w:rPr>
                <w:rFonts w:ascii="宋体" w:hAnsi="宋体" w:cs="宋体" w:eastAsia="宋体" w:hint="default"/>
                <w:sz w:val="18"/>
                <w:szCs w:val="18"/>
              </w:rPr>
              <w:t>股、</w:t>
            </w:r>
            <w:r>
              <w:rPr>
                <w:rFonts w:ascii="Times New Roman" w:hAnsi="Times New Roman" w:cs="Times New Roman" w:eastAsia="Times New Roman" w:hint="default"/>
                <w:sz w:val="18"/>
                <w:szCs w:val="18"/>
              </w:rPr>
              <w:t>4,442,000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594"/>
        <w:jc w:val="left"/>
      </w:pPr>
      <w:r>
        <w:rPr/>
        <w:t>控股股东性质：自然人控股 控股股东类型：法人</w:t>
      </w:r>
    </w:p>
    <w:tbl>
      <w:tblPr>
        <w:tblW w:w="0" w:type="auto"/>
        <w:jc w:val="left"/>
        <w:tblInd w:w="181" w:type="dxa"/>
        <w:tblLayout w:type="fixed"/>
        <w:tblCellMar>
          <w:top w:w="0" w:type="dxa"/>
          <w:left w:w="0" w:type="dxa"/>
          <w:bottom w:w="0" w:type="dxa"/>
          <w:right w:w="0" w:type="dxa"/>
        </w:tblCellMar>
        <w:tblLook w:val="01E0"/>
      </w:tblPr>
      <w:tblGrid>
        <w:gridCol w:w="2663"/>
        <w:gridCol w:w="1164"/>
        <w:gridCol w:w="1560"/>
        <w:gridCol w:w="1843"/>
        <w:gridCol w:w="2338"/>
      </w:tblGrid>
      <w:tr>
        <w:trPr>
          <w:trHeight w:val="716"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7" w:right="99"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7"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李朝岭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911101073303568270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2"/>
              <w:jc w:val="both"/>
              <w:rPr>
                <w:rFonts w:ascii="宋体" w:hAnsi="宋体" w:cs="宋体" w:eastAsia="宋体" w:hint="default"/>
                <w:sz w:val="18"/>
                <w:szCs w:val="18"/>
              </w:rPr>
            </w:pPr>
            <w:r>
              <w:rPr>
                <w:rFonts w:ascii="宋体" w:hAnsi="宋体" w:cs="宋体" w:eastAsia="宋体" w:hint="default"/>
                <w:sz w:val="18"/>
                <w:szCs w:val="18"/>
              </w:rPr>
              <w:t>企业管理；企业营销策划； 企业管理咨询；技术开发、 技术转让、技术咨询、技术 服务。</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9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9"/>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公司报告期控股股东未发生变更。</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414"/>
        <w:jc w:val="left"/>
      </w:pPr>
      <w:r>
        <w:rPr/>
        <w:t>实际控制人性质：境内自然人 实际控制人类型：自然人</w:t>
      </w:r>
    </w:p>
    <w:tbl>
      <w:tblPr>
        <w:tblW w:w="0" w:type="auto"/>
        <w:jc w:val="left"/>
        <w:tblInd w:w="181" w:type="dxa"/>
        <w:tblLayout w:type="fixed"/>
        <w:tblCellMar>
          <w:top w:w="0" w:type="dxa"/>
          <w:left w:w="0" w:type="dxa"/>
          <w:bottom w:w="0" w:type="dxa"/>
          <w:right w:w="0" w:type="dxa"/>
        </w:tblCellMar>
        <w:tblLook w:val="01E0"/>
      </w:tblPr>
      <w:tblGrid>
        <w:gridCol w:w="3263"/>
        <w:gridCol w:w="3260"/>
        <w:gridCol w:w="1558"/>
        <w:gridCol w:w="1488"/>
      </w:tblGrid>
      <w:tr>
        <w:trPr>
          <w:trHeight w:val="71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4"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3"/>
              <w:jc w:val="left"/>
              <w:rPr>
                <w:rFonts w:ascii="宋体" w:hAnsi="宋体" w:cs="宋体" w:eastAsia="宋体" w:hint="default"/>
                <w:sz w:val="18"/>
                <w:szCs w:val="18"/>
              </w:rPr>
            </w:pPr>
            <w:r>
              <w:rPr>
                <w:rFonts w:ascii="宋体" w:hAnsi="宋体" w:cs="宋体" w:eastAsia="宋体" w:hint="default"/>
                <w:sz w:val="18"/>
                <w:szCs w:val="18"/>
              </w:rPr>
              <w:t>是否取得其他国 家或地区居留权</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李亦非</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汪超涌先生目前主要职业及职务为北京信中利投资股份有限公司董事长。</w:t>
            </w:r>
          </w:p>
        </w:tc>
      </w:tr>
      <w:tr>
        <w:trPr>
          <w:trHeight w:val="716"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0"/>
              <w:jc w:val="left"/>
              <w:rPr>
                <w:rFonts w:ascii="宋体" w:hAnsi="宋体" w:cs="宋体" w:eastAsia="宋体" w:hint="default"/>
                <w:sz w:val="18"/>
                <w:szCs w:val="18"/>
              </w:rPr>
            </w:pPr>
            <w:r>
              <w:rPr>
                <w:rFonts w:ascii="宋体" w:hAnsi="宋体" w:cs="宋体" w:eastAsia="宋体" w:hint="default"/>
                <w:sz w:val="18"/>
                <w:szCs w:val="18"/>
              </w:rPr>
              <w:t>汪超涌先生和李亦非女士系全国中小企业股份转让系统挂牌公司北京信中利投 资股份有限公司一致行动人和实际控制人。</w:t>
            </w:r>
          </w:p>
        </w:tc>
      </w:tr>
    </w:tbl>
    <w:p>
      <w:pPr>
        <w:pStyle w:val="BodyText"/>
        <w:spacing w:line="240" w:lineRule="auto" w:before="70"/>
        <w:ind w:right="0"/>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21"/>
          <w:szCs w:val="21"/>
        </w:rPr>
      </w:pPr>
    </w:p>
    <w:p>
      <w:pPr>
        <w:spacing w:line="6060" w:lineRule="exact"/>
        <w:ind w:left="2077"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3677412" cy="38481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41" cstate="print"/>
                    <a:stretch>
                      <a:fillRect/>
                    </a:stretch>
                  </pic:blipFill>
                  <pic:spPr>
                    <a:xfrm>
                      <a:off x="0" y="0"/>
                      <a:ext cx="3677412" cy="3848100"/>
                    </a:xfrm>
                    <a:prstGeom prst="rect">
                      <a:avLst/>
                    </a:prstGeom>
                  </pic:spPr>
                </pic:pic>
              </a:graphicData>
            </a:graphic>
          </wp:inline>
        </w:drawing>
      </w:r>
      <w:r>
        <w:rPr>
          <w:rFonts w:ascii="宋体" w:hAnsi="宋体" w:cs="宋体" w:eastAsia="宋体" w:hint="default"/>
          <w:position w:val="-120"/>
          <w:sz w:val="20"/>
          <w:szCs w:val="20"/>
        </w:rPr>
      </w:r>
    </w:p>
    <w:p>
      <w:pPr>
        <w:spacing w:line="240" w:lineRule="auto" w:before="2"/>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829"/>
        <w:gridCol w:w="1274"/>
        <w:gridCol w:w="1560"/>
        <w:gridCol w:w="1136"/>
        <w:gridCol w:w="1769"/>
      </w:tblGrid>
      <w:tr>
        <w:trPr>
          <w:trHeight w:val="71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73" w:right="65" w:hanging="20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0" w:right="65" w:hanging="629"/>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彭寸玲</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3"/>
              <w:jc w:val="left"/>
              <w:rPr>
                <w:rFonts w:ascii="宋体" w:hAnsi="宋体" w:cs="宋体" w:eastAsia="宋体" w:hint="default"/>
                <w:sz w:val="18"/>
                <w:szCs w:val="18"/>
              </w:rPr>
            </w:pPr>
            <w:r>
              <w:rPr>
                <w:rFonts w:ascii="宋体" w:hAnsi="宋体" w:cs="宋体" w:eastAsia="宋体" w:hint="default"/>
                <w:sz w:val="18"/>
                <w:szCs w:val="18"/>
              </w:rPr>
              <w:t>项目投资，实业投 资。</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365" w:right="0"/>
        <w:jc w:val="left"/>
        <w:rPr>
          <w:b w:val="0"/>
          <w:bCs w:val="0"/>
        </w:rPr>
      </w:pPr>
      <w:bookmarkStart w:name="_bookmark6" w:id="7"/>
      <w:bookmarkEnd w:id="7"/>
      <w:r>
        <w:rPr>
          <w:b w:val="0"/>
          <w:bCs w:val="0"/>
        </w:rPr>
      </w:r>
      <w:r>
        <w:rPr/>
        <w:t>第七节优先股相关情况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footerReference w:type="default" r:id="rId42"/>
          <w:pgSz w:w="11910" w:h="16840"/>
          <w:pgMar w:footer="980"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723" w:right="0"/>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footerReference w:type="default" r:id="rId43"/>
          <w:pgSz w:w="11910" w:h="16840"/>
          <w:pgMar w:footer="980" w:header="877" w:top="1100" w:bottom="1160" w:left="98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1758"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1133"/>
        <w:gridCol w:w="852"/>
        <w:gridCol w:w="406"/>
        <w:gridCol w:w="445"/>
        <w:gridCol w:w="427"/>
        <w:gridCol w:w="1133"/>
        <w:gridCol w:w="850"/>
        <w:gridCol w:w="994"/>
        <w:gridCol w:w="850"/>
        <w:gridCol w:w="711"/>
        <w:gridCol w:w="850"/>
        <w:gridCol w:w="924"/>
      </w:tblGrid>
      <w:tr>
        <w:trPr>
          <w:trHeight w:val="1339"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7"/>
              <w:jc w:val="both"/>
              <w:rPr>
                <w:rFonts w:ascii="宋体" w:hAnsi="宋体" w:cs="宋体" w:eastAsia="宋体" w:hint="default"/>
                <w:sz w:val="18"/>
                <w:szCs w:val="18"/>
              </w:rPr>
            </w:pPr>
            <w:r>
              <w:rPr>
                <w:rFonts w:ascii="宋体" w:hAnsi="宋体" w:cs="宋体" w:eastAsia="宋体" w:hint="default"/>
                <w:sz w:val="18"/>
                <w:szCs w:val="18"/>
              </w:rPr>
              <w:t>任 职 状 态</w:t>
            </w:r>
          </w:p>
        </w:tc>
        <w:tc>
          <w:tcPr>
            <w:tcW w:w="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0"/>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2,340,000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w:t>
            </w:r>
          </w:p>
        </w:tc>
      </w:tr>
      <w:tr>
        <w:trPr>
          <w:trHeight w:val="134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9" w:lineRule="auto" w:before="63"/>
              <w:ind w:left="24" w:right="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w:t>
            </w:r>
            <w:r>
              <w:rPr>
                <w:rFonts w:ascii="宋体" w:hAnsi="宋体" w:cs="宋体" w:eastAsia="宋体" w:hint="default"/>
                <w:spacing w:val="-88"/>
                <w:sz w:val="18"/>
                <w:szCs w:val="18"/>
              </w:rPr>
              <w:t> </w:t>
            </w:r>
            <w:r>
              <w:rPr>
                <w:rFonts w:ascii="宋体" w:hAnsi="宋体" w:cs="宋体" w:eastAsia="宋体" w:hint="default"/>
                <w:sz w:val="18"/>
                <w:szCs w:val="18"/>
              </w:rPr>
              <w:t>名：万晓 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1,905,000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原董事、 副总裁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离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w:t>
            </w: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原董事 长、总裁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离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Key Ke</w:t>
            </w:r>
            <w:r>
              <w:rPr>
                <w:rFonts w:ascii="Times New Roman"/>
                <w:spacing w:val="-4"/>
                <w:sz w:val="18"/>
              </w:rPr>
              <w:t> </w:t>
            </w:r>
            <w:r>
              <w:rPr>
                <w:rFonts w:ascii="Times New Roman"/>
                <w:sz w:val="18"/>
              </w:rPr>
              <w:t>Liu</w:t>
            </w:r>
          </w:p>
          <w:p>
            <w:pPr>
              <w:pStyle w:val="TableParagraph"/>
              <w:spacing w:line="316" w:lineRule="auto" w:before="60"/>
              <w:ind w:left="24" w:right="197"/>
              <w:jc w:val="left"/>
              <w:rPr>
                <w:rFonts w:ascii="宋体" w:hAnsi="宋体" w:cs="宋体" w:eastAsia="宋体" w:hint="default"/>
                <w:sz w:val="18"/>
                <w:szCs w:val="18"/>
              </w:rPr>
            </w:pPr>
            <w:r>
              <w:rPr>
                <w:rFonts w:ascii="宋体" w:hAnsi="宋体" w:cs="宋体" w:eastAsia="宋体" w:hint="default"/>
                <w:sz w:val="18"/>
                <w:szCs w:val="18"/>
              </w:rPr>
              <w:t>（中文名： 刘科）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133"/>
        <w:gridCol w:w="852"/>
        <w:gridCol w:w="406"/>
        <w:gridCol w:w="445"/>
        <w:gridCol w:w="427"/>
        <w:gridCol w:w="1133"/>
        <w:gridCol w:w="850"/>
        <w:gridCol w:w="994"/>
        <w:gridCol w:w="850"/>
        <w:gridCol w:w="711"/>
        <w:gridCol w:w="850"/>
        <w:gridCol w:w="924"/>
      </w:tblGrid>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职工代表 监事、证 券事务代 表</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离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赵红艳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财务总 监、副总 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付汝峰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董事会秘 书、副总 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现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原副总 裁、财务 总监</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离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585,000</w:t>
            </w:r>
          </w:p>
        </w:tc>
      </w:tr>
      <w:tr>
        <w:trPr>
          <w:trHeight w:val="133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原董事会 秘书、副 总裁、财 务总监</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离 任</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11,630,000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708"/>
        <w:gridCol w:w="1985"/>
        <w:gridCol w:w="569"/>
        <w:gridCol w:w="1841"/>
        <w:gridCol w:w="4465"/>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49"/>
              <w:jc w:val="left"/>
              <w:rPr>
                <w:rFonts w:ascii="宋体" w:hAnsi="宋体" w:cs="宋体" w:eastAsia="宋体" w:hint="default"/>
                <w:sz w:val="18"/>
                <w:szCs w:val="18"/>
              </w:rPr>
            </w:pPr>
            <w:r>
              <w:rPr>
                <w:rFonts w:ascii="宋体" w:hAnsi="宋体" w:cs="宋体" w:eastAsia="宋体" w:hint="default"/>
                <w:sz w:val="18"/>
                <w:szCs w:val="18"/>
              </w:rPr>
              <w:t>原董事、董事长、董事 会战略委员会主任委员</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（召集人）及总裁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原董事会秘书、副总裁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付汝峰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both"/>
              <w:rPr>
                <w:rFonts w:ascii="宋体" w:hAnsi="宋体" w:cs="宋体" w:eastAsia="宋体" w:hint="default"/>
                <w:sz w:val="18"/>
                <w:szCs w:val="18"/>
              </w:rPr>
            </w:pPr>
            <w:r>
              <w:rPr>
                <w:rFonts w:ascii="宋体" w:hAnsi="宋体" w:cs="宋体" w:eastAsia="宋体" w:hint="default"/>
                <w:sz w:val="18"/>
                <w:szCs w:val="18"/>
              </w:rPr>
              <w:t>原投资管理部副经理， 现任董事会秘书、副总 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经公司总裁汪超涌先生提名和董事会提名委员会审核， 董事会同意聘任付汝峰先生为公司董事会秘书、副总裁</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708"/>
        <w:gridCol w:w="1985"/>
        <w:gridCol w:w="569"/>
        <w:gridCol w:w="1841"/>
        <w:gridCol w:w="4465"/>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原财务总监、副总裁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49"/>
              <w:jc w:val="left"/>
              <w:rPr>
                <w:rFonts w:ascii="宋体" w:hAnsi="宋体" w:cs="宋体" w:eastAsia="宋体" w:hint="default"/>
                <w:sz w:val="18"/>
                <w:szCs w:val="18"/>
              </w:rPr>
            </w:pPr>
            <w:r>
              <w:rPr>
                <w:rFonts w:ascii="宋体" w:hAnsi="宋体" w:cs="宋体" w:eastAsia="宋体" w:hint="default"/>
                <w:sz w:val="18"/>
                <w:szCs w:val="18"/>
              </w:rPr>
              <w:t>原董事，现任董事长、 总裁，曾兼任财务总监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经董事会提名委员会建议，公司董事会同意聘任汪超涌 先生为公司总裁、财务总监；董事会选举同意董事汪超 涌先生担任公司董事长</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赵红艳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9"/>
              <w:jc w:val="left"/>
              <w:rPr>
                <w:rFonts w:ascii="宋体" w:hAnsi="宋体" w:cs="宋体" w:eastAsia="宋体" w:hint="default"/>
                <w:sz w:val="18"/>
                <w:szCs w:val="18"/>
              </w:rPr>
            </w:pPr>
            <w:r>
              <w:rPr>
                <w:rFonts w:ascii="宋体" w:hAnsi="宋体" w:cs="宋体" w:eastAsia="宋体" w:hint="default"/>
                <w:sz w:val="18"/>
                <w:szCs w:val="18"/>
              </w:rPr>
              <w:t>原内审负责人，现任财 务总监、副总裁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经公司总裁汪超涌先生提名、董事会提名委员会审核， 董事会同意聘任赵红艳女士担任公司副总裁，财务总监 由汪超涌先生变更为赵红艳女士</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林嘉喜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经公司控股股东中驰惠程提名，董事会同意补选林嘉喜 先生为公司第六届董事会董事候选人，经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次临时股东大会表决通过</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潘林武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经公司控股股东中驰惠程提名，董事会同意补选潘林武 先生为公司第六届董事会董事候选人，经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次临时股东大会表决通过</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经监事会主席梅绍华先生建议，公司监事会同意补选赵 丽女士为公司监事候选人，经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 大会表决通过当选</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pStyle w:val="BodyText"/>
        <w:spacing w:line="295" w:lineRule="auto" w:before="60"/>
        <w:ind w:right="1124" w:firstLine="36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、汪超涌先生：</w:t>
      </w:r>
      <w:r>
        <w:rPr>
          <w:rFonts w:ascii="Times New Roman" w:hAnsi="Times New Roman" w:cs="Times New Roman" w:eastAsia="Times New Roman" w:hint="default"/>
        </w:rPr>
        <w:t>1965</w:t>
      </w:r>
      <w:r>
        <w:rPr/>
        <w:t>年出生，中国籍，华中理工大学（现华中科技大学）工学学士、清华大学经管学院研究生、美国 罗格斯（</w:t>
      </w:r>
      <w:r>
        <w:rPr>
          <w:rFonts w:ascii="Times New Roman" w:hAnsi="Times New Roman" w:cs="Times New Roman" w:eastAsia="Times New Roman" w:hint="default"/>
        </w:rPr>
        <w:t>Rutgers</w:t>
      </w:r>
      <w:r>
        <w:rPr/>
        <w:t>）大学</w:t>
      </w:r>
      <w:r>
        <w:rPr>
          <w:rFonts w:ascii="Times New Roman" w:hAnsi="Times New Roman" w:cs="Times New Roman" w:eastAsia="Times New Roman" w:hint="default"/>
        </w:rPr>
        <w:t>MBA</w:t>
      </w:r>
      <w:r>
        <w:rPr/>
        <w:t>。曾任美国摩根大通银行高级经理、美国标准普尔证券评级公司资产证券化部副主任、摩根士 丹利亚洲区副总裁和北京代表处首席代表、国家开发银行投资银行业务顾问，</w:t>
      </w:r>
      <w:r>
        <w:rPr>
          <w:rFonts w:ascii="Times New Roman" w:hAnsi="Times New Roman" w:cs="Times New Roman" w:eastAsia="Times New Roman" w:hint="default"/>
        </w:rPr>
        <w:t>1999</w:t>
      </w:r>
      <w:r>
        <w:rPr/>
        <w:t>年创办北京信中利投资股份有限公司并 担任董事长至今。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月起担任本公司总裁兼董事长。</w:t>
      </w:r>
    </w:p>
    <w:p>
      <w:pPr>
        <w:pStyle w:val="BodyText"/>
        <w:spacing w:line="292" w:lineRule="auto"/>
        <w:ind w:right="1124" w:firstLine="36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、沈晓超女士：</w:t>
      </w:r>
      <w:r>
        <w:rPr>
          <w:rFonts w:ascii="Times New Roman" w:hAnsi="Times New Roman" w:cs="Times New Roman" w:eastAsia="Times New Roman" w:hint="default"/>
        </w:rPr>
        <w:t>1977</w:t>
      </w:r>
      <w:r>
        <w:rPr/>
        <w:t>年出生，中国籍，中国人民大学管理学硕士，会计师。曾任保定市华美园林花木有限公司总经 理、北京吉农科技有限公司财务总监，现任北京信中利投资股份有限公司董事、副总经理、财务总监，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 公司董事。</w:t>
      </w:r>
    </w:p>
    <w:p>
      <w:pPr>
        <w:pStyle w:val="BodyText"/>
        <w:spacing w:line="292" w:lineRule="auto" w:before="18"/>
        <w:ind w:right="1300" w:firstLine="360"/>
        <w:jc w:val="both"/>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、陈丹女士：</w:t>
      </w:r>
      <w:r>
        <w:rPr>
          <w:rFonts w:ascii="Times New Roman" w:hAnsi="Times New Roman" w:cs="Times New Roman" w:eastAsia="Times New Roman" w:hint="default"/>
        </w:rPr>
        <w:t>1973</w:t>
      </w:r>
      <w:r>
        <w:rPr/>
        <w:t>年出生，中国籍，武汉大学金融保险专业学士、</w:t>
      </w:r>
      <w:r>
        <w:rPr>
          <w:rFonts w:ascii="Times New Roman" w:hAnsi="Times New Roman" w:cs="Times New Roman" w:eastAsia="Times New Roman" w:hint="default"/>
        </w:rPr>
        <w:t>MBA</w:t>
      </w:r>
      <w:r>
        <w:rPr/>
        <w:t>，经济师。曾任</w:t>
      </w:r>
      <w:r>
        <w:rPr>
          <w:rFonts w:ascii="Times New Roman" w:hAnsi="Times New Roman" w:cs="Times New Roman" w:eastAsia="Times New Roman" w:hint="default"/>
        </w:rPr>
        <w:t>Transfield</w:t>
      </w:r>
      <w:r>
        <w:rPr>
          <w:rFonts w:ascii="Times New Roman" w:hAnsi="Times New Roman" w:cs="Times New Roman" w:eastAsia="Times New Roman" w:hint="default"/>
          <w:spacing w:val="-5"/>
        </w:rPr>
        <w:t> </w:t>
      </w:r>
      <w:r>
        <w:rPr>
          <w:rFonts w:ascii="Times New Roman" w:hAnsi="Times New Roman" w:cs="Times New Roman" w:eastAsia="Times New Roman" w:hint="default"/>
        </w:rPr>
        <w:t>Services</w:t>
      </w:r>
      <w:r>
        <w:rPr/>
        <w:t>高级投资 经理、澳大利亚澳保集团（</w:t>
      </w:r>
      <w:r>
        <w:rPr>
          <w:rFonts w:ascii="Times New Roman" w:hAnsi="Times New Roman" w:cs="Times New Roman" w:eastAsia="Times New Roman" w:hint="default"/>
        </w:rPr>
        <w:t>Insurance Australia</w:t>
      </w:r>
      <w:r>
        <w:rPr>
          <w:rFonts w:ascii="Times New Roman" w:hAnsi="Times New Roman" w:cs="Times New Roman" w:eastAsia="Times New Roman" w:hint="default"/>
          <w:spacing w:val="-4"/>
        </w:rPr>
        <w:t> </w:t>
      </w:r>
      <w:r>
        <w:rPr>
          <w:rFonts w:ascii="Times New Roman" w:hAnsi="Times New Roman" w:cs="Times New Roman" w:eastAsia="Times New Roman" w:hint="default"/>
        </w:rPr>
        <w:t>Group</w:t>
      </w:r>
      <w:r>
        <w:rPr/>
        <w:t>）高级战略顾问，现任北京信中利投资股份有限公司董事、总经理，</w:t>
      </w:r>
      <w:r>
        <w:rPr>
          <w:w w:val="99"/>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p>
    <w:p>
      <w:pPr>
        <w:spacing w:line="283" w:lineRule="auto" w:before="2"/>
        <w:ind w:left="152" w:right="1220" w:firstLine="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WAN XIAO</w:t>
      </w:r>
      <w:r>
        <w:rPr>
          <w:rFonts w:ascii="Times New Roman" w:hAnsi="Times New Roman" w:cs="Times New Roman" w:eastAsia="Times New Roman" w:hint="default"/>
          <w:b/>
          <w:bCs/>
          <w:spacing w:val="2"/>
          <w:sz w:val="18"/>
          <w:szCs w:val="18"/>
        </w:rPr>
        <w:t> </w:t>
      </w:r>
      <w:r>
        <w:rPr>
          <w:rFonts w:ascii="Times New Roman" w:hAnsi="Times New Roman" w:cs="Times New Roman" w:eastAsia="Times New Roman" w:hint="default"/>
          <w:b/>
          <w:bCs/>
          <w:sz w:val="18"/>
          <w:szCs w:val="18"/>
        </w:rPr>
        <w:t>YANG</w:t>
      </w:r>
      <w:r>
        <w:rPr>
          <w:rFonts w:ascii="Microsoft JhengHei" w:hAnsi="Microsoft JhengHei" w:cs="Microsoft JhengHei" w:eastAsia="Microsoft JhengHei" w:hint="default"/>
          <w:b/>
          <w:bCs/>
          <w:sz w:val="18"/>
          <w:szCs w:val="18"/>
        </w:rPr>
        <w:t>（中文名：万晓阳）先生：</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年出生，澳大利亚籍，中国石油大学机械工程专业学士学位， 澳大利亚皇家墨尔本大学工程科学硕士博士学位。曾任</w:t>
      </w:r>
      <w:r>
        <w:rPr>
          <w:rFonts w:ascii="Times New Roman" w:hAnsi="Times New Roman" w:cs="Times New Roman" w:eastAsia="Times New Roman" w:hint="default"/>
          <w:sz w:val="18"/>
          <w:szCs w:val="18"/>
        </w:rPr>
        <w:t>Simplex</w:t>
      </w:r>
      <w:r>
        <w:rPr>
          <w:rFonts w:ascii="宋体" w:hAnsi="宋体" w:cs="宋体" w:eastAsia="宋体" w:hint="default"/>
          <w:sz w:val="18"/>
          <w:szCs w:val="18"/>
        </w:rPr>
        <w:t>资本亚洲投资有限公司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香港董事总经理、德国昆格瓦格纳</w:t>
      </w:r>
    </w:p>
    <w:p>
      <w:pPr>
        <w:pStyle w:val="BodyText"/>
        <w:spacing w:line="240" w:lineRule="auto" w:before="27"/>
        <w:ind w:right="0"/>
        <w:jc w:val="left"/>
      </w:pPr>
      <w:r>
        <w:rPr/>
        <w:t>（</w:t>
      </w:r>
      <w:r>
        <w:rPr>
          <w:rFonts w:ascii="Times New Roman" w:hAnsi="Times New Roman" w:cs="Times New Roman" w:eastAsia="Times New Roman" w:hint="default"/>
        </w:rPr>
        <w:t>Kuenkel-Wagner</w:t>
      </w:r>
      <w:r>
        <w:rPr/>
        <w:t>）技术公司首席执行官，现任山东朗进科技股份有限公司董事、总经理，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p>
    <w:p>
      <w:pPr>
        <w:pStyle w:val="BodyText"/>
        <w:spacing w:line="283" w:lineRule="auto" w:before="46"/>
        <w:ind w:right="1124" w:firstLine="360"/>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、林嘉喜先生：</w:t>
      </w:r>
      <w:r>
        <w:rPr>
          <w:rFonts w:ascii="Times New Roman" w:hAnsi="Times New Roman" w:cs="Times New Roman" w:eastAsia="Times New Roman" w:hint="default"/>
        </w:rPr>
        <w:t>1978</w:t>
      </w:r>
      <w:r>
        <w:rPr/>
        <w:t>年出生，中国籍。</w:t>
      </w:r>
      <w:r>
        <w:rPr>
          <w:rFonts w:ascii="Times New Roman" w:hAnsi="Times New Roman" w:cs="Times New Roman" w:eastAsia="Times New Roman" w:hint="default"/>
        </w:rPr>
        <w:t>2001</w:t>
      </w:r>
      <w:r>
        <w:rPr/>
        <w:t>年东南大学肄业创业，创办南京国金投资顾问有限公司；</w:t>
      </w:r>
      <w:r>
        <w:rPr>
          <w:rFonts w:ascii="Times New Roman" w:hAnsi="Times New Roman" w:cs="Times New Roman" w:eastAsia="Times New Roman" w:hint="default"/>
        </w:rPr>
        <w:t>2004</w:t>
      </w:r>
      <w:r>
        <w:rPr/>
        <w:t>年创办深圳 国金投资顾问有限公司（以下简称</w:t>
      </w:r>
      <w:r>
        <w:rPr>
          <w:rFonts w:ascii="Times New Roman" w:hAnsi="Times New Roman" w:cs="Times New Roman" w:eastAsia="Times New Roman" w:hint="default"/>
        </w:rPr>
        <w:t>“</w:t>
      </w:r>
      <w:r>
        <w:rPr/>
        <w:t>国金顾问</w:t>
      </w:r>
      <w:r>
        <w:rPr>
          <w:rFonts w:ascii="Times New Roman" w:hAnsi="Times New Roman" w:cs="Times New Roman" w:eastAsia="Times New Roman" w:hint="default"/>
        </w:rPr>
        <w:t>”</w:t>
      </w:r>
      <w:r>
        <w:rPr/>
        <w:t>），至今任国金顾问执行董事；</w:t>
      </w:r>
      <w:r>
        <w:rPr>
          <w:rFonts w:ascii="Times New Roman" w:hAnsi="Times New Roman" w:cs="Times New Roman" w:eastAsia="Times New Roman" w:hint="default"/>
        </w:rPr>
        <w:t>2013</w:t>
      </w:r>
      <w:r>
        <w:rPr/>
        <w:t>年创办深圳国金纵横投资管理有限公司</w:t>
      </w:r>
    </w:p>
    <w:p>
      <w:pPr>
        <w:pStyle w:val="BodyText"/>
        <w:spacing w:line="300" w:lineRule="auto" w:before="24"/>
        <w:ind w:right="1234"/>
        <w:jc w:val="left"/>
      </w:pPr>
      <w:r>
        <w:rPr/>
        <w:t>（以下简称</w:t>
      </w:r>
      <w:r>
        <w:rPr>
          <w:rFonts w:ascii="Times New Roman" w:hAnsi="Times New Roman" w:cs="Times New Roman" w:eastAsia="Times New Roman" w:hint="default"/>
        </w:rPr>
        <w:t>“</w:t>
      </w:r>
      <w:r>
        <w:rPr/>
        <w:t>国金投资</w:t>
      </w:r>
      <w:r>
        <w:rPr>
          <w:rFonts w:ascii="Times New Roman" w:hAnsi="Times New Roman" w:cs="Times New Roman" w:eastAsia="Times New Roman" w:hint="default"/>
        </w:rPr>
        <w:t>”</w:t>
      </w:r>
      <w:r>
        <w:rPr/>
        <w:t>），至今任国金投资执行董事；兼任北京网元圣唐娱乐科技有限公司、南京达斯琪数字科技有限公 司、厦门千时科技有限公司、浙江无端科技股份有限公司等公司的董事或监事职务，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月起担任本公司董事。</w:t>
      </w:r>
    </w:p>
    <w:p>
      <w:pPr>
        <w:pStyle w:val="BodyText"/>
        <w:spacing w:line="269" w:lineRule="exact"/>
        <w:ind w:left="513" w:right="0"/>
        <w:jc w:val="left"/>
      </w:pP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、潘林武先生：</w:t>
      </w:r>
      <w:r>
        <w:rPr>
          <w:rFonts w:ascii="Times New Roman" w:hAnsi="Times New Roman" w:cs="Times New Roman" w:eastAsia="Times New Roman" w:hint="default"/>
        </w:rPr>
        <w:t>1964</w:t>
      </w:r>
      <w:r>
        <w:rPr/>
        <w:t>年出生，中国籍，长江商学院工商管理硕士、北京航空航天大学工学学士、航空工程硕士，研究</w:t>
      </w:r>
    </w:p>
    <w:p>
      <w:pPr>
        <w:pStyle w:val="BodyText"/>
        <w:spacing w:line="240" w:lineRule="auto" w:before="56"/>
        <w:ind w:right="0"/>
        <w:jc w:val="left"/>
      </w:pPr>
      <w:r>
        <w:rPr/>
        <w:t>员级高级会计师。历任中国航空技术国际控股有限公司副总裁、总会计师，中国航空工业国际控股（香港）公司</w:t>
      </w:r>
    </w:p>
    <w:p>
      <w:pPr>
        <w:pStyle w:val="BodyText"/>
        <w:spacing w:line="300" w:lineRule="auto" w:before="76"/>
        <w:ind w:right="1144"/>
        <w:jc w:val="left"/>
      </w:pPr>
      <w:r>
        <w:rPr/>
        <w:t>（</w:t>
      </w:r>
      <w:r>
        <w:rPr>
          <w:rFonts w:ascii="Times New Roman" w:hAnsi="Times New Roman" w:cs="Times New Roman" w:eastAsia="Times New Roman" w:hint="default"/>
        </w:rPr>
        <w:t>HK.00232</w:t>
      </w:r>
      <w:r>
        <w:rPr/>
        <w:t>）副主席、执行董事，中航国际控股股份有限公司（</w:t>
      </w:r>
      <w:r>
        <w:rPr>
          <w:rFonts w:ascii="Times New Roman" w:hAnsi="Times New Roman" w:cs="Times New Roman" w:eastAsia="Times New Roman" w:hint="default"/>
        </w:rPr>
        <w:t>HK.00161</w:t>
      </w:r>
      <w:r>
        <w:rPr/>
        <w:t>）执行董事，美国大陆发动机公司副董事长、执 行董事，中航国际投资有限公司董事长，中航证券有限公司执行董事，中航里城地产（香港）有限公司董事长，北京和聚</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百川投资管理有限公司首席执行官等职务。目前担任信中利资本集团高级合伙人。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月起担任本公司董事。</w:t>
      </w:r>
    </w:p>
    <w:p>
      <w:pPr>
        <w:pStyle w:val="BodyText"/>
        <w:spacing w:line="300" w:lineRule="auto" w:before="46"/>
        <w:ind w:right="1124" w:firstLine="360"/>
        <w:jc w:val="left"/>
      </w:pPr>
      <w:r>
        <w:rPr>
          <w:rFonts w:ascii="Times New Roman" w:hAnsi="Times New Roman" w:cs="Times New Roman" w:eastAsia="Times New Roman" w:hint="default"/>
          <w:b/>
          <w:bCs/>
        </w:rPr>
        <w:t>7</w:t>
      </w:r>
      <w:r>
        <w:rPr>
          <w:rFonts w:ascii="Microsoft JhengHei" w:hAnsi="Microsoft JhengHei" w:cs="Microsoft JhengHei" w:eastAsia="Microsoft JhengHei" w:hint="default"/>
          <w:b/>
          <w:bCs/>
        </w:rPr>
        <w:t>、叶陈刚先生：</w:t>
      </w:r>
      <w:r>
        <w:rPr>
          <w:rFonts w:ascii="Times New Roman" w:hAnsi="Times New Roman" w:cs="Times New Roman" w:eastAsia="Times New Roman" w:hint="default"/>
        </w:rPr>
        <w:t>1962</w:t>
      </w:r>
      <w:r>
        <w:rPr/>
        <w:t>年出生，中国籍，中南财经政法大学会计学硕士，华中科技大学管理学博士，南开大学商学院工 商管理博士后。曾任中国地质大学（武汉）会计学与审计学教授、硕士生导师，现任对外经济贸易大学会计学与审计学教 授和博士生导师、远大产业控股股份有限公司（证券简称：远大控股，证券代码：</w:t>
      </w:r>
      <w:r>
        <w:rPr>
          <w:rFonts w:ascii="Times New Roman" w:hAnsi="Times New Roman" w:cs="Times New Roman" w:eastAsia="Times New Roman" w:hint="default"/>
        </w:rPr>
        <w:t>000626</w:t>
      </w:r>
      <w:r>
        <w:rPr/>
        <w:t>）独立董事，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 公司独立董事。</w:t>
      </w:r>
    </w:p>
    <w:p>
      <w:pPr>
        <w:pStyle w:val="BodyText"/>
        <w:spacing w:line="295" w:lineRule="auto" w:before="12"/>
        <w:ind w:right="1124" w:firstLine="360"/>
        <w:jc w:val="left"/>
      </w:pPr>
      <w:r>
        <w:rPr>
          <w:rFonts w:ascii="Times New Roman" w:hAnsi="Times New Roman" w:cs="Times New Roman" w:eastAsia="Times New Roman" w:hint="default"/>
          <w:b/>
          <w:bCs/>
        </w:rPr>
        <w:t>8</w:t>
      </w:r>
      <w:r>
        <w:rPr>
          <w:rFonts w:ascii="Microsoft JhengHei" w:hAnsi="Microsoft JhengHei" w:cs="Microsoft JhengHei" w:eastAsia="Microsoft JhengHei" w:hint="default"/>
          <w:b/>
          <w:bCs/>
        </w:rPr>
        <w:t>、钟晓林先生：</w:t>
      </w:r>
      <w:r>
        <w:rPr>
          <w:rFonts w:ascii="Times New Roman" w:hAnsi="Times New Roman" w:cs="Times New Roman" w:eastAsia="Times New Roman" w:hint="default"/>
        </w:rPr>
        <w:t>1965</w:t>
      </w:r>
      <w:r>
        <w:rPr/>
        <w:t>年出生，中国香港籍，华中科技大学工学学士和硕士学位，英国爱丁堡龙比亚大学机器人与人工 智能博士学位，加拿大西安大略大学</w:t>
      </w:r>
      <w:r>
        <w:rPr>
          <w:rFonts w:ascii="Times New Roman" w:hAnsi="Times New Roman" w:cs="Times New Roman" w:eastAsia="Times New Roman" w:hint="default"/>
        </w:rPr>
        <w:t>Ivey</w:t>
      </w:r>
      <w:r>
        <w:rPr/>
        <w:t>商学院工商管理硕士（</w:t>
      </w:r>
      <w:r>
        <w:rPr>
          <w:rFonts w:ascii="Times New Roman" w:hAnsi="Times New Roman" w:cs="Times New Roman" w:eastAsia="Times New Roman" w:hint="default"/>
        </w:rPr>
        <w:t>MBA</w:t>
      </w:r>
      <w:r>
        <w:rPr/>
        <w:t>）学位。曾任凯鹏华盈（</w:t>
      </w:r>
      <w:r>
        <w:rPr>
          <w:rFonts w:ascii="Times New Roman" w:hAnsi="Times New Roman" w:cs="Times New Roman" w:eastAsia="Times New Roman" w:hint="default"/>
        </w:rPr>
        <w:t>KPCB</w:t>
      </w:r>
      <w:r>
        <w:rPr/>
        <w:t>）中国基金主管合伙 人、无锡江南仁和新能源产业投资基金（有限合伙）主管合伙人、兴铁富江投资管理有限公司总裁、上海华盈创投（</w:t>
      </w:r>
      <w:r>
        <w:rPr>
          <w:rFonts w:ascii="Times New Roman" w:hAnsi="Times New Roman" w:cs="Times New Roman" w:eastAsia="Times New Roman" w:hint="default"/>
        </w:rPr>
        <w:t>TDF</w:t>
      </w:r>
      <w:r>
        <w:rPr>
          <w:rFonts w:ascii="Times New Roman" w:hAnsi="Times New Roman" w:cs="Times New Roman" w:eastAsia="Times New Roman" w:hint="default"/>
          <w:w w:val="99"/>
        </w:rPr>
        <w:t> </w:t>
      </w:r>
      <w:r>
        <w:rPr>
          <w:rFonts w:ascii="Times New Roman" w:hAnsi="Times New Roman" w:cs="Times New Roman" w:eastAsia="Times New Roman" w:hint="default"/>
        </w:rPr>
        <w:t>Capital</w:t>
      </w:r>
      <w:r>
        <w:rPr/>
        <w:t>）董事总经理和合伙人，现任深圳图灵资产管理有限公司董事长，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月起担任本公司独立董事。</w:t>
      </w:r>
    </w:p>
    <w:p>
      <w:pPr>
        <w:pStyle w:val="BodyText"/>
        <w:spacing w:line="300" w:lineRule="auto"/>
        <w:ind w:right="1138" w:firstLine="360"/>
        <w:jc w:val="both"/>
      </w:pPr>
      <w:r>
        <w:rPr>
          <w:rFonts w:ascii="Times New Roman" w:hAnsi="Times New Roman" w:cs="Times New Roman" w:eastAsia="Times New Roman" w:hint="default"/>
          <w:b/>
          <w:bCs/>
        </w:rPr>
        <w:t>9</w:t>
      </w: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Key Ke Liu</w:t>
      </w:r>
      <w:r>
        <w:rPr>
          <w:rFonts w:ascii="Microsoft JhengHei" w:hAnsi="Microsoft JhengHei" w:cs="Microsoft JhengHei" w:eastAsia="Microsoft JhengHei" w:hint="default"/>
          <w:b/>
          <w:bCs/>
        </w:rPr>
        <w:t>（中文名：刘科）先生：</w:t>
      </w:r>
      <w:r>
        <w:rPr>
          <w:rFonts w:ascii="Times New Roman" w:hAnsi="Times New Roman" w:cs="Times New Roman" w:eastAsia="Times New Roman" w:hint="default"/>
        </w:rPr>
        <w:t>Key Ke</w:t>
      </w:r>
      <w:r>
        <w:rPr>
          <w:rFonts w:ascii="Times New Roman" w:hAnsi="Times New Roman" w:cs="Times New Roman" w:eastAsia="Times New Roman" w:hint="default"/>
          <w:spacing w:val="-2"/>
        </w:rPr>
        <w:t> </w:t>
      </w:r>
      <w:r>
        <w:rPr>
          <w:rFonts w:ascii="Times New Roman" w:hAnsi="Times New Roman" w:cs="Times New Roman" w:eastAsia="Times New Roman" w:hint="default"/>
        </w:rPr>
        <w:t>Liu</w:t>
      </w:r>
      <w:r>
        <w:rPr/>
        <w:t>（中文名：刘科）先生：</w:t>
      </w:r>
      <w:r>
        <w:rPr>
          <w:rFonts w:ascii="Times New Roman" w:hAnsi="Times New Roman" w:cs="Times New Roman" w:eastAsia="Times New Roman" w:hint="default"/>
        </w:rPr>
        <w:t>1964</w:t>
      </w:r>
      <w:r>
        <w:rPr/>
        <w:t>年出生，美国籍，西北大学化学工程 学士学位和硕士学位，美国纽约市立大学博士学位，美国伦斯勒理工学院管理学硕士。曾任北京低碳能源研究所副总裁和 </w:t>
      </w:r>
      <w:r>
        <w:rPr>
          <w:rFonts w:ascii="Times New Roman" w:hAnsi="Times New Roman" w:cs="Times New Roman" w:eastAsia="Times New Roman" w:hint="default"/>
        </w:rPr>
        <w:t>CTO</w:t>
      </w:r>
      <w:r>
        <w:rPr/>
        <w:t>（现国家能源集团北京低碳清洁能源研究院），现任南方科技大学清洁能源研究院院长、创新创业学院院长，和讲座 教授，宁波江丰电子材料股份有限公司（证券简称：江丰电子，证券代码：</w:t>
      </w:r>
      <w:r>
        <w:rPr>
          <w:rFonts w:ascii="Times New Roman" w:hAnsi="Times New Roman" w:cs="Times New Roman" w:eastAsia="Times New Roman" w:hint="default"/>
        </w:rPr>
        <w:t>300666</w:t>
      </w:r>
      <w:r>
        <w:rPr/>
        <w:t>）独立董事，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月起担任本公司独 立董事。</w:t>
      </w:r>
    </w:p>
    <w:p>
      <w:pPr>
        <w:pStyle w:val="BodyText"/>
        <w:spacing w:line="300" w:lineRule="auto" w:before="15"/>
        <w:ind w:right="1214" w:firstLine="360"/>
        <w:jc w:val="left"/>
      </w:pPr>
      <w:r>
        <w:rPr>
          <w:rFonts w:ascii="Times New Roman" w:hAnsi="Times New Roman" w:cs="Times New Roman" w:eastAsia="Times New Roman" w:hint="default"/>
          <w:b/>
          <w:bCs/>
        </w:rPr>
        <w:t>10</w:t>
      </w:r>
      <w:r>
        <w:rPr>
          <w:rFonts w:ascii="Microsoft JhengHei" w:hAnsi="Microsoft JhengHei" w:cs="Microsoft JhengHei" w:eastAsia="Microsoft JhengHei" w:hint="default"/>
          <w:b/>
          <w:bCs/>
        </w:rPr>
        <w:t>、梅绍华先生：</w:t>
      </w:r>
      <w:r>
        <w:rPr>
          <w:rFonts w:ascii="Times New Roman" w:hAnsi="Times New Roman" w:cs="Times New Roman" w:eastAsia="Times New Roman" w:hint="default"/>
        </w:rPr>
        <w:t>1964</w:t>
      </w:r>
      <w:r>
        <w:rPr/>
        <w:t>年出生，中国籍，华中科技大学毕业，工学硕士。曾任证券日报社副社长、《经济》杂志总编 辑、经济日报特刊部常务副主任和高级编辑、北京弘高创意建筑设计股份有限公司（证券简称：弘高创意，证券代码： </w:t>
      </w:r>
      <w:r>
        <w:rPr>
          <w:rFonts w:ascii="Times New Roman" w:hAnsi="Times New Roman" w:cs="Times New Roman" w:eastAsia="Times New Roman" w:hint="default"/>
        </w:rPr>
        <w:t>002504</w:t>
      </w:r>
      <w:r>
        <w:rPr/>
        <w:t>）监事会主席、中关村股权投资协会副会长、华中科技大学经济学院兼职教授，现任北京汉飞航空科技有限公司经 理兼董事，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月起担任本公司监事会主席。</w:t>
      </w:r>
    </w:p>
    <w:p>
      <w:pPr>
        <w:pStyle w:val="BodyText"/>
        <w:spacing w:line="300" w:lineRule="auto"/>
        <w:ind w:right="1226" w:firstLine="360"/>
        <w:jc w:val="both"/>
      </w:pPr>
      <w:r>
        <w:rPr>
          <w:rFonts w:ascii="Times New Roman" w:hAnsi="Times New Roman" w:cs="Times New Roman" w:eastAsia="Times New Roman" w:hint="default"/>
          <w:b/>
          <w:bCs/>
        </w:rPr>
        <w:t>11</w:t>
      </w:r>
      <w:r>
        <w:rPr>
          <w:rFonts w:ascii="Microsoft JhengHei" w:hAnsi="Microsoft JhengHei" w:cs="Microsoft JhengHei" w:eastAsia="Microsoft JhengHei" w:hint="default"/>
          <w:b/>
          <w:bCs/>
        </w:rPr>
        <w:t>、赵丽女士：</w:t>
      </w:r>
      <w:r>
        <w:rPr>
          <w:rFonts w:ascii="Times New Roman" w:hAnsi="Times New Roman" w:cs="Times New Roman" w:eastAsia="Times New Roman" w:hint="default"/>
        </w:rPr>
        <w:t>1986</w:t>
      </w:r>
      <w:r>
        <w:rPr/>
        <w:t>年出生，中国国籍，无境外永久居留权，华中科技大学数量经济学硕士。曾任职于国融证券股份 有限公司投资银行部，历任高级经理、业务副总经理、执行副总经理；现任北京信中利投资股份有限公司董事、董事会秘 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月起担任本公司监事。</w:t>
      </w:r>
    </w:p>
    <w:p>
      <w:pPr>
        <w:pStyle w:val="BodyText"/>
        <w:spacing w:line="283" w:lineRule="auto"/>
        <w:ind w:right="1214" w:firstLine="360"/>
        <w:jc w:val="left"/>
      </w:pPr>
      <w:r>
        <w:rPr>
          <w:rFonts w:ascii="Times New Roman" w:hAnsi="Times New Roman" w:cs="Times New Roman" w:eastAsia="Times New Roman" w:hint="default"/>
          <w:b/>
          <w:bCs/>
        </w:rPr>
        <w:t>12</w:t>
      </w:r>
      <w:r>
        <w:rPr>
          <w:rFonts w:ascii="Microsoft JhengHei" w:hAnsi="Microsoft JhengHei" w:cs="Microsoft JhengHei" w:eastAsia="Microsoft JhengHei" w:hint="default"/>
          <w:b/>
          <w:bCs/>
        </w:rPr>
        <w:t>、温秋萍女士：</w:t>
      </w:r>
      <w:r>
        <w:rPr>
          <w:rFonts w:ascii="Times New Roman" w:hAnsi="Times New Roman" w:cs="Times New Roman" w:eastAsia="Times New Roman" w:hint="default"/>
        </w:rPr>
        <w:t>1990</w:t>
      </w:r>
      <w:r>
        <w:rPr/>
        <w:t>年出生，中国籍，华南农业大学法学专业本科毕业，获法律职业资格证、董事会秘书资格证、 证券从业资格证。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月起任公司证券部合规专员，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月起任公司证券事务代表。</w:t>
      </w:r>
    </w:p>
    <w:p>
      <w:pPr>
        <w:pStyle w:val="BodyText"/>
        <w:spacing w:line="300" w:lineRule="auto" w:before="11"/>
        <w:ind w:right="1168" w:firstLine="360"/>
        <w:jc w:val="both"/>
      </w:pPr>
      <w:r>
        <w:rPr>
          <w:rFonts w:ascii="Times New Roman" w:hAnsi="Times New Roman" w:cs="Times New Roman" w:eastAsia="Times New Roman" w:hint="default"/>
          <w:b/>
          <w:bCs/>
        </w:rPr>
        <w:t>13</w:t>
      </w:r>
      <w:r>
        <w:rPr>
          <w:rFonts w:ascii="Microsoft JhengHei" w:hAnsi="Microsoft JhengHei" w:cs="Microsoft JhengHei" w:eastAsia="Microsoft JhengHei" w:hint="default"/>
          <w:b/>
          <w:bCs/>
        </w:rPr>
        <w:t>、赵红艳女士：</w:t>
      </w:r>
      <w:r>
        <w:rPr>
          <w:rFonts w:ascii="Times New Roman" w:hAnsi="Times New Roman" w:cs="Times New Roman" w:eastAsia="Times New Roman" w:hint="default"/>
        </w:rPr>
        <w:t>1977</w:t>
      </w:r>
      <w:r>
        <w:rPr/>
        <w:t>年出生，中国籍，河北农业大学财务会计与管理专业毕业，中国人民大学财政金融学院硕士研 究生，获注册资产评估师、注册税务师、高级会计师、国际金融理财师、银行从业资格、证券从业资格、基金从业资格、 保险从业资格等证书。曾任职北京农村商业银行股份有限公司。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月起任公司财务部副总经理，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 </w:t>
      </w:r>
      <w:r>
        <w:rPr/>
        <w:t>月担任公司内审负责人，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月起担任公司副总裁兼财务总监。</w:t>
      </w:r>
    </w:p>
    <w:p>
      <w:pPr>
        <w:pStyle w:val="BodyText"/>
        <w:spacing w:line="269" w:lineRule="exact"/>
        <w:ind w:right="0" w:firstLine="360"/>
        <w:jc w:val="left"/>
      </w:pPr>
      <w:r>
        <w:rPr>
          <w:rFonts w:ascii="Times New Roman" w:hAnsi="Times New Roman" w:cs="Times New Roman" w:eastAsia="Times New Roman" w:hint="default"/>
          <w:b/>
          <w:bCs/>
        </w:rPr>
        <w:t>14</w:t>
      </w:r>
      <w:r>
        <w:rPr>
          <w:rFonts w:ascii="Microsoft JhengHei" w:hAnsi="Microsoft JhengHei" w:cs="Microsoft JhengHei" w:eastAsia="Microsoft JhengHei" w:hint="default"/>
          <w:b/>
          <w:bCs/>
        </w:rPr>
        <w:t>、付汝峰先生：</w:t>
      </w:r>
      <w:r>
        <w:rPr>
          <w:rFonts w:ascii="Times New Roman" w:hAnsi="Times New Roman" w:cs="Times New Roman" w:eastAsia="Times New Roman" w:hint="default"/>
        </w:rPr>
        <w:t>1989</w:t>
      </w:r>
      <w:r>
        <w:rPr/>
        <w:t>年出生，中国籍，汉族，中共党员，中南财经政法大学会计学本科，中南民族大学经济法学硕</w:t>
      </w:r>
    </w:p>
    <w:p>
      <w:pPr>
        <w:pStyle w:val="BodyText"/>
        <w:spacing w:line="300" w:lineRule="auto" w:before="56"/>
        <w:ind w:right="1271"/>
        <w:jc w:val="left"/>
      </w:pPr>
      <w:r>
        <w:rPr/>
        <w:t>士研究生，持有中国注册会计师（非执业会员）、特许公认会计师（</w:t>
      </w:r>
      <w:r>
        <w:rPr>
          <w:rFonts w:ascii="Times New Roman" w:hAnsi="Times New Roman" w:cs="Times New Roman" w:eastAsia="Times New Roman" w:hint="default"/>
        </w:rPr>
        <w:t>ACCA</w:t>
      </w:r>
      <w:r>
        <w:rPr/>
        <w:t>）、法律职业资格证书及深交所董事会秘书资 格证书。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月担任本公司投资管理部副经理职务，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月起担任本公司副总裁兼董事会秘书。</w:t>
      </w:r>
    </w:p>
    <w:p>
      <w:pPr>
        <w:pStyle w:val="BodyText"/>
        <w:spacing w:line="280" w:lineRule="auto"/>
        <w:ind w:right="1124" w:firstLine="360"/>
        <w:jc w:val="left"/>
      </w:pPr>
      <w:r>
        <w:rPr>
          <w:rFonts w:ascii="Times New Roman" w:hAnsi="Times New Roman" w:cs="Times New Roman" w:eastAsia="Times New Roman" w:hint="default"/>
          <w:b/>
          <w:bCs/>
        </w:rPr>
        <w:t>15</w:t>
      </w:r>
      <w:r>
        <w:rPr>
          <w:rFonts w:ascii="Microsoft JhengHei" w:hAnsi="Microsoft JhengHei" w:cs="Microsoft JhengHei" w:eastAsia="Microsoft JhengHei" w:hint="default"/>
          <w:b/>
          <w:bCs/>
        </w:rPr>
        <w:t>、寇汉先生</w:t>
      </w:r>
      <w:r>
        <w:rPr/>
        <w:t>：</w:t>
      </w:r>
      <w:r>
        <w:rPr>
          <w:rFonts w:ascii="Times New Roman" w:hAnsi="Times New Roman" w:cs="Times New Roman" w:eastAsia="Times New Roman" w:hint="default"/>
        </w:rPr>
        <w:t>1975</w:t>
      </w:r>
      <w:r>
        <w:rPr/>
        <w:t>年出生，中国籍，西南财经大学本科毕业，清华大学经济管理学院研究生学历。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月至今任 哆可梦总经理，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月起担任本公司副总裁。</w:t>
      </w:r>
    </w:p>
    <w:p>
      <w:pPr>
        <w:pStyle w:val="BodyText"/>
        <w:spacing w:line="240" w:lineRule="auto" w:before="69"/>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850"/>
        <w:gridCol w:w="3121"/>
        <w:gridCol w:w="1553"/>
        <w:gridCol w:w="1423"/>
        <w:gridCol w:w="1277"/>
        <w:gridCol w:w="1344"/>
      </w:tblGrid>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8"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5"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法定代表人、董事 长</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北京信中利盈佳投资管理咨询有限公司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法定代表人、执行 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北京信中达创业投资有限公司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7"/>
              <w:jc w:val="left"/>
              <w:rPr>
                <w:rFonts w:ascii="宋体" w:hAnsi="宋体" w:cs="宋体" w:eastAsia="宋体" w:hint="default"/>
                <w:sz w:val="18"/>
                <w:szCs w:val="18"/>
              </w:rPr>
            </w:pPr>
            <w:r>
              <w:rPr>
                <w:rFonts w:ascii="宋体" w:hAnsi="宋体" w:cs="宋体" w:eastAsia="宋体" w:hint="default"/>
                <w:sz w:val="18"/>
                <w:szCs w:val="18"/>
              </w:rPr>
              <w:t>法定代表人、经 理、董事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850"/>
        <w:gridCol w:w="3121"/>
        <w:gridCol w:w="1553"/>
        <w:gridCol w:w="1423"/>
        <w:gridCol w:w="1277"/>
        <w:gridCol w:w="1344"/>
      </w:tblGrid>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深圳信中利投资管理有限公司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法定代表人、总经 理、执行董事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7"/>
              <w:jc w:val="left"/>
              <w:rPr>
                <w:rFonts w:ascii="宋体" w:hAnsi="宋体" w:cs="宋体" w:eastAsia="宋体" w:hint="default"/>
                <w:sz w:val="18"/>
                <w:szCs w:val="18"/>
              </w:rPr>
            </w:pPr>
            <w:r>
              <w:rPr>
                <w:rFonts w:ascii="宋体" w:hAnsi="宋体" w:cs="宋体" w:eastAsia="宋体" w:hint="default"/>
                <w:sz w:val="18"/>
                <w:szCs w:val="18"/>
              </w:rPr>
              <w:t>法定代表人、经 理、董事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 合伙）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法定代表人、执行 事务合伙人</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北京信中利宏信管理咨询合伙企业（有 限合伙）</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法定代表人、执行 事务合伙人</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董事、副总经理、 财务总监</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霍尔果斯信中利创业投资有限公司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法定代表人、执行 董事兼总经理</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青岛信中利少海汇高创投资管理有限公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法定代表人、董事 长</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霍尔果斯信中利股权投资管理有限公司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法定代表人、执行 董事兼总经理</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深圳信中利恒信股权投资管理有限公司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湖北长江楚信股权投资基金管理有限公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长利基金管理有限公司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北京信中达创业投资有限公司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中视环球汽车赛事管理有限公司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北京信中利科信管理咨询有限公司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法定代表人，经理</w:t>
            </w:r>
            <w:r>
              <w:rPr>
                <w:rFonts w:ascii="Times New Roman" w:hAnsi="Times New Roman" w:cs="Times New Roman" w:eastAsia="Times New Roman" w:hint="default"/>
                <w:sz w:val="18"/>
                <w:szCs w:val="18"/>
              </w:rPr>
              <w:t>, </w:t>
            </w:r>
            <w:r>
              <w:rPr>
                <w:rFonts w:ascii="宋体" w:hAnsi="宋体" w:cs="宋体" w:eastAsia="宋体" w:hint="default"/>
                <w:sz w:val="18"/>
                <w:szCs w:val="18"/>
              </w:rPr>
              <w:t>执行董事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北京信中利盈佳投资管理咨询有限公司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深圳信中利恒信股权投资管理有限公司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执行董事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850"/>
        <w:gridCol w:w="3121"/>
        <w:gridCol w:w="1553"/>
        <w:gridCol w:w="1423"/>
        <w:gridCol w:w="1277"/>
        <w:gridCol w:w="1344"/>
      </w:tblGrid>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湖北长江楚信股权投资基金管理有限公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法定代表人，执行 董事兼总经理</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天津信中利瑞信投资管理有限公司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2"/>
              <w:jc w:val="left"/>
              <w:rPr>
                <w:rFonts w:ascii="宋体" w:hAnsi="宋体" w:cs="宋体" w:eastAsia="宋体" w:hint="default"/>
                <w:sz w:val="18"/>
                <w:szCs w:val="18"/>
              </w:rPr>
            </w:pPr>
            <w:r>
              <w:rPr>
                <w:rFonts w:ascii="宋体" w:hAnsi="宋体" w:cs="宋体" w:eastAsia="宋体" w:hint="default"/>
                <w:sz w:val="18"/>
                <w:szCs w:val="18"/>
              </w:rPr>
              <w:t>法定代表人，经理</w:t>
            </w:r>
            <w:r>
              <w:rPr>
                <w:rFonts w:ascii="Times New Roman" w:hAnsi="Times New Roman" w:cs="Times New Roman" w:eastAsia="Times New Roman" w:hint="default"/>
                <w:sz w:val="18"/>
                <w:szCs w:val="18"/>
              </w:rPr>
              <w:t>, </w:t>
            </w:r>
            <w:r>
              <w:rPr>
                <w:rFonts w:ascii="宋体" w:hAnsi="宋体" w:cs="宋体" w:eastAsia="宋体" w:hint="default"/>
                <w:sz w:val="18"/>
                <w:szCs w:val="18"/>
              </w:rPr>
              <w:t>执行董事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北京信中达创业投资有限公司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湖北省长江信中利产业基金管理有限公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北京信中利科信管理咨询有限公司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潘林武</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北京信中利股权投资管理有限公司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85"/>
        <w:gridCol w:w="2835"/>
        <w:gridCol w:w="1844"/>
        <w:gridCol w:w="1135"/>
        <w:gridCol w:w="994"/>
        <w:gridCol w:w="1375"/>
      </w:tblGrid>
      <w:tr>
        <w:trPr>
          <w:trHeight w:val="71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8" w:right="105"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9"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0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0" w:lineRule="auto" w:before="61"/>
              <w:ind w:left="24" w:right="26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w:t>
            </w:r>
            <w:r>
              <w:rPr>
                <w:rFonts w:ascii="宋体" w:hAnsi="宋体" w:cs="宋体" w:eastAsia="宋体" w:hint="default"/>
                <w:spacing w:val="-88"/>
                <w:sz w:val="18"/>
                <w:szCs w:val="18"/>
              </w:rPr>
              <w:t> </w:t>
            </w:r>
            <w:r>
              <w:rPr>
                <w:rFonts w:ascii="宋体" w:hAnsi="宋体" w:cs="宋体" w:eastAsia="宋体" w:hint="default"/>
                <w:sz w:val="18"/>
                <w:szCs w:val="18"/>
              </w:rPr>
              <w:t>名：万晓阳）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山东朗进科技股份有限公司（证券 简称：朗进科技，证券代码： </w:t>
            </w:r>
            <w:r>
              <w:rPr>
                <w:rFonts w:ascii="Times New Roman" w:hAnsi="Times New Roman" w:cs="Times New Roman" w:eastAsia="Times New Roman" w:hint="default"/>
                <w:sz w:val="18"/>
                <w:szCs w:val="18"/>
              </w:rPr>
              <w:t>871452</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林嘉喜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深圳国金投资顾问有限公司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法定代表人、执行董 事、总经理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林嘉喜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深圳国金纵横投资管理有限公司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9"/>
              <w:jc w:val="left"/>
              <w:rPr>
                <w:rFonts w:ascii="宋体" w:hAnsi="宋体" w:cs="宋体" w:eastAsia="宋体" w:hint="default"/>
                <w:sz w:val="18"/>
                <w:szCs w:val="18"/>
              </w:rPr>
            </w:pPr>
            <w:r>
              <w:rPr>
                <w:rFonts w:ascii="宋体" w:hAnsi="宋体" w:cs="宋体" w:eastAsia="宋体" w:hint="default"/>
                <w:sz w:val="18"/>
                <w:szCs w:val="18"/>
              </w:rPr>
              <w:t>法定代表人、总经 理、执行董事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会计学与审计学教授 和博士生导师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远大产业控股股份有限公司（证券 简称：远大控股，证券代码： </w:t>
            </w:r>
            <w:r>
              <w:rPr>
                <w:rFonts w:ascii="Times New Roman" w:hAnsi="Times New Roman" w:cs="Times New Roman" w:eastAsia="Times New Roman" w:hint="default"/>
                <w:sz w:val="18"/>
                <w:szCs w:val="18"/>
              </w:rPr>
              <w:t>000626</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北京四达时代软件技术股份有限公 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深圳图灵资产管理有限公司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法定代表人，总经理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执行董事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 文名：刘科）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南方科技大学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清洁能源研究院院 长、创新创业学院院 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85"/>
        <w:gridCol w:w="2835"/>
        <w:gridCol w:w="1844"/>
        <w:gridCol w:w="1135"/>
        <w:gridCol w:w="994"/>
        <w:gridCol w:w="1375"/>
      </w:tblGrid>
      <w:tr>
        <w:trPr>
          <w:trHeight w:val="10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 文名：刘科）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宁波江丰电子材料股份有限公司</w:t>
            </w:r>
          </w:p>
          <w:p>
            <w:pPr>
              <w:pStyle w:val="TableParagraph"/>
              <w:spacing w:line="316" w:lineRule="auto" w:before="77"/>
              <w:ind w:left="23" w:right="279"/>
              <w:jc w:val="left"/>
              <w:rPr>
                <w:rFonts w:ascii="宋体" w:hAnsi="宋体" w:cs="宋体" w:eastAsia="宋体" w:hint="default"/>
                <w:sz w:val="18"/>
                <w:szCs w:val="18"/>
              </w:rPr>
            </w:pPr>
            <w:r>
              <w:rPr>
                <w:rFonts w:ascii="宋体" w:hAnsi="宋体" w:cs="宋体" w:eastAsia="宋体" w:hint="default"/>
                <w:sz w:val="18"/>
                <w:szCs w:val="18"/>
              </w:rPr>
              <w:t>（证券简称：江丰电子，证券代 码：</w:t>
            </w:r>
            <w:r>
              <w:rPr>
                <w:rFonts w:ascii="Times New Roman" w:hAnsi="Times New Roman" w:cs="Times New Roman" w:eastAsia="Times New Roman" w:hint="default"/>
                <w:sz w:val="18"/>
                <w:szCs w:val="18"/>
              </w:rPr>
              <w:t>300666</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中智慧合投资（北京）股份有限公 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北京汉飞航空科技有限公司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经理、董事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100"/>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pStyle w:val="Heading4"/>
        <w:spacing w:line="240" w:lineRule="auto" w:before="57"/>
        <w:ind w:right="0"/>
        <w:jc w:val="left"/>
        <w:rPr>
          <w:b w:val="0"/>
          <w:bCs w:val="0"/>
        </w:rPr>
      </w:pPr>
      <w:r>
        <w:rPr>
          <w:rFonts w:ascii="Times New Roman" w:hAnsi="Times New Roman" w:cs="Times New Roman" w:eastAsia="Times New Roman" w:hint="default"/>
        </w:rPr>
        <w:t>1</w:t>
      </w:r>
      <w:r>
        <w:rPr/>
        <w:t>、决策程序：</w:t>
      </w:r>
      <w:r>
        <w:rPr>
          <w:b w:val="0"/>
          <w:bCs w:val="0"/>
        </w:rPr>
      </w:r>
    </w:p>
    <w:p>
      <w:pPr>
        <w:pStyle w:val="BodyText"/>
        <w:spacing w:line="240" w:lineRule="auto" w:before="56"/>
        <w:ind w:left="513" w:right="0"/>
        <w:jc w:val="left"/>
      </w:pPr>
      <w:r>
        <w:rPr/>
        <w:t>（</w:t>
      </w:r>
      <w:r>
        <w:rPr>
          <w:rFonts w:ascii="Times New Roman" w:hAnsi="Times New Roman" w:cs="Times New Roman" w:eastAsia="Times New Roman" w:hint="default"/>
        </w:rPr>
        <w:t>1</w:t>
      </w:r>
      <w:r>
        <w:rPr/>
        <w:t>）董事会薪酬与考核委员会负责拟订公司董事、监事薪酬方案及独立董事津贴方案经公司股东大会批准后实施。</w:t>
      </w:r>
    </w:p>
    <w:p>
      <w:pPr>
        <w:pStyle w:val="BodyText"/>
        <w:spacing w:line="309" w:lineRule="auto" w:before="63"/>
        <w:ind w:right="1124" w:firstLine="360"/>
        <w:jc w:val="left"/>
      </w:pPr>
      <w:r>
        <w:rPr/>
        <w:t>（</w:t>
      </w:r>
      <w:r>
        <w:rPr>
          <w:rFonts w:ascii="Times New Roman" w:hAnsi="Times New Roman" w:cs="Times New Roman" w:eastAsia="Times New Roman" w:hint="default"/>
        </w:rPr>
        <w:t>2</w:t>
      </w:r>
      <w:r>
        <w:rPr/>
        <w:t>）董事会薪酬与考核委员会是确定公司高管人员薪酬方案、负责薪酬管理、考核和监督的专门机构，对于公司引进 高管人员或对公司有杰出贡献的人员，可由总裁参考引进人员原有的薪酬水平及引进人员对公司的贡献情况另行拟订其薪 酬方案。</w:t>
      </w:r>
    </w:p>
    <w:p>
      <w:pPr>
        <w:pStyle w:val="BodyText"/>
        <w:spacing w:line="280" w:lineRule="exact"/>
        <w:ind w:right="0" w:firstLine="36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、确定依据：</w:t>
      </w:r>
      <w:r>
        <w:rPr>
          <w:rFonts w:ascii="Times New Roman" w:hAnsi="Times New Roman" w:cs="Times New Roman" w:eastAsia="Times New Roman" w:hint="default"/>
        </w:rPr>
        <w:t>2017</w:t>
      </w:r>
      <w:r>
        <w:rPr/>
        <w:t>年第二次临时股东大会审议通过的《关于公司第六届董事会董事、第六届监事会监事薪酬的议</w:t>
      </w:r>
    </w:p>
    <w:p>
      <w:pPr>
        <w:pStyle w:val="BodyText"/>
        <w:spacing w:line="300" w:lineRule="auto" w:before="56"/>
        <w:ind w:right="1214"/>
        <w:jc w:val="left"/>
      </w:pPr>
      <w:r>
        <w:rPr/>
        <w:t>案》、第六届董事会第一次会议审议通过的《关于确定公司高级管理人员薪酬的议案》、</w:t>
      </w:r>
      <w:r>
        <w:rPr>
          <w:rFonts w:ascii="Times New Roman" w:hAnsi="Times New Roman" w:cs="Times New Roman" w:eastAsia="Times New Roman" w:hint="default"/>
        </w:rPr>
        <w:t>2015</w:t>
      </w:r>
      <w:r>
        <w:rPr/>
        <w:t>年两期股权激励计划及</w:t>
      </w:r>
      <w:r>
        <w:rPr>
          <w:rFonts w:ascii="Times New Roman" w:hAnsi="Times New Roman" w:cs="Times New Roman" w:eastAsia="Times New Roman" w:hint="default"/>
        </w:rPr>
        <w:t>2016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年股权激励计划。</w:t>
      </w:r>
    </w:p>
    <w:p>
      <w:pPr>
        <w:pStyle w:val="Heading4"/>
        <w:spacing w:line="287" w:lineRule="exact"/>
        <w:ind w:right="0"/>
        <w:jc w:val="left"/>
        <w:rPr>
          <w:b w:val="0"/>
          <w:bCs w:val="0"/>
        </w:rPr>
      </w:pPr>
      <w:r>
        <w:rPr>
          <w:rFonts w:ascii="Times New Roman" w:hAnsi="Times New Roman" w:cs="Times New Roman" w:eastAsia="Times New Roman" w:hint="default"/>
        </w:rPr>
        <w:t>3</w:t>
      </w:r>
      <w:r>
        <w:rPr/>
        <w:t>、实际支付情况：</w:t>
      </w:r>
      <w:r>
        <w:rPr>
          <w:b w:val="0"/>
          <w:bCs w:val="0"/>
        </w:rPr>
      </w:r>
    </w:p>
    <w:p>
      <w:pPr>
        <w:pStyle w:val="BodyText"/>
        <w:spacing w:line="300" w:lineRule="auto" w:before="56"/>
        <w:ind w:right="1124" w:firstLine="360"/>
        <w:jc w:val="left"/>
      </w:pPr>
      <w:r>
        <w:rPr/>
        <w:t>（</w:t>
      </w:r>
      <w:r>
        <w:rPr>
          <w:rFonts w:ascii="Times New Roman" w:hAnsi="Times New Roman" w:cs="Times New Roman" w:eastAsia="Times New Roman" w:hint="default"/>
        </w:rPr>
        <w:t>1</w:t>
      </w:r>
      <w:r>
        <w:rPr/>
        <w:t>）报告期内，董事、监事的薪酬根据</w:t>
      </w:r>
      <w:r>
        <w:rPr>
          <w:rFonts w:ascii="Times New Roman" w:hAnsi="Times New Roman" w:cs="Times New Roman" w:eastAsia="Times New Roman" w:hint="default"/>
        </w:rPr>
        <w:t>2017</w:t>
      </w:r>
      <w:r>
        <w:rPr/>
        <w:t>年第二次临时股东大会审议通过的《关于公司第六届董事会董事、第六届 监事会监事薪酬的议案》按月发放。</w:t>
      </w:r>
    </w:p>
    <w:p>
      <w:pPr>
        <w:pStyle w:val="BodyText"/>
        <w:spacing w:line="300" w:lineRule="auto" w:before="31"/>
        <w:ind w:right="1124" w:firstLine="360"/>
        <w:jc w:val="left"/>
      </w:pPr>
      <w:r>
        <w:rPr/>
        <w:t>（</w:t>
      </w:r>
      <w:r>
        <w:rPr>
          <w:rFonts w:ascii="Times New Roman" w:hAnsi="Times New Roman" w:cs="Times New Roman" w:eastAsia="Times New Roman" w:hint="default"/>
        </w:rPr>
        <w:t>2</w:t>
      </w:r>
      <w:r>
        <w:rPr/>
        <w:t>）报告期内，公司高级管理人员的基本工资根据第六届董事会第一次会议审议通过的《关于确定公司高级管理人员 薪酬的议案》按月发放，绩效奖金根据《高级管理人员绩效考核实施细则》在年度绩效考评结束后发放。</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）报告期内，公司董事、高级管理人员的股权激励根据</w:t>
      </w:r>
      <w:r>
        <w:rPr>
          <w:rFonts w:ascii="Times New Roman" w:hAnsi="Times New Roman" w:cs="Times New Roman" w:eastAsia="Times New Roman" w:hint="default"/>
        </w:rPr>
        <w:t>2015</w:t>
      </w:r>
      <w:r>
        <w:rPr/>
        <w:t>年两期股权激励计划和</w:t>
      </w:r>
      <w:r>
        <w:rPr>
          <w:rFonts w:ascii="Times New Roman" w:hAnsi="Times New Roman" w:cs="Times New Roman" w:eastAsia="Times New Roman" w:hint="default"/>
        </w:rPr>
        <w:t>2016</w:t>
      </w:r>
      <w:r>
        <w:rPr/>
        <w:t>年股权激励计划的实施情况 和公司具体安排解除限售。</w:t>
      </w:r>
    </w:p>
    <w:p>
      <w:pPr>
        <w:pStyle w:val="BodyText"/>
        <w:spacing w:line="240" w:lineRule="auto" w:before="72"/>
        <w:ind w:right="0"/>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0" w:lineRule="auto" w:before="63"/>
              <w:ind w:left="24" w:right="25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w:t>
            </w:r>
            <w:r>
              <w:rPr>
                <w:rFonts w:ascii="宋体" w:hAnsi="宋体" w:cs="宋体" w:eastAsia="宋体" w:hint="default"/>
                <w:spacing w:val="-88"/>
                <w:sz w:val="18"/>
                <w:szCs w:val="18"/>
              </w:rPr>
              <w:t> </w:t>
            </w:r>
            <w:r>
              <w:rPr>
                <w:rFonts w:ascii="宋体" w:hAnsi="宋体" w:cs="宋体" w:eastAsia="宋体" w:hint="default"/>
                <w:sz w:val="18"/>
                <w:szCs w:val="18"/>
              </w:rPr>
              <w:t>名：万晓阳）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原董事长、总裁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 文名：刘科）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赵红艳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财务总监、副总 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付汝峰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原副总裁、财务 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原董事会秘书、 副总裁、财务总 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1,110.46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64"/>
        <w:gridCol w:w="869"/>
        <w:gridCol w:w="871"/>
        <w:gridCol w:w="766"/>
        <w:gridCol w:w="974"/>
        <w:gridCol w:w="869"/>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7"/>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jc w:val="both"/>
              <w:rPr>
                <w:rFonts w:ascii="宋体" w:hAnsi="宋体" w:cs="宋体" w:eastAsia="宋体" w:hint="default"/>
                <w:sz w:val="18"/>
                <w:szCs w:val="18"/>
              </w:rPr>
            </w:pPr>
            <w:r>
              <w:rPr>
                <w:rFonts w:ascii="宋体" w:hAnsi="宋体" w:cs="宋体" w:eastAsia="宋体" w:hint="default"/>
                <w:sz w:val="18"/>
                <w:szCs w:val="18"/>
              </w:rPr>
              <w:t>报告期内已 行权股数行 权价格（元</w:t>
            </w:r>
          </w:p>
          <w:p>
            <w:pPr>
              <w:pStyle w:val="TableParagraph"/>
              <w:spacing w:line="240" w:lineRule="auto" w:before="19"/>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1" w:hanging="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3"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1,560,000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1,350,000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9"/>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w w:val="99"/>
                <w:sz w:val="18"/>
              </w:rPr>
              <w:t> </w:t>
            </w:r>
            <w:r>
              <w:rPr>
                <w:rFonts w:ascii="Times New Roman"/>
                <w:spacing w:val="-4"/>
                <w:sz w:val="18"/>
              </w:rPr>
              <w:t>XIAOYA</w:t>
            </w:r>
          </w:p>
          <w:p>
            <w:pPr>
              <w:pStyle w:val="TableParagraph"/>
              <w:spacing w:line="21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w:t>
            </w:r>
            <w:r>
              <w:rPr>
                <w:rFonts w:ascii="宋体" w:hAnsi="宋体" w:cs="宋体" w:eastAsia="宋体" w:hint="default"/>
                <w:sz w:val="18"/>
                <w:szCs w:val="18"/>
              </w:rPr>
              <w:t>中文</w:t>
            </w:r>
          </w:p>
          <w:p>
            <w:pPr>
              <w:pStyle w:val="TableParagraph"/>
              <w:spacing w:line="316" w:lineRule="auto" w:before="63"/>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名：万晓 阳</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8" w:right="0"/>
              <w:jc w:val="center"/>
              <w:rPr>
                <w:rFonts w:ascii="Times New Roman" w:hAnsi="Times New Roman" w:cs="Times New Roman" w:eastAsia="Times New Roman" w:hint="default"/>
                <w:sz w:val="18"/>
                <w:szCs w:val="18"/>
              </w:rPr>
            </w:pPr>
            <w:r>
              <w:rPr>
                <w:rFonts w:ascii="Times New Roman"/>
                <w:sz w:val="18"/>
              </w:rPr>
              <w:t>870,000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原董事、 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原董事 长、总裁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6,930,000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728"/>
        <w:gridCol w:w="7835"/>
      </w:tblGrid>
      <w:tr>
        <w:trPr>
          <w:trHeight w:val="1028"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沈晓超女士、陈丹女士、</w:t>
            </w:r>
            <w:r>
              <w:rPr>
                <w:rFonts w:ascii="Times New Roman" w:hAnsi="Times New Roman" w:cs="Times New Roman" w:eastAsia="Times New Roman" w:hint="default"/>
                <w:sz w:val="18"/>
                <w:szCs w:val="18"/>
              </w:rPr>
              <w:t>WAN</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（中文名：万晓阳）先生、张晶女士、徐海啸先生期初 持有的以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股价格获授的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万股限制性股票在本 期是被回购注销的。</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五、公司员工情况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1,274</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169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870</w:t>
            </w:r>
          </w:p>
        </w:tc>
      </w:tr>
      <w:tr>
        <w:trPr>
          <w:trHeight w:val="39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31" w:firstLine="360"/>
        <w:jc w:val="both"/>
      </w:pPr>
      <w:r>
        <w:rPr/>
        <w:t>公司的薪酬结构包括基本薪金及津贴、绩效工资，坚持公司与员工共同发展的原则，为员工提供公平的及有竞争力的 福利待遇，严格遵照劳动法及劳动合同法规定，实行对全体员工劳动合同制，并根据相关规定缴纳各类社会保险及住房公 积金，针对部分特殊岗位购买意外险。对于各类休假严格按照劳动法及相关法律法规规定执行。公司定期会根据员工上年 度绩效考核、工作结果对员工重新进行定薪定级。公司对工资核算及发放制定了严格的审批流程，确保员工工资发放的准 确、及时。</w:t>
      </w:r>
    </w:p>
    <w:p>
      <w:pPr>
        <w:pStyle w:val="BodyText"/>
        <w:spacing w:line="340" w:lineRule="auto" w:before="59"/>
        <w:ind w:left="513" w:right="119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报告期内职工薪酬总额（计入成本部分）为</w:t>
      </w:r>
      <w:r>
        <w:rPr>
          <w:rFonts w:ascii="Times New Roman" w:hAnsi="Times New Roman" w:cs="Times New Roman" w:eastAsia="Times New Roman" w:hint="default"/>
        </w:rPr>
        <w:t>13,556.30</w:t>
      </w:r>
      <w:r>
        <w:rPr/>
        <w:t>万元，占公司成本总额</w:t>
      </w:r>
      <w:r>
        <w:rPr>
          <w:rFonts w:ascii="Times New Roman" w:hAnsi="Times New Roman" w:cs="Times New Roman" w:eastAsia="Times New Roman" w:hint="default"/>
        </w:rPr>
        <w:t>94,562.38</w:t>
      </w:r>
      <w:r>
        <w:rPr/>
        <w:t>万元的</w:t>
      </w:r>
      <w:r>
        <w:rPr>
          <w:rFonts w:ascii="Times New Roman" w:hAnsi="Times New Roman" w:cs="Times New Roman" w:eastAsia="Times New Roman" w:hint="default"/>
        </w:rPr>
        <w:t>14.34%</w:t>
      </w:r>
      <w:r>
        <w:rPr/>
        <w:t>，职工薪酬总额占</w:t>
      </w:r>
    </w:p>
    <w:p>
      <w:pPr>
        <w:spacing w:after="0" w:line="340" w:lineRule="auto"/>
        <w:jc w:val="left"/>
        <w:sectPr>
          <w:footerReference w:type="default" r:id="rId44"/>
          <w:pgSz w:w="11910" w:h="16840"/>
          <w:pgMar w:footer="980" w:header="877"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1122" w:hanging="361"/>
        <w:jc w:val="left"/>
      </w:pPr>
      <w:r>
        <w:rPr/>
        <w:t>公司成本总额比重较小，公司利润对职工薪酬总额变化的敏感性较低。 </w:t>
      </w:r>
      <w:r>
        <w:rPr>
          <w:spacing w:val="-1"/>
        </w:rPr>
        <w:t>报告期内核心技术人员数量（含离职）为</w:t>
      </w:r>
      <w:r>
        <w:rPr>
          <w:rFonts w:ascii="Times New Roman" w:hAnsi="Times New Roman" w:cs="Times New Roman" w:eastAsia="Times New Roman" w:hint="default"/>
          <w:spacing w:val="-1"/>
        </w:rPr>
        <w:t>140</w:t>
      </w:r>
      <w:r>
        <w:rPr>
          <w:spacing w:val="-1"/>
        </w:rPr>
        <w:t>人，占当期领取薪酬员工总人数</w:t>
      </w:r>
      <w:r>
        <w:rPr>
          <w:rFonts w:ascii="Times New Roman" w:hAnsi="Times New Roman" w:cs="Times New Roman" w:eastAsia="Times New Roman" w:hint="default"/>
          <w:spacing w:val="-1"/>
        </w:rPr>
        <w:t>1,274</w:t>
      </w:r>
      <w:r>
        <w:rPr>
          <w:spacing w:val="-1"/>
        </w:rPr>
        <w:t>人的</w:t>
      </w:r>
      <w:r>
        <w:rPr>
          <w:rFonts w:ascii="Times New Roman" w:hAnsi="Times New Roman" w:cs="Times New Roman" w:eastAsia="Times New Roman" w:hint="default"/>
          <w:spacing w:val="-1"/>
        </w:rPr>
        <w:t>11.00%</w:t>
      </w:r>
      <w:r>
        <w:rPr>
          <w:spacing w:val="-1"/>
        </w:rPr>
        <w:t>，核心技术人员薪酬总额</w:t>
      </w:r>
    </w:p>
    <w:p>
      <w:pPr>
        <w:pStyle w:val="BodyText"/>
        <w:spacing w:line="212" w:lineRule="exact"/>
        <w:ind w:right="0"/>
        <w:jc w:val="left"/>
      </w:pPr>
      <w:r>
        <w:rPr/>
        <w:t>（含离职）为</w:t>
      </w:r>
      <w:r>
        <w:rPr>
          <w:rFonts w:ascii="Times New Roman" w:hAnsi="Times New Roman" w:cs="Times New Roman" w:eastAsia="Times New Roman" w:hint="default"/>
        </w:rPr>
        <w:t>2,267.32</w:t>
      </w:r>
      <w:r>
        <w:rPr/>
        <w:t>万元，占职工薪酬总额</w:t>
      </w:r>
      <w:r>
        <w:rPr>
          <w:rFonts w:ascii="Times New Roman" w:hAnsi="Times New Roman" w:cs="Times New Roman" w:eastAsia="Times New Roman" w:hint="default"/>
        </w:rPr>
        <w:t>13,556.30</w:t>
      </w:r>
      <w:r>
        <w:rPr/>
        <w:t>万元的</w:t>
      </w:r>
      <w:r>
        <w:rPr>
          <w:rFonts w:ascii="Times New Roman" w:hAnsi="Times New Roman" w:cs="Times New Roman" w:eastAsia="Times New Roman" w:hint="default"/>
        </w:rPr>
        <w:t>16.73%</w:t>
      </w:r>
      <w:r>
        <w:rPr/>
        <w:t>，相比</w:t>
      </w:r>
      <w:r>
        <w:rPr>
          <w:rFonts w:ascii="Times New Roman" w:hAnsi="Times New Roman" w:cs="Times New Roman" w:eastAsia="Times New Roman" w:hint="default"/>
        </w:rPr>
        <w:t>2018</w:t>
      </w:r>
      <w:r>
        <w:rPr/>
        <w:t>年度变动不大。</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69" w:firstLine="360"/>
        <w:jc w:val="left"/>
      </w:pPr>
      <w:r>
        <w:rPr/>
        <w:t>公司严格按照既定的培训计划进行开展相关培训</w:t>
      </w:r>
      <w:r>
        <w:rPr>
          <w:rFonts w:ascii="Times New Roman" w:hAnsi="Times New Roman" w:cs="Times New Roman" w:eastAsia="Times New Roman" w:hint="default"/>
        </w:rPr>
        <w:t>,</w:t>
      </w:r>
      <w:r>
        <w:rPr/>
        <w:t>积极开拓多种学习资源，以技能培训为主，旨在提高公司在职员工的 职业素养，从而提高工作效率，为公司经营目标的实现奠定基础。</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45"/>
          <w:pgSz w:w="11910" w:h="16840"/>
          <w:pgMar w:footer="980" w:header="877" w:top="1100" w:bottom="1160" w:left="98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1473"/>
        <w:jc w:val="center"/>
        <w:rPr>
          <w:b w:val="0"/>
          <w:bCs w:val="0"/>
        </w:rPr>
      </w:pPr>
      <w:bookmarkStart w:name="_bookmark9" w:id="10"/>
      <w:bookmarkEnd w:id="10"/>
      <w:r>
        <w:rPr>
          <w:b w:val="0"/>
          <w:bCs w:val="0"/>
        </w:rPr>
      </w:r>
      <w:r>
        <w:rPr/>
        <w:t>第十节公司治理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231" w:firstLine="360"/>
        <w:jc w:val="both"/>
      </w:pPr>
      <w:r>
        <w:rPr/>
        <w:t>公司严格按照《公司法》、《证券法》、《上市公司治理准则》、《深圳证券交易所股票上市规则》、《深圳证券交 易所中小企业板上市公司规范运作指引》和中国证监会及深交所颁布的其他有关法律法规的要求，不断完善公司法人治理 结构，建立健全内部控制制度，加强公司信息披露工作，积极开展投资者关系管理，维护公司及全体股东的利益，确保公 司规范运作、健康发展。</w:t>
      </w:r>
    </w:p>
    <w:p>
      <w:pPr>
        <w:pStyle w:val="BodyText"/>
        <w:spacing w:line="316" w:lineRule="auto" w:before="19"/>
        <w:ind w:right="1231" w:firstLine="360"/>
        <w:jc w:val="both"/>
      </w:pPr>
      <w:r>
        <w:rPr/>
        <w:t>截至报告期末，公司治理的实际状况符合《上市公司治理准则》、《深圳证券交易所股票上市规则》、《深圳证券交 易所中小企业板上市公司规范运作指引》等相关法律法规的要求，具体情况如下：</w:t>
      </w:r>
    </w:p>
    <w:p>
      <w:pPr>
        <w:pStyle w:val="Heading4"/>
        <w:spacing w:line="275" w:lineRule="exact"/>
        <w:ind w:right="0"/>
        <w:jc w:val="left"/>
        <w:rPr>
          <w:b w:val="0"/>
          <w:bCs w:val="0"/>
        </w:rPr>
      </w:pPr>
      <w:r>
        <w:rPr/>
        <w:t>（一）公司治理结构</w:t>
      </w:r>
      <w:r>
        <w:rPr>
          <w:b w:val="0"/>
          <w:bCs w:val="0"/>
        </w:rPr>
      </w:r>
    </w:p>
    <w:p>
      <w:pPr>
        <w:pStyle w:val="BodyText"/>
        <w:spacing w:line="283" w:lineRule="auto"/>
        <w:ind w:left="513" w:right="121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）股东与股东大会</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t>公司依据《公司法》、《公司章程》、《上市公司治理准则》等文件制定了《股东大会议事规则》、《控股股东、实</w:t>
      </w:r>
    </w:p>
    <w:p>
      <w:pPr>
        <w:pStyle w:val="BodyText"/>
        <w:spacing w:line="314" w:lineRule="auto" w:before="44"/>
        <w:ind w:right="1230"/>
        <w:jc w:val="left"/>
      </w:pPr>
      <w:r>
        <w:rPr/>
        <w:t>际控制人行为规范》，对股东大会的权力、召开程序、提案、表决和控股股东及实际控制人行为进行了规范，为维护中小 股东权益提供制度保障。报告期内，公司根据中国证券监督管理委员会《关于进一步落实上市公司现金分红有关事项的通 知》（证监发</w:t>
      </w:r>
      <w:r>
        <w:rPr>
          <w:rFonts w:ascii="Times New Roman" w:hAnsi="Times New Roman" w:cs="Times New Roman" w:eastAsia="Times New Roman" w:hint="default"/>
        </w:rPr>
        <w:t>[2012]37</w:t>
      </w:r>
      <w:r>
        <w:rPr/>
        <w:t>号）、《上市公司监管指引第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上市公司现金分红》（证监会公告</w:t>
      </w:r>
      <w:r>
        <w:rPr>
          <w:rFonts w:ascii="Times New Roman" w:hAnsi="Times New Roman" w:cs="Times New Roman" w:eastAsia="Times New Roman" w:hint="default"/>
        </w:rPr>
        <w:t>[2013]43</w:t>
      </w:r>
      <w:r>
        <w:rPr/>
        <w:t>号）和《公司章 程》的相关规定，综合公司盈利能力、经营发展规划、股东回报、社会资金成本及外部融资环境等因素，制定《未来三年 股东回报规划（</w:t>
      </w:r>
      <w:r>
        <w:rPr>
          <w:rFonts w:ascii="Times New Roman" w:hAnsi="Times New Roman" w:cs="Times New Roman" w:eastAsia="Times New Roman" w:hint="default"/>
        </w:rPr>
        <w:t>2018-2020</w:t>
      </w:r>
      <w:r>
        <w:rPr/>
        <w:t>）》。</w:t>
      </w:r>
    </w:p>
    <w:p>
      <w:pPr>
        <w:pStyle w:val="BodyText"/>
        <w:spacing w:line="316" w:lineRule="auto" w:before="1"/>
        <w:ind w:right="1231" w:firstLine="360"/>
        <w:jc w:val="both"/>
      </w:pPr>
      <w:r>
        <w:rPr/>
        <w:t>公司股东严格根据《上市公司治理准则》、《深圳证券交易所股票上市规则》、《公司章程》规范自身行为，通过股 东大会行使股东权利，未发生超越股东大会及董事会而直接干预公司经营与决策的行为。</w:t>
      </w:r>
    </w:p>
    <w:p>
      <w:pPr>
        <w:pStyle w:val="BodyText"/>
        <w:spacing w:line="319" w:lineRule="auto" w:before="19"/>
        <w:ind w:right="1231" w:firstLine="360"/>
        <w:jc w:val="both"/>
      </w:pPr>
      <w:r>
        <w:rPr/>
        <w:t>公司依据《上市公司股东大会规则》的要求，报告期内召开股东大会均采取现场及网络投票相结合的表决方式，方便 中小投资者通过股东大会行使股东权利，提高中小投资者对公司决策的参与度。</w:t>
      </w:r>
    </w:p>
    <w:p>
      <w:pPr>
        <w:pStyle w:val="BodyText"/>
        <w:spacing w:line="300" w:lineRule="auto" w:before="17"/>
        <w:ind w:right="1139" w:firstLine="360"/>
        <w:jc w:val="both"/>
      </w:pPr>
      <w:r>
        <w:rPr/>
        <w:t>报告期内，公司共召开</w:t>
      </w:r>
      <w:r>
        <w:rPr>
          <w:rFonts w:ascii="Times New Roman" w:hAnsi="Times New Roman" w:cs="Times New Roman" w:eastAsia="Times New Roman" w:hint="default"/>
        </w:rPr>
        <w:t>6</w:t>
      </w:r>
      <w:r>
        <w:rPr/>
        <w:t>次股东大会，会议的召集与召开程序、出席会议人员的资格、会议表决程序、表决结果和决议 内容均符合法律法规和《公司章程》的规定。</w:t>
      </w:r>
    </w:p>
    <w:p>
      <w:pPr>
        <w:pStyle w:val="Heading4"/>
        <w:spacing w:line="287" w:lineRule="exact"/>
        <w:ind w:right="0"/>
        <w:jc w:val="left"/>
        <w:rPr>
          <w:b w:val="0"/>
          <w:bCs w:val="0"/>
        </w:rPr>
      </w:pPr>
      <w:r>
        <w:rPr/>
        <w:t>（</w:t>
      </w:r>
      <w:r>
        <w:rPr>
          <w:rFonts w:ascii="Times New Roman" w:hAnsi="Times New Roman" w:cs="Times New Roman" w:eastAsia="Times New Roman" w:hint="default"/>
        </w:rPr>
        <w:t>2</w:t>
      </w:r>
      <w:r>
        <w:rPr/>
        <w:t>）公司与控股股东、实际控制人</w:t>
      </w:r>
      <w:r>
        <w:rPr>
          <w:b w:val="0"/>
          <w:bCs w:val="0"/>
        </w:rPr>
      </w:r>
    </w:p>
    <w:p>
      <w:pPr>
        <w:pStyle w:val="BodyText"/>
        <w:spacing w:line="316" w:lineRule="auto" w:before="56"/>
        <w:ind w:right="1231" w:firstLine="360"/>
        <w:jc w:val="both"/>
      </w:pPr>
      <w:r>
        <w:rPr/>
        <w:t>公司控股股东和实际控制人按照《上市公司治理准则》、《深圳证券交易所股票上市规则》、《深圳证券交易所中小 企业板上市公司规范运作指引》、《公司章程》等的规定和要求规范自己的行为，依法行使权利并承担相应义务，没有超 越权限直接或间接干预公司的决策及生产经营活动，没有损害公司及其他股东的利益。公司与控股股东、实际控制人在人 员、资产、财务、机构、业务上均保持独立，公司拥有独立完整的自主经营能力；公司董事会、监事会及其他内部机构均 独立运作；</w:t>
      </w:r>
      <w:r>
        <w:rPr>
          <w:spacing w:val="-18"/>
        </w:rPr>
        <w:t> </w:t>
      </w:r>
      <w:r>
        <w:rPr/>
        <w:t>报告期内未发生控股股东和实际控制人占用公司资金、资产的情况。</w:t>
      </w:r>
    </w:p>
    <w:p>
      <w:pPr>
        <w:pStyle w:val="Heading4"/>
        <w:spacing w:line="275" w:lineRule="exact"/>
        <w:ind w:right="0"/>
        <w:jc w:val="left"/>
        <w:rPr>
          <w:b w:val="0"/>
          <w:bCs w:val="0"/>
        </w:rPr>
      </w:pPr>
      <w:r>
        <w:rPr/>
        <w:t>（</w:t>
      </w:r>
      <w:r>
        <w:rPr>
          <w:rFonts w:ascii="Times New Roman" w:hAnsi="Times New Roman" w:cs="Times New Roman" w:eastAsia="Times New Roman" w:hint="default"/>
        </w:rPr>
        <w:t>3</w:t>
      </w:r>
      <w:r>
        <w:rPr/>
        <w:t>）董事与董事会</w:t>
      </w:r>
      <w:r>
        <w:rPr>
          <w:b w:val="0"/>
          <w:bCs w:val="0"/>
        </w:rPr>
      </w:r>
    </w:p>
    <w:p>
      <w:pPr>
        <w:pStyle w:val="BodyText"/>
        <w:spacing w:line="314" w:lineRule="auto" w:before="56"/>
        <w:ind w:right="1214" w:firstLine="360"/>
        <w:jc w:val="left"/>
      </w:pPr>
      <w:r>
        <w:rPr/>
        <w:t>公司依据《公司法》、《公司章程》、《上市公司治理准则》等文件制定了《董事会议事规则》、《独立董事年报工 作制度》、《总经理工作细则》、《独立董事工作制度》，公司董事会设董事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名，公司董事选举程</w:t>
      </w:r>
      <w:r>
        <w:rPr>
          <w:spacing w:val="-87"/>
        </w:rPr>
        <w:t> </w:t>
      </w:r>
      <w:r>
        <w:rPr/>
        <w:t>序、董事会人数及人员构成符合法律、法规的要求；公司董事勤勉尽责地履行职责，维护公司和全体股东的合法权益；独 立董事能够严格按照《公司章程》、《独立董事工作制度》的要求独立履行职责，对公司生产经营、关联交易、人事任免 等重要及重大事项发表独立意见，保证公司的规范运作。</w:t>
      </w:r>
    </w:p>
    <w:p>
      <w:pPr>
        <w:pStyle w:val="BodyText"/>
        <w:spacing w:line="300" w:lineRule="auto" w:before="20"/>
        <w:ind w:right="1230" w:firstLine="360"/>
        <w:jc w:val="both"/>
      </w:pPr>
      <w:r>
        <w:rPr/>
        <w:t>报告期内，公司共召开</w:t>
      </w:r>
      <w:r>
        <w:rPr>
          <w:rFonts w:ascii="Times New Roman" w:hAnsi="Times New Roman" w:cs="Times New Roman" w:eastAsia="Times New Roman" w:hint="default"/>
        </w:rPr>
        <w:t>16</w:t>
      </w:r>
      <w:r>
        <w:rPr/>
        <w:t>次董事会会议，会议的召集与召开程序、出席会议人员的资格、会议表决程序、表决结果和 决议内容均符合法律法规和《公司章程》的规定。</w:t>
      </w:r>
    </w:p>
    <w:p>
      <w:pPr>
        <w:pStyle w:val="BodyText"/>
        <w:spacing w:line="309" w:lineRule="auto" w:before="31"/>
        <w:ind w:right="1225" w:firstLine="360"/>
        <w:jc w:val="both"/>
      </w:pPr>
      <w:r>
        <w:rPr/>
        <w:t>公司董事会设立了审计、薪酬与考核、提名、战略四个专门委员会，建立并完善了议事规则，各委员会分工明确，报 告期内，公司共召开</w:t>
      </w:r>
      <w:r>
        <w:rPr>
          <w:rFonts w:ascii="Times New Roman" w:hAnsi="Times New Roman" w:cs="Times New Roman" w:eastAsia="Times New Roman" w:hint="default"/>
        </w:rPr>
        <w:t>4</w:t>
      </w:r>
      <w:r>
        <w:rPr/>
        <w:t>次审计委员会会议、</w:t>
      </w:r>
      <w:r>
        <w:rPr>
          <w:rFonts w:ascii="Times New Roman" w:hAnsi="Times New Roman" w:cs="Times New Roman" w:eastAsia="Times New Roman" w:hint="default"/>
        </w:rPr>
        <w:t>1</w:t>
      </w:r>
      <w:r>
        <w:rPr/>
        <w:t>次薪酬与考核委员会会议、</w:t>
      </w:r>
      <w:r>
        <w:rPr>
          <w:rFonts w:ascii="Times New Roman" w:hAnsi="Times New Roman" w:cs="Times New Roman" w:eastAsia="Times New Roman" w:hint="default"/>
        </w:rPr>
        <w:t>2</w:t>
      </w:r>
      <w:r>
        <w:rPr/>
        <w:t>次提名委员会会议、</w:t>
      </w:r>
      <w:r>
        <w:rPr>
          <w:rFonts w:ascii="Times New Roman" w:hAnsi="Times New Roman" w:cs="Times New Roman" w:eastAsia="Times New Roman" w:hint="default"/>
        </w:rPr>
        <w:t>1</w:t>
      </w:r>
      <w:r>
        <w:rPr/>
        <w:t>次战略委员会会议，为董事</w:t>
      </w:r>
      <w:r>
        <w:rPr>
          <w:spacing w:val="-86"/>
        </w:rPr>
        <w:t> </w:t>
      </w:r>
      <w:r>
        <w:rPr/>
        <w:t>会的决策提供科学和专业的意见，确保董事会对经营层的有效监督。</w:t>
      </w:r>
    </w:p>
    <w:p>
      <w:pPr>
        <w:pStyle w:val="Heading4"/>
        <w:spacing w:line="280" w:lineRule="exact"/>
        <w:ind w:right="0"/>
        <w:jc w:val="left"/>
        <w:rPr>
          <w:b w:val="0"/>
          <w:bCs w:val="0"/>
        </w:rPr>
      </w:pPr>
      <w:r>
        <w:rPr/>
        <w:t>（</w:t>
      </w:r>
      <w:r>
        <w:rPr>
          <w:rFonts w:ascii="Times New Roman" w:hAnsi="Times New Roman" w:cs="Times New Roman" w:eastAsia="Times New Roman" w:hint="default"/>
        </w:rPr>
        <w:t>4</w:t>
      </w:r>
      <w:r>
        <w:rPr/>
        <w:t>）监事与监事会</w:t>
      </w:r>
      <w:r>
        <w:rPr>
          <w:b w:val="0"/>
          <w:bCs w:val="0"/>
        </w:rPr>
      </w:r>
    </w:p>
    <w:p>
      <w:pPr>
        <w:spacing w:after="0" w:line="280" w:lineRule="exact"/>
        <w:jc w:val="left"/>
        <w:sectPr>
          <w:pgSz w:w="11910" w:h="16840"/>
          <w:pgMar w:header="877" w:footer="980" w:top="1100" w:bottom="1160" w:left="980" w:right="0"/>
        </w:sectPr>
      </w:pPr>
    </w:p>
    <w:p>
      <w:pPr>
        <w:spacing w:line="240" w:lineRule="auto" w:before="7"/>
        <w:rPr>
          <w:rFonts w:ascii="Microsoft JhengHei" w:hAnsi="Microsoft JhengHei" w:cs="Microsoft JhengHei" w:eastAsia="Microsoft JhengHei" w:hint="default"/>
          <w:b/>
          <w:bCs/>
          <w:sz w:val="16"/>
          <w:szCs w:val="16"/>
        </w:rPr>
      </w:pPr>
    </w:p>
    <w:p>
      <w:pPr>
        <w:pStyle w:val="BodyText"/>
        <w:spacing w:line="300" w:lineRule="auto" w:before="44"/>
        <w:ind w:right="1139" w:firstLine="360"/>
        <w:jc w:val="both"/>
      </w:pPr>
      <w:r>
        <w:rPr/>
        <w:t>公司依据《公司法》、《公司章程》、《上市公司治理准则》等文件制定了《监事会议事规则》，公司监事会设监事</w:t>
      </w:r>
      <w:r>
        <w:rPr>
          <w:rFonts w:ascii="Times New Roman" w:hAnsi="Times New Roman" w:cs="Times New Roman" w:eastAsia="Times New Roman" w:hint="default"/>
        </w:rPr>
        <w:t>3 </w:t>
      </w:r>
      <w:r>
        <w:rPr/>
        <w:t>名，其中职工代表监事</w:t>
      </w:r>
      <w:r>
        <w:rPr>
          <w:rFonts w:ascii="Times New Roman" w:hAnsi="Times New Roman" w:cs="Times New Roman" w:eastAsia="Times New Roman" w:hint="default"/>
        </w:rPr>
        <w:t>1</w:t>
      </w:r>
      <w:r>
        <w:rPr/>
        <w:t>名，监事会的人数、构成及选聘程序均符合相关法律法规的规定。公司监事按规定出席监事会，认 真履行职责，对公司重大事项、关联交易、财务状况等进行监督并发表意见，维护公司及股东的合法权益。</w:t>
      </w:r>
    </w:p>
    <w:p>
      <w:pPr>
        <w:pStyle w:val="BodyText"/>
        <w:spacing w:line="300" w:lineRule="auto" w:before="31"/>
        <w:ind w:right="1141" w:firstLine="360"/>
        <w:jc w:val="both"/>
      </w:pPr>
      <w:r>
        <w:rPr/>
        <w:t>报告期内，公司共召开</w:t>
      </w:r>
      <w:r>
        <w:rPr>
          <w:rFonts w:ascii="Times New Roman" w:hAnsi="Times New Roman" w:cs="Times New Roman" w:eastAsia="Times New Roman" w:hint="default"/>
        </w:rPr>
        <w:t>8</w:t>
      </w:r>
      <w:r>
        <w:rPr/>
        <w:t>次监事会会议，会议的召集与召开程序、出席会议人员的资格、会议表决程序、表决结果和决 议内容均符合法律法规和《公司章程》的规定。</w:t>
      </w:r>
    </w:p>
    <w:p>
      <w:pPr>
        <w:pStyle w:val="Heading4"/>
        <w:spacing w:line="287" w:lineRule="exact"/>
        <w:ind w:right="0"/>
        <w:jc w:val="left"/>
        <w:rPr>
          <w:b w:val="0"/>
          <w:bCs w:val="0"/>
        </w:rPr>
      </w:pPr>
      <w:r>
        <w:rPr/>
        <w:t>（</w:t>
      </w:r>
      <w:r>
        <w:rPr>
          <w:rFonts w:ascii="Times New Roman" w:hAnsi="Times New Roman" w:cs="Times New Roman" w:eastAsia="Times New Roman" w:hint="default"/>
        </w:rPr>
        <w:t>5</w:t>
      </w:r>
      <w:r>
        <w:rPr/>
        <w:t>）信息披露</w:t>
      </w:r>
      <w:r>
        <w:rPr>
          <w:b w:val="0"/>
          <w:bCs w:val="0"/>
        </w:rPr>
      </w:r>
    </w:p>
    <w:p>
      <w:pPr>
        <w:pStyle w:val="BodyText"/>
        <w:spacing w:line="316" w:lineRule="auto" w:before="56"/>
        <w:ind w:right="1230" w:firstLine="360"/>
        <w:jc w:val="both"/>
      </w:pPr>
      <w:r>
        <w:rPr/>
        <w:t>公司上市前就根据相关文件制度制定了《信息披露管理制度》和《投资者关系管理制度》，公司上市后按照中国证监 会、深圳证券交易所发布的相关法规修订或者制定了《信息披露管理制度》、《年报信息披露重大差错责任追究制度》、</w:t>
      </w:r>
    </w:p>
    <w:p>
      <w:pPr>
        <w:pStyle w:val="BodyText"/>
        <w:spacing w:line="240" w:lineRule="auto" w:before="19"/>
        <w:ind w:right="0"/>
        <w:jc w:val="left"/>
      </w:pPr>
      <w:r>
        <w:rPr/>
        <w:t>《推广和接待制度》、《重大信息内部报告制度》、《董事会审计委员会年报工作规程》、《独立董事年报工作制度》、</w:t>
      </w:r>
    </w:p>
    <w:p>
      <w:pPr>
        <w:pStyle w:val="BodyText"/>
        <w:spacing w:line="319" w:lineRule="auto" w:before="76"/>
        <w:ind w:right="1214"/>
        <w:jc w:val="left"/>
      </w:pPr>
      <w:r>
        <w:rPr/>
        <w:t>《内部信息保密制度》、《内幕信息知情人登记和报备制度》，指定公司董事会秘书负责信息披露工作，规范公司内部重 大信息传递的程序，对年报信息披露重大差错责任追究作出明确规定，切实履行信息披露义务。公司指定《中国证券 报》、《证券时报》和巨潮资讯网站为公司信息披露的报纸和网站，真实、准确、完整、及时地披露公司信息，确保公司 所有股东公平的获得公司相关信息。</w:t>
      </w:r>
    </w:p>
    <w:p>
      <w:pPr>
        <w:pStyle w:val="Heading4"/>
        <w:spacing w:line="273" w:lineRule="exact"/>
        <w:ind w:right="0"/>
        <w:jc w:val="left"/>
        <w:rPr>
          <w:b w:val="0"/>
          <w:bCs w:val="0"/>
        </w:rPr>
      </w:pPr>
      <w:r>
        <w:rPr/>
        <w:t>（</w:t>
      </w:r>
      <w:r>
        <w:rPr>
          <w:rFonts w:ascii="Times New Roman" w:hAnsi="Times New Roman" w:cs="Times New Roman" w:eastAsia="Times New Roman" w:hint="default"/>
        </w:rPr>
        <w:t>6</w:t>
      </w:r>
      <w:r>
        <w:rPr/>
        <w:t>）投资者关系管理</w:t>
      </w:r>
      <w:r>
        <w:rPr>
          <w:b w:val="0"/>
          <w:bCs w:val="0"/>
        </w:rPr>
      </w:r>
    </w:p>
    <w:p>
      <w:pPr>
        <w:pStyle w:val="BodyText"/>
        <w:spacing w:line="316" w:lineRule="auto" w:before="56"/>
        <w:ind w:right="1231" w:firstLine="360"/>
        <w:jc w:val="both"/>
      </w:pPr>
      <w:r>
        <w:rPr/>
        <w:t>公司重视投资者关系管理工作，指定董事会秘书为投资者关系管理负责人，公司证券部作为投资者关系管理的具体实 施机构，协助实施投资者关系的日常管理工作，包括投资者来电和来访接待、股东大会的组织安排、投资者关系互动平台 答疑等，加强与投资者沟通和交流，充分保障广大投资者的知情权。</w:t>
      </w:r>
    </w:p>
    <w:p>
      <w:pPr>
        <w:pStyle w:val="Heading4"/>
        <w:spacing w:line="275" w:lineRule="exact"/>
        <w:ind w:right="0"/>
        <w:jc w:val="left"/>
        <w:rPr>
          <w:b w:val="0"/>
          <w:bCs w:val="0"/>
        </w:rPr>
      </w:pPr>
      <w:r>
        <w:rPr/>
        <w:t>（</w:t>
      </w:r>
      <w:r>
        <w:rPr>
          <w:rFonts w:ascii="Times New Roman" w:hAnsi="Times New Roman" w:cs="Times New Roman" w:eastAsia="Times New Roman" w:hint="default"/>
        </w:rPr>
        <w:t>7</w:t>
      </w:r>
      <w:r>
        <w:rPr/>
        <w:t>）关于利益相关者</w:t>
      </w:r>
      <w:r>
        <w:rPr>
          <w:b w:val="0"/>
          <w:bCs w:val="0"/>
        </w:rPr>
      </w:r>
    </w:p>
    <w:p>
      <w:pPr>
        <w:pStyle w:val="BodyText"/>
        <w:spacing w:line="316" w:lineRule="auto" w:before="56"/>
        <w:ind w:right="1229" w:firstLine="360"/>
        <w:jc w:val="both"/>
      </w:pPr>
      <w:r>
        <w:rPr/>
        <w:t>公司充分尊重和维护利益相关者（债权人、员工、关联方等）的合法权益，重视公司的社会责任，努力实现股东、员 工、社会等各方利益的协调平衡，通过与利益相关者积极合作共同推动公司持续、健康发展。</w:t>
      </w:r>
    </w:p>
    <w:p>
      <w:pPr>
        <w:pStyle w:val="Heading4"/>
        <w:spacing w:line="275" w:lineRule="exact"/>
        <w:ind w:right="0"/>
        <w:jc w:val="left"/>
        <w:rPr>
          <w:b w:val="0"/>
          <w:bCs w:val="0"/>
        </w:rPr>
      </w:pPr>
      <w:r>
        <w:rPr/>
        <w:t>（二）公司董事履行职责情况</w:t>
      </w:r>
      <w:r>
        <w:rPr>
          <w:b w:val="0"/>
          <w:bCs w:val="0"/>
        </w:rPr>
      </w:r>
    </w:p>
    <w:p>
      <w:pPr>
        <w:pStyle w:val="BodyText"/>
        <w:spacing w:line="319" w:lineRule="auto" w:before="56"/>
        <w:ind w:right="1231" w:firstLine="360"/>
        <w:jc w:val="both"/>
      </w:pPr>
      <w:r>
        <w:rPr/>
        <w:t>报告期内，公司董事长能够积极推动公司内部各项制度的制定和完善，报告期内推动公司修订了《公司章程》并制定 了《金融工具管理制度》，加强董事会建设，确保董事会会议依法正常召集和召开。董事长未有从事超越其职权范围的行 为，能够积极督促股东大会决议和董事会决议的执行，及时将有关情况告知其他董事，能够保证独立董事和董事会秘书的 知情权，为其行使职能和发挥作用提供平台和保障。</w:t>
      </w:r>
    </w:p>
    <w:p>
      <w:pPr>
        <w:pStyle w:val="BodyText"/>
        <w:spacing w:line="316" w:lineRule="auto" w:before="17"/>
        <w:ind w:right="1231" w:firstLine="360"/>
        <w:jc w:val="both"/>
      </w:pPr>
      <w:r>
        <w:rPr/>
        <w:t>报告期内，公司全体董事能够依照《公司法》、《公司章程》的规定出席公司召开的董事会会议并客观地发表意见， 恪尽职守、廉洁自律、忠实勤勉地履行职责，致力于保护公司和股东利益及合法权益，未出现违反有关法律法规、《公司 章程》等规定不能担任公司董事职责的行为。</w:t>
      </w:r>
    </w:p>
    <w:p>
      <w:pPr>
        <w:pStyle w:val="BodyText"/>
        <w:spacing w:line="314" w:lineRule="auto" w:before="19"/>
        <w:ind w:right="1231" w:firstLine="360"/>
        <w:jc w:val="both"/>
      </w:pPr>
      <w:r>
        <w:rPr/>
        <w:t>报告期内，公司独立董事能够定期了解公司经营情况，对公司的重大决策提供了专业性意见，对公司重大生产经营活 动进行有效监督，保证了公司决策的科学性。对关于公司定期报告、股权激励相关事项、会计政策变更、制定并调整回购 公司股份方案、增加理财产品投资额度、签署及解除股权收购意向协议暨关联交易、投资以色列</w:t>
      </w:r>
      <w:r>
        <w:rPr>
          <w:rFonts w:ascii="Times New Roman" w:hAnsi="Times New Roman" w:cs="Times New Roman" w:eastAsia="Times New Roman" w:hint="default"/>
        </w:rPr>
        <w:t>Xjet</w:t>
      </w:r>
      <w:r>
        <w:rPr/>
        <w:t>有限公司、续聘会计 师事务所、向银行申请融资额度并接受关联方担保、公司董事及高管变更等重大事项进行审核并发表了独立意见，为完善 公司监督机制、维护公司和全体股东的合法权益发挥了应有的作用。报告期内，独立董事没有对公司有关事项提出异议。</w:t>
      </w:r>
    </w:p>
    <w:p>
      <w:pPr>
        <w:pStyle w:val="BodyText"/>
        <w:spacing w:line="240" w:lineRule="auto" w:before="20"/>
        <w:ind w:left="513" w:right="0"/>
        <w:jc w:val="left"/>
      </w:pPr>
      <w:r>
        <w:rPr/>
        <w:t>报告期内董事出席董事会的情况：</w:t>
      </w:r>
    </w:p>
    <w:p>
      <w:pPr>
        <w:spacing w:line="240" w:lineRule="auto" w:before="3"/>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3325"/>
        <w:gridCol w:w="2297"/>
        <w:gridCol w:w="852"/>
        <w:gridCol w:w="696"/>
        <w:gridCol w:w="694"/>
        <w:gridCol w:w="535"/>
        <w:gridCol w:w="1454"/>
      </w:tblGrid>
      <w:tr>
        <w:trPr>
          <w:trHeight w:val="661"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57" w:right="59"/>
              <w:jc w:val="left"/>
              <w:rPr>
                <w:rFonts w:ascii="宋体" w:hAnsi="宋体" w:cs="宋体" w:eastAsia="宋体" w:hint="default"/>
                <w:sz w:val="18"/>
                <w:szCs w:val="18"/>
              </w:rPr>
            </w:pPr>
            <w:r>
              <w:rPr>
                <w:rFonts w:ascii="宋体" w:hAnsi="宋体" w:cs="宋体" w:eastAsia="宋体" w:hint="default"/>
                <w:sz w:val="18"/>
                <w:szCs w:val="18"/>
              </w:rPr>
              <w:t>应参加董 事会次数</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71" w:right="67"/>
              <w:jc w:val="left"/>
              <w:rPr>
                <w:rFonts w:ascii="宋体" w:hAnsi="宋体" w:cs="宋体" w:eastAsia="宋体" w:hint="default"/>
                <w:sz w:val="18"/>
                <w:szCs w:val="18"/>
              </w:rPr>
            </w:pPr>
            <w:r>
              <w:rPr>
                <w:rFonts w:ascii="宋体" w:hAnsi="宋体" w:cs="宋体" w:eastAsia="宋体" w:hint="default"/>
                <w:sz w:val="18"/>
                <w:szCs w:val="18"/>
              </w:rPr>
              <w:t>亲自出 席次数</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69" w:right="68"/>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79" w:right="79"/>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79" w:right="89"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46"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原董事，现任董事长、总裁</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原董事、副总裁</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原董事长、总裁</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WAN XIAO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4" w:type="dxa"/>
        <w:tblLayout w:type="fixed"/>
        <w:tblCellMar>
          <w:top w:w="0" w:type="dxa"/>
          <w:left w:w="0" w:type="dxa"/>
          <w:bottom w:w="0" w:type="dxa"/>
          <w:right w:w="0" w:type="dxa"/>
        </w:tblCellMar>
        <w:tblLook w:val="01E0"/>
      </w:tblPr>
      <w:tblGrid>
        <w:gridCol w:w="3325"/>
        <w:gridCol w:w="2297"/>
        <w:gridCol w:w="852"/>
        <w:gridCol w:w="696"/>
        <w:gridCol w:w="694"/>
        <w:gridCol w:w="535"/>
        <w:gridCol w:w="1454"/>
      </w:tblGrid>
      <w:tr>
        <w:trPr>
          <w:trHeight w:val="348"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Heading4"/>
        <w:spacing w:line="264" w:lineRule="exact"/>
        <w:ind w:right="0"/>
        <w:jc w:val="left"/>
        <w:rPr>
          <w:b w:val="0"/>
          <w:bCs w:val="0"/>
        </w:rPr>
      </w:pPr>
      <w:r>
        <w:rPr/>
        <w:t>（三）公司内部审计制度的建立和执行</w:t>
      </w:r>
      <w:r>
        <w:rPr>
          <w:b w:val="0"/>
          <w:bCs w:val="0"/>
        </w:rPr>
      </w:r>
    </w:p>
    <w:p>
      <w:pPr>
        <w:pStyle w:val="BodyText"/>
        <w:spacing w:line="316" w:lineRule="auto" w:before="56"/>
        <w:ind w:right="1214" w:firstLine="360"/>
        <w:jc w:val="left"/>
      </w:pPr>
      <w:r>
        <w:rPr/>
        <w:t>公司根据《中华人民共和国审计法》、《审计署关于内部审计工作的规定》等法律法规和《公司章程》的有关规定， 结合公司实际情况，制定了《内部审计制度》。</w:t>
      </w:r>
    </w:p>
    <w:p>
      <w:pPr>
        <w:pStyle w:val="BodyText"/>
        <w:spacing w:line="316" w:lineRule="auto" w:before="19"/>
        <w:ind w:right="1231" w:firstLine="360"/>
        <w:jc w:val="both"/>
      </w:pPr>
      <w:r>
        <w:rPr/>
        <w:t>根据《内部审计制度》，公司董事会设审计委员会，审计委员会下设审计室作为公司内部审计的执行机构，审计室负 责人由董事会审计委员会提名，董事会任免。内部审计机构对审计委员会负责，向审计委员会报告工作，对公司及所属的 经营管理活动进行审计监督。</w:t>
      </w:r>
    </w:p>
    <w:p>
      <w:pPr>
        <w:pStyle w:val="BodyText"/>
        <w:spacing w:line="316" w:lineRule="auto" w:before="59"/>
        <w:ind w:right="1034" w:firstLine="360"/>
        <w:jc w:val="left"/>
      </w:pPr>
      <w:r>
        <w:rPr>
          <w:spacing w:val="-2"/>
        </w:rPr>
        <w:t>审计室负责组织实施公司内部审计制度，对公司财务计划成本计划或公司预算的执行和决算情况、财务收支及其有关的</w:t>
      </w:r>
      <w:r>
        <w:rPr/>
        <w:t> </w:t>
      </w:r>
      <w:r>
        <w:rPr>
          <w:spacing w:val="-2"/>
        </w:rPr>
        <w:t>经济活动，生产经营开发的经济效益和资产保值增值情况、建设项目预算和决算情况、经济合同的签订及履行情况、内部控</w:t>
      </w:r>
      <w:r>
        <w:rPr>
          <w:spacing w:val="-65"/>
        </w:rPr>
        <w:t> </w:t>
      </w:r>
      <w:r>
        <w:rPr>
          <w:spacing w:val="-65"/>
        </w:rPr>
      </w:r>
      <w:r>
        <w:rPr/>
        <w:t>制制度等事项的合法性、合规性、真实性和完整性进行审计监督，负责监督检查公司董事会各项经营决策的贯彻执行情况，</w:t>
      </w:r>
      <w:r>
        <w:rPr>
          <w:spacing w:val="-83"/>
        </w:rPr>
        <w:t> </w:t>
      </w:r>
      <w:r>
        <w:rPr>
          <w:spacing w:val="-83"/>
        </w:rPr>
      </w:r>
      <w:r>
        <w:rPr/>
        <w:t>确定反舞弊的重点领域、关键环节和主要内容，并在内部审计过程中合理关注和检查可能存在的舞弊行为。</w:t>
      </w:r>
    </w:p>
    <w:p>
      <w:pPr>
        <w:pStyle w:val="BodyText"/>
        <w:spacing w:line="240" w:lineRule="auto" w:before="60"/>
        <w:ind w:right="0"/>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13" w:right="0"/>
        <w:jc w:val="left"/>
      </w:pPr>
      <w:r>
        <w:rPr/>
        <w:t>公司与控股股东在业务、人员、资产、机构、财务等方面完全分开，具有独立完整的业务及自主经营能力。</w:t>
      </w:r>
    </w:p>
    <w:p>
      <w:pPr>
        <w:pStyle w:val="BodyText"/>
        <w:spacing w:line="283" w:lineRule="auto" w:before="57"/>
        <w:ind w:right="1124" w:firstLine="36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、业务：</w:t>
      </w:r>
      <w:r>
        <w:rPr/>
        <w:t>公司业务结构完整，自主独立经营，不依赖于控股股东或其他任何关联方，与控股股东、实际控制人及其控 制的其他企业间不存在同业竞争或者显失公平的关联交易，也不存在控股股东直接或间接干预公司经营运作的情形。</w:t>
      </w:r>
    </w:p>
    <w:p>
      <w:pPr>
        <w:pStyle w:val="BodyText"/>
        <w:spacing w:line="283" w:lineRule="auto" w:before="27"/>
        <w:ind w:right="1124" w:firstLine="36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、人员：</w:t>
      </w:r>
      <w:r>
        <w:rPr/>
        <w:t>公司在劳动、人事及工资等方面均完全独立于控股股东。公司董事长、总裁、副总裁、董事会秘书、财务负 责人等人员均在公司领取薪酬，未在控股股东及其下属企业担任董事、监事以外的任何职务。</w:t>
      </w:r>
    </w:p>
    <w:p>
      <w:pPr>
        <w:pStyle w:val="BodyText"/>
        <w:spacing w:line="300" w:lineRule="auto" w:before="28"/>
        <w:ind w:right="1124" w:firstLine="360"/>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、资产：</w:t>
      </w:r>
      <w:r>
        <w:rPr/>
        <w:t>公司拥有独立于控股股东的生产经营场所，拥有独立完整的资产结构，拥有独立的生产系统、辅助生产系统 和配套设施、土地使用权、房屋所有权等资产，拥有独立的采购和销售系统，对所有资产拥有完全的控制支配权，不存在 资产、资金被控股股东、实际控制人及其控制的其他企业违规占用而损害公司利益的情况。</w:t>
      </w:r>
    </w:p>
    <w:p>
      <w:pPr>
        <w:pStyle w:val="BodyText"/>
        <w:spacing w:line="240" w:lineRule="auto" w:before="12"/>
        <w:ind w:left="513" w:right="0"/>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、机构：</w:t>
      </w:r>
      <w:r>
        <w:rPr/>
        <w:t>公司设立了健全的组织机构体系，独立运作，不存在与控股股东或其职能部门之间的从属关系。</w:t>
      </w:r>
    </w:p>
    <w:p>
      <w:pPr>
        <w:pStyle w:val="BodyText"/>
        <w:spacing w:line="283" w:lineRule="auto" w:before="39"/>
        <w:ind w:right="1124" w:firstLine="360"/>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、财务：</w:t>
      </w:r>
      <w:r>
        <w:rPr/>
        <w:t>公司设有独立的财务会计部门，配备独立的财务会计人员，建立了独立的会计核算体系和财务管理制度，独 立进行财务决策；公司独立开设银行账户，独立纳税。</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275"/>
        <w:gridCol w:w="1277"/>
        <w:gridCol w:w="1561"/>
        <w:gridCol w:w="1558"/>
        <w:gridCol w:w="1102"/>
        <w:gridCol w:w="2797"/>
      </w:tblGrid>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32.70%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0" w:lineRule="auto" w:before="63"/>
              <w:ind w:left="23" w:right="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年第一次临时股东大会决 </w:t>
            </w:r>
            <w:r>
              <w:rPr>
                <w:rFonts w:ascii="宋体" w:hAnsi="宋体" w:cs="宋体" w:eastAsia="宋体" w:hint="default"/>
                <w:spacing w:val="-5"/>
                <w:sz w:val="18"/>
                <w:szCs w:val="18"/>
              </w:rPr>
              <w:t>议公告》（公告编号：</w:t>
            </w:r>
            <w:r>
              <w:rPr>
                <w:rFonts w:ascii="Times New Roman" w:hAnsi="Times New Roman" w:cs="Times New Roman" w:eastAsia="Times New Roman" w:hint="default"/>
                <w:spacing w:val="-5"/>
                <w:sz w:val="18"/>
                <w:szCs w:val="18"/>
              </w:rPr>
              <w:t>2019-003</w:t>
            </w:r>
            <w:r>
              <w:rPr>
                <w:rFonts w:ascii="宋体" w:hAnsi="宋体" w:cs="宋体" w:eastAsia="宋体" w:hint="default"/>
                <w:spacing w:val="-5"/>
                <w:sz w:val="18"/>
                <w:szCs w:val="18"/>
              </w:rPr>
              <w:t>）</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275"/>
        <w:gridCol w:w="1277"/>
        <w:gridCol w:w="1561"/>
        <w:gridCol w:w="1558"/>
        <w:gridCol w:w="1102"/>
        <w:gridCol w:w="2797"/>
      </w:tblGrid>
      <w:tr>
        <w:trPr>
          <w:trHeight w:val="10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0" w:lineRule="auto" w:before="63"/>
              <w:ind w:left="23" w:right="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年第二次临时股东大会决 </w:t>
            </w:r>
            <w:r>
              <w:rPr>
                <w:rFonts w:ascii="宋体" w:hAnsi="宋体" w:cs="宋体" w:eastAsia="宋体" w:hint="default"/>
                <w:spacing w:val="-5"/>
                <w:sz w:val="18"/>
                <w:szCs w:val="18"/>
              </w:rPr>
              <w:t>议公告》（公告编号：</w:t>
            </w:r>
            <w:r>
              <w:rPr>
                <w:rFonts w:ascii="Times New Roman" w:hAnsi="Times New Roman" w:cs="Times New Roman" w:eastAsia="Times New Roman" w:hint="default"/>
                <w:spacing w:val="-5"/>
                <w:sz w:val="18"/>
                <w:szCs w:val="18"/>
              </w:rPr>
              <w:t>2019-032</w:t>
            </w:r>
            <w:r>
              <w:rPr>
                <w:rFonts w:ascii="宋体" w:hAnsi="宋体" w:cs="宋体" w:eastAsia="宋体" w:hint="default"/>
                <w:spacing w:val="-5"/>
                <w:sz w:val="18"/>
                <w:szCs w:val="18"/>
              </w:rPr>
              <w:t>）</w:t>
            </w: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0" w:lineRule="auto" w:before="60"/>
              <w:ind w:left="23" w:right="3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2019-042</w:t>
            </w:r>
            <w:r>
              <w:rPr>
                <w:rFonts w:ascii="宋体" w:hAnsi="宋体" w:cs="宋体" w:eastAsia="宋体" w:hint="default"/>
                <w:spacing w:val="-6"/>
                <w:sz w:val="18"/>
                <w:szCs w:val="18"/>
              </w:rPr>
              <w:t>）</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0" w:lineRule="auto" w:before="63"/>
              <w:ind w:left="23" w:right="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年第三次临时股东大会决 </w:t>
            </w:r>
            <w:r>
              <w:rPr>
                <w:rFonts w:ascii="宋体" w:hAnsi="宋体" w:cs="宋体" w:eastAsia="宋体" w:hint="default"/>
                <w:spacing w:val="-5"/>
                <w:sz w:val="18"/>
                <w:szCs w:val="18"/>
              </w:rPr>
              <w:t>议公告》（公告编号：</w:t>
            </w:r>
            <w:r>
              <w:rPr>
                <w:rFonts w:ascii="Times New Roman" w:hAnsi="Times New Roman" w:cs="Times New Roman" w:eastAsia="Times New Roman" w:hint="default"/>
                <w:spacing w:val="-5"/>
                <w:sz w:val="18"/>
                <w:szCs w:val="18"/>
              </w:rPr>
              <w:t>2019-054</w:t>
            </w:r>
            <w:r>
              <w:rPr>
                <w:rFonts w:ascii="宋体" w:hAnsi="宋体" w:cs="宋体" w:eastAsia="宋体" w:hint="default"/>
                <w:spacing w:val="-5"/>
                <w:sz w:val="18"/>
                <w:szCs w:val="18"/>
              </w:rPr>
              <w:t>）</w:t>
            </w:r>
          </w:p>
        </w:tc>
      </w:tr>
      <w:tr>
        <w:trPr>
          <w:trHeight w:val="10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0" w:lineRule="auto" w:before="60"/>
              <w:ind w:left="23" w:right="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年第四次临时股东大会决 </w:t>
            </w:r>
            <w:r>
              <w:rPr>
                <w:rFonts w:ascii="宋体" w:hAnsi="宋体" w:cs="宋体" w:eastAsia="宋体" w:hint="default"/>
                <w:spacing w:val="-5"/>
                <w:sz w:val="18"/>
                <w:szCs w:val="18"/>
              </w:rPr>
              <w:t>议公告》（公告编号：</w:t>
            </w:r>
            <w:r>
              <w:rPr>
                <w:rFonts w:ascii="Times New Roman" w:hAnsi="Times New Roman" w:cs="Times New Roman" w:eastAsia="Times New Roman" w:hint="default"/>
                <w:spacing w:val="-5"/>
                <w:sz w:val="18"/>
                <w:szCs w:val="18"/>
              </w:rPr>
              <w:t>2019-089</w:t>
            </w:r>
            <w:r>
              <w:rPr>
                <w:rFonts w:ascii="宋体" w:hAnsi="宋体" w:cs="宋体" w:eastAsia="宋体" w:hint="default"/>
                <w:spacing w:val="-5"/>
                <w:sz w:val="18"/>
                <w:szCs w:val="18"/>
              </w:rPr>
              <w:t>）</w:t>
            </w: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0" w:lineRule="auto" w:before="63"/>
              <w:ind w:left="23" w:right="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年第五次临时股东大会决 </w:t>
            </w:r>
            <w:r>
              <w:rPr>
                <w:rFonts w:ascii="宋体" w:hAnsi="宋体" w:cs="宋体" w:eastAsia="宋体" w:hint="default"/>
                <w:spacing w:val="-5"/>
                <w:sz w:val="18"/>
                <w:szCs w:val="18"/>
              </w:rPr>
              <w:t>议公告》（公告编号：</w:t>
            </w:r>
            <w:r>
              <w:rPr>
                <w:rFonts w:ascii="Times New Roman" w:hAnsi="Times New Roman" w:cs="Times New Roman" w:eastAsia="Times New Roman" w:hint="default"/>
                <w:spacing w:val="-5"/>
                <w:sz w:val="18"/>
                <w:szCs w:val="18"/>
              </w:rPr>
              <w:t>2019-101</w:t>
            </w:r>
            <w:r>
              <w:rPr>
                <w:rFonts w:ascii="宋体" w:hAnsi="宋体" w:cs="宋体" w:eastAsia="宋体" w:hint="default"/>
                <w:spacing w:val="-5"/>
                <w:sz w:val="18"/>
                <w:szCs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426"/>
        <w:gridCol w:w="1164"/>
        <w:gridCol w:w="1165"/>
        <w:gridCol w:w="1164"/>
        <w:gridCol w:w="1164"/>
        <w:gridCol w:w="1162"/>
        <w:gridCol w:w="1165"/>
        <w:gridCol w:w="1162"/>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Key Ke</w:t>
            </w:r>
            <w:r>
              <w:rPr>
                <w:rFonts w:ascii="Times New Roman"/>
                <w:spacing w:val="-4"/>
                <w:sz w:val="18"/>
              </w:rPr>
              <w:t> </w:t>
            </w:r>
            <w:r>
              <w:rPr>
                <w:rFonts w:ascii="Times New Roman"/>
                <w:sz w:val="18"/>
              </w:rPr>
              <w:t>Liu</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连续两次未亲自出席董事会的说明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38"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2" w:lineRule="auto" w:before="41"/>
        <w:ind w:right="1231" w:firstLine="300"/>
        <w:jc w:val="both"/>
      </w:pPr>
      <w:r>
        <w:rPr/>
        <w:t>公司独立董事关注公司运作，独立履行职责，对报告期内公司定期报告、股权激励相关事项、会计政策变更、制定并 调整回购公司股份方案、增加理财产品投资额度、签署及解除股权收购意向协议暨关联交易、投资以色列</w:t>
      </w:r>
      <w:r>
        <w:rPr>
          <w:rFonts w:ascii="Times New Roman" w:hAnsi="Times New Roman" w:cs="Times New Roman" w:eastAsia="Times New Roman" w:hint="default"/>
        </w:rPr>
        <w:t>Xjet</w:t>
      </w:r>
      <w:r>
        <w:rPr/>
        <w:t>有限公司、 续聘会计师事务所、向银行申请融资额度并接受关联方担保、公司董事及高管变更等事项发表了同意的独立意见，对维护 公司及全体股东的权益发挥了积极的作用。</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00" w:lineRule="auto"/>
        <w:ind w:right="1394" w:firstLine="360"/>
        <w:jc w:val="left"/>
      </w:pPr>
      <w:r>
        <w:rPr>
          <w:rFonts w:ascii="Times New Roman" w:hAnsi="Times New Roman" w:cs="Times New Roman" w:eastAsia="Times New Roman" w:hint="default"/>
        </w:rPr>
        <w:t>1</w:t>
      </w:r>
      <w:r>
        <w:rPr/>
        <w:t>、报告期内公司董事会战略委员会召开了</w:t>
      </w:r>
      <w:r>
        <w:rPr>
          <w:rFonts w:ascii="Times New Roman" w:hAnsi="Times New Roman" w:cs="Times New Roman" w:eastAsia="Times New Roman" w:hint="default"/>
        </w:rPr>
        <w:t>1</w:t>
      </w:r>
      <w:r>
        <w:rPr/>
        <w:t>次会议，审议《惠程独立游戏发展规划</w:t>
      </w:r>
      <w:r>
        <w:rPr>
          <w:rFonts w:ascii="Times New Roman" w:hAnsi="Times New Roman" w:cs="Times New Roman" w:eastAsia="Times New Roman" w:hint="default"/>
        </w:rPr>
        <w:t>——</w:t>
      </w:r>
      <w:r>
        <w:rPr/>
        <w:t>与游戏头部企业建立战略联 盟，进军海内外独立游戏市场》，相关议案已提交公司董事会审议。</w:t>
      </w:r>
    </w:p>
    <w:p>
      <w:pPr>
        <w:pStyle w:val="BodyText"/>
        <w:spacing w:line="309" w:lineRule="auto" w:before="31"/>
        <w:ind w:right="1228" w:firstLine="360"/>
        <w:jc w:val="both"/>
      </w:pPr>
      <w:r>
        <w:rPr>
          <w:rFonts w:ascii="Times New Roman" w:hAnsi="Times New Roman" w:cs="Times New Roman" w:eastAsia="Times New Roman" w:hint="default"/>
        </w:rPr>
        <w:t>2</w:t>
      </w:r>
      <w:r>
        <w:rPr/>
        <w:t>、报告期内公司董事会审计委员会召开了</w:t>
      </w:r>
      <w:r>
        <w:rPr>
          <w:rFonts w:ascii="Times New Roman" w:hAnsi="Times New Roman" w:cs="Times New Roman" w:eastAsia="Times New Roman" w:hint="default"/>
        </w:rPr>
        <w:t>4</w:t>
      </w:r>
      <w:r>
        <w:rPr/>
        <w:t>次会议，审议公司审计室提交的各项内部审计报告，听取审计室年度工作 总结和工作计划安排，指导审计室开展各项工作，围绕定期报告审计开展各项工作，提议续聘会计师事务所，定期报告和 续聘会计师事务所相关议案已提交公司董事会审议。</w:t>
      </w:r>
    </w:p>
    <w:p>
      <w:pPr>
        <w:pStyle w:val="BodyText"/>
        <w:spacing w:line="300" w:lineRule="auto" w:before="24"/>
        <w:ind w:right="1227" w:firstLine="360"/>
        <w:jc w:val="both"/>
      </w:pPr>
      <w:r>
        <w:rPr>
          <w:rFonts w:ascii="Times New Roman" w:hAnsi="Times New Roman" w:cs="Times New Roman" w:eastAsia="Times New Roman" w:hint="default"/>
        </w:rPr>
        <w:t>3</w:t>
      </w:r>
      <w:r>
        <w:rPr/>
        <w:t>、报告期内公司董事会薪酬与考核委员会召开了</w:t>
      </w:r>
      <w:r>
        <w:rPr>
          <w:rFonts w:ascii="Times New Roman" w:hAnsi="Times New Roman" w:cs="Times New Roman" w:eastAsia="Times New Roman" w:hint="default"/>
        </w:rPr>
        <w:t>1</w:t>
      </w:r>
      <w:r>
        <w:rPr/>
        <w:t>次会议，审议公司</w:t>
      </w:r>
      <w:r>
        <w:rPr>
          <w:rFonts w:ascii="Times New Roman" w:hAnsi="Times New Roman" w:cs="Times New Roman" w:eastAsia="Times New Roman" w:hint="default"/>
        </w:rPr>
        <w:t>2018</w:t>
      </w:r>
      <w:r>
        <w:rPr/>
        <w:t>年度绩效考核报告暨年度奖金分配方案，相 关议案已提交公司董事会审议。</w:t>
      </w:r>
    </w:p>
    <w:p>
      <w:pPr>
        <w:pStyle w:val="BodyText"/>
        <w:spacing w:line="300" w:lineRule="auto" w:before="72"/>
        <w:ind w:right="1131" w:firstLine="360"/>
        <w:jc w:val="both"/>
      </w:pPr>
      <w:r>
        <w:rPr>
          <w:rFonts w:ascii="Times New Roman" w:hAnsi="Times New Roman" w:cs="Times New Roman" w:eastAsia="Times New Roman" w:hint="default"/>
          <w:spacing w:val="-2"/>
        </w:rPr>
        <w:t>4</w:t>
      </w:r>
      <w:r>
        <w:rPr>
          <w:spacing w:val="-2"/>
        </w:rPr>
        <w:t>、报告期内公司董事会提名委员会召开了</w:t>
      </w:r>
      <w:r>
        <w:rPr>
          <w:rFonts w:ascii="Times New Roman" w:hAnsi="Times New Roman" w:cs="Times New Roman" w:eastAsia="Times New Roman" w:hint="default"/>
          <w:spacing w:val="-2"/>
        </w:rPr>
        <w:t>2</w:t>
      </w:r>
      <w:r>
        <w:rPr>
          <w:spacing w:val="-2"/>
        </w:rPr>
        <w:t>次会议，审议变更公司财务总监、聘任公司总裁、聘任公司财务总监、聘任</w:t>
      </w:r>
      <w:r>
        <w:rPr/>
        <w:t> 公司董事会秘书兼副总裁的议案，相关议案已提交公司董事会审议。</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231" w:firstLine="360"/>
        <w:jc w:val="both"/>
      </w:pPr>
      <w:r>
        <w:rPr/>
        <w:t>根据《董事、监事、高级管理人员薪酬制度》，对于公司引进高管人员或对公司有杰出贡献的人员，其个人报酬由董 事会或总裁决定，公司独立董事应对该薪酬方案发表意见。高管人员的个人绩效奖金与公司经营目标挂钩，董事会薪酬与 考核委员会根据上年生产经营计划对公司高管人员进行考核，具体确定各高管人员的绩效奖金数额及发放方式。</w:t>
      </w:r>
    </w:p>
    <w:p>
      <w:pPr>
        <w:pStyle w:val="Heading4"/>
        <w:spacing w:line="275" w:lineRule="exact"/>
        <w:ind w:right="0"/>
        <w:jc w:val="left"/>
        <w:rPr>
          <w:b w:val="0"/>
          <w:bCs w:val="0"/>
        </w:rPr>
      </w:pPr>
      <w:r>
        <w:rPr/>
        <w:t>（一）</w:t>
      </w:r>
      <w:r>
        <w:rPr>
          <w:rFonts w:ascii="Times New Roman" w:hAnsi="Times New Roman" w:cs="Times New Roman" w:eastAsia="Times New Roman" w:hint="default"/>
        </w:rPr>
        <w:t>2015</w:t>
      </w:r>
      <w:r>
        <w:rPr/>
        <w:t>年第二期股权激励计划实施情况</w:t>
      </w:r>
      <w:r>
        <w:rPr>
          <w:b w:val="0"/>
          <w:bCs w:val="0"/>
        </w:rPr>
      </w:r>
    </w:p>
    <w:p>
      <w:pPr>
        <w:pStyle w:val="BodyText"/>
        <w:spacing w:line="300" w:lineRule="auto" w:before="56"/>
        <w:ind w:right="1224"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日公司第五届董事会第十八次会议和第五届监事会第八次会议、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2015</w:t>
      </w:r>
      <w:r>
        <w:rPr/>
        <w:t>年第六次临时 股东大会审议通过了</w:t>
      </w:r>
      <w:r>
        <w:rPr>
          <w:rFonts w:ascii="Times New Roman" w:hAnsi="Times New Roman" w:cs="Times New Roman" w:eastAsia="Times New Roman" w:hint="default"/>
        </w:rPr>
        <w:t>2015</w:t>
      </w:r>
      <w:r>
        <w:rPr/>
        <w:t>年第二期股权激励计划。</w:t>
      </w:r>
    </w:p>
    <w:p>
      <w:pPr>
        <w:pStyle w:val="BodyText"/>
        <w:spacing w:line="300" w:lineRule="auto" w:before="13"/>
        <w:ind w:right="113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日公司第五届董事会第二十次会议、第五届监事会第十次会议审议通过了关于向</w:t>
      </w:r>
      <w:r>
        <w:rPr>
          <w:rFonts w:ascii="Times New Roman" w:hAnsi="Times New Roman" w:cs="Times New Roman" w:eastAsia="Times New Roman" w:hint="default"/>
        </w:rPr>
        <w:t>2015</w:t>
      </w:r>
      <w:r>
        <w:rPr/>
        <w:t>年第二期股权激励计 划激励对象首次授予限制性股票与股票期权的议案，确定授予日为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日，独立董事就此发表了同意的独立意见， 相应的授予登记工作已于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日完成，授予的限制性股票已于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日上市。</w:t>
      </w:r>
    </w:p>
    <w:p>
      <w:pPr>
        <w:pStyle w:val="BodyText"/>
        <w:spacing w:line="300" w:lineRule="auto" w:before="13"/>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日公司第五届董事会第二十九次会议、第五届监事会第十七次会议审议通过了关于向激励对象授予</w:t>
      </w:r>
      <w:r>
        <w:rPr>
          <w:rFonts w:ascii="Times New Roman" w:hAnsi="Times New Roman" w:cs="Times New Roman" w:eastAsia="Times New Roman" w:hint="default"/>
        </w:rPr>
        <w:t>2015</w:t>
      </w:r>
      <w:r>
        <w:rPr/>
        <w:t>年 第二期股权激励计划预留股份的议案，独立董事对相关事项发表了同意的独立意见，相应的授予登记工作已于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 </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日上市。</w:t>
      </w:r>
    </w:p>
    <w:p>
      <w:pPr>
        <w:pStyle w:val="BodyText"/>
        <w:spacing w:line="300" w:lineRule="auto" w:before="13"/>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日公司第五届董事会第三十六次会议、第五届监事会第二十一次会议审议通过了关于</w:t>
      </w:r>
      <w:r>
        <w:rPr>
          <w:rFonts w:ascii="Times New Roman" w:hAnsi="Times New Roman" w:cs="Times New Roman" w:eastAsia="Times New Roman" w:hint="default"/>
        </w:rPr>
        <w:t>2015</w:t>
      </w:r>
      <w:r>
        <w:rPr/>
        <w:t>年第二期股权激 励计划首次授予的限制性股票与股票期权第一个解锁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行权条件的议案和关于</w:t>
      </w:r>
      <w:r>
        <w:rPr>
          <w:rFonts w:ascii="Times New Roman" w:hAnsi="Times New Roman" w:cs="Times New Roman" w:eastAsia="Times New Roman" w:hint="default"/>
        </w:rPr>
        <w:t>2015</w:t>
      </w:r>
      <w:r>
        <w:rPr/>
        <w:t>年第二期股权激励计划</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14"/>
        <w:jc w:val="left"/>
      </w:pPr>
      <w:r>
        <w:rPr/>
        <w:t>首次授予的股票期权第一个行权期采用自主行权模式的议案，独立董事对相关事项发表了同意的独立意见，符合解锁条件 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日解锁上市流通，符合行权条件的股票期权已于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日全部行权完毕。</w:t>
      </w:r>
    </w:p>
    <w:p>
      <w:pPr>
        <w:pStyle w:val="BodyText"/>
        <w:spacing w:line="307" w:lineRule="auto"/>
        <w:ind w:right="11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日公司第五届董事会第四十一次会议、第五届监事会第二十三次会议审议通过了关于回购注销</w:t>
      </w:r>
      <w:r>
        <w:rPr>
          <w:rFonts w:ascii="Times New Roman" w:hAnsi="Times New Roman" w:cs="Times New Roman" w:eastAsia="Times New Roman" w:hint="default"/>
        </w:rPr>
        <w:t>2015</w:t>
      </w:r>
      <w:r>
        <w:rPr/>
        <w:t>年两期 股权激励计划部分限制性股票和股票期权的议案，董事会同意根据</w:t>
      </w:r>
      <w:r>
        <w:rPr>
          <w:rFonts w:ascii="Times New Roman" w:hAnsi="Times New Roman" w:cs="Times New Roman" w:eastAsia="Times New Roman" w:hint="default"/>
        </w:rPr>
        <w:t>2015</w:t>
      </w:r>
      <w:r>
        <w:rPr/>
        <w:t>年第二期股权激励计划的相关规定，对已离职激励 对象纪晓文先生已获授未解锁的限制性股票及已获授未行权的股票期权进行回购注销处理，公司独立董事对此发表了同意 的独立意见。本次回购注销事项已于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7"/>
        <w:ind w:right="11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日公司第五届董事会第五十一次会议、第五届监事会第二十九次会议审议通过了关于</w:t>
      </w:r>
      <w:r>
        <w:rPr>
          <w:rFonts w:ascii="Times New Roman" w:hAnsi="Times New Roman" w:cs="Times New Roman" w:eastAsia="Times New Roman" w:hint="default"/>
        </w:rPr>
        <w:t>2015</w:t>
      </w:r>
      <w:r>
        <w:rPr/>
        <w:t>年第二期股权激 励计划授予的预留限制性股票与股票期权第一个解锁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 的独立意见，符合解锁条件的限制性股票已于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日公司第六届董事会第十一次会议、第六届监事会第五次会议审议通过了关于回购注销</w:t>
      </w:r>
      <w:r>
        <w:rPr>
          <w:rFonts w:ascii="Times New Roman" w:hAnsi="Times New Roman" w:cs="Times New Roman" w:eastAsia="Times New Roman" w:hint="default"/>
        </w:rPr>
        <w:t>2015</w:t>
      </w:r>
      <w:r>
        <w:rPr/>
        <w:t>年两期股权激 励计划部分限制性股票和股票期权的议案，董事会同意根据</w:t>
      </w:r>
      <w:r>
        <w:rPr>
          <w:rFonts w:ascii="Times New Roman" w:hAnsi="Times New Roman" w:cs="Times New Roman" w:eastAsia="Times New Roman" w:hint="default"/>
        </w:rPr>
        <w:t>2015</w:t>
      </w:r>
      <w:r>
        <w:rPr/>
        <w:t>年第二期股权激励计划的相关规定，对</w:t>
      </w:r>
      <w:r>
        <w:rPr>
          <w:rFonts w:ascii="Times New Roman" w:hAnsi="Times New Roman" w:cs="Times New Roman" w:eastAsia="Times New Roman" w:hint="default"/>
        </w:rPr>
        <w:t>2015</w:t>
      </w:r>
      <w:r>
        <w:rPr/>
        <w:t>年第二期股权</w:t>
      </w:r>
      <w:r>
        <w:rPr>
          <w:spacing w:val="-87"/>
        </w:rPr>
        <w:t> </w:t>
      </w:r>
      <w:r>
        <w:rPr/>
        <w:t>激励计划首次授予部分第三个解锁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480</w:t>
      </w:r>
      <w:r>
        <w:rPr/>
        <w:t>万股</w:t>
      </w:r>
      <w:r>
        <w:rPr>
          <w:spacing w:val="-3"/>
        </w:rPr>
        <w:t> </w:t>
      </w:r>
      <w:r>
        <w:rPr/>
        <w:t>限制性股票和</w:t>
      </w:r>
      <w:r>
        <w:rPr>
          <w:rFonts w:ascii="Times New Roman" w:hAnsi="Times New Roman" w:cs="Times New Roman" w:eastAsia="Times New Roman" w:hint="default"/>
        </w:rPr>
        <w:t>216</w:t>
      </w:r>
      <w:r>
        <w:rPr/>
        <w:t>万份股票期权进行回购注销处理，公司独立董事对此发表了同意的独立意见。本次回购注销事项已于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日完成。</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日公司第六届董事会第十四次会议、第六届监事会第七次会议审议通过了关于</w:t>
      </w:r>
      <w:r>
        <w:rPr>
          <w:rFonts w:ascii="Times New Roman" w:hAnsi="Times New Roman" w:cs="Times New Roman" w:eastAsia="Times New Roman" w:hint="default"/>
        </w:rPr>
        <w:t>2015</w:t>
      </w:r>
      <w:r>
        <w:rPr/>
        <w:t>年第二期股权激励计划 首次授予的限制性股票与股票期权第二个解锁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行权条件的议案，独立董事对相关事项发表了同意的独立 意见，符合解锁条件的限制性股票已于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日解锁上市流通，符合行权条件的股票期权截至行权期限届满共计行权 </w:t>
      </w:r>
      <w:r>
        <w:rPr>
          <w:rFonts w:ascii="Times New Roman" w:hAnsi="Times New Roman" w:cs="Times New Roman" w:eastAsia="Times New Roman" w:hint="default"/>
        </w:rPr>
        <w:t>112.98</w:t>
      </w:r>
      <w:r>
        <w:rPr/>
        <w:t>万份。</w:t>
      </w:r>
    </w:p>
    <w:p>
      <w:pPr>
        <w:pStyle w:val="BodyText"/>
        <w:spacing w:line="300"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日公司第六届董事会第二十次会议、第六届监事会第八次会议审议通过了关于注销</w:t>
      </w:r>
      <w:r>
        <w:rPr>
          <w:rFonts w:ascii="Times New Roman" w:hAnsi="Times New Roman" w:cs="Times New Roman" w:eastAsia="Times New Roman" w:hint="default"/>
        </w:rPr>
        <w:t>2015</w:t>
      </w:r>
      <w:r>
        <w:rPr/>
        <w:t>年两期股权激励计 划预留部分第一个行权期已到期未行权股票期权的议案，董事会同意根据</w:t>
      </w:r>
      <w:r>
        <w:rPr>
          <w:rFonts w:ascii="Times New Roman" w:hAnsi="Times New Roman" w:cs="Times New Roman" w:eastAsia="Times New Roman" w:hint="default"/>
        </w:rPr>
        <w:t>2015</w:t>
      </w:r>
      <w:r>
        <w:rPr/>
        <w:t>年第二期股权激励计划的相关规定，对</w:t>
      </w:r>
      <w:r>
        <w:rPr>
          <w:rFonts w:ascii="Times New Roman" w:hAnsi="Times New Roman" w:cs="Times New Roman" w:eastAsia="Times New Roman" w:hint="default"/>
        </w:rPr>
        <w:t>2015 </w:t>
      </w:r>
      <w:r>
        <w:rPr/>
        <w:t>年第二期股权激励计划预留部分第一个行权期已到期未行权股票期权</w:t>
      </w:r>
      <w:r>
        <w:rPr>
          <w:rFonts w:ascii="Times New Roman" w:hAnsi="Times New Roman" w:cs="Times New Roman" w:eastAsia="Times New Roman" w:hint="default"/>
        </w:rPr>
        <w:t>30</w:t>
      </w:r>
      <w:r>
        <w:rPr/>
        <w:t>万份进行注销处理，独立董事对相关事项发表了同 意的独立意见。本次注销事项已于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w:t>
      </w:r>
    </w:p>
    <w:p>
      <w:pPr>
        <w:pStyle w:val="BodyText"/>
        <w:spacing w:line="300" w:lineRule="auto" w:before="13"/>
        <w:ind w:right="1184"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日公司第六届董事会第二十八次会议、第六届监事会第十二次会议审议通过了关于注销</w:t>
      </w:r>
      <w:r>
        <w:rPr>
          <w:rFonts w:ascii="Times New Roman" w:hAnsi="Times New Roman" w:cs="Times New Roman" w:eastAsia="Times New Roman" w:hint="default"/>
        </w:rPr>
        <w:t>2015</w:t>
      </w:r>
      <w:r>
        <w:rPr/>
        <w:t>年第二期股权 激励计划首次授予部分第二个行权期已到期未行权股票期权的议案，董事会同意根据</w:t>
      </w:r>
      <w:r>
        <w:rPr>
          <w:rFonts w:ascii="Times New Roman" w:hAnsi="Times New Roman" w:cs="Times New Roman" w:eastAsia="Times New Roman" w:hint="default"/>
        </w:rPr>
        <w:t>2015</w:t>
      </w:r>
      <w:r>
        <w:rPr/>
        <w:t>年第二期股权激励计划的相关规 定，对</w:t>
      </w:r>
      <w:r>
        <w:rPr>
          <w:rFonts w:ascii="Times New Roman" w:hAnsi="Times New Roman" w:cs="Times New Roman" w:eastAsia="Times New Roman" w:hint="default"/>
        </w:rPr>
        <w:t>2015</w:t>
      </w:r>
      <w:r>
        <w:rPr/>
        <w:t>年第二期股权激励计划首次授予部分第二个行权期已到期未行权股票期权</w:t>
      </w:r>
      <w:r>
        <w:rPr>
          <w:rFonts w:ascii="Times New Roman" w:hAnsi="Times New Roman" w:cs="Times New Roman" w:eastAsia="Times New Roman" w:hint="default"/>
        </w:rPr>
        <w:t>26.52</w:t>
      </w:r>
      <w:r>
        <w:rPr/>
        <w:t>万份进行注销处理，独立董事对 相关事项发布了同意的独立意见。本次注销事项已于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日完成。</w:t>
      </w:r>
    </w:p>
    <w:p>
      <w:pPr>
        <w:pStyle w:val="Heading4"/>
        <w:spacing w:line="269" w:lineRule="exact"/>
        <w:ind w:right="0"/>
        <w:jc w:val="left"/>
        <w:rPr>
          <w:b w:val="0"/>
          <w:bCs w:val="0"/>
        </w:rPr>
      </w:pPr>
      <w:r>
        <w:rPr/>
        <w:t>（二）</w:t>
      </w:r>
      <w:r>
        <w:rPr>
          <w:rFonts w:ascii="Times New Roman" w:hAnsi="Times New Roman" w:cs="Times New Roman" w:eastAsia="Times New Roman" w:hint="default"/>
        </w:rPr>
        <w:t>2016</w:t>
      </w:r>
      <w:r>
        <w:rPr/>
        <w:t>年限制性股票激励计划实施情况</w:t>
      </w:r>
      <w:r>
        <w:rPr>
          <w:b w:val="0"/>
          <w:bCs w:val="0"/>
        </w:rPr>
      </w:r>
    </w:p>
    <w:p>
      <w:pPr>
        <w:pStyle w:val="BodyText"/>
        <w:spacing w:line="300" w:lineRule="auto" w:before="56"/>
        <w:ind w:right="112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日公司第五届董事会第二十九次会议和第五届监事会第十七次会议、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2016</w:t>
      </w:r>
      <w:r>
        <w:rPr/>
        <w:t>年第三次临时 股东大会审议通过了</w:t>
      </w:r>
      <w:r>
        <w:rPr>
          <w:rFonts w:ascii="Times New Roman" w:hAnsi="Times New Roman" w:cs="Times New Roman" w:eastAsia="Times New Roman" w:hint="default"/>
        </w:rPr>
        <w:t>2016</w:t>
      </w:r>
      <w:r>
        <w:rPr/>
        <w:t>年限制性股票激励计划。</w:t>
      </w:r>
    </w:p>
    <w:p>
      <w:pPr>
        <w:pStyle w:val="BodyText"/>
        <w:spacing w:line="300" w:lineRule="auto" w:before="13"/>
        <w:ind w:right="113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日公司第五届董事会第三十次会议、第五届监事会第十九次会议审议通过了关于向公司</w:t>
      </w:r>
      <w:r>
        <w:rPr>
          <w:rFonts w:ascii="Times New Roman" w:hAnsi="Times New Roman" w:cs="Times New Roman" w:eastAsia="Times New Roman" w:hint="default"/>
        </w:rPr>
        <w:t>2016</w:t>
      </w:r>
      <w:r>
        <w:rPr/>
        <w:t>年限制性股票 激励计划激励对象授予限制性股票的议案，确定授予日为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日，独立董事就此发表了同意的独立意见，相应的授 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日上市。</w:t>
      </w:r>
    </w:p>
    <w:p>
      <w:pPr>
        <w:pStyle w:val="BodyText"/>
        <w:spacing w:line="309" w:lineRule="auto" w:before="1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日公司第六届董事会第十四次会议、第六届监事会第七次会议审议通过了关于</w:t>
      </w:r>
      <w:r>
        <w:rPr>
          <w:rFonts w:ascii="Times New Roman" w:hAnsi="Times New Roman" w:cs="Times New Roman" w:eastAsia="Times New Roman" w:hint="default"/>
        </w:rPr>
        <w:t>2016</w:t>
      </w:r>
      <w:r>
        <w:rPr/>
        <w:t>年限制性股票激励计划 授予的限制性股票第一个解锁期符合解锁条件的议案，独立董事对相关事项发表了同意的独立意见，符合解锁条件的限制 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日解锁上市流通。</w:t>
      </w:r>
    </w:p>
    <w:p>
      <w:pPr>
        <w:pStyle w:val="BodyText"/>
        <w:spacing w:line="309" w:lineRule="auto" w:before="5"/>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日公司第六届董事会第二十六次会议、第六届监事会第十次会议审议通过了关于</w:t>
      </w:r>
      <w:r>
        <w:rPr>
          <w:rFonts w:ascii="Times New Roman" w:hAnsi="Times New Roman" w:cs="Times New Roman" w:eastAsia="Times New Roman" w:hint="default"/>
        </w:rPr>
        <w:t>2016</w:t>
      </w:r>
      <w:r>
        <w:rPr/>
        <w:t>年限制性股票激励计 划授予的限制性股票第二个解锁期符合解锁条件的议案，独立董事对相关事项发布了同意的独立意见，符合解锁条件的限 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日解锁上市流通。</w:t>
      </w:r>
    </w:p>
    <w:p>
      <w:pPr>
        <w:pStyle w:val="BodyText"/>
        <w:spacing w:line="300" w:lineRule="auto" w:before="5"/>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 股东大会审议通过了关于回购注销</w:t>
      </w:r>
      <w:r>
        <w:rPr>
          <w:rFonts w:ascii="Times New Roman" w:hAnsi="Times New Roman" w:cs="Times New Roman" w:eastAsia="Times New Roman" w:hint="default"/>
        </w:rPr>
        <w:t>2016</w:t>
      </w:r>
      <w:r>
        <w:rPr/>
        <w:t>年限制性股票激励计划部分限制性股票的议案，鉴于根据公司绩效考核管理相关制 度和</w:t>
      </w:r>
      <w:r>
        <w:rPr>
          <w:rFonts w:ascii="Times New Roman" w:hAnsi="Times New Roman" w:cs="Times New Roman" w:eastAsia="Times New Roman" w:hint="default"/>
        </w:rPr>
        <w:t>2016</w:t>
      </w:r>
      <w:r>
        <w:rPr/>
        <w:t>年限制性股票激励计划的相关规定，激励对象</w:t>
      </w:r>
      <w:r>
        <w:rPr>
          <w:rFonts w:ascii="Times New Roman" w:hAnsi="Times New Roman" w:cs="Times New Roman" w:eastAsia="Times New Roman" w:hint="default"/>
        </w:rPr>
        <w:t>2018</w:t>
      </w:r>
      <w:r>
        <w:rPr/>
        <w:t>年度绩效考核考评结果均为不合格，公司决定对</w:t>
      </w:r>
      <w:r>
        <w:rPr>
          <w:rFonts w:ascii="Times New Roman" w:hAnsi="Times New Roman" w:cs="Times New Roman" w:eastAsia="Times New Roman" w:hint="default"/>
        </w:rPr>
        <w:t>2016</w:t>
      </w:r>
      <w:r>
        <w:rPr/>
        <w:t>年限制性 股票激励计划第三个解锁期因激励对象个人绩效考核结果不达标导致不能解锁的</w:t>
      </w:r>
      <w:r>
        <w:rPr>
          <w:rFonts w:ascii="Times New Roman" w:hAnsi="Times New Roman" w:cs="Times New Roman" w:eastAsia="Times New Roman" w:hint="default"/>
        </w:rPr>
        <w:t>1,221</w:t>
      </w:r>
      <w:r>
        <w:rPr/>
        <w:t>万股限制性股票进行回购注销，独立 董事对此发表了同意的独立意见。本次回购注销已于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日完成。</w:t>
      </w:r>
    </w:p>
    <w:p>
      <w:pPr>
        <w:spacing w:after="0" w:line="30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九、内部控制评价报告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3" w:type="dxa"/>
            <w:gridSpan w:val="2"/>
            <w:vMerge w:val="restart"/>
            <w:tcBorders>
              <w:top w:val="single" w:sz="4" w:space="0" w:color="000000"/>
              <w:left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3"/>
                <w:w w:val="100"/>
                <w:sz w:val="18"/>
                <w:szCs w:val="18"/>
              </w:rPr>
              <w:t>巨潮资讯网（</w:t>
            </w:r>
            <w:hyperlink r:id="rId13">
              <w:r>
                <w:rPr>
                  <w:rFonts w:ascii="Times New Roman" w:hAnsi="Times New Roman" w:cs="Times New Roman" w:eastAsia="Times New Roman" w:hint="default"/>
                  <w:spacing w:val="-3"/>
                  <w:w w:val="100"/>
                  <w:sz w:val="18"/>
                  <w:szCs w:val="18"/>
                </w:rPr>
                <w:t>www.cninfo.com.cn</w:t>
              </w:r>
            </w:hyperlink>
            <w:r>
              <w:rPr>
                <w:rFonts w:ascii="宋体" w:hAnsi="宋体" w:cs="宋体" w:eastAsia="宋体" w:hint="default"/>
                <w:spacing w:val="-3"/>
                <w:w w:val="100"/>
                <w:sz w:val="18"/>
                <w:szCs w:val="18"/>
              </w:rPr>
              <w:t>）《深圳市惠程信息科技股份有限公司</w:t>
            </w:r>
            <w:r>
              <w:rPr>
                <w:rFonts w:ascii="宋体" w:hAnsi="宋体" w:cs="宋体" w:eastAsia="宋体" w:hint="default"/>
                <w:spacing w:val="-40"/>
                <w:w w:val="10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z w:val="18"/>
                <w:szCs w:val="18"/>
              </w:rPr>
              <w:t>内部控制的自我评价报告》</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vMerge/>
            <w:tcBorders>
              <w:left w:val="single" w:sz="4" w:space="0" w:color="000000"/>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3" w:type="dxa"/>
            <w:gridSpan w:val="2"/>
            <w:vMerge/>
            <w:tcBorders>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95.00%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①重大缺陷：控制环境无效；公司审核委 员会和内部审计机构对内部控制的监督无 效；发现董事、监事和高级管理人员重大 舞弊；公司对已经公布的财务报表进行重 大更正；外部审计发现当期财务报表存在 重大错报，而内部控制在运行过程中未能 发现该错报；已经发现并报告给管理层的 重大缺陷在合理的时间后未加以改正；其 他可能影响报表使用者正确判断的缺陷。</w:t>
            </w:r>
          </w:p>
          <w:p>
            <w:pPr>
              <w:pStyle w:val="TableParagraph"/>
              <w:spacing w:line="316" w:lineRule="auto" w:before="19"/>
              <w:ind w:left="24" w:right="47"/>
              <w:jc w:val="both"/>
              <w:rPr>
                <w:rFonts w:ascii="宋体" w:hAnsi="宋体" w:cs="宋体" w:eastAsia="宋体" w:hint="default"/>
                <w:sz w:val="18"/>
                <w:szCs w:val="18"/>
              </w:rPr>
            </w:pPr>
            <w:r>
              <w:rPr>
                <w:rFonts w:ascii="宋体" w:hAnsi="宋体" w:cs="宋体" w:eastAsia="宋体" w:hint="default"/>
                <w:sz w:val="18"/>
                <w:szCs w:val="18"/>
              </w:rPr>
              <w:t>②重要缺陷：单独缺陷或连同其他缺陷组 合，其严重程度低于重大缺陷，但仍有可 能导致公司偏离控制目标。③一般缺陷： 不构成重大缺陷或重要缺陷的其他内部控 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135"/>
              <w:jc w:val="left"/>
              <w:rPr>
                <w:rFonts w:ascii="宋体" w:hAnsi="宋体" w:cs="宋体" w:eastAsia="宋体" w:hint="default"/>
                <w:sz w:val="18"/>
                <w:szCs w:val="18"/>
              </w:rPr>
            </w:pPr>
            <w:r>
              <w:rPr>
                <w:rFonts w:ascii="宋体" w:hAnsi="宋体" w:cs="宋体" w:eastAsia="宋体" w:hint="default"/>
                <w:sz w:val="18"/>
                <w:szCs w:val="18"/>
              </w:rPr>
              <w:t>①重大缺陷：违反国家法律、法规或 规范性文件；缺乏决策程序或决策程 序不科学，导致重大失误；重要业务 缺乏制度控制或制度系统性失败；内 部控制评价的结果特别是重大或重要 缺陷未得到整改；其他对公司影响重 大的情形。②重要缺陷：单独缺陷或 连同其他缺陷组合，其严重程度低于 重大缺陷，但仍有可能导致公司偏离 控制目标。③一般缺陷：不构成重大 缺陷或重要缺陷的其他内部控制缺 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203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54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19"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公司所采用标准直接取决于该内部控制缺 陷造成财产损失大小，根据损失占公司上 一年度合并报表的潜在错报项目总额的比 率作为判断标准。①重大缺陷：潜在错报</w:t>
            </w:r>
          </w:p>
          <w:p>
            <w:pPr>
              <w:pStyle w:val="TableParagraph"/>
              <w:spacing w:line="300" w:lineRule="auto" w:before="17"/>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。② 重要缺陷：营业收入总额的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潜在错报</w:t>
            </w:r>
          </w:p>
          <w:p>
            <w:pPr>
              <w:pStyle w:val="TableParagraph"/>
              <w:spacing w:line="300" w:lineRule="auto" w:before="13"/>
              <w:ind w:left="24" w:right="96"/>
              <w:jc w:val="both"/>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潜在错报＜利润总额的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潜在错报＜资产总额的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。③一般 缺陷：潜在错报＜营业收入总额的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09" w:lineRule="auto"/>
              <w:ind w:left="23" w:right="29"/>
              <w:jc w:val="left"/>
              <w:rPr>
                <w:rFonts w:ascii="宋体" w:hAnsi="宋体" w:cs="宋体" w:eastAsia="宋体" w:hint="default"/>
                <w:sz w:val="18"/>
                <w:szCs w:val="18"/>
              </w:rPr>
            </w:pPr>
            <w:r>
              <w:rPr>
                <w:rFonts w:ascii="宋体" w:hAnsi="宋体" w:cs="宋体" w:eastAsia="宋体" w:hint="default"/>
                <w:sz w:val="18"/>
                <w:szCs w:val="18"/>
              </w:rPr>
              <w:t>公司所采用标准直接取决于该内部控 制缺陷造成财产损失大小，根据损失 占公司上一年度合并报表资产总额的 比率作为判断标准。①重大缺陷：损 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。②重要缺 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损失金额＜资产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。③一般缺陷：损失金额＜ 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154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129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潜在错报＜利润总额的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；潜在错报＜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。当某项内部控制缺陷导 致的潜在错报影响多项指标时，按孰低原 则认定缺陷性质。</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045" w:right="0"/>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footerReference w:type="default" r:id="rId46"/>
          <w:pgSz w:w="11910" w:h="16840"/>
          <w:pgMar w:footer="980"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607" w:right="0"/>
        <w:jc w:val="left"/>
        <w:rPr>
          <w:b w:val="0"/>
          <w:bCs w:val="0"/>
        </w:rPr>
      </w:pPr>
      <w:bookmarkStart w:name="_bookmark11" w:id="12"/>
      <w:bookmarkEnd w:id="12"/>
      <w:r>
        <w:rPr>
          <w:b w:val="0"/>
          <w:bCs w:val="0"/>
        </w:rPr>
      </w:r>
      <w:r>
        <w:rPr/>
        <w:t>第十二节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张晓荣</w:t>
            </w:r>
            <w:r>
              <w:rPr>
                <w:rFonts w:ascii="宋体" w:hAnsi="宋体" w:cs="宋体" w:eastAsia="宋体" w:hint="default"/>
                <w:spacing w:val="1"/>
                <w:sz w:val="18"/>
                <w:szCs w:val="18"/>
              </w:rPr>
              <w:t> </w:t>
            </w:r>
            <w:r>
              <w:rPr>
                <w:rFonts w:ascii="宋体" w:hAnsi="宋体" w:cs="宋体" w:eastAsia="宋体" w:hint="default"/>
                <w:sz w:val="18"/>
                <w:szCs w:val="18"/>
              </w:rPr>
              <w:t>、唐慧珏</w:t>
            </w:r>
          </w:p>
        </w:tc>
      </w:tr>
    </w:tbl>
    <w:p>
      <w:pPr>
        <w:pStyle w:val="BodyText"/>
        <w:spacing w:line="240" w:lineRule="auto" w:before="49"/>
        <w:ind w:left="4432" w:right="0"/>
        <w:jc w:val="left"/>
      </w:pPr>
      <w:r>
        <w:rPr/>
        <w:t>审计报告正文</w:t>
      </w:r>
    </w:p>
    <w:p>
      <w:pPr>
        <w:spacing w:line="240" w:lineRule="auto" w:before="0"/>
        <w:rPr>
          <w:rFonts w:ascii="宋体" w:hAnsi="宋体" w:cs="宋体" w:eastAsia="宋体" w:hint="default"/>
          <w:sz w:val="18"/>
          <w:szCs w:val="18"/>
        </w:rPr>
      </w:pPr>
    </w:p>
    <w:p>
      <w:pPr>
        <w:pStyle w:val="Heading4"/>
        <w:spacing w:line="240" w:lineRule="auto" w:before="134"/>
        <w:ind w:left="152" w:right="0"/>
        <w:jc w:val="left"/>
        <w:rPr>
          <w:b w:val="0"/>
          <w:bCs w:val="0"/>
        </w:rPr>
      </w:pPr>
      <w:r>
        <w:rPr/>
        <w:t>深圳市惠程信息科技股份有限公司全体股东：</w:t>
      </w:r>
      <w:r>
        <w:rPr>
          <w:b w:val="0"/>
          <w:bCs w:val="0"/>
        </w:rPr>
      </w:r>
    </w:p>
    <w:p>
      <w:pPr>
        <w:pStyle w:val="Heading4"/>
        <w:spacing w:line="247" w:lineRule="auto" w:before="97"/>
        <w:ind w:right="0"/>
        <w:jc w:val="left"/>
        <w:rPr>
          <w:rFonts w:ascii="Arial" w:hAnsi="Arial" w:cs="Arial" w:eastAsia="Arial" w:hint="default"/>
          <w:b w:val="0"/>
          <w:bCs w:val="0"/>
        </w:rPr>
      </w:pPr>
      <w:r>
        <w:rPr>
          <w:rFonts w:ascii="Arial" w:hAnsi="Arial" w:cs="Arial" w:eastAsia="Arial" w:hint="default"/>
          <w:w w:val="179"/>
        </w:rPr>
        <w:t>  </w:t>
      </w:r>
      <w:r>
        <w:rPr>
          <w:spacing w:val="2"/>
        </w:rPr>
        <w:t>一</w:t>
      </w:r>
      <w:r>
        <w:rPr/>
        <w:t>、审计</w:t>
      </w:r>
      <w:r>
        <w:rPr>
          <w:spacing w:val="2"/>
        </w:rPr>
        <w:t>意</w:t>
      </w:r>
      <w:r>
        <w:rPr/>
        <w:t>见</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48"/>
        <w:ind w:right="1041" w:firstLine="360"/>
        <w:jc w:val="both"/>
        <w:rPr>
          <w:rFonts w:ascii="宋体" w:hAnsi="宋体" w:cs="宋体" w:eastAsia="宋体" w:hint="default"/>
        </w:rPr>
      </w:pPr>
      <w:r>
        <w:rPr>
          <w:spacing w:val="-2"/>
        </w:rPr>
        <w:t>我们审计了深圳市惠程信息科技股份有限公司（以下简称“惠程科技”）财务报表，包括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w:t>
      </w:r>
      <w:r>
        <w:rPr/>
        <w:t> </w:t>
      </w:r>
      <w:r>
        <w:rPr>
          <w:spacing w:val="-5"/>
        </w:rPr>
        <w:t>资产负债表，</w:t>
      </w:r>
      <w:r>
        <w:rPr>
          <w:rFonts w:ascii="宋体" w:hAnsi="宋体" w:cs="宋体" w:eastAsia="宋体" w:hint="default"/>
          <w:spacing w:val="-5"/>
        </w:rPr>
        <w:t>2019</w:t>
      </w:r>
      <w:r>
        <w:rPr>
          <w:spacing w:val="-5"/>
        </w:rPr>
        <w:t>年度的合并及公司利润表、合并及公司现金流量表、合并及公司所有者权益变动表以及相关财务报表附注。</w:t>
      </w:r>
      <w:r>
        <w:rPr>
          <w:rFonts w:ascii="宋体" w:hAnsi="宋体" w:cs="宋体" w:eastAsia="宋体" w:hint="default"/>
        </w:rPr>
        <w:t> </w:t>
      </w:r>
    </w:p>
    <w:p>
      <w:pPr>
        <w:pStyle w:val="BodyText"/>
        <w:spacing w:line="316" w:lineRule="auto" w:before="19"/>
        <w:ind w:right="1128" w:firstLine="360"/>
        <w:jc w:val="both"/>
        <w:rPr>
          <w:rFonts w:ascii="宋体" w:hAnsi="宋体" w:cs="宋体" w:eastAsia="宋体" w:hint="default"/>
        </w:rPr>
      </w:pPr>
      <w:r>
        <w:rPr>
          <w:spacing w:val="-2"/>
        </w:rPr>
        <w:t>我们认为，后附的财务报表在所有重大方面按照企业会计准则的规定编制，公允反映了惠程科技</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及公司财务状况以及</w:t>
      </w:r>
      <w:r>
        <w:rPr>
          <w:rFonts w:ascii="宋体" w:hAnsi="宋体" w:cs="宋体" w:eastAsia="宋体" w:hint="default"/>
        </w:rPr>
        <w:t>2019</w:t>
      </w:r>
      <w:r>
        <w:rPr/>
        <w:t>年度合并及公司经营成果和现金流量。</w:t>
      </w:r>
      <w:r>
        <w:rPr>
          <w:rFonts w:ascii="宋体" w:hAnsi="宋体" w:cs="宋体" w:eastAsia="宋体" w:hint="default"/>
        </w:rPr>
        <w:t> </w:t>
      </w:r>
    </w:p>
    <w:p>
      <w:pPr>
        <w:pStyle w:val="Heading4"/>
        <w:spacing w:line="259" w:lineRule="auto" w:before="19"/>
        <w:ind w:right="0"/>
        <w:jc w:val="left"/>
        <w:rPr>
          <w:rFonts w:ascii="Arial" w:hAnsi="Arial" w:cs="Arial" w:eastAsia="Arial" w:hint="default"/>
          <w:b w:val="0"/>
          <w:bCs w:val="0"/>
        </w:rPr>
      </w:pPr>
      <w:r>
        <w:rPr>
          <w:rFonts w:ascii="宋体" w:hAnsi="宋体" w:cs="宋体" w:eastAsia="宋体" w:hint="default"/>
          <w:b w:val="0"/>
          <w:bCs w:val="0"/>
        </w:rPr>
        <w:t>  </w:t>
      </w:r>
      <w:r>
        <w:rPr>
          <w:spacing w:val="2"/>
        </w:rPr>
        <w:t>二</w:t>
      </w:r>
      <w:r>
        <w:rPr/>
        <w:t>、形成</w:t>
      </w:r>
      <w:r>
        <w:rPr>
          <w:spacing w:val="2"/>
        </w:rPr>
        <w:t>审</w:t>
      </w:r>
      <w:r>
        <w:rPr/>
        <w:t>计意</w:t>
      </w:r>
      <w:r>
        <w:rPr>
          <w:spacing w:val="2"/>
        </w:rPr>
        <w:t>见</w:t>
      </w:r>
      <w:r>
        <w:rPr/>
        <w:t>的基础</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37"/>
        <w:ind w:right="1130" w:firstLine="360"/>
        <w:jc w:val="both"/>
        <w:rPr>
          <w:rFonts w:ascii="宋体" w:hAnsi="宋体" w:cs="宋体" w:eastAsia="宋体" w:hint="default"/>
        </w:rPr>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步阐述了我们在这些准则下的责任。按照中国注册会计师职业道德守则，我们独立于惠程科技，并履行了职业道德方面的其</w:t>
      </w:r>
      <w:r>
        <w:rPr>
          <w:spacing w:val="-63"/>
        </w:rPr>
        <w:t> </w:t>
      </w:r>
      <w:r>
        <w:rPr>
          <w:spacing w:val="-63"/>
        </w:rPr>
      </w:r>
      <w:r>
        <w:rPr/>
        <w:t>他责任。我们相信，我们获取的审计证据是充分、适当的，为发表审计意见提供了基础。</w:t>
      </w:r>
      <w:r>
        <w:rPr>
          <w:rFonts w:ascii="宋体" w:hAnsi="宋体" w:cs="宋体" w:eastAsia="宋体" w:hint="default"/>
        </w:rPr>
        <w:t> </w:t>
      </w:r>
    </w:p>
    <w:p>
      <w:pPr>
        <w:pStyle w:val="Heading4"/>
        <w:spacing w:line="259" w:lineRule="auto" w:before="19"/>
        <w:ind w:right="0"/>
        <w:jc w:val="left"/>
        <w:rPr>
          <w:rFonts w:ascii="Arial" w:hAnsi="Arial" w:cs="Arial" w:eastAsia="Arial" w:hint="default"/>
          <w:b w:val="0"/>
          <w:bCs w:val="0"/>
        </w:rPr>
      </w:pPr>
      <w:r>
        <w:rPr>
          <w:rFonts w:ascii="宋体" w:hAnsi="宋体" w:cs="宋体" w:eastAsia="宋体" w:hint="default"/>
          <w:b w:val="0"/>
          <w:bCs w:val="0"/>
        </w:rPr>
        <w:t>  </w:t>
      </w:r>
      <w:r>
        <w:rPr>
          <w:spacing w:val="2"/>
        </w:rPr>
        <w:t>三</w:t>
      </w:r>
      <w:r>
        <w:rPr/>
        <w:t>、关键</w:t>
      </w:r>
      <w:r>
        <w:rPr>
          <w:spacing w:val="2"/>
        </w:rPr>
        <w:t>审</w:t>
      </w:r>
      <w:r>
        <w:rPr/>
        <w:t>计事项</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37"/>
        <w:ind w:right="1132" w:firstLine="360"/>
        <w:jc w:val="both"/>
        <w:rPr>
          <w:rFonts w:ascii="宋体" w:hAnsi="宋体" w:cs="宋体" w:eastAsia="宋体" w:hint="default"/>
        </w:rPr>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审计并形成审计意见为背景，我们不对这些事项单独发表意见。我们在审计中识别出的关键审计事项如下：</w:t>
      </w:r>
      <w:r>
        <w:rPr>
          <w:rFonts w:ascii="宋体" w:hAnsi="宋体" w:cs="宋体" w:eastAsia="宋体" w:hint="default"/>
        </w:rPr>
        <w:t> </w:t>
      </w:r>
    </w:p>
    <w:p>
      <w:pPr>
        <w:pStyle w:val="BodyText"/>
        <w:spacing w:line="316" w:lineRule="auto" w:before="19"/>
        <w:ind w:left="513" w:right="8813"/>
        <w:jc w:val="left"/>
        <w:rPr>
          <w:rFonts w:ascii="宋体" w:hAnsi="宋体" w:cs="宋体" w:eastAsia="宋体" w:hint="default"/>
        </w:rPr>
      </w:pPr>
      <w:r>
        <w:rPr>
          <w:rFonts w:ascii="宋体" w:hAnsi="宋体" w:cs="宋体" w:eastAsia="宋体" w:hint="default"/>
        </w:rPr>
        <w:t>1</w:t>
      </w:r>
      <w:r>
        <w:rPr/>
        <w:t>、商誉减值测试</w:t>
      </w:r>
      <w:r>
        <w:rPr>
          <w:rFonts w:ascii="宋体" w:hAnsi="宋体" w:cs="宋体" w:eastAsia="宋体" w:hint="default"/>
        </w:rPr>
        <w:t> (1)</w:t>
      </w:r>
      <w:r>
        <w:rPr>
          <w:rFonts w:ascii="宋体" w:hAnsi="宋体" w:cs="宋体" w:eastAsia="宋体" w:hint="default"/>
          <w:spacing w:val="-2"/>
        </w:rPr>
        <w:t> </w:t>
      </w:r>
      <w:r>
        <w:rPr/>
        <w:t>关键审计事项</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5"/>
        </w:rPr>
        <w:t>商誉及其减值的会计政策详情及分析请参阅合并财务报表附注“五、重要会计政策及会计估计”注释</w:t>
      </w:r>
      <w:r>
        <w:rPr>
          <w:rFonts w:ascii="宋体" w:hAnsi="宋体" w:cs="宋体" w:eastAsia="宋体" w:hint="default"/>
          <w:spacing w:val="-5"/>
        </w:rPr>
        <w:t>23</w:t>
      </w:r>
      <w:r>
        <w:rPr>
          <w:spacing w:val="-5"/>
        </w:rPr>
        <w:t>、注释</w:t>
      </w:r>
      <w:r>
        <w:rPr>
          <w:rFonts w:ascii="宋体" w:hAnsi="宋体" w:cs="宋体" w:eastAsia="宋体" w:hint="default"/>
          <w:spacing w:val="-5"/>
        </w:rPr>
        <w:t>24</w:t>
      </w:r>
      <w:r>
        <w:rPr>
          <w:spacing w:val="-5"/>
        </w:rPr>
        <w:t>及“七、</w:t>
      </w:r>
      <w:r>
        <w:rPr/>
        <w:t> 合并财务报表主要项目附注”注释</w:t>
      </w:r>
      <w:r>
        <w:rPr>
          <w:rFonts w:ascii="宋体" w:hAnsi="宋体" w:cs="宋体" w:eastAsia="宋体" w:hint="default"/>
        </w:rPr>
        <w:t>19</w:t>
      </w:r>
      <w:r>
        <w:rPr/>
        <w:t>。</w:t>
      </w:r>
      <w:r>
        <w:rPr>
          <w:rFonts w:ascii="宋体" w:hAnsi="宋体" w:cs="宋体" w:eastAsia="宋体" w:hint="default"/>
        </w:rPr>
        <w:t> </w:t>
      </w:r>
    </w:p>
    <w:p>
      <w:pPr>
        <w:pStyle w:val="BodyText"/>
        <w:spacing w:line="316" w:lineRule="auto" w:before="19"/>
        <w:ind w:right="1125" w:firstLine="360"/>
        <w:jc w:val="both"/>
        <w:rPr>
          <w:rFonts w:ascii="宋体" w:hAnsi="宋体" w:cs="宋体" w:eastAsia="宋体" w:hint="default"/>
        </w:rPr>
      </w:pPr>
      <w:r>
        <w:rPr/>
        <w:t>管理层每年评估商誉可能出现减值的情况。本年度以包含上述商誉的资产组预计未来现金流量的现值作为资产组可收</w:t>
      </w:r>
      <w:r>
        <w:rPr>
          <w:spacing w:val="2"/>
        </w:rPr>
        <w:t> </w:t>
      </w:r>
      <w:r>
        <w:rPr>
          <w:spacing w:val="-2"/>
        </w:rPr>
        <w:t>回金额的估计。包含商誉的资产组可收回金额由管理层依据其聘请的外部评估机构编制的《深圳市惠程信息科技股份有限公</w:t>
      </w:r>
      <w:r>
        <w:rPr>
          <w:spacing w:val="-64"/>
        </w:rPr>
        <w:t> </w:t>
      </w:r>
      <w:r>
        <w:rPr>
          <w:spacing w:val="-64"/>
        </w:rPr>
      </w:r>
      <w:r>
        <w:rPr>
          <w:spacing w:val="-2"/>
        </w:rPr>
        <w:t>司拟进行商誉减值测试涉及的成都哆可梦网络科技有限公司资产组可回收价值资产评估报告》进行确定。资产组可收回金额</w:t>
      </w:r>
      <w:r>
        <w:rPr>
          <w:spacing w:val="-64"/>
        </w:rPr>
        <w:t> </w:t>
      </w:r>
      <w:r>
        <w:rPr>
          <w:spacing w:val="-64"/>
        </w:rPr>
      </w:r>
      <w:r>
        <w:rPr>
          <w:spacing w:val="-2"/>
        </w:rPr>
        <w:t>的估计以管理层已获批的未来五年期的财务预算为基础，根据历史经验及对市场发展的预测确定增长率和毛利率，并采用能</w:t>
      </w:r>
      <w:r>
        <w:rPr>
          <w:spacing w:val="-64"/>
        </w:rPr>
        <w:t> </w:t>
      </w:r>
      <w:r>
        <w:rPr>
          <w:spacing w:val="-64"/>
        </w:rPr>
      </w:r>
      <w:r>
        <w:rPr/>
        <w:t>够反映资产组特定风险的税前利率为折现率。</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由于商誉减值过程涉及管理层的重大判断和估计，以及管理层在选用假设和估计时可能出现的风险偏好，且对合并财务</w:t>
      </w:r>
      <w:r>
        <w:rPr/>
        <w:t> 报表的影响重大，因此我们将评估商誉的减值测试视为惠程科技公司的关键审计事项。</w:t>
      </w:r>
      <w:r>
        <w:rPr>
          <w:rFonts w:ascii="宋体" w:hAnsi="宋体" w:cs="宋体" w:eastAsia="宋体" w:hint="default"/>
        </w:rPr>
        <w:t> </w:t>
      </w:r>
    </w:p>
    <w:p>
      <w:pPr>
        <w:pStyle w:val="BodyText"/>
        <w:spacing w:line="316" w:lineRule="auto" w:before="19"/>
        <w:ind w:left="513" w:right="6254"/>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我们对上述事项的确认实施的审计程序主要包括：</w:t>
      </w:r>
      <w:r>
        <w:rPr>
          <w:rFonts w:ascii="宋体" w:hAnsi="宋体" w:cs="宋体" w:eastAsia="宋体" w:hint="default"/>
        </w:rPr>
        <w:t> </w:t>
      </w:r>
    </w:p>
    <w:p>
      <w:pPr>
        <w:spacing w:after="0" w:line="316" w:lineRule="auto"/>
        <w:jc w:val="left"/>
        <w:rPr>
          <w:rFonts w:ascii="宋体" w:hAnsi="宋体" w:cs="宋体" w:eastAsia="宋体" w:hint="default"/>
        </w:rPr>
        <w:sectPr>
          <w:footerReference w:type="default" r:id="rId47"/>
          <w:pgSz w:w="11910" w:h="16840"/>
          <w:pgMar w:footer="980" w:header="877" w:top="1100" w:bottom="1160" w:left="980" w:right="0"/>
          <w:pgNumType w:start="1"/>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评估及测试了与商誉减值相关的内部控制的设计及执行有效性；</w:t>
      </w:r>
      <w:r>
        <w:rPr>
          <w:rFonts w:ascii="宋体" w:hAnsi="宋体" w:cs="宋体" w:eastAsia="宋体" w:hint="default"/>
        </w:rPr>
        <w:t> </w:t>
      </w:r>
    </w:p>
    <w:p>
      <w:pPr>
        <w:pStyle w:val="BodyText"/>
        <w:spacing w:line="240" w:lineRule="auto" w:before="77"/>
        <w:ind w:left="513" w:right="0"/>
        <w:jc w:val="left"/>
        <w:rPr>
          <w:rFonts w:ascii="宋体" w:hAnsi="宋体" w:cs="宋体" w:eastAsia="宋体" w:hint="default"/>
        </w:rPr>
      </w:pPr>
      <w:r>
        <w:rPr/>
        <w:t>②</w:t>
      </w:r>
      <w:r>
        <w:rPr>
          <w:spacing w:val="1"/>
        </w:rPr>
        <w:t> </w:t>
      </w:r>
      <w:r>
        <w:rPr>
          <w:rFonts w:ascii="宋体" w:hAnsi="宋体" w:cs="宋体" w:eastAsia="宋体" w:hint="default"/>
          <w:spacing w:val="1"/>
        </w:rPr>
      </w:r>
      <w:r>
        <w:rPr/>
        <w:t>评价管理层委聘的外部评估机构的独立性、胜任能力、专业素质和客观性；</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t>③</w:t>
      </w:r>
      <w:r>
        <w:rPr>
          <w:spacing w:val="2"/>
        </w:rPr>
        <w:t> </w:t>
      </w:r>
      <w:r>
        <w:rPr>
          <w:rFonts w:ascii="宋体" w:hAnsi="宋体" w:cs="宋体" w:eastAsia="宋体" w:hint="default"/>
          <w:spacing w:val="2"/>
        </w:rPr>
      </w:r>
      <w:r>
        <w:rPr/>
        <w:t>利用外部评估机构的工作，评价商誉减值测试估值方法及关键假设的适当性、引用参数的合理性；</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76"/>
        <w:ind w:right="1119" w:firstLine="360"/>
        <w:jc w:val="left"/>
        <w:rPr>
          <w:rFonts w:ascii="宋体" w:hAnsi="宋体" w:cs="宋体" w:eastAsia="宋体" w:hint="default"/>
        </w:rPr>
      </w:pPr>
      <w:r>
        <w:rPr/>
        <w:t>④</w:t>
      </w:r>
      <w:r>
        <w:rPr>
          <w:spacing w:val="5"/>
        </w:rPr>
        <w:t> </w:t>
      </w:r>
      <w:r>
        <w:rPr>
          <w:rFonts w:ascii="宋体" w:hAnsi="宋体" w:cs="宋体" w:eastAsia="宋体" w:hint="default"/>
          <w:spacing w:val="5"/>
        </w:rPr>
      </w:r>
      <w:r>
        <w:rPr/>
        <w:t>复核资产组可收回金额和所采用折现率的合理性，包括所属资产组的预计游戏产出、整体流水、增长率、预计毛利 率等，并与相关资产组的历史数据进行比较分析，该复核是基于我们对公司业务和所处行业的了解；</w:t>
      </w:r>
      <w:r>
        <w:rPr>
          <w:rFonts w:ascii="宋体" w:hAnsi="宋体" w:cs="宋体" w:eastAsia="宋体" w:hint="default"/>
        </w:rPr>
        <w:t> </w:t>
      </w:r>
    </w:p>
    <w:p>
      <w:pPr>
        <w:pStyle w:val="BodyText"/>
        <w:spacing w:line="316" w:lineRule="auto" w:before="19"/>
        <w:ind w:right="1120" w:firstLine="360"/>
        <w:jc w:val="left"/>
        <w:rPr>
          <w:rFonts w:ascii="宋体" w:hAnsi="宋体" w:cs="宋体" w:eastAsia="宋体" w:hint="default"/>
        </w:rPr>
      </w:pPr>
      <w:r>
        <w:rPr/>
        <w:t>⑤</w:t>
      </w:r>
      <w:r>
        <w:rPr>
          <w:spacing w:val="4"/>
        </w:rPr>
        <w:t> </w:t>
      </w:r>
      <w:r>
        <w:rPr>
          <w:rFonts w:ascii="宋体" w:hAnsi="宋体" w:cs="宋体" w:eastAsia="宋体" w:hint="default"/>
          <w:spacing w:val="4"/>
        </w:rPr>
      </w:r>
      <w:r>
        <w:rPr/>
        <w:t>对预测收入和采用的折现率等关键假设进行分析，以评价关键假设的变化对减值评估结果的影响以及考虑对关键假 设的选择是否存在管理层偏好的迹象；</w:t>
      </w:r>
      <w:r>
        <w:rPr>
          <w:rFonts w:ascii="宋体" w:hAnsi="宋体" w:cs="宋体" w:eastAsia="宋体" w:hint="default"/>
        </w:rPr>
        <w:t> </w:t>
      </w:r>
    </w:p>
    <w:p>
      <w:pPr>
        <w:pStyle w:val="BodyText"/>
        <w:spacing w:line="316" w:lineRule="auto" w:before="19"/>
        <w:ind w:left="513" w:right="6254"/>
        <w:jc w:val="left"/>
        <w:rPr>
          <w:rFonts w:ascii="宋体" w:hAnsi="宋体" w:cs="宋体" w:eastAsia="宋体" w:hint="default"/>
        </w:rPr>
      </w:pPr>
      <w:r>
        <w:rPr/>
        <w:t>⑥</w:t>
      </w:r>
      <w:r>
        <w:rPr>
          <w:spacing w:val="1"/>
        </w:rPr>
        <w:t> </w:t>
      </w:r>
      <w:r>
        <w:rPr>
          <w:rFonts w:ascii="宋体" w:hAnsi="宋体" w:cs="宋体" w:eastAsia="宋体" w:hint="default"/>
          <w:spacing w:val="1"/>
        </w:rPr>
      </w:r>
      <w:r>
        <w:rPr/>
        <w:t>复核财务报表中对于商誉减值的披露是否恰当。</w:t>
      </w:r>
      <w:r>
        <w:rPr>
          <w:rFonts w:ascii="宋体" w:hAnsi="宋体" w:cs="宋体" w:eastAsia="宋体" w:hint="default"/>
        </w:rPr>
        <w:t> 2</w:t>
      </w:r>
      <w:r>
        <w:rPr/>
        <w:t>、游戏收入的确认</w:t>
      </w:r>
      <w:r>
        <w:rPr>
          <w:rFonts w:ascii="宋体" w:hAnsi="宋体" w:cs="宋体" w:eastAsia="宋体" w:hint="default"/>
        </w:rPr>
        <w:t> </w:t>
      </w:r>
    </w:p>
    <w:p>
      <w:pPr>
        <w:pStyle w:val="BodyText"/>
        <w:spacing w:line="316" w:lineRule="auto" w:before="19"/>
        <w:ind w:left="513" w:right="0"/>
        <w:jc w:val="left"/>
      </w:pPr>
      <w:r>
        <w:rPr>
          <w:rFonts w:ascii="宋体" w:hAnsi="宋体" w:cs="宋体" w:eastAsia="宋体" w:hint="default"/>
        </w:rPr>
        <w:t>(1) </w:t>
      </w:r>
      <w:r>
        <w:rPr/>
        <w:t>关键审计事项</w:t>
      </w:r>
      <w:r>
        <w:rPr>
          <w:rFonts w:ascii="宋体" w:hAnsi="宋体" w:cs="宋体" w:eastAsia="宋体" w:hint="default"/>
        </w:rPr>
        <w:t> </w:t>
      </w:r>
      <w:r>
        <w:rPr>
          <w:spacing w:val="-2"/>
        </w:rPr>
        <w:t>收入确认的会计政策详情及收入的分析请参阅财务报表附注“五、重要会计政策及会计估计”注释</w:t>
      </w:r>
      <w:r>
        <w:rPr>
          <w:rFonts w:ascii="宋体" w:hAnsi="宋体" w:cs="宋体" w:eastAsia="宋体" w:hint="default"/>
          <w:spacing w:val="-2"/>
        </w:rPr>
        <w:t>29</w:t>
      </w:r>
      <w:r>
        <w:rPr>
          <w:spacing w:val="-2"/>
        </w:rPr>
        <w:t>、“七、合并财务</w:t>
      </w:r>
    </w:p>
    <w:p>
      <w:pPr>
        <w:pStyle w:val="BodyText"/>
        <w:spacing w:line="319" w:lineRule="auto" w:before="19"/>
        <w:ind w:left="513" w:right="0" w:hanging="361"/>
        <w:jc w:val="left"/>
        <w:rPr>
          <w:rFonts w:ascii="宋体" w:hAnsi="宋体" w:cs="宋体" w:eastAsia="宋体" w:hint="default"/>
        </w:rPr>
      </w:pPr>
      <w:r>
        <w:rPr/>
        <w:t>报表主要项目附注”注释</w:t>
      </w:r>
      <w:r>
        <w:rPr>
          <w:rFonts w:ascii="宋体" w:hAnsi="宋体" w:cs="宋体" w:eastAsia="宋体" w:hint="default"/>
        </w:rPr>
        <w:t>40</w:t>
      </w:r>
      <w:r>
        <w:rPr/>
        <w:t>。</w:t>
      </w:r>
      <w:r>
        <w:rPr>
          <w:rFonts w:ascii="宋体" w:hAnsi="宋体" w:cs="宋体" w:eastAsia="宋体" w:hint="default"/>
        </w:rPr>
        <w:t> </w:t>
      </w:r>
      <w:r>
        <w:rPr>
          <w:spacing w:val="-2"/>
        </w:rPr>
        <w:t>惠程科技目前收入主要包括游戏收入、电气事业收入和房租收入。</w:t>
      </w:r>
      <w:r>
        <w:rPr>
          <w:rFonts w:ascii="宋体" w:hAnsi="宋体" w:cs="宋体" w:eastAsia="宋体" w:hint="default"/>
          <w:spacing w:val="-2"/>
        </w:rPr>
        <w:t>2019</w:t>
      </w:r>
      <w:r>
        <w:rPr>
          <w:spacing w:val="-2"/>
        </w:rPr>
        <w:t>年度惠程科技营业收入人民币</w:t>
      </w:r>
      <w:r>
        <w:rPr>
          <w:rFonts w:ascii="宋体" w:hAnsi="宋体" w:cs="宋体" w:eastAsia="宋体" w:hint="default"/>
          <w:spacing w:val="-2"/>
        </w:rPr>
        <w:t>1,092,321,442.57</w:t>
      </w:r>
    </w:p>
    <w:p>
      <w:pPr>
        <w:pStyle w:val="BodyText"/>
        <w:spacing w:line="316" w:lineRule="auto" w:before="17"/>
        <w:ind w:right="1129"/>
        <w:jc w:val="both"/>
        <w:rPr>
          <w:rFonts w:ascii="宋体" w:hAnsi="宋体" w:cs="宋体" w:eastAsia="宋体" w:hint="default"/>
        </w:rPr>
      </w:pPr>
      <w:r>
        <w:rPr>
          <w:spacing w:val="-2"/>
        </w:rPr>
        <w:t>元，其中游戏收入人民币</w:t>
      </w:r>
      <w:r>
        <w:rPr>
          <w:rFonts w:ascii="宋体" w:hAnsi="宋体" w:cs="宋体" w:eastAsia="宋体" w:hint="default"/>
          <w:spacing w:val="-2"/>
        </w:rPr>
        <w:t>784,250,543.63</w:t>
      </w:r>
      <w:r>
        <w:rPr>
          <w:spacing w:val="-2"/>
        </w:rPr>
        <w:t>元，占营业收入的比例为</w:t>
      </w:r>
      <w:r>
        <w:rPr>
          <w:rFonts w:ascii="宋体" w:hAnsi="宋体" w:cs="宋体" w:eastAsia="宋体" w:hint="default"/>
          <w:spacing w:val="-2"/>
        </w:rPr>
        <w:t>71.80%</w:t>
      </w:r>
      <w:r>
        <w:rPr>
          <w:spacing w:val="-2"/>
        </w:rPr>
        <w:t>。由于游戏收入占比较高，且游戏收入主要来自于</w:t>
      </w:r>
      <w:r>
        <w:rPr>
          <w:spacing w:val="-50"/>
        </w:rPr>
        <w:t> </w:t>
      </w:r>
      <w:r>
        <w:rPr>
          <w:spacing w:val="-50"/>
        </w:rPr>
      </w:r>
      <w:r>
        <w:rPr>
          <w:spacing w:val="-2"/>
        </w:rPr>
        <w:t>成都哆可梦网络科技有限公司（以下简称“哆可梦”），且哆可梦</w:t>
      </w:r>
      <w:r>
        <w:rPr>
          <w:rFonts w:ascii="宋体" w:hAnsi="宋体" w:cs="宋体" w:eastAsia="宋体" w:hint="default"/>
          <w:spacing w:val="-2"/>
        </w:rPr>
        <w:t>2019</w:t>
      </w:r>
      <w:r>
        <w:rPr>
          <w:spacing w:val="-2"/>
        </w:rPr>
        <w:t>年仍处于业绩承诺期。因此，我们将游戏收入的确认</w:t>
      </w:r>
      <w:r>
        <w:rPr>
          <w:spacing w:val="-68"/>
        </w:rPr>
        <w:t> </w:t>
      </w:r>
      <w:r>
        <w:rPr>
          <w:spacing w:val="-68"/>
        </w:rPr>
      </w:r>
      <w:r>
        <w:rPr/>
        <w:t>作为关键审计事项。</w:t>
      </w:r>
      <w:r>
        <w:rPr>
          <w:rFonts w:ascii="宋体" w:hAnsi="宋体" w:cs="宋体" w:eastAsia="宋体" w:hint="default"/>
        </w:rPr>
        <w:t> </w:t>
      </w:r>
    </w:p>
    <w:p>
      <w:pPr>
        <w:pStyle w:val="BodyText"/>
        <w:spacing w:line="316" w:lineRule="auto" w:before="19"/>
        <w:ind w:left="513" w:right="6254"/>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我们对上述事项的确认实施的审计程序主要包括：</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了解和评价管理层与游戏收入确认相关的关键内部控制的设计和运行有效性；</w:t>
      </w:r>
      <w:r>
        <w:rPr>
          <w:rFonts w:ascii="宋体" w:hAnsi="宋体" w:cs="宋体" w:eastAsia="宋体" w:hint="default"/>
        </w:rPr>
        <w:t> </w:t>
      </w:r>
    </w:p>
    <w:p>
      <w:pPr>
        <w:pStyle w:val="BodyText"/>
        <w:spacing w:line="316" w:lineRule="auto" w:before="76"/>
        <w:ind w:right="1120" w:firstLine="360"/>
        <w:jc w:val="left"/>
        <w:rPr>
          <w:rFonts w:ascii="宋体" w:hAnsi="宋体" w:cs="宋体" w:eastAsia="宋体" w:hint="default"/>
        </w:rPr>
      </w:pPr>
      <w:r>
        <w:rPr/>
        <w:t>②</w:t>
      </w:r>
      <w:r>
        <w:rPr>
          <w:spacing w:val="4"/>
        </w:rPr>
        <w:t> </w:t>
      </w:r>
      <w:r>
        <w:rPr>
          <w:rFonts w:ascii="宋体" w:hAnsi="宋体" w:cs="宋体" w:eastAsia="宋体" w:hint="default"/>
          <w:spacing w:val="4"/>
        </w:rPr>
      </w:r>
      <w:r>
        <w:rPr/>
        <w:t>结合游戏的行业特征，区分自主运营、联合运营、授权运营、代理运营和著作权转让分别执行分析性复核程序，判 断收入和毛利率变动的合理性；</w:t>
      </w:r>
      <w:r>
        <w:rPr>
          <w:rFonts w:ascii="宋体" w:hAnsi="宋体" w:cs="宋体" w:eastAsia="宋体" w:hint="default"/>
        </w:rPr>
        <w:t> </w:t>
      </w:r>
    </w:p>
    <w:p>
      <w:pPr>
        <w:pStyle w:val="BodyText"/>
        <w:spacing w:line="316" w:lineRule="auto" w:before="19"/>
        <w:ind w:right="1120" w:firstLine="360"/>
        <w:jc w:val="left"/>
        <w:rPr>
          <w:rFonts w:ascii="宋体" w:hAnsi="宋体" w:cs="宋体" w:eastAsia="宋体" w:hint="default"/>
        </w:rPr>
      </w:pPr>
      <w:r>
        <w:rPr/>
        <w:t>③</w:t>
      </w:r>
      <w:r>
        <w:rPr>
          <w:spacing w:val="4"/>
        </w:rPr>
        <w:t> </w:t>
      </w:r>
      <w:r>
        <w:rPr>
          <w:rFonts w:ascii="宋体" w:hAnsi="宋体" w:cs="宋体" w:eastAsia="宋体" w:hint="default"/>
          <w:spacing w:val="4"/>
        </w:rPr>
      </w:r>
      <w:r>
        <w:rPr/>
        <w:t>选取样本，对收入执行细节测试，包括：检查合同、游戏充值消耗流水、销售发票、银行回单以及经双方确认的对 账单与相关流水的匹配，检查收入确认是否与披露的会计政策一致；</w:t>
      </w:r>
      <w:r>
        <w:rPr>
          <w:rFonts w:ascii="宋体" w:hAnsi="宋体" w:cs="宋体" w:eastAsia="宋体" w:hint="default"/>
          <w:spacing w:val="1"/>
        </w:rPr>
        <w:t> </w:t>
      </w:r>
      <w:r>
        <w:rPr>
          <w:rFonts w:ascii="宋体" w:hAnsi="宋体" w:cs="宋体" w:eastAsia="宋体" w:hint="default"/>
        </w:rPr>
        <w:t> </w:t>
      </w:r>
    </w:p>
    <w:p>
      <w:pPr>
        <w:pStyle w:val="BodyText"/>
        <w:spacing w:line="319" w:lineRule="auto" w:before="19"/>
        <w:ind w:right="1120" w:firstLine="360"/>
        <w:jc w:val="left"/>
        <w:rPr>
          <w:rFonts w:ascii="宋体" w:hAnsi="宋体" w:cs="宋体" w:eastAsia="宋体" w:hint="default"/>
        </w:rPr>
      </w:pPr>
      <w:r>
        <w:rPr/>
        <w:t>④</w:t>
      </w:r>
      <w:r>
        <w:rPr>
          <w:spacing w:val="4"/>
        </w:rPr>
        <w:t> </w:t>
      </w:r>
      <w:r>
        <w:rPr>
          <w:rFonts w:ascii="宋体" w:hAnsi="宋体" w:cs="宋体" w:eastAsia="宋体" w:hint="default"/>
          <w:spacing w:val="4"/>
        </w:rPr>
      </w:r>
      <w:r>
        <w:rPr/>
        <w:t>对收入执行截止性测试，复核公司对已充值未消耗的金币确认递延收益的准确性，以评估收入是否确认在恰当的会 计期间；</w:t>
      </w:r>
      <w:r>
        <w:rPr>
          <w:rFonts w:ascii="宋体" w:hAnsi="宋体" w:cs="宋体" w:eastAsia="宋体" w:hint="default"/>
        </w:rPr>
        <w:t> </w:t>
      </w:r>
    </w:p>
    <w:p>
      <w:pPr>
        <w:pStyle w:val="BodyText"/>
        <w:spacing w:line="240" w:lineRule="auto" w:before="17"/>
        <w:ind w:left="513" w:right="0"/>
        <w:jc w:val="left"/>
        <w:rPr>
          <w:rFonts w:ascii="宋体" w:hAnsi="宋体" w:cs="宋体" w:eastAsia="宋体" w:hint="default"/>
        </w:rPr>
      </w:pPr>
      <w:r>
        <w:rPr/>
        <w:t>⑤</w:t>
      </w:r>
      <w:r>
        <w:rPr>
          <w:spacing w:val="1"/>
        </w:rPr>
        <w:t> </w:t>
      </w:r>
      <w:r>
        <w:rPr>
          <w:rFonts w:ascii="宋体" w:hAnsi="宋体" w:cs="宋体" w:eastAsia="宋体" w:hint="default"/>
          <w:spacing w:val="1"/>
        </w:rPr>
      </w:r>
      <w:r>
        <w:rPr/>
        <w:t>根据不同业务模式客户交易的特点和性质，选取样本执行函证程序以确认应收账款余额和销售收入金额；</w:t>
      </w:r>
      <w:r>
        <w:rPr>
          <w:rFonts w:ascii="宋体" w:hAnsi="宋体" w:cs="宋体" w:eastAsia="宋体" w:hint="default"/>
        </w:rPr>
        <w:t> </w:t>
      </w:r>
    </w:p>
    <w:p>
      <w:pPr>
        <w:pStyle w:val="BodyText"/>
        <w:spacing w:line="316" w:lineRule="auto" w:before="76"/>
        <w:ind w:right="1121" w:firstLine="360"/>
        <w:jc w:val="left"/>
        <w:rPr>
          <w:rFonts w:ascii="宋体" w:hAnsi="宋体" w:cs="宋体" w:eastAsia="宋体" w:hint="default"/>
        </w:rPr>
      </w:pPr>
      <w:r>
        <w:rPr/>
        <w:t>⑥</w:t>
      </w:r>
      <w:r>
        <w:rPr>
          <w:spacing w:val="3"/>
        </w:rPr>
        <w:t> </w:t>
      </w:r>
      <w:r>
        <w:rPr>
          <w:rFonts w:ascii="宋体" w:hAnsi="宋体" w:cs="宋体" w:eastAsia="宋体" w:hint="default"/>
          <w:spacing w:val="3"/>
        </w:rPr>
      </w:r>
      <w:r>
        <w:rPr/>
        <w:t>利用管理层委聘的外部</w:t>
      </w:r>
      <w:r>
        <w:rPr>
          <w:rFonts w:ascii="宋体" w:hAnsi="宋体" w:cs="宋体" w:eastAsia="宋体" w:hint="default"/>
        </w:rPr>
        <w:t>IT</w:t>
      </w:r>
      <w:r>
        <w:rPr/>
        <w:t>审计专家进行计算机辅助审计，评估</w:t>
      </w:r>
      <w:r>
        <w:rPr>
          <w:rFonts w:ascii="宋体" w:hAnsi="宋体" w:cs="宋体" w:eastAsia="宋体" w:hint="default"/>
        </w:rPr>
        <w:t>IT</w:t>
      </w:r>
      <w:r>
        <w:rPr/>
        <w:t>信息系统的可靠性，取得异常用户清单，并对异常 用户进行电话访谈，留下访谈录音等资料，同时我们亦对外部</w:t>
      </w:r>
      <w:r>
        <w:rPr>
          <w:rFonts w:ascii="宋体" w:hAnsi="宋体" w:cs="宋体" w:eastAsia="宋体" w:hint="default"/>
        </w:rPr>
        <w:t>IT</w:t>
      </w:r>
      <w:r>
        <w:rPr/>
        <w:t>审计专家出具的《信息系统审计报告》进行复核；</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t>⑦</w:t>
      </w:r>
      <w:r>
        <w:rPr>
          <w:spacing w:val="32"/>
        </w:rPr>
        <w:t> </w:t>
      </w:r>
      <w:r>
        <w:rPr>
          <w:rFonts w:ascii="宋体" w:hAnsi="宋体" w:cs="宋体" w:eastAsia="宋体" w:hint="default"/>
          <w:spacing w:val="32"/>
        </w:rPr>
      </w:r>
      <w:r>
        <w:rPr>
          <w:spacing w:val="-4"/>
        </w:rPr>
        <w:t>结合</w:t>
      </w:r>
      <w:r>
        <w:rPr>
          <w:rFonts w:ascii="宋体" w:hAnsi="宋体" w:cs="宋体" w:eastAsia="宋体" w:hint="default"/>
          <w:spacing w:val="-4"/>
        </w:rPr>
        <w:t>IT</w:t>
      </w:r>
      <w:r>
        <w:rPr>
          <w:spacing w:val="-4"/>
        </w:rPr>
        <w:t>审计的《信息系统审计报告》，对公司系统后台的游戏流水、推广费消耗数据和返点比例的准确性进行确认。</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t>⑧</w:t>
      </w:r>
      <w:r>
        <w:rPr>
          <w:spacing w:val="2"/>
        </w:rPr>
        <w:t> </w:t>
      </w:r>
      <w:r>
        <w:rPr>
          <w:rFonts w:ascii="宋体" w:hAnsi="宋体" w:cs="宋体" w:eastAsia="宋体" w:hint="default"/>
          <w:spacing w:val="2"/>
        </w:rPr>
      </w:r>
      <w:r>
        <w:rPr/>
        <w:t>评估期末应收账款的可收回性，包括检查期后回款情况，评估客户的经营情况和还款能力。</w:t>
      </w:r>
      <w:r>
        <w:rPr>
          <w:rFonts w:ascii="宋体" w:hAnsi="宋体" w:cs="宋体" w:eastAsia="宋体" w:hint="default"/>
        </w:rPr>
        <w:t> </w:t>
      </w:r>
    </w:p>
    <w:p>
      <w:pPr>
        <w:spacing w:line="259" w:lineRule="auto" w:before="76"/>
        <w:ind w:left="513" w:right="0" w:firstLine="0"/>
        <w:jc w:val="left"/>
        <w:rPr>
          <w:rFonts w:ascii="Arial" w:hAnsi="Arial" w:cs="Arial" w:eastAsia="Arial" w:hint="default"/>
          <w:sz w:val="18"/>
          <w:szCs w:val="18"/>
        </w:rPr>
      </w:pPr>
      <w:r>
        <w:rPr>
          <w:rFonts w:ascii="宋体" w:hAnsi="宋体" w:cs="宋体" w:eastAsia="宋体" w:hint="default"/>
          <w:sz w:val="18"/>
          <w:szCs w:val="18"/>
        </w:rPr>
        <w:t>  </w:t>
      </w:r>
      <w:r>
        <w:rPr>
          <w:rFonts w:ascii="Microsoft JhengHei" w:hAnsi="Microsoft JhengHei" w:cs="Microsoft JhengHei" w:eastAsia="Microsoft JhengHei" w:hint="default"/>
          <w:b/>
          <w:bCs/>
          <w:spacing w:val="2"/>
          <w:sz w:val="18"/>
          <w:szCs w:val="18"/>
        </w:rPr>
        <w:t>四</w:t>
      </w: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b/>
          <w:bCs/>
          <w:spacing w:val="2"/>
          <w:sz w:val="18"/>
          <w:szCs w:val="18"/>
        </w:rPr>
        <w:t>信</w:t>
      </w:r>
      <w:r>
        <w:rPr>
          <w:rFonts w:ascii="Microsoft JhengHei" w:hAnsi="Microsoft JhengHei" w:cs="Microsoft JhengHei" w:eastAsia="Microsoft JhengHei" w:hint="default"/>
          <w:b/>
          <w:bCs/>
          <w:sz w:val="18"/>
          <w:szCs w:val="18"/>
        </w:rPr>
        <w:t>息</w:t>
      </w:r>
      <w:r>
        <w:rPr>
          <w:rFonts w:ascii="Arial" w:hAnsi="Arial" w:cs="Arial" w:eastAsia="Arial" w:hint="default"/>
          <w:b/>
          <w:bCs/>
          <w:w w:val="179"/>
          <w:sz w:val="18"/>
          <w:szCs w:val="18"/>
        </w:rPr>
        <w:t> </w:t>
      </w:r>
      <w:r>
        <w:rPr>
          <w:rFonts w:ascii="Arial" w:hAnsi="Arial" w:cs="Arial" w:eastAsia="Arial" w:hint="default"/>
          <w:sz w:val="18"/>
          <w:szCs w:val="18"/>
        </w:rPr>
      </w:r>
    </w:p>
    <w:p>
      <w:pPr>
        <w:pStyle w:val="BodyText"/>
        <w:spacing w:line="316" w:lineRule="auto" w:before="37"/>
        <w:ind w:right="1125" w:firstLine="360"/>
        <w:jc w:val="left"/>
        <w:rPr>
          <w:rFonts w:ascii="宋体" w:hAnsi="宋体" w:cs="宋体" w:eastAsia="宋体" w:hint="default"/>
        </w:rPr>
      </w:pPr>
      <w:r>
        <w:rPr>
          <w:spacing w:val="-2"/>
        </w:rPr>
        <w:t>惠程科技管理层对其他信息负责。其他信息包括惠程科技</w:t>
      </w:r>
      <w:r>
        <w:rPr>
          <w:rFonts w:ascii="宋体" w:hAnsi="宋体" w:cs="宋体" w:eastAsia="宋体" w:hint="default"/>
          <w:spacing w:val="-2"/>
        </w:rPr>
        <w:t>2019</w:t>
      </w:r>
      <w:r>
        <w:rPr>
          <w:spacing w:val="-2"/>
        </w:rPr>
        <w:t>年度报告中涵盖的信息，但不包括财务报表和我们的审计</w:t>
      </w:r>
      <w:r>
        <w:rPr/>
        <w:t> 报告。</w:t>
      </w:r>
      <w:r>
        <w:rPr>
          <w:rFonts w:ascii="宋体" w:hAnsi="宋体" w:cs="宋体" w:eastAsia="宋体" w:hint="default"/>
        </w:rPr>
        <w:t> </w:t>
      </w:r>
    </w:p>
    <w:p>
      <w:pPr>
        <w:pStyle w:val="BodyText"/>
        <w:spacing w:line="319" w:lineRule="auto" w:before="19"/>
        <w:ind w:left="513" w:right="0"/>
        <w:jc w:val="left"/>
      </w:pPr>
      <w:r>
        <w:rPr/>
        <w:t>我们对财务报表发表的审计意见不涵盖其他信息，我们也不对其他信息发表任何形式的鉴证结论。</w:t>
      </w:r>
      <w:r>
        <w:rPr>
          <w:rFonts w:ascii="宋体" w:hAnsi="宋体" w:cs="宋体" w:eastAsia="宋体" w:hint="default"/>
        </w:rPr>
        <w:t> </w:t>
      </w:r>
      <w:r>
        <w:rPr>
          <w:spacing w:val="-2"/>
        </w:rPr>
        <w:t>结合我们对财务报表的审计，我们的责任是阅读其他信息，在此过程中，考虑其他信息是否与财务报表或我们在审计过</w:t>
      </w:r>
    </w:p>
    <w:p>
      <w:pPr>
        <w:pStyle w:val="BodyText"/>
        <w:spacing w:line="316" w:lineRule="auto" w:before="17"/>
        <w:ind w:left="513" w:right="0" w:hanging="361"/>
        <w:jc w:val="left"/>
      </w:pPr>
      <w:r>
        <w:rPr/>
        <w:t>程中了解到的情况存在重大不一致或者似乎存在重大错报。</w:t>
      </w:r>
      <w:r>
        <w:rPr>
          <w:rFonts w:ascii="宋体" w:hAnsi="宋体" w:cs="宋体" w:eastAsia="宋体" w:hint="default"/>
        </w:rPr>
        <w:t>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rPr>
          <w:rFonts w:ascii="宋体" w:hAnsi="宋体" w:cs="宋体" w:eastAsia="宋体" w:hint="default"/>
        </w:rPr>
      </w:pPr>
      <w:r>
        <w:rPr/>
        <w:t>报告。</w:t>
      </w:r>
      <w:r>
        <w:rPr>
          <w:rFonts w:ascii="宋体" w:hAnsi="宋体" w:cs="宋体" w:eastAsia="宋体" w:hint="default"/>
        </w:rPr>
        <w:t> </w:t>
      </w:r>
    </w:p>
    <w:p>
      <w:pPr>
        <w:pStyle w:val="Heading4"/>
        <w:spacing w:line="259" w:lineRule="auto" w:before="76"/>
        <w:ind w:right="0"/>
        <w:jc w:val="left"/>
        <w:rPr>
          <w:rFonts w:ascii="Arial" w:hAnsi="Arial" w:cs="Arial" w:eastAsia="Arial" w:hint="default"/>
          <w:b w:val="0"/>
          <w:bCs w:val="0"/>
        </w:rPr>
      </w:pPr>
      <w:r>
        <w:rPr>
          <w:rFonts w:ascii="宋体" w:hAnsi="宋体" w:cs="宋体" w:eastAsia="宋体" w:hint="default"/>
          <w:b w:val="0"/>
          <w:bCs w:val="0"/>
        </w:rPr>
        <w:t>  </w:t>
      </w:r>
      <w:r>
        <w:rPr>
          <w:spacing w:val="2"/>
        </w:rPr>
        <w:t>五</w:t>
      </w:r>
      <w:r>
        <w:rPr/>
        <w:t>、管理</w:t>
      </w:r>
      <w:r>
        <w:rPr>
          <w:spacing w:val="2"/>
        </w:rPr>
        <w:t>层</w:t>
      </w:r>
      <w:r>
        <w:rPr/>
        <w:t>和治</w:t>
      </w:r>
      <w:r>
        <w:rPr>
          <w:spacing w:val="2"/>
        </w:rPr>
        <w:t>理</w:t>
      </w:r>
      <w:r>
        <w:rPr/>
        <w:t>层对</w:t>
      </w:r>
      <w:r>
        <w:rPr>
          <w:spacing w:val="2"/>
        </w:rPr>
        <w:t>财</w:t>
      </w:r>
      <w:r>
        <w:rPr/>
        <w:t>务报</w:t>
      </w:r>
      <w:r>
        <w:rPr>
          <w:spacing w:val="2"/>
        </w:rPr>
        <w:t>表</w:t>
      </w:r>
      <w:r>
        <w:rPr/>
        <w:t>的责</w:t>
      </w:r>
      <w:r>
        <w:rPr>
          <w:spacing w:val="1"/>
        </w:rPr>
        <w:t>任</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37"/>
        <w:ind w:right="1119" w:firstLine="360"/>
        <w:jc w:val="left"/>
        <w:rPr>
          <w:rFonts w:ascii="宋体" w:hAnsi="宋体" w:cs="宋体" w:eastAsia="宋体" w:hint="default"/>
        </w:rPr>
      </w:pPr>
      <w:r>
        <w:rPr>
          <w:spacing w:val="-5"/>
        </w:rPr>
        <w:t>惠程科技管理层负责按照企业会计准则的规定编制财务报表，使其实现公允反映，并设计、执行和维护必要的内部控制，</w:t>
      </w:r>
      <w:r>
        <w:rPr/>
        <w:t> 以使财务报表不存在由于舞弊或错误导致的重大错报。</w:t>
      </w:r>
      <w:r>
        <w:rPr>
          <w:rFonts w:ascii="宋体" w:hAnsi="宋体" w:cs="宋体" w:eastAsia="宋体" w:hint="default"/>
        </w:rPr>
        <w:t> </w:t>
      </w:r>
    </w:p>
    <w:p>
      <w:pPr>
        <w:pStyle w:val="BodyText"/>
        <w:spacing w:line="240" w:lineRule="auto" w:before="18"/>
        <w:ind w:left="513" w:right="0"/>
        <w:jc w:val="left"/>
      </w:pPr>
      <w:r>
        <w:rPr/>
        <w:t>在编制财务报表时，管理层负责评估惠程科技的持续经营能力，披露与持续经营相关的事项</w:t>
      </w:r>
      <w:r>
        <w:rPr>
          <w:rFonts w:ascii="宋体" w:hAnsi="宋体" w:cs="宋体" w:eastAsia="宋体" w:hint="default"/>
        </w:rPr>
        <w:t>(</w:t>
      </w:r>
      <w:r>
        <w:rPr/>
        <w:t>如适用</w:t>
      </w:r>
      <w:r>
        <w:rPr>
          <w:rFonts w:ascii="宋体" w:hAnsi="宋体" w:cs="宋体" w:eastAsia="宋体" w:hint="default"/>
        </w:rPr>
        <w:t>)</w:t>
      </w:r>
      <w:r>
        <w:rPr/>
        <w:t>并运用持续经营假</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513" w:right="2654" w:hanging="361"/>
        <w:jc w:val="left"/>
        <w:rPr>
          <w:rFonts w:ascii="宋体" w:hAnsi="宋体" w:cs="宋体" w:eastAsia="宋体" w:hint="default"/>
        </w:rPr>
      </w:pPr>
      <w:r>
        <w:rPr/>
        <w:t>设，除非管理层计划清算惠程科技、终止运营或别无其他现实的选择。</w:t>
      </w:r>
      <w:r>
        <w:rPr>
          <w:rFonts w:ascii="宋体" w:hAnsi="宋体" w:cs="宋体" w:eastAsia="宋体" w:hint="default"/>
        </w:rPr>
        <w:t> </w:t>
      </w:r>
      <w:r>
        <w:rPr/>
        <w:t>治理层负责监督惠程科技的财务报告过程。</w:t>
      </w:r>
      <w:r>
        <w:rPr>
          <w:rFonts w:ascii="宋体" w:hAnsi="宋体" w:cs="宋体" w:eastAsia="宋体" w:hint="default"/>
        </w:rPr>
        <w:t> </w:t>
      </w:r>
    </w:p>
    <w:p>
      <w:pPr>
        <w:pStyle w:val="Heading4"/>
        <w:spacing w:line="259" w:lineRule="auto" w:before="17"/>
        <w:ind w:right="0"/>
        <w:jc w:val="left"/>
        <w:rPr>
          <w:rFonts w:ascii="Arial" w:hAnsi="Arial" w:cs="Arial" w:eastAsia="Arial" w:hint="default"/>
          <w:b w:val="0"/>
          <w:bCs w:val="0"/>
        </w:rPr>
      </w:pPr>
      <w:r>
        <w:rPr>
          <w:rFonts w:ascii="宋体" w:hAnsi="宋体" w:cs="宋体" w:eastAsia="宋体" w:hint="default"/>
          <w:b w:val="0"/>
          <w:bCs w:val="0"/>
        </w:rPr>
        <w:t>  </w:t>
      </w:r>
      <w:r>
        <w:rPr>
          <w:spacing w:val="2"/>
        </w:rPr>
        <w:t>六</w:t>
      </w:r>
      <w:r>
        <w:rPr/>
        <w:t>、注册</w:t>
      </w:r>
      <w:r>
        <w:rPr>
          <w:spacing w:val="2"/>
        </w:rPr>
        <w:t>会</w:t>
      </w:r>
      <w:r>
        <w:rPr/>
        <w:t>计师</w:t>
      </w:r>
      <w:r>
        <w:rPr>
          <w:spacing w:val="2"/>
        </w:rPr>
        <w:t>对</w:t>
      </w:r>
      <w:r>
        <w:rPr/>
        <w:t>财务</w:t>
      </w:r>
      <w:r>
        <w:rPr>
          <w:spacing w:val="2"/>
        </w:rPr>
        <w:t>报</w:t>
      </w:r>
      <w:r>
        <w:rPr/>
        <w:t>表审</w:t>
      </w:r>
      <w:r>
        <w:rPr>
          <w:spacing w:val="2"/>
        </w:rPr>
        <w:t>计</w:t>
      </w:r>
      <w:r>
        <w:rPr/>
        <w:t>的责</w:t>
      </w:r>
      <w:r>
        <w:rPr>
          <w:spacing w:val="1"/>
        </w:rPr>
        <w:t>任</w:t>
      </w:r>
      <w:r>
        <w:rPr>
          <w:rFonts w:ascii="Arial" w:hAnsi="Arial" w:cs="Arial" w:eastAsia="Arial" w:hint="default"/>
          <w:w w:val="179"/>
        </w:rPr>
        <w:t> </w:t>
      </w:r>
      <w:r>
        <w:rPr>
          <w:rFonts w:ascii="Arial" w:hAnsi="Arial" w:cs="Arial" w:eastAsia="Arial" w:hint="default"/>
          <w:b w:val="0"/>
          <w:bCs w:val="0"/>
        </w:rPr>
      </w:r>
    </w:p>
    <w:p>
      <w:pPr>
        <w:pStyle w:val="BodyText"/>
        <w:spacing w:line="316" w:lineRule="auto" w:before="37"/>
        <w:ind w:right="1125" w:firstLine="360"/>
        <w:jc w:val="both"/>
        <w:rPr>
          <w:rFonts w:ascii="宋体" w:hAnsi="宋体" w:cs="宋体" w:eastAsia="宋体" w:hint="default"/>
        </w:rPr>
      </w:pPr>
      <w:r>
        <w:rPr/>
        <w:t>我们的目标是对财务报表整体是否不存在由于舞弊或错误导致的重大错报获取合理保证，并出具包含审计意见的审计</w:t>
      </w:r>
      <w:r>
        <w:rPr>
          <w:spacing w:val="2"/>
        </w:rPr>
        <w:t> </w:t>
      </w:r>
      <w:r>
        <w:rPr>
          <w:spacing w:val="-2"/>
        </w:rPr>
        <w:t>报告。合理保证是高水平的保证，但并不能保证按照审计准则执行的审计程序在某一重大错报存在时总能发现。错报可能由</w:t>
      </w:r>
      <w:r>
        <w:rPr>
          <w:spacing w:val="-62"/>
        </w:rPr>
        <w:t> </w:t>
      </w:r>
      <w:r>
        <w:rPr>
          <w:spacing w:val="-62"/>
        </w:rPr>
      </w:r>
      <w:r>
        <w:rPr>
          <w:spacing w:val="-2"/>
        </w:rPr>
        <w:t>于舞弊或错误导致，如果合理预期错报单独或汇总起来可能影响财务报表使用者依据财务报表作出的经济决策，则通常认为</w:t>
      </w:r>
      <w:r>
        <w:rPr>
          <w:spacing w:val="-64"/>
        </w:rPr>
        <w:t> </w:t>
      </w:r>
      <w:r>
        <w:rPr>
          <w:spacing w:val="-64"/>
        </w:rPr>
      </w:r>
      <w:r>
        <w:rPr/>
        <w:t>错报是重大的。</w:t>
      </w:r>
      <w:r>
        <w:rPr>
          <w:rFonts w:ascii="宋体" w:hAnsi="宋体" w:cs="宋体" w:eastAsia="宋体" w:hint="default"/>
        </w:rPr>
        <w:t> </w:t>
      </w:r>
    </w:p>
    <w:p>
      <w:pPr>
        <w:pStyle w:val="BodyText"/>
        <w:spacing w:line="316" w:lineRule="auto" w:before="19"/>
        <w:ind w:left="513" w:right="1123"/>
        <w:jc w:val="left"/>
      </w:pPr>
      <w:r>
        <w:rPr/>
        <w:t>在按照审计准则执行审计工作的过程中，我们运用职业判断，并保持职业怀疑。同时，我们也执行以下工作：</w:t>
      </w:r>
      <w:r>
        <w:rPr>
          <w:rFonts w:ascii="宋体" w:hAnsi="宋体" w:cs="宋体" w:eastAsia="宋体" w:hint="default"/>
        </w:rPr>
        <w:t> 1</w:t>
      </w:r>
      <w:r>
        <w:rPr/>
        <w:t>、识别和评估由于舞弊或错误导致的财务报表重大错报风险，设计和实施审计程序以应对这些风险，并获取充分、适</w:t>
      </w:r>
    </w:p>
    <w:p>
      <w:pPr>
        <w:pStyle w:val="BodyText"/>
        <w:spacing w:line="316" w:lineRule="auto" w:before="19"/>
        <w:ind w:right="0"/>
        <w:jc w:val="left"/>
        <w:rPr>
          <w:rFonts w:ascii="宋体" w:hAnsi="宋体" w:cs="宋体" w:eastAsia="宋体" w:hint="default"/>
        </w:rPr>
      </w:pPr>
      <w:r>
        <w:rPr>
          <w:spacing w:val="-2"/>
        </w:rPr>
        <w:t>当的审计证据，作为发表审计意见的基础。由于舞弊可能涉及串通、伪造、故意遗漏、虚假陈述或凌驾于内部控制之上，未</w:t>
      </w:r>
      <w:r>
        <w:rPr>
          <w:spacing w:val="-69"/>
        </w:rPr>
        <w:t> </w:t>
      </w:r>
      <w:r>
        <w:rPr>
          <w:spacing w:val="-69"/>
        </w:rPr>
      </w:r>
      <w:r>
        <w:rPr/>
        <w:t>能发现由于舞弊导致的重大错报的风险高于未能发现由于错误导致的重大错报的风险。</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rPr>
        <w:t>2</w:t>
      </w:r>
      <w:r>
        <w:rPr/>
        <w:t>、了解与审计相关的内部控制，以设计恰当的审计程序，但目的并非对内部控制的有效性发表意见。</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316" w:lineRule="auto" w:before="76"/>
        <w:ind w:right="1130" w:firstLine="360"/>
        <w:jc w:val="both"/>
        <w:rPr>
          <w:rFonts w:ascii="宋体" w:hAnsi="宋体" w:cs="宋体" w:eastAsia="宋体" w:hint="default"/>
        </w:rPr>
      </w:pPr>
      <w:r>
        <w:rPr>
          <w:rFonts w:ascii="宋体" w:hAnsi="宋体" w:cs="宋体" w:eastAsia="宋体" w:hint="default"/>
        </w:rPr>
        <w:t>4</w:t>
      </w:r>
      <w:r>
        <w:rPr/>
        <w:t>、对管理层使用持续经营假设的恰当性得出结论。同时，根据获取的审计证据，就可能导致对惠程科技持续经营能力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截至审计报告日可获得的信息。然而，未来的事项或情况可能导致惠程科技不能持续经营。</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rPr>
        <w:t>5</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，并评价财务报表是否公允反映相关交易和事项。</w:t>
      </w:r>
      <w:r>
        <w:rPr>
          <w:rFonts w:ascii="宋体" w:hAnsi="宋体" w:cs="宋体" w:eastAsia="宋体" w:hint="default"/>
        </w:rPr>
        <w:t> </w:t>
      </w:r>
    </w:p>
    <w:p>
      <w:pPr>
        <w:pStyle w:val="BodyText"/>
        <w:spacing w:line="316" w:lineRule="auto" w:before="76"/>
        <w:ind w:right="1135" w:firstLine="360"/>
        <w:jc w:val="both"/>
        <w:rPr>
          <w:rFonts w:ascii="宋体" w:hAnsi="宋体" w:cs="宋体" w:eastAsia="宋体" w:hint="default"/>
        </w:rPr>
      </w:pPr>
      <w:r>
        <w:rPr>
          <w:rFonts w:ascii="宋体" w:hAnsi="宋体" w:cs="宋体" w:eastAsia="宋体" w:hint="default"/>
        </w:rPr>
        <w:t>6</w:t>
      </w:r>
      <w:r>
        <w:rPr/>
        <w:t>、就惠程科技中实体或业务活动的财务信息获取充分、适当的审计证据，以对合并财务报表发表审计意见。我们负责 指导、监督和执行集团审计，并对审计意见承担全部责任。</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我们与治理层就计划的审计范围、时间安排和重大审计发现等事项进行沟通，包括沟通我们在审计中识别出的值得关注</w:t>
      </w:r>
      <w:r>
        <w:rPr/>
        <w:t> 的内部控制缺陷。</w:t>
      </w:r>
      <w:r>
        <w:rPr>
          <w:rFonts w:ascii="宋体" w:hAnsi="宋体" w:cs="宋体" w:eastAsia="宋体" w:hint="default"/>
        </w:rPr>
        <w:t> </w:t>
      </w:r>
    </w:p>
    <w:p>
      <w:pPr>
        <w:pStyle w:val="BodyText"/>
        <w:spacing w:line="319" w:lineRule="auto" w:before="19"/>
        <w:ind w:right="1125" w:firstLine="360"/>
        <w:jc w:val="both"/>
        <w:rPr>
          <w:rFonts w:ascii="宋体" w:hAnsi="宋体" w:cs="宋体" w:eastAsia="宋体" w:hint="default"/>
        </w:rPr>
      </w:pPr>
      <w:r>
        <w:rPr/>
        <w:t>我们还就已遵守与独立性相关的职业道德要求向治理层提供声明，并与治理层沟通可能被合理认为影响我们独立性的</w:t>
      </w:r>
      <w:r>
        <w:rPr>
          <w:spacing w:val="2"/>
        </w:rPr>
        <w:t> </w:t>
      </w:r>
      <w:r>
        <w:rPr/>
        <w:t>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w:t>
      </w:r>
      <w:r>
        <w:rPr>
          <w:rFonts w:ascii="宋体" w:hAnsi="宋体" w:cs="宋体" w:eastAsia="宋体" w:hint="default"/>
        </w:rPr>
        <w:t> </w:t>
      </w:r>
    </w:p>
    <w:p>
      <w:pPr>
        <w:pStyle w:val="BodyText"/>
        <w:spacing w:line="316" w:lineRule="auto" w:before="17"/>
        <w:ind w:right="1129" w:firstLine="360"/>
        <w:jc w:val="both"/>
        <w:rPr>
          <w:rFonts w:ascii="宋体" w:hAnsi="宋体" w:cs="宋体" w:eastAsia="宋体" w:hint="default"/>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rPr>
        <w:t> </w:t>
      </w:r>
    </w:p>
    <w:p>
      <w:pPr>
        <w:pStyle w:val="BodyText"/>
        <w:spacing w:line="240" w:lineRule="auto" w:before="76"/>
        <w:ind w:left="513" w:right="0"/>
        <w:jc w:val="left"/>
        <w:rPr>
          <w:rFonts w:ascii="宋体" w:hAnsi="宋体" w:cs="宋体" w:eastAsia="宋体" w:hint="default"/>
        </w:rPr>
      </w:pPr>
      <w:r>
        <w:rPr/>
        <w:t>上会会计师事务所（特殊普通合伙）</w:t>
      </w:r>
      <w:r>
        <w:rPr>
          <w:spacing w:val="30"/>
        </w:rPr>
        <w:t> </w:t>
      </w:r>
      <w:r>
        <w:rPr>
          <w:rFonts w:ascii="宋体" w:hAnsi="宋体" w:cs="宋体" w:eastAsia="宋体" w:hint="default"/>
          <w:spacing w:val="30"/>
        </w:rPr>
      </w:r>
      <w:r>
        <w:rPr/>
        <w:t>中国注册会计师</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rFonts w:ascii="宋体" w:hAnsi="宋体" w:cs="宋体" w:eastAsia="宋体" w:hint="default"/>
          <w:spacing w:val="-30"/>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（项目合伙人）</w:t>
      </w:r>
      <w:r>
        <w:rPr>
          <w:rFonts w:ascii="宋体" w:hAnsi="宋体" w:cs="宋体" w:eastAsia="宋体" w:hint="default"/>
        </w:rPr>
        <w:t> </w:t>
      </w:r>
    </w:p>
    <w:p>
      <w:pPr>
        <w:pStyle w:val="BodyText"/>
        <w:spacing w:line="240" w:lineRule="auto" w:before="76"/>
        <w:ind w:left="3393"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60"/>
        </w:rPr>
        <w:t> </w:t>
      </w:r>
      <w:r>
        <w:rPr/>
        <w:t>中国注册会计师</w:t>
      </w:r>
      <w:r>
        <w:rPr>
          <w:rFonts w:ascii="宋体" w:hAnsi="宋体" w:cs="宋体" w:eastAsia="宋体" w:hint="default"/>
        </w:rPr>
        <w:t> </w:t>
      </w:r>
    </w:p>
    <w:p>
      <w:pPr>
        <w:pStyle w:val="BodyText"/>
        <w:tabs>
          <w:tab w:pos="1833" w:val="left" w:leader="none"/>
        </w:tabs>
        <w:spacing w:line="240" w:lineRule="auto" w:before="76"/>
        <w:ind w:left="513" w:right="0"/>
        <w:jc w:val="left"/>
        <w:rPr>
          <w:rFonts w:ascii="宋体" w:hAnsi="宋体" w:cs="宋体" w:eastAsia="宋体" w:hint="default"/>
        </w:rPr>
      </w:pPr>
      <w:r>
        <w:rPr>
          <w:rFonts w:ascii="宋体" w:hAnsi="宋体" w:cs="宋体" w:eastAsia="宋体" w:hint="default"/>
          <w:spacing w:val="-30"/>
        </w:rPr>
        <w:t> </w:t>
      </w:r>
      <w:r>
        <w:rPr/>
        <w:t>中国</w:t>
      </w:r>
      <w:r>
        <w:rPr>
          <w:spacing w:val="89"/>
        </w:rPr>
        <w:t> </w:t>
      </w:r>
      <w:r>
        <w:rPr>
          <w:rFonts w:ascii="宋体" w:hAnsi="宋体" w:cs="宋体" w:eastAsia="宋体" w:hint="default"/>
          <w:spacing w:val="89"/>
        </w:rPr>
      </w:r>
      <w:r>
        <w:rPr/>
        <w:t>上海</w:t>
      </w:r>
      <w:r>
        <w:rPr>
          <w:rFonts w:ascii="宋体" w:hAnsi="宋体" w:cs="宋体" w:eastAsia="宋体" w:hint="default"/>
        </w:rPr>
        <w:tab/>
      </w:r>
      <w:r>
        <w:rPr/>
        <w:t>二〇二〇年四月二十八日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80" w:top="1100" w:bottom="1160" w:left="980" w:right="0"/>
        </w:sectPr>
      </w:pPr>
    </w:p>
    <w:p>
      <w:pPr>
        <w:pStyle w:val="BodyText"/>
        <w:spacing w:line="240" w:lineRule="auto" w:before="44"/>
        <w:ind w:right="-20"/>
        <w:jc w:val="left"/>
      </w:pPr>
      <w:r>
        <w:rPr/>
        <w:t>编制单位：深圳市惠程信息科技股份有限公司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753" w:space="323"/>
            <w:col w:w="1642" w:space="3202"/>
            <w:col w:w="201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537"/>
        <w:gridCol w:w="2693"/>
        <w:gridCol w:w="2338"/>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250,595,780.44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749,630,841.74</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259,381,030.19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36,697,738.15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321,432,727.36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380,247,011.00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394,655,355.78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131,852,766.57</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72,342,177.74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274,033,329.43</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161,138.00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48,643,871.33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64,987,559.66</w:t>
            </w: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8,089,879.48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19,784,917.45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115,269,254.91</w:t>
            </w: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1,411,623,477.92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1,787,084,959.75</w:t>
            </w:r>
          </w:p>
        </w:tc>
      </w:tr>
      <w:tr>
        <w:trPr>
          <w:trHeight w:val="39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537"/>
        <w:gridCol w:w="2693"/>
        <w:gridCol w:w="2338"/>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73,370,462.26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4,445,682.26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4,329,570.08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170,580,295.60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167,806,260.17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222,498,291.68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252,679,600.00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84,788,453.31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94,457,715.15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14,424,575.46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12,195,012.77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593,601.49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4,393,658.90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1,220,600,461.98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1,220,600,461.98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98,594,526.22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10,877,616.20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32,043,929.80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21,755,502.84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13,747,495.36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20,204,857.88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2,114,996,913.16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1,914,375,538.10</w:t>
            </w: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3,526,620,391.08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3,701,460,497.85</w:t>
            </w:r>
          </w:p>
        </w:tc>
      </w:tr>
      <w:tr>
        <w:trPr>
          <w:trHeight w:val="39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113,871,471.84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38,928,316.63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42,801,652.55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202,825,358.23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381,692,069.53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3,223,315.51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1,566,855.00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537"/>
        <w:gridCol w:w="2693"/>
        <w:gridCol w:w="2338"/>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16,568,464.03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15,667,160.62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15,537,280.81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57,545,263.30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68,334,737.52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159,723,864.50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15,252,374.80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20,007,928.85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387,154,615.89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877,281,523.19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1,160,022,953.23</w:t>
            </w:r>
          </w:p>
        </w:tc>
      </w:tr>
      <w:tr>
        <w:trPr>
          <w:trHeight w:val="39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174,864,050.46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2,555,323.65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4,051,698.41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10,392,514.68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15,007,550.32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571,797,838.33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483,023,299.19</w:t>
            </w: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1,449,079,361.52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1,643,046,252.42</w:t>
            </w:r>
          </w:p>
        </w:tc>
      </w:tr>
      <w:tr>
        <w:trPr>
          <w:trHeight w:val="39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801,929,568.00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814,139,568.00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537"/>
        <w:gridCol w:w="2693"/>
        <w:gridCol w:w="2338"/>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368,203,739.75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451,760,863.64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147,613,580.50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96,610,892.40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32,959,910.92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41,658,286.69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94,448,815.32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90,791,924.05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773,501,086.50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642,160,050.94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1,923,429,539.99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1,943,899,800.92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154,111,489.57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114,514,444.51</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2,077,541,029.56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2,058,414,245.43</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3,526,620,391.08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3,701,460,497.85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法定代表人：汪超涌</w:t>
        <w:tab/>
      </w:r>
      <w:r>
        <w:rPr>
          <w:spacing w:val="-1"/>
        </w:rPr>
        <w:t>主管会计工作负责人：赵红艳</w:t>
        <w:tab/>
      </w:r>
      <w:r>
        <w:rPr/>
        <w:t>会计机构负责人：马建杰</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679"/>
        <w:gridCol w:w="2552"/>
        <w:gridCol w:w="2338"/>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88,869,680.06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483,214,456.32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247,020,013.70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36,697,738.15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107,783,591.76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128,060,448.28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2,978,864.82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2,972,430.73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594,663,966.69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576,825,964.51</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592,372.09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48,643,871.33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64,987,559.66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8,089,879.48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656,421.93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101,647,006.99</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1,135,404,027.92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1,381,660,928.01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679"/>
        <w:gridCol w:w="2552"/>
        <w:gridCol w:w="2338"/>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2,891,000.00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4,445,682.26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4,329,570.08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1,652,289,248.71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1,635,575,758.49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42,529,800.00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56,030,800.00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76,358,302.07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84,445,529.39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568,764.66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14,028,723.44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11,085,388.47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593,601.49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4,393,658.90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60,342,446.23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2,095,769.20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22,507,469.48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12,977,589.24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3,006,150.83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6,214,291.85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1,885,101,424.51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1,820,608,120.28</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3,020,505,452.43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3,202,269,048.29</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357,000,000.00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113,871,471.84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38,928,316.63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42,801,652.55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57,825,893.10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65,875,316.63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3,001,572.88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1,515,766.51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6,280,882.71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7,349,781.19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1,211,267.97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8,726,315.33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679"/>
        <w:gridCol w:w="2552"/>
        <w:gridCol w:w="2338"/>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152,368,715.06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234,226,919.65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24,647,166.46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20,581,887.18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387,154,615.89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906,480,698.81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1,061,521,839.59</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289,100,000.00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174,864,050.46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1,308,415.27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1,527,449.47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5,241,508.90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6,862,986.29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565,399,924.17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472,354,486.22</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1,471,880,622.98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1,533,876,325.81</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801,929,568.00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814,139,568.00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368,318,682.72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451,875,806.61</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147,613,580.50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96,610,892.40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6,126,291.57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15,693,285.34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94,448,815.32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90,791,924.05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425,415,052.34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392,503,030.88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1,548,624,829.45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1,668,392,722.48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3,020,505,452.43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3,202,269,048.29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62"/>
        <w:gridCol w:w="2410"/>
        <w:gridCol w:w="2197"/>
      </w:tblGrid>
      <w:tr>
        <w:trPr>
          <w:trHeight w:val="398"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1,092,321,442.57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1,898,158,382.53</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1,092,321,442.57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1,898,158,382.53</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945,623,777.56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1,604,239,145.20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344,171,593.23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543,648,748.84</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5,386,799.61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8,198,514.59</w:t>
            </w:r>
          </w:p>
        </w:tc>
      </w:tr>
      <w:tr>
        <w:trPr>
          <w:trHeight w:val="404"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360,381,637.91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894,903,570.23</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99,841,837.89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87,886,909.20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72,319,838.15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53,861,967.62</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63,522,070.77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15,739,434.72</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69,454,737.42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24,226,413.67</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6,097,000.89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8,047,674.05</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2,907,392.33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2,114,659.71</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14,153,340.83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192,246,298.77</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-577,964.57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109,207,520.91</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以摊余成本计量的金融资产终止确认收益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-1,767,223.42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-15,564,858.48</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-600,320.98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-304,286.62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-16,806,838.60</w:t>
            </w:r>
          </w:p>
        </w:tc>
      </w:tr>
      <w:tr>
        <w:trPr>
          <w:trHeight w:val="40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-311,125.50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1,052,454.07</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980"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962"/>
        <w:gridCol w:w="2410"/>
        <w:gridCol w:w="21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160,775,441.65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456,960,952.80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3,406,062.77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1,867,494.58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473,906.76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164,171,504.42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458,354,540.62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-30,101,912.75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55,887,151.43</w:t>
            </w:r>
          </w:p>
        </w:tc>
      </w:tr>
      <w:tr>
        <w:trPr>
          <w:trHeight w:val="40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194,273,417.17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402,467,389.19</w:t>
            </w:r>
          </w:p>
        </w:tc>
      </w:tr>
      <w:tr>
        <w:trPr>
          <w:trHeight w:val="39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194,273,417.17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402,467,389.19</w:t>
            </w:r>
          </w:p>
        </w:tc>
      </w:tr>
      <w:tr>
        <w:trPr>
          <w:trHeight w:val="408"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134,997,926.83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336,389,804.53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59,275,490.34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66,077,584.66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-8,698,375.77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-15,253,571.90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-8,698,375.77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-15,253,571.90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-9,698,375.77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-15,253,571.90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-10,799,355.00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-10,968,537.74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-131,382.00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-49,322.57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-9,566,993.77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6,563,643.41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185,575,041.40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387,213,817.29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126,299,551.06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321,136,232.63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59,275,490.34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66,077,584.66</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980" w:header="877" w:top="1100" w:bottom="1160" w:left="980" w:right="0"/>
          <w:pgNumType w:start="1"/>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962"/>
        <w:gridCol w:w="2410"/>
        <w:gridCol w:w="21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r>
    </w:tbl>
    <w:p>
      <w:pPr>
        <w:pStyle w:val="BodyText"/>
        <w:tabs>
          <w:tab w:pos="3578" w:val="left" w:leader="none"/>
          <w:tab w:pos="7721" w:val="left" w:leader="none"/>
        </w:tabs>
        <w:spacing w:line="588" w:lineRule="auto" w:before="49"/>
        <w:ind w:right="1223"/>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法定代表人：汪超涌</w:t>
        <w:tab/>
      </w:r>
      <w:r>
        <w:rPr>
          <w:spacing w:val="-1"/>
        </w:rPr>
        <w:t>主管会计工作负责人：赵红艳</w:t>
        <w:tab/>
      </w:r>
      <w:r>
        <w:rPr/>
        <w:t>会计机构负责人：马建杰</w:t>
      </w:r>
    </w:p>
    <w:p>
      <w:pPr>
        <w:pStyle w:val="Heading3"/>
        <w:spacing w:line="240" w:lineRule="auto" w:before="2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956"/>
        <w:gridCol w:w="1844"/>
        <w:gridCol w:w="1769"/>
      </w:tblGrid>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304,680,559.06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324,468,382.46</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206,169,887.88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222,108,357.09</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2,482,248.55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3,243,680.58</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39,919,645.00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52,268,319.85</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57,112,821.20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52,786,791.31</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14,943,908.96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7,955,659.62</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73,980,736.76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21,386,331.88</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79,515,342.14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28,610,725.37</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5,644,532.60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7,175,332.56</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253,997.75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567,494.76</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105,072,470.87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196,290,775.82</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-576,505.78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109,206,544.23</w:t>
            </w:r>
          </w:p>
        </w:tc>
      </w:tr>
      <w:tr>
        <w:trPr>
          <w:trHeight w:val="715"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0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1,916,660.00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2,005,700.00</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13,026,103.15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-304,286.62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-10,876,132.83</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-311,125.50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1,052,454.07</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29,725,130.36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153,759,533.95</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2,477,609.35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1,741,526.04</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456,314.24</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32,202,739.71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155,044,745.75</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-4,366,173.02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23,646,521.09</w:t>
            </w:r>
          </w:p>
        </w:tc>
      </w:tr>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36,568,912.73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131,398,224.66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5956"/>
        <w:gridCol w:w="1844"/>
        <w:gridCol w:w="1769"/>
      </w:tblGrid>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36,568,912.73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131,398,224.66</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-9,566,993.77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-4,235,711.59</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-9,566,993.77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-4,235,711.59</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-10,799,355.00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-9,566,993.77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6,563,643.41</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27,001,918.96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127,162,513.07</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62"/>
        <w:gridCol w:w="2410"/>
        <w:gridCol w:w="21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1,153,995,920.91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1,771,039,131.37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962"/>
        <w:gridCol w:w="2410"/>
        <w:gridCol w:w="21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253,997.75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2,074,308.87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60,275,418.54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78,565,867.37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1,214,525,337.20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1,851,679,307.61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531,951,045.66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515,145,407.43</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132,988,307.13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121,824,941.20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54,088,823.90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60,304,705.96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762,540,043.41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845,454,249.39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1,481,568,220.10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1,542,729,303.98</w:t>
            </w:r>
          </w:p>
        </w:tc>
      </w:tr>
      <w:tr>
        <w:trPr>
          <w:trHeight w:val="40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-267,042,882.90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308,950,003.63</w:t>
            </w:r>
          </w:p>
        </w:tc>
      </w:tr>
      <w:tr>
        <w:trPr>
          <w:trHeight w:val="39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2,649,345,916.03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1,527,828,455.30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21,936,330.30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19,724,625.30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9,762,994.09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2,935,645.31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2,731,045,240.42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1,550,488,725.91</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65,592,685.82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40,267,415.54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2,704,890,052.22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1,107,864,761.86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2,770,482,738.04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1,198,132,177.40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-39,437,497.62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352,356,548.51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962"/>
        <w:gridCol w:w="2410"/>
        <w:gridCol w:w="21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10,456,880.74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1,207,900,000.00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452,971,471.84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1,212,800,000.00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463,428,352.58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722,630,631.09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79,185,850.34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98,788,736.75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4,381,550.21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24,578,445.28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603,380,293.30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597,927,330.59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1,424,799,661.14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681,494,731.14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-211,999,661.14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-218,066,378.56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-32,882.38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750,668.27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-518,512,924.04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443,990,841.85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733,303,657.33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289,312,815.48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214,790,733.29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733,303,657.33</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62"/>
        <w:gridCol w:w="2552"/>
        <w:gridCol w:w="2055"/>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290,618,408.04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323,590,203.53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253,997.75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567,494.76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36,473,227.14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71,333,874.92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327,345,632.93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395,491,573.21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196,898,360.15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227,855,625.14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53,709,379.50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52,121,501.77</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22,848,673.38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21,645,215.55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354,913,765.74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266,417,198.47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628,370,178.77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568,039,540.93</w:t>
            </w:r>
          </w:p>
        </w:tc>
      </w:tr>
      <w:tr>
        <w:trPr>
          <w:trHeight w:val="408"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-301,024,545.84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-172,547,967.72</w:t>
            </w:r>
          </w:p>
        </w:tc>
      </w:tr>
      <w:tr>
        <w:trPr>
          <w:trHeight w:val="391"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597,300,000.00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1,304,450,500.00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21,574,281.16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18,064,049.50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962"/>
        <w:gridCol w:w="2552"/>
        <w:gridCol w:w="2055"/>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9,762,994.09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2,935,645.31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678,637,275.25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1,325,450,194.81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34,717,685.49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17,589,362.97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563,198,996.00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713,991,000.00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597,916,681.49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781,580,362.97</w:t>
            </w:r>
          </w:p>
        </w:tc>
      </w:tr>
      <w:tr>
        <w:trPr>
          <w:trHeight w:val="40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80,720,593.76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543,869,831.84</w:t>
            </w:r>
          </w:p>
        </w:tc>
      </w:tr>
      <w:tr>
        <w:trPr>
          <w:trHeight w:val="397"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10,456,880.74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1,207,900,000.00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452,971,471.84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1,207,900,000.00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663,428,352.58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722,630,631.09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79,185,850.34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75,450,062.86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8,191,903.58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603,380,293.30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597,927,330.59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1,401,460,987.25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685,305,084.51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-193,560,987.25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-21,876,731.93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42,300.33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300,321.63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-413,822,639.00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349,745,453.82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466,887,271.91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117,141,818.09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53,064,632.91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466,887,271.91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after="0" w:line="335" w:lineRule="exact"/>
        <w:jc w:val="left"/>
        <w:sectPr>
          <w:pgSz w:w="11910" w:h="16840"/>
          <w:pgMar w:header="877" w:footer="980" w:top="110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BodyText"/>
        <w:spacing w:line="240" w:lineRule="auto" w:before="17"/>
        <w:ind w:left="140" w:right="128"/>
        <w:jc w:val="left"/>
      </w:pPr>
      <w:r>
        <w:rPr/>
        <w:t>本期金额</w:t>
      </w:r>
    </w:p>
    <w:p>
      <w:pPr>
        <w:pStyle w:val="BodyText"/>
        <w:spacing w:line="240" w:lineRule="auto" w:before="117"/>
        <w:ind w:left="0" w:right="137"/>
        <w:jc w:val="right"/>
      </w:pPr>
      <w:r>
        <w:rPr/>
        <w:pict>
          <v:group style="position:absolute;margin-left:409.369995pt;margin-top:112.607727pt;width:15.4pt;height:15.65pt;mso-position-horizontal-relative:page;mso-position-vertical-relative:paragraph;z-index:-1128040" coordorigin="8187,2252" coordsize="308,313">
            <v:shape style="position:absolute;left:8187;top:2252;width:308;height:313" coordorigin="8187,2252" coordsize="308,313" path="m8187,2565l8495,2565,8495,2252,8187,2252,8187,2565xe" filled="true" fillcolor="#d2d2d2" stroked="false">
              <v:path arrowok="t"/>
              <v:fill type="solid"/>
            </v:shape>
            <w10:wrap type="none"/>
          </v:group>
        </w:pict>
      </w:r>
      <w:r>
        <w:rPr/>
        <w:pict>
          <v:group style="position:absolute;margin-left:482.109985pt;margin-top:112.607727pt;width:17.05pt;height:31.25pt;mso-position-horizontal-relative:page;mso-position-vertical-relative:paragraph;z-index:-1128016" coordorigin="9642,2252" coordsize="341,625">
            <v:group style="position:absolute;left:9642;top:2252;width:341;height:313" coordorigin="9642,2252" coordsize="341,313">
              <v:shape style="position:absolute;left:9642;top:2252;width:341;height:313" coordorigin="9642,2252" coordsize="341,313" path="m9642,2565l9983,2565,9983,2252,9642,2252,9642,2565xe" filled="true" fillcolor="#d2d2d2" stroked="false">
                <v:path arrowok="t"/>
                <v:fill type="solid"/>
              </v:shape>
            </v:group>
            <v:group style="position:absolute;left:9642;top:2565;width:341;height:312" coordorigin="9642,2565" coordsize="341,312">
              <v:shape style="position:absolute;left:9642;top:2565;width:341;height:312" coordorigin="9642,2565" coordsize="341,312" path="m9642,2877l9983,2877,9983,2565,9642,2565,9642,2877xe" filled="true" fillcolor="#d2d2d2" stroked="false">
                <v:path arrowok="t"/>
                <v:fill type="solid"/>
              </v:shape>
            </v:group>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371"/>
        <w:gridCol w:w="1181"/>
        <w:gridCol w:w="238"/>
        <w:gridCol w:w="235"/>
        <w:gridCol w:w="235"/>
        <w:gridCol w:w="1184"/>
        <w:gridCol w:w="1181"/>
        <w:gridCol w:w="1090"/>
        <w:gridCol w:w="365"/>
        <w:gridCol w:w="1090"/>
        <w:gridCol w:w="396"/>
        <w:gridCol w:w="1183"/>
        <w:gridCol w:w="396"/>
        <w:gridCol w:w="1316"/>
        <w:gridCol w:w="1174"/>
        <w:gridCol w:w="1318"/>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71" w:type="dxa"/>
            <w:vMerge/>
            <w:tcBorders>
              <w:left w:val="single" w:sz="4" w:space="0" w:color="000000"/>
              <w:right w:val="single" w:sz="4" w:space="0" w:color="000000"/>
            </w:tcBorders>
            <w:shd w:val="clear" w:color="auto" w:fill="D2D2D2"/>
          </w:tcPr>
          <w:p>
            <w:pPr/>
          </w:p>
        </w:tc>
        <w:tc>
          <w:tcPr>
            <w:tcW w:w="1008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3" w:hRule="exact"/>
        </w:trPr>
        <w:tc>
          <w:tcPr>
            <w:tcW w:w="1371"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00"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17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249"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1"/>
              <w:ind w:left="23"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1"/>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其 他</w:t>
            </w: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365"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396"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396"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814,139,568.00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451,760,863.64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41,658,286.69</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90,791,924.05</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642,160,050.94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1,943,899,800.92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114,514,444.51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2,058,414,245.43</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814,139,568.00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451,760,863.64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41,658,286.69</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90,791,924.05</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642,160,050.94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1,943,899,800.92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114,514,444.51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2,058,414,245.43</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-12,210,000.00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-83,557,123.89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51,002,688.10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-8,698,375.77</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3,656,891.27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131,341,035.56</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-20,470,260.93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39,597,045.06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19,126,784.13</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-8,698,375.77</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134,997,926.83</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126,299,551.06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59,275,490.34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185,575,041.40</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-12,210,000.00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-83,557,123.89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51,002,688.10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-146,769,811.99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-141,869,811.99</w:t>
            </w:r>
          </w:p>
        </w:tc>
      </w:tr>
    </w:tbl>
    <w:p>
      <w:pPr>
        <w:spacing w:after="0" w:line="240" w:lineRule="auto"/>
        <w:jc w:val="right"/>
        <w:rPr>
          <w:rFonts w:ascii="Times New Roman" w:hAnsi="Times New Roman" w:cs="Times New Roman" w:eastAsia="Times New Roman" w:hint="default"/>
          <w:sz w:val="18"/>
          <w:szCs w:val="18"/>
        </w:rPr>
        <w:sectPr>
          <w:headerReference w:type="default" r:id="rId50"/>
          <w:footerReference w:type="default" r:id="rId51"/>
          <w:pgSz w:w="16840" w:h="11910" w:orient="landscape"/>
          <w:pgMar w:header="867" w:footer="980" w:top="1060" w:bottom="1160" w:left="1300" w:right="1300"/>
          <w:pgNumType w:start="7"/>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71"/>
        <w:gridCol w:w="1181"/>
        <w:gridCol w:w="238"/>
        <w:gridCol w:w="235"/>
        <w:gridCol w:w="235"/>
        <w:gridCol w:w="1184"/>
        <w:gridCol w:w="1181"/>
        <w:gridCol w:w="1090"/>
        <w:gridCol w:w="365"/>
        <w:gridCol w:w="1090"/>
        <w:gridCol w:w="396"/>
        <w:gridCol w:w="1183"/>
        <w:gridCol w:w="396"/>
        <w:gridCol w:w="1316"/>
        <w:gridCol w:w="1174"/>
        <w:gridCol w:w="1318"/>
      </w:tblGrid>
      <w:tr>
        <w:trPr>
          <w:trHeight w:val="730" w:hRule="exact"/>
        </w:trPr>
        <w:tc>
          <w:tcPr>
            <w:tcW w:w="137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67"/>
              <w:ind w:left="23" w:right="132"/>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．其他权益工具</w:t>
            </w:r>
            <w:r>
              <w:rPr>
                <w:rFonts w:ascii="宋体" w:hAnsi="宋体" w:cs="宋体" w:eastAsia="宋体" w:hint="default"/>
                <w:w w:val="100"/>
                <w:sz w:val="16"/>
                <w:szCs w:val="16"/>
              </w:rPr>
              <w:t> </w:t>
            </w:r>
            <w:r>
              <w:rPr>
                <w:rFonts w:ascii="宋体" w:hAnsi="宋体" w:cs="宋体" w:eastAsia="宋体" w:hint="default"/>
                <w:sz w:val="16"/>
                <w:szCs w:val="16"/>
              </w:rPr>
              <w:t>持有者投入资本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入所有者权益的 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-12,210,000.00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-83,557,123.89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843,768.51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843,768.51</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147,613,580.50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-147,613,580.50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-147,613,580.50</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3,656,891.27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-3,656,891.27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-24,578,445.28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-24,578,445.28</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3,656,891.27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-3,656,891.27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67"/>
              <w:ind w:left="23" w:right="132"/>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．对所有者（或</w:t>
            </w:r>
            <w:r>
              <w:rPr>
                <w:rFonts w:ascii="宋体" w:hAnsi="宋体" w:cs="宋体" w:eastAsia="宋体" w:hint="default"/>
                <w:w w:val="100"/>
                <w:sz w:val="16"/>
                <w:szCs w:val="16"/>
              </w:rPr>
              <w:t> </w:t>
            </w:r>
            <w:r>
              <w:rPr>
                <w:rFonts w:ascii="宋体" w:hAnsi="宋体" w:cs="宋体" w:eastAsia="宋体" w:hint="default"/>
                <w:sz w:val="16"/>
                <w:szCs w:val="16"/>
              </w:rPr>
              <w:t>股东）的分配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-24,578,445.28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-24,578,445.28</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4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71"/>
        <w:gridCol w:w="1181"/>
        <w:gridCol w:w="238"/>
        <w:gridCol w:w="235"/>
        <w:gridCol w:w="235"/>
        <w:gridCol w:w="1184"/>
        <w:gridCol w:w="1181"/>
        <w:gridCol w:w="1090"/>
        <w:gridCol w:w="365"/>
        <w:gridCol w:w="1090"/>
        <w:gridCol w:w="396"/>
        <w:gridCol w:w="1183"/>
        <w:gridCol w:w="396"/>
        <w:gridCol w:w="1316"/>
        <w:gridCol w:w="1174"/>
        <w:gridCol w:w="1318"/>
      </w:tblGrid>
      <w:tr>
        <w:trPr>
          <w:trHeight w:val="689" w:hRule="exact"/>
        </w:trPr>
        <w:tc>
          <w:tcPr>
            <w:tcW w:w="137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 w:right="75"/>
              <w:jc w:val="left"/>
              <w:rPr>
                <w:rFonts w:ascii="宋体" w:hAnsi="宋体" w:cs="宋体" w:eastAsia="宋体" w:hint="default"/>
                <w:sz w:val="18"/>
                <w:szCs w:val="18"/>
              </w:rPr>
            </w:pPr>
            <w:r>
              <w:rPr>
                <w:rFonts w:ascii="宋体" w:hAnsi="宋体" w:cs="宋体" w:eastAsia="宋体" w:hint="default"/>
                <w:sz w:val="18"/>
                <w:szCs w:val="18"/>
              </w:rPr>
              <w:t>划变动额结转留 存收益</w:t>
            </w:r>
          </w:p>
        </w:tc>
        <w:tc>
          <w:tcPr>
            <w:tcW w:w="1181" w:type="dxa"/>
            <w:tcBorders>
              <w:top w:val="single" w:sz="15" w:space="0" w:color="000000"/>
              <w:left w:val="single" w:sz="4" w:space="0" w:color="000000"/>
              <w:bottom w:val="single" w:sz="4" w:space="0" w:color="000000"/>
              <w:right w:val="single" w:sz="4" w:space="0" w:color="000000"/>
            </w:tcBorders>
          </w:tcPr>
          <w:p>
            <w:pPr/>
          </w:p>
        </w:tc>
        <w:tc>
          <w:tcPr>
            <w:tcW w:w="238" w:type="dxa"/>
            <w:tcBorders>
              <w:top w:val="single" w:sz="15" w:space="0" w:color="000000"/>
              <w:left w:val="single" w:sz="4" w:space="0" w:color="000000"/>
              <w:bottom w:val="single" w:sz="4" w:space="0" w:color="000000"/>
              <w:right w:val="single" w:sz="4" w:space="0" w:color="000000"/>
            </w:tcBorders>
          </w:tcPr>
          <w:p>
            <w:pPr/>
          </w:p>
        </w:tc>
        <w:tc>
          <w:tcPr>
            <w:tcW w:w="235" w:type="dxa"/>
            <w:tcBorders>
              <w:top w:val="single" w:sz="15" w:space="0" w:color="000000"/>
              <w:left w:val="single" w:sz="4" w:space="0" w:color="000000"/>
              <w:bottom w:val="single" w:sz="4" w:space="0" w:color="000000"/>
              <w:right w:val="single" w:sz="4" w:space="0" w:color="000000"/>
            </w:tcBorders>
          </w:tcPr>
          <w:p>
            <w:pPr/>
          </w:p>
        </w:tc>
        <w:tc>
          <w:tcPr>
            <w:tcW w:w="235"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36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396"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39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7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801,929,568.00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368,203,739.75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147,613,580.50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32,959,910.92</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94,448,815.32</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773,501,086.50</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1,923,429,539.99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154,111,489.57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2,077,541,029.56</w:t>
            </w:r>
          </w:p>
        </w:tc>
      </w:tr>
    </w:tbl>
    <w:p>
      <w:pPr>
        <w:pStyle w:val="BodyText"/>
        <w:spacing w:line="240" w:lineRule="auto" w:before="49"/>
        <w:ind w:left="100" w:right="0"/>
        <w:jc w:val="left"/>
      </w:pPr>
      <w:r>
        <w:rPr/>
        <w:t>上期金额</w:t>
      </w:r>
    </w:p>
    <w:p>
      <w:pPr>
        <w:pStyle w:val="BodyText"/>
        <w:spacing w:line="240" w:lineRule="auto" w:before="115"/>
        <w:ind w:left="0" w:right="117"/>
        <w:jc w:val="right"/>
      </w:pPr>
      <w:r>
        <w:rPr/>
        <w:pict>
          <v:group style="position:absolute;margin-left:410.929993pt;margin-top:112.521713pt;width:15.4pt;height:15.6pt;mso-position-horizontal-relative:page;mso-position-vertical-relative:paragraph;z-index:-1127992" coordorigin="8219,2250" coordsize="308,312">
            <v:shape style="position:absolute;left:8219;top:2250;width:308;height:312" coordorigin="8219,2250" coordsize="308,312" path="m8219,2562l8526,2562,8526,2250,8219,2250,8219,2562xe" filled="true" fillcolor="#d2d2d2" stroked="false">
              <v:path arrowok="t"/>
              <v:fill type="solid"/>
            </v:shape>
            <w10:wrap type="none"/>
          </v:group>
        </w:pict>
      </w:r>
      <w:r>
        <w:rPr/>
        <w:pict>
          <v:group style="position:absolute;margin-left:483.670013pt;margin-top:112.521713pt;width:16.6pt;height:31.2pt;mso-position-horizontal-relative:page;mso-position-vertical-relative:paragraph;z-index:-1127968" coordorigin="9673,2250" coordsize="332,624">
            <v:group style="position:absolute;left:9673;top:2250;width:332;height:312" coordorigin="9673,2250" coordsize="332,312">
              <v:shape style="position:absolute;left:9673;top:2250;width:332;height:312" coordorigin="9673,2250" coordsize="332,312" path="m9673,2562l10005,2562,10005,2250,9673,2250,9673,2562xe" filled="true" fillcolor="#d2d2d2" stroked="false">
                <v:path arrowok="t"/>
                <v:fill type="solid"/>
              </v:shape>
            </v:group>
            <v:group style="position:absolute;left:9673;top:2562;width:332;height:312" coordorigin="9673,2562" coordsize="332,312">
              <v:shape style="position:absolute;left:9673;top:2562;width:332;height:312" coordorigin="9673,2562" coordsize="332,312" path="m9673,2874l10005,2874,10005,2562,9673,2562,9673,2874xe" filled="true" fillcolor="#d2d2d2" stroked="false">
                <v:path arrowok="t"/>
                <v:fill type="solid"/>
              </v:shape>
            </v:group>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311"/>
        <w:gridCol w:w="1181"/>
        <w:gridCol w:w="235"/>
        <w:gridCol w:w="238"/>
        <w:gridCol w:w="235"/>
        <w:gridCol w:w="1181"/>
        <w:gridCol w:w="1224"/>
        <w:gridCol w:w="1140"/>
        <w:gridCol w:w="365"/>
        <w:gridCol w:w="1092"/>
        <w:gridCol w:w="386"/>
        <w:gridCol w:w="1181"/>
        <w:gridCol w:w="374"/>
        <w:gridCol w:w="1316"/>
        <w:gridCol w:w="1174"/>
        <w:gridCol w:w="1318"/>
      </w:tblGrid>
      <w:tr>
        <w:trPr>
          <w:trHeight w:val="402" w:hRule="exact"/>
        </w:trPr>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311" w:type="dxa"/>
            <w:vMerge/>
            <w:tcBorders>
              <w:left w:val="single" w:sz="4" w:space="0" w:color="000000"/>
              <w:right w:val="single" w:sz="4" w:space="0" w:color="000000"/>
            </w:tcBorders>
            <w:shd w:val="clear" w:color="auto" w:fill="D2D2D2"/>
          </w:tcPr>
          <w:p>
            <w:pPr/>
          </w:p>
        </w:tc>
        <w:tc>
          <w:tcPr>
            <w:tcW w:w="10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1311"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9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1" w:right="91"/>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17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247" w:hRule="exact"/>
        </w:trPr>
        <w:tc>
          <w:tcPr>
            <w:tcW w:w="131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0"/>
              <w:ind w:left="23" w:right="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0"/>
              <w:ind w:left="24"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36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38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74"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95"/>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820,589,768.00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483,092,822.69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407,519,462.80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56,911,858.59</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77,652,101.58</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318,910,068.88</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1,349,637,156.94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1,398,074,016.79</w:t>
            </w:r>
          </w:p>
        </w:tc>
      </w:tr>
      <w:tr>
        <w:trPr>
          <w:trHeight w:val="71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4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11"/>
        <w:gridCol w:w="1181"/>
        <w:gridCol w:w="235"/>
        <w:gridCol w:w="238"/>
        <w:gridCol w:w="235"/>
        <w:gridCol w:w="1181"/>
        <w:gridCol w:w="1224"/>
        <w:gridCol w:w="1140"/>
        <w:gridCol w:w="365"/>
        <w:gridCol w:w="1092"/>
        <w:gridCol w:w="386"/>
        <w:gridCol w:w="1181"/>
        <w:gridCol w:w="374"/>
        <w:gridCol w:w="1316"/>
        <w:gridCol w:w="1174"/>
        <w:gridCol w:w="1318"/>
      </w:tblGrid>
      <w:tr>
        <w:trPr>
          <w:trHeight w:val="730" w:hRule="exact"/>
        </w:trPr>
        <w:tc>
          <w:tcPr>
            <w:tcW w:w="13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70"/>
              <w:ind w:left="23" w:right="132"/>
              <w:jc w:val="left"/>
              <w:rPr>
                <w:rFonts w:ascii="宋体" w:hAnsi="宋体" w:cs="宋体" w:eastAsia="宋体" w:hint="default"/>
                <w:sz w:val="16"/>
                <w:szCs w:val="16"/>
              </w:rPr>
            </w:pPr>
            <w:r>
              <w:rPr>
                <w:rFonts w:ascii="宋体" w:hAnsi="宋体" w:cs="宋体" w:eastAsia="宋体" w:hint="default"/>
                <w:sz w:val="18"/>
                <w:szCs w:val="18"/>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sz w:val="16"/>
                <w:szCs w:val="16"/>
              </w:rPr>
              <w:t>同一控</w:t>
            </w:r>
            <w:r>
              <w:rPr>
                <w:rFonts w:ascii="宋体" w:hAnsi="宋体" w:cs="宋体" w:eastAsia="宋体" w:hint="default"/>
                <w:w w:val="100"/>
                <w:sz w:val="16"/>
                <w:szCs w:val="16"/>
              </w:rPr>
              <w:t> </w:t>
            </w:r>
            <w:r>
              <w:rPr>
                <w:rFonts w:ascii="宋体" w:hAnsi="宋体" w:cs="宋体" w:eastAsia="宋体" w:hint="default"/>
                <w:sz w:val="16"/>
                <w:szCs w:val="16"/>
              </w:rPr>
              <w:t>制下企业合并</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5"/>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820,589,768.00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483,092,822.69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407,519,462.80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56,911,858.59</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77,652,101.58</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318,910,068.88</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1,349,637,156.94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1,398,074,016.79</w:t>
            </w:r>
          </w:p>
        </w:tc>
      </w:tr>
      <w:tr>
        <w:trPr>
          <w:trHeight w:val="1337"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3" w:right="194"/>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-6,450,200.00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-31,331,959.05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64" w:right="22"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310,908,570.40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72" w:right="22" w:firstLine="97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15,253,571.90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323,249,982.06</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594,262,643.98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66,077,584.66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660,340,228.64</w:t>
            </w:r>
          </w:p>
        </w:tc>
      </w:tr>
      <w:tr>
        <w:trPr>
          <w:trHeight w:val="7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5"/>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72" w:right="22" w:firstLine="97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15,253,571.90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336,389,804.53</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321,136,232.63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66,077,584.66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387,213,817.29</w:t>
            </w:r>
          </w:p>
        </w:tc>
      </w:tr>
      <w:tr>
        <w:trPr>
          <w:trHeight w:val="71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7"/>
              <w:ind w:left="23" w:right="152"/>
              <w:jc w:val="left"/>
              <w:rPr>
                <w:rFonts w:ascii="宋体" w:hAnsi="宋体" w:cs="宋体" w:eastAsia="宋体" w:hint="default"/>
                <w:sz w:val="16"/>
                <w:szCs w:val="16"/>
              </w:rPr>
            </w:pPr>
            <w:r>
              <w:rPr>
                <w:rFonts w:ascii="宋体" w:hAnsi="宋体" w:cs="宋体" w:eastAsia="宋体" w:hint="default"/>
                <w:sz w:val="16"/>
                <w:szCs w:val="16"/>
              </w:rPr>
              <w:t>（二）所有者投</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-6,450,200.00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-23,052,403.05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64" w:right="22"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310,908,570.40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281,405,967.35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281,405,967.35</w:t>
            </w:r>
          </w:p>
        </w:tc>
      </w:tr>
      <w:tr>
        <w:trPr>
          <w:trHeight w:val="716"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1,129,800.00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14,372,825.77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15,502,625.77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15,502,625.77</w:t>
            </w:r>
          </w:p>
        </w:tc>
      </w:tr>
      <w:tr>
        <w:trPr>
          <w:trHeight w:val="1027"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-7,580,000.00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-37,425,228.82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64" w:right="22"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310,908,570.40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265,903,341.58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265,903,341.58</w:t>
            </w: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-13,139,822.47</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-13,139,822.47</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6840" w:h="11910" w:orient="landscape"/>
          <w:pgMar w:footer="980" w:header="867" w:top="1060" w:bottom="1160" w:left="134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11"/>
        <w:gridCol w:w="1181"/>
        <w:gridCol w:w="235"/>
        <w:gridCol w:w="238"/>
        <w:gridCol w:w="235"/>
        <w:gridCol w:w="1181"/>
        <w:gridCol w:w="1224"/>
        <w:gridCol w:w="1140"/>
        <w:gridCol w:w="365"/>
        <w:gridCol w:w="1092"/>
        <w:gridCol w:w="386"/>
        <w:gridCol w:w="1181"/>
        <w:gridCol w:w="374"/>
        <w:gridCol w:w="1316"/>
        <w:gridCol w:w="1174"/>
        <w:gridCol w:w="1318"/>
      </w:tblGrid>
      <w:tr>
        <w:trPr>
          <w:trHeight w:val="1042" w:hRule="exact"/>
        </w:trPr>
        <w:tc>
          <w:tcPr>
            <w:tcW w:w="13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3" w:right="195"/>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5"/>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7"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1028"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67"/>
              <w:ind w:left="23" w:right="72"/>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．其他综合收益</w:t>
            </w:r>
            <w:r>
              <w:rPr>
                <w:rFonts w:ascii="宋体" w:hAnsi="宋体" w:cs="宋体" w:eastAsia="宋体" w:hint="default"/>
                <w:w w:val="100"/>
                <w:sz w:val="16"/>
                <w:szCs w:val="16"/>
              </w:rPr>
              <w:t> </w:t>
            </w:r>
            <w:r>
              <w:rPr>
                <w:rFonts w:ascii="宋体" w:hAnsi="宋体" w:cs="宋体" w:eastAsia="宋体" w:hint="default"/>
                <w:sz w:val="16"/>
                <w:szCs w:val="16"/>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4"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-8,279,556.00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-8,279,556.00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-8,279,556.00</w:t>
            </w:r>
          </w:p>
        </w:tc>
      </w:tr>
      <w:tr>
        <w:trPr>
          <w:trHeight w:val="7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814,139,568.00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451,760,863.64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41,658,286.69</w:t>
            </w:r>
          </w:p>
        </w:tc>
        <w:tc>
          <w:tcPr>
            <w:tcW w:w="36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3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642,160,050.94</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1,943,899,800.92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114,514,444.51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2,058,414,245.43</w:t>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6840" w:h="11910" w:orient="landscape"/>
          <w:pgMar w:footer="980" w:header="867" w:top="1060" w:bottom="1160" w:left="1340" w:right="1320"/>
          <w:pgNumType w:start="1"/>
        </w:sectPr>
      </w:pPr>
    </w:p>
    <w:p>
      <w:pPr>
        <w:pStyle w:val="Heading3"/>
        <w:spacing w:line="352" w:lineRule="exact"/>
        <w:ind w:left="140" w:right="128"/>
        <w:jc w:val="left"/>
        <w:rPr>
          <w:b w:val="0"/>
          <w:bCs w:val="0"/>
        </w:rPr>
      </w:pPr>
      <w:r>
        <w:rPr/>
        <w:pict>
          <v:group style="position:absolute;margin-left:70.559998pt;margin-top:2.202064pt;width:700.9pt;height:.1pt;mso-position-horizontal-relative:page;mso-position-vertical-relative:paragraph;z-index:-1127944"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40" w:right="128"/>
        <w:jc w:val="left"/>
      </w:pPr>
      <w:r>
        <w:rPr/>
        <w:t>本期金额</w:t>
      </w:r>
    </w:p>
    <w:p>
      <w:pPr>
        <w:pStyle w:val="BodyText"/>
        <w:spacing w:line="240" w:lineRule="auto" w:before="117"/>
        <w:ind w:left="0" w:right="137"/>
        <w:jc w:val="right"/>
      </w:pPr>
      <w:r>
        <w:rPr/>
        <w:t>单位：元</w:t>
      </w:r>
    </w:p>
    <w:p>
      <w:pPr>
        <w:spacing w:line="240" w:lineRule="auto" w:before="3"/>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752"/>
        <w:gridCol w:w="1181"/>
        <w:gridCol w:w="727"/>
        <w:gridCol w:w="730"/>
        <w:gridCol w:w="730"/>
        <w:gridCol w:w="1181"/>
        <w:gridCol w:w="1181"/>
        <w:gridCol w:w="1090"/>
        <w:gridCol w:w="907"/>
        <w:gridCol w:w="1092"/>
        <w:gridCol w:w="1181"/>
        <w:gridCol w:w="881"/>
        <w:gridCol w:w="1318"/>
      </w:tblGrid>
      <w:tr>
        <w:trPr>
          <w:trHeight w:val="402" w:hRule="exact"/>
        </w:trPr>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752"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1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48"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75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9"/>
              <w:jc w:val="right"/>
              <w:rPr>
                <w:rFonts w:ascii="宋体" w:hAnsi="宋体" w:cs="宋体" w:eastAsia="宋体" w:hint="default"/>
                <w:sz w:val="18"/>
                <w:szCs w:val="18"/>
              </w:rPr>
            </w:pPr>
            <w:r>
              <w:rPr>
                <w:rFonts w:ascii="宋体" w:hAnsi="宋体" w:cs="宋体" w:eastAsia="宋体" w:hint="default"/>
                <w:sz w:val="18"/>
                <w:szCs w:val="18"/>
              </w:rPr>
              <w:t>优先股</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451,875,806.61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15,693,285.34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392,503,030.88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1,668,392,722.48</w:t>
            </w:r>
          </w:p>
        </w:tc>
      </w:tr>
      <w:tr>
        <w:trPr>
          <w:trHeight w:val="715"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 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 正</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451,875,806.61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15,693,285.34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392,503,030.88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1,668,392,722.48</w:t>
            </w:r>
          </w:p>
        </w:tc>
      </w:tr>
      <w:tr>
        <w:trPr>
          <w:trHeight w:val="1027"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-83,557,123.89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51,002,688.10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-9,566,993.77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3,656,891.27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32,912,021.46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-119,767,893.03</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-9,566,993.77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36,568,912.73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27,001,918.96</w:t>
            </w:r>
          </w:p>
        </w:tc>
      </w:tr>
      <w:tr>
        <w:trPr>
          <w:trHeight w:val="715"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-83,557,123.89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51,002,688.10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-146,769,811.99</w:t>
            </w: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 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-83,557,123.89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843,768.51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52"/>
        <w:gridCol w:w="1181"/>
        <w:gridCol w:w="727"/>
        <w:gridCol w:w="730"/>
        <w:gridCol w:w="730"/>
        <w:gridCol w:w="1181"/>
        <w:gridCol w:w="1181"/>
        <w:gridCol w:w="1090"/>
        <w:gridCol w:w="907"/>
        <w:gridCol w:w="1092"/>
        <w:gridCol w:w="1181"/>
        <w:gridCol w:w="881"/>
        <w:gridCol w:w="1318"/>
      </w:tblGrid>
      <w:tr>
        <w:trPr>
          <w:trHeight w:val="418" w:hRule="exact"/>
        </w:trPr>
        <w:tc>
          <w:tcPr>
            <w:tcW w:w="17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147,613,580.50</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-146,769,811.99</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3,656,891.27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-3,656,891.27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3,656,891.27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-3,656,891.27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6"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 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 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801,929,568.00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368,318,682.72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147,613,580.50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6,126,291.57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94,448,815.32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425,415,052.34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1,548,624,829.45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40" w:right="132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28"/>
        <w:jc w:val="left"/>
      </w:pPr>
      <w:r>
        <w:rPr/>
        <w:t>上期金额</w:t>
      </w:r>
    </w:p>
    <w:p>
      <w:pPr>
        <w:pStyle w:val="BodyText"/>
        <w:spacing w:line="240" w:lineRule="auto" w:before="117"/>
        <w:ind w:left="0" w:right="137"/>
        <w:jc w:val="right"/>
      </w:pPr>
      <w:r>
        <w:rPr/>
        <w:t>单位：元</w:t>
      </w:r>
    </w:p>
    <w:p>
      <w:pPr>
        <w:spacing w:line="240" w:lineRule="auto" w:before="8"/>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649"/>
        <w:gridCol w:w="1181"/>
        <w:gridCol w:w="689"/>
        <w:gridCol w:w="689"/>
        <w:gridCol w:w="691"/>
        <w:gridCol w:w="1181"/>
        <w:gridCol w:w="1181"/>
        <w:gridCol w:w="1090"/>
        <w:gridCol w:w="994"/>
        <w:gridCol w:w="1092"/>
        <w:gridCol w:w="1181"/>
        <w:gridCol w:w="1015"/>
        <w:gridCol w:w="1318"/>
      </w:tblGrid>
      <w:tr>
        <w:trPr>
          <w:trHeight w:val="401" w:hRule="exact"/>
        </w:trPr>
        <w:tc>
          <w:tcPr>
            <w:tcW w:w="1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0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649"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0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4"/>
              <w:ind w:left="449" w:right="89"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164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1"/>
              <w:jc w:val="right"/>
              <w:rPr>
                <w:rFonts w:ascii="宋体" w:hAnsi="宋体" w:cs="宋体" w:eastAsia="宋体" w:hint="default"/>
                <w:sz w:val="18"/>
                <w:szCs w:val="18"/>
              </w:rPr>
            </w:pPr>
            <w:r>
              <w:rPr>
                <w:rFonts w:ascii="宋体" w:hAnsi="宋体" w:cs="宋体" w:eastAsia="宋体" w:hint="default"/>
                <w:sz w:val="18"/>
                <w:szCs w:val="18"/>
              </w:rPr>
              <w:t>优先股</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8"/>
              <w:jc w:val="right"/>
              <w:rPr>
                <w:rFonts w:ascii="宋体" w:hAnsi="宋体" w:cs="宋体" w:eastAsia="宋体" w:hint="default"/>
                <w:sz w:val="18"/>
                <w:szCs w:val="18"/>
              </w:rPr>
            </w:pPr>
            <w:r>
              <w:rPr>
                <w:rFonts w:ascii="宋体" w:hAnsi="宋体" w:cs="宋体" w:eastAsia="宋体" w:hint="default"/>
                <w:sz w:val="18"/>
                <w:szCs w:val="18"/>
              </w:rPr>
              <w:t>永续债</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483,207,765.66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407,519,462.80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19,928,996.93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274,244,628.69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1,268,103,798.06</w:t>
            </w:r>
          </w:p>
        </w:tc>
      </w:tr>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3" w:right="17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 变更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17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 更正</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820,589,768.00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483,207,765.66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407,519,462.80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19,928,996.93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274,244,628.69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1,268,103,798.06</w:t>
            </w:r>
          </w:p>
        </w:tc>
      </w:tr>
      <w:tr>
        <w:trPr>
          <w:trHeight w:val="102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3" w:right="173"/>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-6,450,200.00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-31,331,959.05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362" w:lineRule="auto"/>
              <w:ind w:left="21" w:right="22"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310,908,570.40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-4,235,711.59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118,258,402.19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400,288,924.42</w:t>
            </w:r>
          </w:p>
        </w:tc>
      </w:tr>
      <w:tr>
        <w:trPr>
          <w:trHeight w:val="71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173"/>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-4,235,711.59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131,398,224.66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127,162,513.07</w:t>
            </w:r>
          </w:p>
        </w:tc>
      </w:tr>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173"/>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-6,450,200.00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-23,052,403.05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21" w:right="22"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310,908,570.40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281,405,967.35</w:t>
            </w:r>
          </w:p>
        </w:tc>
      </w:tr>
      <w:tr>
        <w:trPr>
          <w:trHeight w:val="716"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 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1,129,800.00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14,372,825.77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15,502,625.77</w:t>
            </w:r>
          </w:p>
        </w:tc>
      </w:tr>
      <w:tr>
        <w:trPr>
          <w:trHeight w:val="71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-7,580,000.00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-37,425,228.82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21" w:right="22"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310,908,570.40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265,903,341.58</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100"/>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22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49"/>
        <w:gridCol w:w="1181"/>
        <w:gridCol w:w="689"/>
        <w:gridCol w:w="689"/>
        <w:gridCol w:w="691"/>
        <w:gridCol w:w="1181"/>
        <w:gridCol w:w="1181"/>
        <w:gridCol w:w="1090"/>
        <w:gridCol w:w="994"/>
        <w:gridCol w:w="1092"/>
        <w:gridCol w:w="1181"/>
        <w:gridCol w:w="1015"/>
        <w:gridCol w:w="1318"/>
      </w:tblGrid>
      <w:tr>
        <w:trPr>
          <w:trHeight w:val="418" w:hRule="exact"/>
        </w:trPr>
        <w:tc>
          <w:tcPr>
            <w:tcW w:w="164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-13,139,822.47</w:t>
            </w:r>
          </w:p>
        </w:tc>
        <w:tc>
          <w:tcPr>
            <w:tcW w:w="10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13,139,822.47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-13,139,822.47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5"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6"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 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71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 转留存收益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-8,279,556.00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-8,279,556.00</w:t>
            </w:r>
          </w:p>
        </w:tc>
      </w:tr>
      <w:tr>
        <w:trPr>
          <w:trHeight w:val="403"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451,875,806.61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15,693,285.34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392,503,030.88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1,668,392,722.48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40" w:right="132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124" w:firstLine="360"/>
        <w:jc w:val="left"/>
      </w:pPr>
      <w:r>
        <w:rPr/>
        <w:t>深圳市惠程信息科技股份有限公司（以下简称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）前身为深圳市惠程电气有限责任公司，曾用名</w:t>
      </w:r>
      <w:r>
        <w:rPr>
          <w:rFonts w:ascii="Times New Roman" w:hAnsi="Times New Roman" w:cs="Times New Roman" w:eastAsia="Times New Roman" w:hint="default"/>
        </w:rPr>
        <w:t>“</w:t>
      </w:r>
      <w:r>
        <w:rPr/>
        <w:t>深圳 市惠程电气股份有限公司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日经深圳市工商局核准，由吕晓义、邓树坚共同发起设立的有限责任公司。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日，经深圳市人民政府深府股【</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44</w:t>
      </w:r>
      <w:r>
        <w:rPr/>
        <w:t>号</w:t>
      </w:r>
      <w:r>
        <w:rPr>
          <w:rFonts w:ascii="Times New Roman" w:hAnsi="Times New Roman" w:cs="Times New Roman" w:eastAsia="Times New Roman" w:hint="default"/>
        </w:rPr>
        <w:t>“</w:t>
      </w:r>
      <w:r>
        <w:rPr/>
        <w:t>关于以发起方式改组设立深圳市惠程电气股份有限公司的批复</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文件批准，并经本公司股东会决议，整体变更为股份有限公司。公司统一社会信用代码：</w:t>
      </w:r>
      <w:r>
        <w:rPr>
          <w:rFonts w:ascii="Times New Roman" w:hAnsi="Times New Roman" w:cs="Times New Roman" w:eastAsia="Times New Roman" w:hint="default"/>
        </w:rPr>
        <w:t>914403007152119019</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 在深圳证券交易所上市。所属行业为输配电及控制设备制造业、互联网和相关服务业。</w:t>
      </w:r>
    </w:p>
    <w:p>
      <w:pPr>
        <w:pStyle w:val="BodyText"/>
        <w:spacing w:line="312" w:lineRule="auto" w:before="31"/>
        <w:ind w:right="1124" w:firstLine="36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日，本公司股本总数为</w:t>
      </w:r>
      <w:r>
        <w:rPr>
          <w:rFonts w:ascii="Times New Roman" w:hAnsi="Times New Roman" w:cs="Times New Roman" w:eastAsia="Times New Roman" w:hint="default"/>
        </w:rPr>
        <w:t>801,929,568.00</w:t>
      </w:r>
      <w:r>
        <w:rPr/>
        <w:t>股，注册资本为</w:t>
      </w:r>
      <w:r>
        <w:rPr>
          <w:rFonts w:ascii="Times New Roman" w:hAnsi="Times New Roman" w:cs="Times New Roman" w:eastAsia="Times New Roman" w:hint="default"/>
        </w:rPr>
        <w:t>801,929,568.00</w:t>
      </w:r>
      <w:r>
        <w:rPr/>
        <w:t>元，注册地：深圳市坪山新区大 工业区兰景路以东、锦绣路以南惠程科技工业厂区。本公司主要经营活动为电气设备的生产销售；证券、股权等相关投 资；网络技术服务、电脑游戏软件开发、计算机、软件及辅助设备销售、第二类增值电信业务中的信息服务业务（不含固 定网电话信息服务和互联网信息服务）。本公司的实际控制人为汪超涌先生及李亦非女士。</w:t>
      </w:r>
    </w:p>
    <w:p>
      <w:pPr>
        <w:pStyle w:val="BodyText"/>
        <w:spacing w:line="240" w:lineRule="auto" w:before="22"/>
        <w:ind w:left="513" w:right="0"/>
        <w:jc w:val="left"/>
      </w:pPr>
      <w:r>
        <w:rPr/>
        <w:t>本财务报表业经公司第六届董事会第四十六次会议于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28</w:t>
      </w:r>
      <w:r>
        <w:rPr/>
        <w:t>日批准报出。</w:t>
      </w:r>
    </w:p>
    <w:p>
      <w:pPr>
        <w:spacing w:line="240" w:lineRule="auto" w:before="0"/>
        <w:rPr>
          <w:rFonts w:ascii="宋体" w:hAnsi="宋体" w:cs="宋体" w:eastAsia="宋体" w:hint="default"/>
          <w:sz w:val="18"/>
          <w:szCs w:val="18"/>
        </w:rPr>
      </w:pPr>
    </w:p>
    <w:p>
      <w:pPr>
        <w:pStyle w:val="BodyText"/>
        <w:spacing w:line="316" w:lineRule="auto" w:before="140"/>
        <w:ind w:right="1214" w:firstLine="360"/>
        <w:jc w:val="left"/>
      </w:pPr>
      <w:r>
        <w:rPr/>
        <w:t>本公司合并财务报表范围包括本公司及喀什中汇联银、惠程智能、香港惠程、北京中汇联银、中行置盛、中融建银、 中汇联鑫、豪琛投资、鹏胤投资、中汇同盈、哆可梦、吉乾科技、旭梅网络、游湛网络、华向文化、上海季娱、珂星网 络、共创网络、翔瑞科技、铁匣电力、一零电力、零玖电力、多趣网络、缘中缘网络、高奇网络、致合世纪、链接世界。</w:t>
      </w:r>
    </w:p>
    <w:p>
      <w:pPr>
        <w:pStyle w:val="BodyText"/>
        <w:spacing w:line="300" w:lineRule="auto" w:before="19"/>
        <w:ind w:right="1214" w:firstLine="360"/>
        <w:jc w:val="left"/>
      </w:pPr>
      <w:r>
        <w:rPr>
          <w:rFonts w:ascii="Times New Roman" w:hAnsi="Times New Roman" w:cs="Times New Roman" w:eastAsia="Times New Roman" w:hint="default"/>
        </w:rPr>
        <w:t>2019</w:t>
      </w:r>
      <w:r>
        <w:rPr/>
        <w:t>年合并报表范围相比上年，增加子公司链接世界，增加与喀什中汇联银新设子公司铁匣电力、一零电力、零玖电 力，增加哆可梦下属子公司高奇网络、多趣网络、缘中缘网络、致合世纪。</w:t>
      </w:r>
    </w:p>
    <w:p>
      <w:pPr>
        <w:pStyle w:val="BodyText"/>
        <w:spacing w:line="240" w:lineRule="auto" w:before="31"/>
        <w:ind w:left="513" w:right="0"/>
        <w:jc w:val="left"/>
      </w:pPr>
      <w:r>
        <w:rPr/>
        <w:t>详见本财务报表附注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四、财务报表的编制基础</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2" w:lineRule="auto"/>
        <w:ind w:right="1231" w:firstLine="360"/>
        <w:jc w:val="both"/>
      </w:pPr>
      <w:r>
        <w:rPr/>
        <w:t>公司以持续经营为财务报表的编制基础，以权责发生制为记账基础。公司一般采用历史成本对会计要素进行计量，在 保证所确定的会计要素金额能够取得并可靠计量的前提下采用重置成本、可变现净值、现值及公允价值进行计量，根据实 际发生的交易和事项，按照财政部颁布的《企业会计准则》及相关规定，并基于本附注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 述会计政策和会计估计编制。</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1286" w:firstLine="288"/>
        <w:jc w:val="left"/>
      </w:pPr>
      <w:r>
        <w:rPr/>
        <w:t>公司对自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w:t>
      </w:r>
      <w:r>
        <w:rPr>
          <w:rFonts w:ascii="Times New Roman" w:hAnsi="Times New Roman" w:cs="Times New Roman" w:eastAsia="Times New Roman" w:hint="default"/>
        </w:rPr>
        <w:t>12</w:t>
      </w:r>
      <w:r>
        <w:rPr/>
        <w:t>个月的持续经营能力进行了评价，未发现对持续经营能力产生重大怀疑的事项和情况。 因此，本财务报表系在持续经营假设的基础上编制。</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五、重要会计政策及会计估计</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7694"/>
        <w:jc w:val="left"/>
      </w:pPr>
      <w:r>
        <w:rPr/>
        <w:t>具体会计政策和会计估计提示： 详见以下内容。</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231" w:firstLine="360"/>
        <w:jc w:val="left"/>
      </w:pPr>
      <w:r>
        <w:rPr/>
        <w:t>公司财务报表及附注系按财政部颁布的《企业会计准则》、应用指南、企业会计准则解释、中国证券监督管理委员会 发布的《公开发行证券的公司信息披露编报规则第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》以及相关补充规定的要求编 制，真实、完整地反映了公司的财务状况、经营成果和现金流量等有关信息。</w:t>
      </w:r>
    </w:p>
    <w:p>
      <w:pPr>
        <w:spacing w:after="0" w:line="309" w:lineRule="auto"/>
        <w:jc w:val="left"/>
        <w:sectPr>
          <w:headerReference w:type="default" r:id="rId54"/>
          <w:footerReference w:type="default" r:id="rId55"/>
          <w:pgSz w:w="11910" w:h="16840"/>
          <w:pgMar w:header="877" w:footer="980" w:top="1100" w:bottom="1160" w:left="980" w:right="0"/>
          <w:pgNumType w:start="6"/>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1"/>
          <w:szCs w:val="21"/>
        </w:rPr>
      </w:pPr>
    </w:p>
    <w:p>
      <w:pPr>
        <w:spacing w:line="482" w:lineRule="auto" w:before="0"/>
        <w:ind w:left="152" w:right="44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z w:val="18"/>
          <w:szCs w:val="18"/>
        </w:rPr>
        <w:t>本公司以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个月作为一个营业周期，并以其作为资产和负债的流动性划分标准。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pStyle w:val="BodyText"/>
        <w:spacing w:line="240" w:lineRule="auto" w:before="54"/>
        <w:ind w:right="0"/>
        <w:jc w:val="left"/>
      </w:pPr>
      <w:r>
        <w:rPr/>
        <w:t>本公司以人民币为记账本位币。</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02" w:firstLine="358"/>
        <w:jc w:val="both"/>
      </w:pPr>
      <w:r>
        <w:rPr>
          <w:rFonts w:ascii="Times New Roman" w:hAnsi="Times New Roman" w:cs="Times New Roman" w:eastAsia="Times New Roman" w:hint="default"/>
        </w:rPr>
        <w:t>(1)</w:t>
      </w:r>
      <w:r>
        <w:rPr/>
        <w:t>在同一控制下的企业合并中，公司作为购买方取得对其他参与合并企业的控制权，如以支付现金、转让非现金资产</w:t>
      </w:r>
      <w:r>
        <w:rPr>
          <w:w w:val="99"/>
        </w:rPr>
        <w:t> </w:t>
      </w:r>
      <w:r>
        <w:rPr/>
        <w:t>或承担债务方式作为合并对价的，在合并日按照被合并方所有者权益在最终控制方合并财务报表中的账面价值的份额作为</w:t>
      </w:r>
      <w:r>
        <w:rPr>
          <w:w w:val="99"/>
        </w:rPr>
        <w:t> </w:t>
      </w:r>
      <w:r>
        <w:rPr/>
        <w:t>长期股权投资的初始投资成本，长期股权投资初始投资成本与支付的现金、转让的非现金资产以及所承担债务账面价值之</w:t>
      </w:r>
      <w:r>
        <w:rPr>
          <w:w w:val="99"/>
        </w:rPr>
        <w:t> </w:t>
      </w:r>
      <w:r>
        <w:rPr/>
        <w:t>间的差额，调整资本公积；资本公积不足冲减的，调整留存收益；如以发行权益性证券作为合并对价的，在合并日按照被</w:t>
      </w:r>
      <w:r>
        <w:rPr>
          <w:w w:val="99"/>
        </w:rPr>
        <w:t> </w:t>
      </w:r>
      <w:r>
        <w:rPr/>
        <w:t>合并方所有者权益在最终控制方合并财务报表中的账面价值的份额作为长期股权投资的初始投资成本，按照发行股份的面</w:t>
      </w:r>
      <w:r>
        <w:rPr>
          <w:w w:val="99"/>
        </w:rPr>
        <w:t> </w:t>
      </w:r>
      <w:r>
        <w:rPr/>
        <w:t>值总额作为股本，长期股权投资初始投资成本与所发行股份面值总额之间的差额，调整资本公积，资本公积不足冲减的，</w:t>
      </w:r>
      <w:r>
        <w:rPr>
          <w:w w:val="99"/>
        </w:rPr>
        <w:t> </w:t>
      </w:r>
      <w:r>
        <w:rPr/>
        <w:t>调整留存收益。为进行企业合并发生的审计、法律服务、评估咨询等中介费用以及其他相关管理费用，于发生时计入当期</w:t>
      </w:r>
      <w:r>
        <w:rPr>
          <w:w w:val="99"/>
        </w:rPr>
        <w:t> </w:t>
      </w:r>
      <w:r>
        <w:rPr/>
        <w:t>损益。为企业合并发行的债券或承担其他债务支付的手续费、佣金等，应当计入所发行债券及其他债务的初始计量金额。</w:t>
      </w:r>
      <w:r>
        <w:rPr>
          <w:w w:val="99"/>
        </w:rPr>
        <w:t> </w:t>
      </w:r>
      <w:r>
        <w:rPr/>
        <w:t>企业合并中发行权益性证券发生的手续费、佣金等费用，应当抵减权益性证券溢价收入，溢价收入不足冲减的，冲减留存</w:t>
      </w:r>
      <w:r>
        <w:rPr>
          <w:w w:val="99"/>
        </w:rPr>
        <w:t> </w:t>
      </w:r>
      <w:r>
        <w:rPr/>
        <w:t>收益。</w:t>
      </w:r>
    </w:p>
    <w:p>
      <w:pPr>
        <w:pStyle w:val="BodyText"/>
        <w:spacing w:line="240" w:lineRule="auto" w:before="19"/>
        <w:ind w:left="510" w:right="0"/>
        <w:jc w:val="left"/>
      </w:pPr>
      <w:r>
        <w:rPr>
          <w:rFonts w:ascii="Times New Roman" w:hAnsi="Times New Roman" w:cs="Times New Roman" w:eastAsia="Times New Roman" w:hint="default"/>
        </w:rPr>
        <w:t>(2)</w:t>
      </w:r>
      <w:r>
        <w:rPr/>
        <w:t>公司对外合并如属非同一控制下的企业合并，按下列情况确定长期股权投资的初始投资成本：</w:t>
      </w:r>
    </w:p>
    <w:p>
      <w:pPr>
        <w:pStyle w:val="BodyText"/>
        <w:spacing w:line="316" w:lineRule="auto" w:before="63"/>
        <w:ind w:right="1216" w:firstLine="358"/>
        <w:jc w:val="left"/>
      </w:pPr>
      <w:r>
        <w:rPr/>
        <w:t>①一次交换交易实现的企业合并，长期股权投资的初始投资成本为购买方在购买日为取得对被购买方的控制权而付出 的资产、发生或承担的负债以及发行的权益性证券的公允价值；</w:t>
      </w:r>
    </w:p>
    <w:p>
      <w:pPr>
        <w:pStyle w:val="BodyText"/>
        <w:spacing w:line="240" w:lineRule="auto" w:before="19"/>
        <w:ind w:left="510" w:right="0"/>
        <w:jc w:val="left"/>
      </w:pPr>
      <w:r>
        <w:rPr/>
        <w:t>②通过多次交换交易分步实现的企业合并，长期股权投资的初始投资成本为每一单项交易成本之和；</w:t>
      </w:r>
    </w:p>
    <w:p>
      <w:pPr>
        <w:pStyle w:val="BodyText"/>
        <w:spacing w:line="316" w:lineRule="auto" w:before="76"/>
        <w:ind w:right="1216" w:firstLine="358"/>
        <w:jc w:val="left"/>
      </w:pPr>
      <w:r>
        <w:rPr/>
        <w:t>③为进行企业合并发生的审计、法律服务、评估咨询等中介费用以及其他相关管理费用，于发生时计入当期损益；作 为合并对价发行的权益性证券或债务性证券的交易费用，计入权益性证券或债务性证券的初始确认金额；</w:t>
      </w:r>
    </w:p>
    <w:p>
      <w:pPr>
        <w:pStyle w:val="BodyText"/>
        <w:spacing w:line="316" w:lineRule="auto" w:before="19"/>
        <w:ind w:right="1216" w:firstLine="358"/>
        <w:jc w:val="left"/>
      </w:pPr>
      <w:r>
        <w:rPr/>
        <w:t>④在合并合同或协议中对可能影响合并成本的未来事项作出约定的，在购买日如果估计未来事项很可能发生并且对合 并成本的影响金额能够可靠计量的，将其计入长期股权投资的初始投资成本。</w:t>
      </w:r>
    </w:p>
    <w:p>
      <w:pPr>
        <w:pStyle w:val="BodyText"/>
        <w:spacing w:line="300" w:lineRule="auto" w:before="19"/>
        <w:ind w:right="1186" w:firstLine="358"/>
        <w:jc w:val="left"/>
      </w:pPr>
      <w:r>
        <w:rPr>
          <w:rFonts w:ascii="Times New Roman" w:hAnsi="Times New Roman" w:cs="Times New Roman" w:eastAsia="Times New Roman" w:hint="default"/>
        </w:rPr>
        <w:t>(3)</w:t>
      </w:r>
      <w:r>
        <w:rPr/>
        <w:t>公司对外合并如属非同一控制下的企业合并，对长期股权投资的初始投资成本大于合并中取得的被购买方可辨认净</w:t>
      </w:r>
      <w:r>
        <w:rPr>
          <w:w w:val="99"/>
        </w:rPr>
        <w:t> </w:t>
      </w:r>
      <w:r>
        <w:rPr/>
        <w:t>资产公允价值份额的差额，确认为商誉。</w:t>
      </w:r>
    </w:p>
    <w:p>
      <w:pPr>
        <w:pStyle w:val="BodyText"/>
        <w:spacing w:line="240" w:lineRule="auto" w:before="31"/>
        <w:ind w:left="510" w:right="0"/>
        <w:jc w:val="left"/>
      </w:pPr>
      <w:r>
        <w:rPr/>
        <w:t>对长期股权投资的初始投资成本小于合并中取得的被购买方可辨认净资产公允价值份额的差额，按照下列方法处理：</w:t>
      </w:r>
    </w:p>
    <w:p>
      <w:pPr>
        <w:pStyle w:val="BodyText"/>
        <w:spacing w:line="240" w:lineRule="auto" w:before="77"/>
        <w:ind w:left="510" w:right="0"/>
        <w:jc w:val="left"/>
      </w:pPr>
      <w:r>
        <w:rPr/>
        <w:t>①对取得的被购买方各项可辨认资产、负债及或有负债的公允价值以及合并成本的计量进行复核；</w:t>
      </w:r>
    </w:p>
    <w:p>
      <w:pPr>
        <w:pStyle w:val="BodyText"/>
        <w:spacing w:line="240" w:lineRule="auto" w:before="76"/>
        <w:ind w:left="510" w:right="0"/>
        <w:jc w:val="left"/>
      </w:pPr>
      <w:r>
        <w:rPr/>
        <w:t>②经复核后合并成本仍小于合并中取得的被购买方可辨认净资产公允价值份额的，其差额应当计入当期损益。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69" w:firstLine="360"/>
        <w:jc w:val="left"/>
      </w:pPr>
      <w:r>
        <w:rPr/>
        <w:t>合并财务报表的合并范围以控制为基础予以确定。控制，是指投资方拥有对被投资方的权力</w:t>
      </w:r>
      <w:r>
        <w:rPr>
          <w:rFonts w:ascii="Times New Roman" w:hAnsi="Times New Roman" w:cs="Times New Roman" w:eastAsia="Times New Roman" w:hint="default"/>
        </w:rPr>
        <w:t>,</w:t>
      </w:r>
      <w:r>
        <w:rPr/>
        <w:t>通过参与被投资方的相关 活动而享有可变回报，并且有能力运用对被投资方的权力影响其回报金额。</w:t>
      </w:r>
    </w:p>
    <w:p>
      <w:pPr>
        <w:pStyle w:val="BodyText"/>
        <w:spacing w:line="300" w:lineRule="auto" w:before="31"/>
        <w:ind w:right="1154" w:firstLine="360"/>
        <w:jc w:val="left"/>
      </w:pPr>
      <w:r>
        <w:rPr/>
        <w:t>母公司应当将其全部子公司纳入合并财务报表的合并范围。子公司，是指被公司控制的主体</w:t>
      </w:r>
      <w:r>
        <w:rPr>
          <w:rFonts w:ascii="Times New Roman" w:hAnsi="Times New Roman" w:cs="Times New Roman" w:eastAsia="Times New Roman" w:hint="default"/>
        </w:rPr>
        <w:t>(</w:t>
      </w:r>
      <w:r>
        <w:rPr/>
        <w:t>含企业、被投资单位中可 分割的部分，以及企业所控制的结构化主体等</w:t>
      </w:r>
      <w:r>
        <w:rPr>
          <w:rFonts w:ascii="Times New Roman" w:hAnsi="Times New Roman" w:cs="Times New Roman" w:eastAsia="Times New Roman" w:hint="default"/>
        </w:rPr>
        <w:t>)</w:t>
      </w:r>
      <w:r>
        <w:rPr/>
        <w:t>。</w:t>
      </w:r>
    </w:p>
    <w:p>
      <w:pPr>
        <w:pStyle w:val="BodyText"/>
        <w:spacing w:line="240" w:lineRule="auto" w:before="13"/>
        <w:ind w:left="513" w:right="0"/>
        <w:jc w:val="left"/>
      </w:pPr>
      <w:r>
        <w:rPr/>
        <w:t>如果母公司是投资性主体，则母公司应当仅将为其投资活动提供相关服务的子公司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纳入合并范围并编制合并财</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14"/>
        <w:jc w:val="left"/>
      </w:pPr>
      <w:r>
        <w:rPr/>
        <w:t>务报表；其他子公司不应当予以合并，母公司对其他子公司的投资应当按照公允价值计量且其变动计入当期损益。当母公 司同时满足下列条件时，该母公司属于投资性主体：</w:t>
      </w:r>
    </w:p>
    <w:p>
      <w:pPr>
        <w:pStyle w:val="BodyText"/>
        <w:spacing w:line="300" w:lineRule="auto" w:before="17"/>
        <w:ind w:left="513" w:right="1393"/>
        <w:jc w:val="left"/>
      </w:pPr>
      <w:r>
        <w:rPr>
          <w:rFonts w:ascii="Times New Roman" w:hAnsi="Times New Roman" w:cs="Times New Roman" w:eastAsia="Times New Roman" w:hint="default"/>
        </w:rPr>
        <w:t>(1)</w:t>
      </w:r>
      <w:r>
        <w:rPr/>
        <w:t>该母公司是以向投资者提供投资管理服务为目的，从一个或多个投资者处获取资金；</w:t>
      </w:r>
      <w:r>
        <w:rPr>
          <w:w w:val="99"/>
        </w:rPr>
        <w:t> </w:t>
      </w:r>
      <w:r>
        <w:rPr>
          <w:rFonts w:ascii="Times New Roman" w:hAnsi="Times New Roman" w:cs="Times New Roman" w:eastAsia="Times New Roman" w:hint="default"/>
        </w:rPr>
        <w:t>(2)</w:t>
      </w:r>
      <w:r>
        <w:rPr/>
        <w:t>该母公司的唯一经营目的，是通过资本增值、投资收益或两者兼有而让投资者获得回报；</w:t>
      </w:r>
      <w:r>
        <w:rPr>
          <w:w w:val="99"/>
        </w:rPr>
        <w:t> </w:t>
      </w:r>
      <w:r>
        <w:rPr>
          <w:rFonts w:ascii="Times New Roman" w:hAnsi="Times New Roman" w:cs="Times New Roman" w:eastAsia="Times New Roman" w:hint="default"/>
        </w:rPr>
        <w:t>(3)</w:t>
      </w:r>
      <w:r>
        <w:rPr/>
        <w:t>该母公司按照公允价值对几乎所有投资的业绩进行考量和评价。</w:t>
      </w:r>
      <w:r>
        <w:rPr>
          <w:w w:val="99"/>
        </w:rPr>
        <w:t> </w:t>
      </w:r>
      <w:r>
        <w:rPr/>
        <w:t>编制合并报表时，公司与被合并子公司采用统一的会计政策和期间。合并财务报表以公司和子公司的财务报表为基</w:t>
      </w:r>
    </w:p>
    <w:p>
      <w:pPr>
        <w:pStyle w:val="BodyText"/>
        <w:spacing w:line="319" w:lineRule="auto" w:before="31"/>
        <w:ind w:right="1214"/>
        <w:jc w:val="left"/>
      </w:pPr>
      <w:r>
        <w:rPr/>
        <w:t>础，在抵销公司与子公司、子公司相互之间发生的内部交易对合并财务报表的影响后，由公司合并编制。公司在报告期内 因同一控制下企业合并增加的子公司，编制合并资产负债表时，调整合并资产负债表的年初数。因非同一控制下企业合并 增加的子公司，编制合并资产负债表时，不调整合并资产负债表的年初数。公司在报告期内因同一控制下企业合并增加的 子公司，将该子公司合并当期年初至报告期末的收入、费用、利润及现金流量纳入合并利润表及现金流量表。因非同一控 制下企业合并增加的子公司，将该子公司购买日至报告期末的收入、费用、利润及现金流量纳入合并利润表及现金流量 表。公司在报告期内处置子公司，将该子公司年初至处置日的收入、费用、利润及现金流量纳入合并利润表及现金流量 表。</w:t>
      </w:r>
    </w:p>
    <w:p>
      <w:pPr>
        <w:pStyle w:val="BodyText"/>
        <w:spacing w:line="309" w:lineRule="auto" w:before="17"/>
        <w:ind w:right="1169" w:firstLine="360"/>
        <w:jc w:val="both"/>
      </w:pPr>
      <w:r>
        <w:rPr/>
        <w:t>母公司购买子公司少数股东拥有的子公司股权，在合并财务报表中，因购买少数股权新取得的长期股权投资与按照新 增持股比例计算应享有子公司自购买日或合并日开始持续计算的净资产份额之间的差额，应当调整资本公积</w:t>
      </w:r>
      <w:r>
        <w:rPr>
          <w:rFonts w:ascii="Times New Roman" w:hAnsi="Times New Roman" w:cs="Times New Roman" w:eastAsia="Times New Roman" w:hint="default"/>
        </w:rPr>
        <w:t>(</w:t>
      </w:r>
      <w:r>
        <w:rPr/>
        <w:t>资本溢价或股 本溢价</w:t>
      </w:r>
      <w:r>
        <w:rPr>
          <w:rFonts w:ascii="Times New Roman" w:hAnsi="Times New Roman" w:cs="Times New Roman" w:eastAsia="Times New Roman" w:hint="default"/>
        </w:rPr>
        <w:t>)</w:t>
      </w:r>
      <w:r>
        <w:rPr/>
        <w:t>，资本公积不足冲减的，调整留存收益。</w:t>
      </w:r>
    </w:p>
    <w:p>
      <w:pPr>
        <w:pStyle w:val="BodyText"/>
        <w:spacing w:line="309" w:lineRule="auto" w:before="5"/>
        <w:ind w:right="1214" w:firstLine="360"/>
        <w:jc w:val="left"/>
      </w:pPr>
      <w:r>
        <w:rPr/>
        <w:t>母公司在不丧失控制权的情况下部分处置对子公司的长期股权投资，在合并财务报表中，处置价款与处置长期股权投 资相对应享有子公司自购买日或合并日开始持续计算的净资产份额之间的差额，应当调整资本公积</w:t>
      </w:r>
      <w:r>
        <w:rPr>
          <w:rFonts w:ascii="Times New Roman" w:hAnsi="Times New Roman" w:cs="Times New Roman" w:eastAsia="Times New Roman" w:hint="default"/>
        </w:rPr>
        <w:t>(</w:t>
      </w:r>
      <w:r>
        <w:rPr/>
        <w:t>资本溢价或股本溢 价</w:t>
      </w:r>
      <w:r>
        <w:rPr>
          <w:rFonts w:ascii="Times New Roman" w:hAnsi="Times New Roman" w:cs="Times New Roman" w:eastAsia="Times New Roman" w:hint="default"/>
        </w:rPr>
        <w:t>)</w:t>
      </w:r>
      <w:r>
        <w:rPr/>
        <w:t>，资本公积不足冲减的，调整留存收益。</w:t>
      </w:r>
    </w:p>
    <w:p>
      <w:pPr>
        <w:pStyle w:val="BodyText"/>
        <w:spacing w:line="316" w:lineRule="auto" w:before="5"/>
        <w:ind w:right="1214" w:firstLine="360"/>
        <w:jc w:val="left"/>
      </w:pPr>
      <w:r>
        <w:rPr/>
        <w:t>企业因处置部分股权投资等原因丧失了对被投资方的控制权的，在编制合并财务报表时，对于剩余股权，应当按照其 在丧失控制权日的公允价值进行重新计量。处置股权取得的对价与剩余股权公允价值之和，减去按原持股比例计算应享有 原有子公司自购买日或合并日开始持续计算的净资产的份额之间的差额，计入丧失控制权当期的投资收益，同时冲减商 誉。与原有子公司股权投资相关的其他综合收益等，应当在丧失控制权时转为当期投资收益，由于被投资方重新计量设定 受益计划净负债或净资产变动而产生的其他综合收益除外。</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0" w:right="1216"/>
        <w:jc w:val="left"/>
      </w:pPr>
      <w:r>
        <w:rPr/>
        <w:t>合营安排分为共同经营和合营企业。 共同经营，是指合营方享有该安排相关资产且承担该安排相关负债的合营安排。公司确认其与共同经营中利益份额相</w:t>
      </w:r>
    </w:p>
    <w:p>
      <w:pPr>
        <w:pStyle w:val="BodyText"/>
        <w:spacing w:line="304" w:lineRule="auto" w:before="19"/>
        <w:ind w:left="510" w:right="4966" w:hanging="359"/>
        <w:jc w:val="left"/>
      </w:pPr>
      <w:r>
        <w:rPr/>
        <w:t>关的下列项目，并按照相关企业会计准则的规定进行会计处理：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 </w:t>
      </w:r>
      <w:r>
        <w:rPr>
          <w:rFonts w:ascii="Times New Roman" w:hAnsi="Times New Roman" w:cs="Times New Roman" w:eastAsia="Times New Roman" w:hint="default"/>
        </w:rPr>
        <w:t>(2)</w:t>
      </w:r>
      <w:r>
        <w:rPr/>
        <w:t>确认单独所承担的负债，以及按其份额确认共同承担的负债； </w:t>
      </w:r>
      <w:r>
        <w:rPr>
          <w:rFonts w:ascii="Times New Roman" w:hAnsi="Times New Roman" w:cs="Times New Roman" w:eastAsia="Times New Roman" w:hint="default"/>
        </w:rPr>
        <w:t>(3)</w:t>
      </w:r>
      <w:r>
        <w:rPr/>
        <w:t>确认出售其享有的共同经营产出份额所产生的收入； </w:t>
      </w:r>
      <w:r>
        <w:rPr>
          <w:rFonts w:ascii="Times New Roman" w:hAnsi="Times New Roman" w:cs="Times New Roman" w:eastAsia="Times New Roman" w:hint="default"/>
        </w:rPr>
        <w:t>(4)</w:t>
      </w:r>
      <w:r>
        <w:rPr/>
        <w:t>按其份额确认共同经营因出售产出所产生的收入； </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240" w:lineRule="auto" w:before="9"/>
        <w:ind w:left="510" w:right="0"/>
        <w:jc w:val="left"/>
      </w:pPr>
      <w:r>
        <w:rPr/>
        <w:t>合营企业，是指合营方仅对该安排的净资产享有权利的合营安排。公司按照权益法对合营企业的投资进行会计处理。</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16" w:firstLine="358"/>
        <w:jc w:val="left"/>
      </w:pPr>
      <w:r>
        <w:rPr/>
        <w:t>现金是指库存现金以及可以随时用于支付的存款。现金等价物是指公司持有的期限短、流动性强、易于转换为已知金 额现金、价值变动风险很小的投资。</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0" w:right="0"/>
        <w:jc w:val="left"/>
      </w:pPr>
      <w:r>
        <w:rPr>
          <w:rFonts w:ascii="Times New Roman" w:hAnsi="Times New Roman" w:cs="Times New Roman" w:eastAsia="Times New Roman" w:hint="default"/>
        </w:rPr>
        <w:t>(1)</w:t>
      </w:r>
      <w:r>
        <w:rPr/>
        <w:t>外币交易在初始确认时，采用交易发生当日中国人民银行公布的人民币外汇牌价中间价将外币金额折算为人民币金</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额。</w:t>
      </w:r>
    </w:p>
    <w:p>
      <w:pPr>
        <w:pStyle w:val="BodyText"/>
        <w:spacing w:line="240" w:lineRule="auto" w:before="77"/>
        <w:ind w:left="510" w:right="0"/>
        <w:jc w:val="left"/>
      </w:pPr>
      <w:r>
        <w:rPr>
          <w:rFonts w:ascii="Times New Roman" w:hAnsi="Times New Roman" w:cs="Times New Roman" w:eastAsia="Times New Roman" w:hint="default"/>
        </w:rPr>
        <w:t>(2)</w:t>
      </w:r>
      <w:r>
        <w:rPr/>
        <w:t>于资产负债表日，按照下列方法对外币货币性项目和外币非货币性项目进行处理：</w:t>
      </w:r>
    </w:p>
    <w:p>
      <w:pPr>
        <w:pStyle w:val="BodyText"/>
        <w:spacing w:line="316" w:lineRule="auto" w:before="63"/>
        <w:ind w:right="1216" w:firstLine="358"/>
        <w:jc w:val="left"/>
      </w:pPr>
      <w:r>
        <w:rPr/>
        <w:t>①外币货币性项目，采用资产负债表日中国人民银行公布的人民币外汇牌价中间价折算。因资产负债表日即期汇率与 初始确认时或者前一资产负债表日即期汇率不同而产生的汇兑差额，计入当期损益。</w:t>
      </w:r>
    </w:p>
    <w:p>
      <w:pPr>
        <w:pStyle w:val="BodyText"/>
        <w:spacing w:line="316" w:lineRule="auto" w:before="19"/>
        <w:ind w:right="1231" w:firstLine="358"/>
        <w:jc w:val="both"/>
      </w:pPr>
      <w:r>
        <w:rPr/>
        <w:t>②以历史成本计量的外币非货币性项目，仍采用交易发生日的即期汇率折算，不改变其记账本位币金额；以公允价值 计量的外币非货币性项目，采用公允价值确定日的即期汇率折算，折算后的记账本位币金额与原记账本位币金额的差额， 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w:t>
      </w:r>
      <w:r>
        <w:rPr>
          <w:spacing w:val="-18"/>
        </w:rPr>
        <w:t> </w:t>
      </w:r>
      <w:r>
        <w:rPr/>
        <w:t>并根据非货币性项目的性质计入当期损益或其他综合收益。</w:t>
      </w:r>
    </w:p>
    <w:p>
      <w:pPr>
        <w:pStyle w:val="BodyText"/>
        <w:spacing w:line="316" w:lineRule="auto"/>
        <w:ind w:left="510" w:right="2836"/>
        <w:jc w:val="left"/>
      </w:pPr>
      <w:r>
        <w:rPr/>
        <w:t>货币性项目，是指公司持有的货币资金和将以固定或可确定的金额收取的资产或者偿付的负债。 非货币性项目，是指货币性项目以外的项目。</w:t>
      </w:r>
    </w:p>
    <w:p>
      <w:pPr>
        <w:pStyle w:val="BodyText"/>
        <w:spacing w:line="240" w:lineRule="auto" w:before="19"/>
        <w:ind w:left="510" w:right="0"/>
        <w:jc w:val="left"/>
      </w:pPr>
      <w:r>
        <w:rPr>
          <w:rFonts w:ascii="Times New Roman" w:hAnsi="Times New Roman" w:cs="Times New Roman" w:eastAsia="Times New Roman" w:hint="default"/>
        </w:rPr>
        <w:t>(3)</w:t>
      </w:r>
      <w:r>
        <w:rPr/>
        <w:t>境外经营实体的外币财务报表的折算方法：</w:t>
      </w:r>
    </w:p>
    <w:p>
      <w:pPr>
        <w:pStyle w:val="BodyText"/>
        <w:spacing w:line="300" w:lineRule="auto" w:before="63"/>
        <w:ind w:right="1236" w:firstLine="358"/>
        <w:jc w:val="left"/>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 他项目采用发生时的即期汇率折算；</w:t>
      </w:r>
    </w:p>
    <w:p>
      <w:pPr>
        <w:pStyle w:val="BodyText"/>
        <w:spacing w:line="300" w:lineRule="auto" w:before="32"/>
        <w:ind w:right="1172" w:firstLine="358"/>
        <w:jc w:val="both"/>
      </w:pPr>
      <w:r>
        <w:rPr/>
        <w:t>②利润表中的收入和费用项目，采用交易发生日的即期汇率折算</w:t>
      </w:r>
      <w:r>
        <w:rPr>
          <w:rFonts w:ascii="Times New Roman" w:hAnsi="Times New Roman" w:cs="Times New Roman" w:eastAsia="Times New Roman" w:hint="default"/>
        </w:rPr>
        <w:t>(</w:t>
      </w:r>
      <w:r>
        <w:rPr/>
        <w:t>或采用按照系统合理的方法确定的、与交易发生日即 期汇率近似的汇率折算</w:t>
      </w:r>
      <w:r>
        <w:rPr>
          <w:rFonts w:ascii="Times New Roman" w:hAnsi="Times New Roman" w:cs="Times New Roman" w:eastAsia="Times New Roman" w:hint="default"/>
        </w:rPr>
        <w:t>)</w:t>
      </w:r>
      <w:r>
        <w:rPr/>
        <w:t>；</w:t>
      </w:r>
    </w:p>
    <w:p>
      <w:pPr>
        <w:pStyle w:val="BodyText"/>
        <w:spacing w:line="309" w:lineRule="auto" w:before="13"/>
        <w:ind w:left="510" w:right="1216"/>
        <w:jc w:val="left"/>
      </w:pPr>
      <w:r>
        <w:rPr/>
        <w:t>③按照上述①、②折算产生的外币财务报表折算差额，在资产负债表中所有者权益项目下单独列示。 </w:t>
      </w:r>
      <w:r>
        <w:rPr>
          <w:rFonts w:ascii="Times New Roman" w:hAnsi="Times New Roman" w:cs="Times New Roman" w:eastAsia="Times New Roman" w:hint="default"/>
        </w:rPr>
        <w:t>(4)</w:t>
      </w:r>
      <w:r>
        <w:rPr/>
        <w:t>公司对处于恶性通货膨胀经济中的境外经营的财务报表，按照下列方法进行折算： 对资产负债表项目运用一般物价指数予以重述，对利润表项目运用一般物价指数变动予以重述，再按照最近资产负债</w:t>
      </w:r>
    </w:p>
    <w:p>
      <w:pPr>
        <w:pStyle w:val="BodyText"/>
        <w:spacing w:line="316" w:lineRule="auto" w:before="24"/>
        <w:ind w:left="510" w:right="1186" w:hanging="359"/>
        <w:jc w:val="left"/>
      </w:pPr>
      <w:r>
        <w:rPr/>
        <w:t>表日的即期汇率进行折算。 在境外经营不再处于恶性通货膨胀经济中时，停止重述，按照停止之日的价格水平重述的财务报表进行折算。 </w:t>
      </w:r>
      <w:r>
        <w:rPr>
          <w:rFonts w:ascii="Times New Roman" w:hAnsi="Times New Roman" w:cs="Times New Roman" w:eastAsia="Times New Roman" w:hint="default"/>
        </w:rPr>
        <w:t>(5)</w:t>
      </w:r>
      <w:r>
        <w:rPr/>
        <w:t>公司在处置境外经营时，将资产负债表中所有者权益项目下列示的、与该境外经营相关的外币财务报表折算差额，</w:t>
      </w:r>
    </w:p>
    <w:p>
      <w:pPr>
        <w:pStyle w:val="BodyText"/>
        <w:spacing w:line="316" w:lineRule="auto"/>
        <w:ind w:right="1214"/>
        <w:jc w:val="left"/>
      </w:pPr>
      <w:r>
        <w:rPr/>
        <w:t>自所有者权益项目转入处置当期损益；部分处置境外经营的，按处置的比例计算处置部分的外币财务报表折算差额，转入 处置当期损益。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w:t>
      </w:r>
      <w:r>
        <w:rPr>
          <w:rFonts w:ascii="Times New Roman" w:hAnsi="Times New Roman" w:cs="Times New Roman" w:eastAsia="Times New Roman" w:hint="default"/>
        </w:rPr>
        <w:t>)</w:t>
      </w:r>
    </w:p>
    <w:p>
      <w:pPr>
        <w:pStyle w:val="BodyText"/>
        <w:spacing w:line="316" w:lineRule="auto" w:before="63"/>
        <w:ind w:right="1034" w:firstLine="360"/>
        <w:jc w:val="left"/>
      </w:pPr>
      <w:r>
        <w:rPr/>
        <w:t>金融工具，是指形成一方的金融资产并形成其他方的金融负债或权益工具的合同。当公司成为金融工具合同的一方时， 确认相关的金融资产或金融负债。</w:t>
      </w:r>
    </w:p>
    <w:p>
      <w:pPr>
        <w:pStyle w:val="BodyText"/>
        <w:spacing w:line="240" w:lineRule="auto" w:before="19"/>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金融资产</w:t>
      </w:r>
    </w:p>
    <w:p>
      <w:pPr>
        <w:pStyle w:val="BodyText"/>
        <w:spacing w:line="316" w:lineRule="auto" w:before="63"/>
        <w:ind w:left="513" w:right="3373"/>
        <w:jc w:val="left"/>
      </w:pPr>
      <w:r>
        <w:rPr/>
        <w:t>①</w:t>
      </w:r>
      <w:r>
        <w:rPr>
          <w:spacing w:val="-18"/>
        </w:rPr>
        <w:t> </w:t>
      </w:r>
      <w:r>
        <w:rPr/>
        <w:t>分类和初始计量</w:t>
      </w:r>
      <w:r>
        <w:rPr/>
        <w:t> 公司根据管理金融资产的业务模式和金融资产的合同现金流量特征，将金融资产划分为： 以摊余成本计量的金融资产；</w:t>
      </w:r>
    </w:p>
    <w:p>
      <w:pPr>
        <w:pStyle w:val="BodyText"/>
        <w:spacing w:line="316" w:lineRule="auto" w:before="19"/>
        <w:ind w:left="513" w:right="5893"/>
        <w:jc w:val="left"/>
      </w:pPr>
      <w:r>
        <w:rPr/>
        <w:t>以公允价值计量且其变动计入其他综合收益的金融资产； 以公允价值计量且其变动计入当期损益的金融资产。</w:t>
      </w:r>
    </w:p>
    <w:p>
      <w:pPr>
        <w:pStyle w:val="BodyText"/>
        <w:spacing w:line="316" w:lineRule="auto" w:before="19"/>
        <w:ind w:right="1131"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入当期损益；对于其他类别的金融资产，相关交易费用计入初始确认金额。因销售产品或提供劳务而产生的、未包含或不考</w:t>
      </w:r>
      <w:r>
        <w:rPr>
          <w:spacing w:val="-65"/>
        </w:rPr>
        <w:t> </w:t>
      </w:r>
      <w:r>
        <w:rPr>
          <w:spacing w:val="-65"/>
        </w:rPr>
      </w:r>
      <w:r>
        <w:rPr/>
        <w:t>虑重大融资成分的应收账款或应收票据，公司按照预期有权收取的对价金额作为初始确认金额。</w:t>
      </w:r>
    </w:p>
    <w:p>
      <w:pPr>
        <w:pStyle w:val="BodyText"/>
        <w:spacing w:line="300" w:lineRule="auto" w:before="19"/>
        <w:ind w:left="513" w:right="21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债务工具 公司持有的债务工具是指从发行方角度分析符合金融负债定义的工具，分别采用以下三种方式进行计量：</w:t>
      </w:r>
    </w:p>
    <w:p>
      <w:pPr>
        <w:pStyle w:val="BodyText"/>
        <w:spacing w:line="300" w:lineRule="auto" w:before="31"/>
        <w:ind w:left="513" w:right="0"/>
        <w:jc w:val="left"/>
      </w:pPr>
      <w:r>
        <w:rPr>
          <w:rFonts w:ascii="Times New Roman" w:hAnsi="Times New Roman" w:cs="Times New Roman" w:eastAsia="Times New Roman" w:hint="default"/>
        </w:rPr>
        <w:t>&lt;1&gt;</w:t>
      </w:r>
      <w:r>
        <w:rPr>
          <w:rFonts w:ascii="Times New Roman" w:hAnsi="Times New Roman" w:cs="Times New Roman" w:eastAsia="Times New Roman" w:hint="default"/>
          <w:spacing w:val="26"/>
        </w:rPr>
        <w:t> </w:t>
      </w:r>
      <w:r>
        <w:rPr/>
        <w:t>以摊余成本计量： 公司管理此类金融资产的业务模式为以收取合同现金流量为目标，且此类金融资产的合同现金流量特征与基本借贷安</w:t>
      </w:r>
    </w:p>
    <w:p>
      <w:pPr>
        <w:pStyle w:val="BodyText"/>
        <w:spacing w:line="316" w:lineRule="auto" w:before="31"/>
        <w:ind w:right="1130"/>
        <w:jc w:val="both"/>
      </w:pPr>
      <w:r>
        <w:rPr>
          <w:spacing w:val="-2"/>
        </w:rPr>
        <w:t>排相一致，即在特定日期产生的现金流量，仅为对本金和以未偿付本金金额为基础的利息的支付。公司对于此类金融资产按</w:t>
      </w:r>
      <w:r>
        <w:rPr>
          <w:spacing w:val="-63"/>
        </w:rPr>
        <w:t> </w:t>
      </w:r>
      <w:r>
        <w:rPr>
          <w:spacing w:val="-63"/>
        </w:rPr>
      </w:r>
      <w:r>
        <w:rPr>
          <w:spacing w:val="-2"/>
        </w:rPr>
        <w:t>照实际利率法确认利息收入。此类金融资产主要包括货币资金、应收票据及应收账款、其他应收款、债权投资和长期应收款</w:t>
      </w:r>
      <w:r>
        <w:rPr>
          <w:spacing w:val="-64"/>
        </w:rPr>
        <w:t> </w:t>
      </w:r>
      <w:r>
        <w:rPr>
          <w:spacing w:val="-64"/>
        </w:rPr>
      </w:r>
      <w:r>
        <w:rPr>
          <w:spacing w:val="-1"/>
        </w:rPr>
        <w:t>等。公司将自资产负债表日起一年内</w:t>
      </w:r>
      <w:r>
        <w:rPr>
          <w:rFonts w:ascii="Times New Roman" w:hAnsi="Times New Roman" w:cs="Times New Roman" w:eastAsia="Times New Roman" w:hint="default"/>
          <w:spacing w:val="-1"/>
        </w:rPr>
        <w:t>(</w:t>
      </w:r>
      <w:r>
        <w:rPr>
          <w:spacing w:val="-1"/>
        </w:rPr>
        <w:t>含一年</w:t>
      </w:r>
      <w:r>
        <w:rPr>
          <w:rFonts w:ascii="Times New Roman" w:hAnsi="Times New Roman" w:cs="Times New Roman" w:eastAsia="Times New Roman" w:hint="default"/>
          <w:spacing w:val="-1"/>
        </w:rPr>
        <w:t>)</w:t>
      </w:r>
      <w:r>
        <w:rPr>
          <w:spacing w:val="-1"/>
        </w:rPr>
        <w:t>到期的债权投资和长期应收款，列示为一年内到期的非流动资产；取得时期限</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的债权投资列示为其他流动资产。</w:t>
      </w:r>
    </w:p>
    <w:p>
      <w:pPr>
        <w:pStyle w:val="BodyText"/>
        <w:spacing w:line="300" w:lineRule="auto" w:before="63"/>
        <w:ind w:left="513" w:right="0"/>
        <w:jc w:val="left"/>
      </w:pPr>
      <w:r>
        <w:rPr>
          <w:rFonts w:ascii="Times New Roman" w:hAnsi="Times New Roman" w:cs="Times New Roman" w:eastAsia="Times New Roman" w:hint="default"/>
        </w:rPr>
        <w:t>&lt;2&gt;</w:t>
      </w:r>
      <w:r>
        <w:rPr>
          <w:rFonts w:ascii="Times New Roman" w:hAnsi="Times New Roman" w:cs="Times New Roman" w:eastAsia="Times New Roman" w:hint="default"/>
          <w:spacing w:val="26"/>
        </w:rPr>
        <w:t> </w:t>
      </w:r>
      <w:r>
        <w:rPr/>
        <w:t>以公允价值计量且其变动计入其他综合收益： 公司管理此类金融资产的业务模式为既以收取合同现金流量为目标又以出售为目标，且此类金融资产的合同现金流量</w:t>
      </w:r>
    </w:p>
    <w:p>
      <w:pPr>
        <w:pStyle w:val="BodyText"/>
        <w:spacing w:line="309" w:lineRule="auto" w:before="31"/>
        <w:ind w:right="1128"/>
        <w:jc w:val="both"/>
      </w:pPr>
      <w:r>
        <w:rPr>
          <w:spacing w:val="-2"/>
        </w:rPr>
        <w:t>特征与基本借贷安排相一致。此类金融资产按照公允价值计量且其变动计入其他综合收益，但减值损失或利得、汇兑损益和</w:t>
      </w:r>
      <w:r>
        <w:rPr>
          <w:spacing w:val="-66"/>
        </w:rPr>
        <w:t> </w:t>
      </w:r>
      <w:r>
        <w:rPr>
          <w:spacing w:val="-66"/>
        </w:rPr>
      </w:r>
      <w:r>
        <w:rPr>
          <w:spacing w:val="-1"/>
        </w:rPr>
        <w:t>按照实际利率法计算的利息收入计入当期损益。此类金融资产列示为其他债权投资，自资产负债表日起一年内</w:t>
      </w:r>
      <w:r>
        <w:rPr>
          <w:rFonts w:ascii="Times New Roman" w:hAnsi="Times New Roman" w:cs="Times New Roman" w:eastAsia="Times New Roman" w:hint="default"/>
          <w:spacing w:val="-1"/>
        </w:rPr>
        <w:t>(</w:t>
      </w:r>
      <w:r>
        <w:rPr>
          <w:spacing w:val="-1"/>
        </w:rPr>
        <w:t>含一年</w:t>
      </w:r>
      <w:r>
        <w:rPr>
          <w:rFonts w:ascii="Times New Roman" w:hAnsi="Times New Roman" w:cs="Times New Roman" w:eastAsia="Times New Roman" w:hint="default"/>
          <w:spacing w:val="-1"/>
        </w:rPr>
        <w:t>)</w:t>
      </w:r>
      <w:r>
        <w:rPr>
          <w:spacing w:val="-1"/>
        </w:rPr>
        <w:t>到期</w:t>
      </w:r>
      <w:r>
        <w:rPr>
          <w:spacing w:val="-55"/>
        </w:rPr>
        <w:t> </w:t>
      </w:r>
      <w:r>
        <w:rPr/>
        <w:t>的其他债权投资，列示为一年内到期的非流动资产；取得时期限在一年内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的其他债权投资列示为其他流动资产。</w:t>
      </w:r>
    </w:p>
    <w:p>
      <w:pPr>
        <w:pStyle w:val="BodyText"/>
        <w:spacing w:line="300" w:lineRule="auto" w:before="5"/>
        <w:ind w:left="513" w:right="0"/>
        <w:jc w:val="left"/>
      </w:pPr>
      <w:r>
        <w:rPr>
          <w:rFonts w:ascii="Times New Roman" w:hAnsi="Times New Roman" w:cs="Times New Roman" w:eastAsia="Times New Roman" w:hint="default"/>
        </w:rPr>
        <w:t>&lt;3&gt;</w:t>
      </w:r>
      <w:r>
        <w:rPr>
          <w:rFonts w:ascii="Times New Roman" w:hAnsi="Times New Roman" w:cs="Times New Roman" w:eastAsia="Times New Roman" w:hint="default"/>
          <w:spacing w:val="26"/>
        </w:rPr>
        <w:t> </w:t>
      </w:r>
      <w:r>
        <w:rPr/>
        <w:t>以公允价值计量且其变动计入当期损益： 公司将持有的未划分为以摊余成本计量和以公允价值计量且其变动计入其他综合收益的债务工具，以公允价值计量且</w:t>
      </w:r>
    </w:p>
    <w:p>
      <w:pPr>
        <w:pStyle w:val="BodyText"/>
        <w:spacing w:line="316" w:lineRule="auto" w:before="31"/>
        <w:ind w:right="1131"/>
        <w:jc w:val="both"/>
      </w:pPr>
      <w:r>
        <w:rPr>
          <w:spacing w:val="-2"/>
        </w:rPr>
        <w:t>其变动计入当期损益，列示为交易性金融资产。在初始确认时，公司为了消除或显著减少会计错配，将部分金融资产指定为</w:t>
      </w:r>
      <w:r>
        <w:rPr>
          <w:spacing w:val="-65"/>
        </w:rPr>
        <w:t> </w:t>
      </w:r>
      <w:r>
        <w:rPr>
          <w:spacing w:val="-65"/>
        </w:rPr>
      </w:r>
      <w:r>
        <w:rPr>
          <w:spacing w:val="-2"/>
        </w:rPr>
        <w:t>以公允价值计量且其变动计入当期损益的金融资产。自资产负债表日起超过一年到期且预期持有超过一年的，列示为其他非</w:t>
      </w:r>
      <w:r>
        <w:rPr>
          <w:spacing w:val="-64"/>
        </w:rPr>
        <w:t> </w:t>
      </w:r>
      <w:r>
        <w:rPr>
          <w:spacing w:val="-64"/>
        </w:rPr>
      </w:r>
      <w:r>
        <w:rPr/>
        <w:t>流动金融资产。</w:t>
      </w:r>
    </w:p>
    <w:p>
      <w:pPr>
        <w:pStyle w:val="BodyText"/>
        <w:spacing w:line="300" w:lineRule="auto" w:before="19"/>
        <w:ind w:left="513" w:right="1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权益工具 </w:t>
      </w:r>
      <w:r>
        <w:rPr>
          <w:spacing w:val="-2"/>
        </w:rPr>
        <w:t>公司将对其没有控制、共同控制和重大影响的权益工具投资按照公允价值计量且其变动计入当期损益，列示为交易性金</w:t>
      </w:r>
    </w:p>
    <w:p>
      <w:pPr>
        <w:pStyle w:val="BodyText"/>
        <w:spacing w:line="316" w:lineRule="auto" w:before="31"/>
        <w:ind w:left="513" w:right="0" w:hanging="361"/>
        <w:jc w:val="left"/>
      </w:pPr>
      <w:r>
        <w:rPr/>
        <w:t>融资产；自资产负债表日起预期持有超过一年的，列示为其他非流动金融资产。 </w:t>
      </w:r>
      <w:r>
        <w:rPr>
          <w:spacing w:val="-2"/>
        </w:rPr>
        <w:t>此外，公司将部分非交易性权益工具投资指定为以公允价值计量且其变动计入其他综合收益的金融资产，列示为其他权</w:t>
      </w:r>
    </w:p>
    <w:p>
      <w:pPr>
        <w:pStyle w:val="BodyText"/>
        <w:spacing w:line="316" w:lineRule="auto" w:before="19"/>
        <w:ind w:right="1131"/>
        <w:jc w:val="both"/>
      </w:pPr>
      <w:r>
        <w:rPr>
          <w:spacing w:val="-2"/>
        </w:rPr>
        <w:t>益工具投资。该类金融资产的相关股利收入计入当期损益。该指定一经做出，不得撤销。本公司在非同一控制下的企业合并</w:t>
      </w:r>
      <w:r>
        <w:rPr>
          <w:spacing w:val="-64"/>
        </w:rPr>
        <w:t> </w:t>
      </w:r>
      <w:r>
        <w:rPr>
          <w:spacing w:val="-64"/>
        </w:rPr>
      </w:r>
      <w:r>
        <w:rPr/>
        <w:t>中确认的或有对价构成金融资产的，该金融资产分类为以公允价值计量且其变动计入当期损益的金融资产。</w:t>
      </w:r>
    </w:p>
    <w:p>
      <w:pPr>
        <w:pStyle w:val="BodyText"/>
        <w:spacing w:line="316" w:lineRule="auto" w:before="19"/>
        <w:ind w:right="0" w:firstLine="360"/>
        <w:jc w:val="left"/>
      </w:pPr>
      <w:r>
        <w:rPr/>
        <w:t>对于非交易性权益工具投资，公司可在初始确认时将其不可撤销地指定为以公允价值计量且其变动计入其他综合收益 的金融资产。该指定在单项投资的基础上作出，且相关投资从发行者的角度符合权益工具的定义。</w:t>
      </w:r>
    </w:p>
    <w:p>
      <w:pPr>
        <w:pStyle w:val="BodyText"/>
        <w:spacing w:line="316" w:lineRule="auto" w:before="19"/>
        <w:ind w:left="513" w:right="1033"/>
        <w:jc w:val="left"/>
      </w:pPr>
      <w:r>
        <w:rPr/>
        <w:t>②</w:t>
      </w:r>
      <w:r>
        <w:rPr>
          <w:spacing w:val="-18"/>
        </w:rPr>
        <w:t> </w:t>
      </w:r>
      <w:r>
        <w:rPr/>
        <w:t>减值</w:t>
      </w:r>
      <w:r>
        <w:rPr/>
        <w:t> 公司对于以摊余成本计量的金融资产、以公允价值计量且其变动计入其他综合收益的债务工具投资和财务担保合同等，</w:t>
      </w:r>
    </w:p>
    <w:p>
      <w:pPr>
        <w:pStyle w:val="BodyText"/>
        <w:spacing w:line="316" w:lineRule="auto" w:before="19"/>
        <w:ind w:right="1130"/>
        <w:jc w:val="both"/>
      </w:pPr>
      <w:r>
        <w:rPr/>
        <w:t>以预期信用损失为基础确认损失准备。公司考虑有关过去事项、当前状况以及对未来经济状况的预测等合理且有依据的信</w:t>
      </w:r>
      <w:r>
        <w:rPr>
          <w:spacing w:val="-11"/>
        </w:rPr>
        <w:t> </w:t>
      </w:r>
      <w:r>
        <w:rPr>
          <w:spacing w:val="-11"/>
        </w:rPr>
      </w:r>
      <w:r>
        <w:rPr>
          <w:spacing w:val="-2"/>
        </w:rPr>
        <w:t>息，以发生违约的风险为权重，计算合同应收的现金流量与预期能收到的现金流量之间差额的现值的概率加权金额，确认预</w:t>
      </w:r>
      <w:r>
        <w:rPr>
          <w:spacing w:val="-63"/>
        </w:rPr>
        <w:t> </w:t>
      </w:r>
      <w:r>
        <w:rPr>
          <w:spacing w:val="-63"/>
        </w:rPr>
      </w:r>
      <w:r>
        <w:rPr/>
        <w:t>期信用损失。</w:t>
      </w:r>
    </w:p>
    <w:p>
      <w:pPr>
        <w:pStyle w:val="BodyText"/>
        <w:spacing w:line="312" w:lineRule="auto" w:before="19"/>
        <w:ind w:right="1129" w:firstLine="360"/>
        <w:jc w:val="both"/>
      </w:pPr>
      <w:r>
        <w:rPr>
          <w:spacing w:val="-2"/>
        </w:rPr>
        <w:t>于每个资产负债表日，公司对于处于不同阶段的金融工具的预期信用损失分别进行计量。金融工具自初始确认后信用风</w:t>
      </w:r>
      <w:r>
        <w:rPr/>
        <w:t> </w:t>
      </w:r>
      <w:r>
        <w:rPr>
          <w:spacing w:val="-2"/>
        </w:rPr>
        <w:t>险未显著增加的，处于第一阶段，公司按照未来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个月内的预期信用损失计量损失准备；金融工具自初始确认后信用风险已</w:t>
      </w:r>
      <w:r>
        <w:rPr>
          <w:spacing w:val="-61"/>
        </w:rPr>
        <w:t> </w:t>
      </w:r>
      <w:r>
        <w:rPr>
          <w:spacing w:val="-61"/>
        </w:rPr>
      </w:r>
      <w:r>
        <w:rPr>
          <w:spacing w:val="-2"/>
        </w:rPr>
        <w:t>显著增加但尚未发生信用减值的，处于第二阶段，公司按照该工具整个存续期的预期信用损失计量损失准备；金融工具自初</w:t>
      </w:r>
      <w:r>
        <w:rPr>
          <w:spacing w:val="-66"/>
        </w:rPr>
        <w:t> </w:t>
      </w:r>
      <w:r>
        <w:rPr>
          <w:spacing w:val="-66"/>
        </w:rPr>
      </w:r>
      <w:r>
        <w:rPr/>
        <w:t>始确认后已经发生信用减值的，处于第三阶段，公司按照该工具整个存续期的预期信用损失计量损失准备。</w:t>
      </w:r>
    </w:p>
    <w:p>
      <w:pPr>
        <w:pStyle w:val="BodyText"/>
        <w:spacing w:line="300" w:lineRule="auto" w:before="22"/>
        <w:ind w:right="0" w:firstLine="360"/>
        <w:jc w:val="left"/>
      </w:pPr>
      <w:r>
        <w:rPr/>
        <w:t>对于在资产负债表日具有较低信用风险的金融工具，公司假设其信用风险自初始确认后并未显著增加，按照未来</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 月内的预期信用损失计量损失准备。</w:t>
      </w:r>
    </w:p>
    <w:p>
      <w:pPr>
        <w:pStyle w:val="BodyText"/>
        <w:spacing w:line="316" w:lineRule="auto" w:before="31"/>
        <w:ind w:right="0" w:firstLine="360"/>
        <w:jc w:val="left"/>
      </w:pPr>
      <w:r>
        <w:rPr>
          <w:spacing w:val="-2"/>
        </w:rPr>
        <w:t>公司对于处于第一阶段和第二阶段、以及较低信用风险的金融工具，按照其未扣除减值准备的账面余额和实际利率计算</w:t>
      </w:r>
      <w:r>
        <w:rPr/>
        <w:t> 利息收入。对于处于第三阶段的金融工具，按照其账面余额减已计提减值准备后的摊余成本和实际利率计算利息收入。</w:t>
      </w:r>
    </w:p>
    <w:p>
      <w:pPr>
        <w:pStyle w:val="BodyText"/>
        <w:spacing w:line="316" w:lineRule="auto" w:before="19"/>
        <w:ind w:right="1125" w:firstLine="360"/>
        <w:jc w:val="left"/>
      </w:pPr>
      <w:r>
        <w:rPr>
          <w:spacing w:val="-2"/>
        </w:rPr>
        <w:t>对于应收票据及应收账款和合同资产，无论是否存在重大融资成分，公司均可以按照整个存续期的预期信用损失计量损</w:t>
      </w:r>
      <w:r>
        <w:rPr/>
        <w:t> 失准备。</w:t>
      </w:r>
    </w:p>
    <w:p>
      <w:pPr>
        <w:pStyle w:val="BodyText"/>
        <w:spacing w:line="300" w:lineRule="auto" w:before="19"/>
        <w:ind w:left="513" w:right="35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信用风险显著增加判断标准 公司在每个资产负债表日评估相关金融工具的信用风险自初始确认后是否已显著增加。</w:t>
      </w:r>
    </w:p>
    <w:p>
      <w:pPr>
        <w:pStyle w:val="BodyText"/>
        <w:spacing w:line="316" w:lineRule="auto" w:before="31"/>
        <w:ind w:right="1034" w:firstLine="360"/>
        <w:jc w:val="left"/>
      </w:pPr>
      <w:r>
        <w:rPr/>
        <w:t>在确定信用风险自初始确认后是否显著增加时，公司考虑在无须付出不必要的额外成本或努力即可获得合理且有依据 </w:t>
      </w:r>
      <w:r>
        <w:rPr>
          <w:spacing w:val="-2"/>
        </w:rPr>
        <w:t>的信息，包括基于公司历史数据的定性和定量分析、外部信用风险评级以及前瞻性信息。公司以单项金融工具或者具有相似</w:t>
      </w:r>
      <w:r>
        <w:rPr>
          <w:spacing w:val="-63"/>
        </w:rPr>
        <w:t> </w:t>
      </w:r>
      <w:r>
        <w:rPr>
          <w:spacing w:val="-63"/>
        </w:rPr>
      </w:r>
      <w:r>
        <w:rPr/>
        <w:t>信用风险特征的金融工具组合为基础，通过比较金融工具在资产负债表日发生违约的风险与在初始确认日发生违约的风险，</w:t>
      </w:r>
      <w:r>
        <w:rPr>
          <w:spacing w:val="-83"/>
        </w:rPr>
        <w:t> </w:t>
      </w:r>
      <w:r>
        <w:rPr>
          <w:spacing w:val="-83"/>
        </w:rPr>
      </w:r>
      <w:r>
        <w:rPr/>
        <w:t>以确定金融工具预计存续期内发生违约风险的变化情况。</w:t>
      </w:r>
    </w:p>
    <w:p>
      <w:pPr>
        <w:pStyle w:val="BodyText"/>
        <w:spacing w:line="240" w:lineRule="auto" w:before="19"/>
        <w:ind w:left="513" w:right="0"/>
        <w:jc w:val="left"/>
      </w:pPr>
      <w:r>
        <w:rPr/>
        <w:t>当触发以下一个或多个定量或定性标准时，公司认为金融工具的信用风险已发生显著增加：</w:t>
      </w:r>
    </w:p>
    <w:p>
      <w:pPr>
        <w:pStyle w:val="BodyText"/>
        <w:spacing w:line="240" w:lineRule="auto" w:before="76"/>
        <w:ind w:left="513" w:right="0"/>
        <w:jc w:val="left"/>
      </w:pPr>
      <w:r>
        <w:rPr>
          <w:rFonts w:ascii="Times New Roman" w:hAnsi="Times New Roman" w:cs="Times New Roman" w:eastAsia="Times New Roman" w:hint="default"/>
        </w:rPr>
        <w:t>&lt;1&gt;</w:t>
      </w:r>
      <w:r>
        <w:rPr>
          <w:rFonts w:ascii="Times New Roman" w:hAnsi="Times New Roman" w:cs="Times New Roman" w:eastAsia="Times New Roman" w:hint="default"/>
          <w:spacing w:val="26"/>
        </w:rPr>
        <w:t> </w:t>
      </w:r>
      <w:r>
        <w:rPr/>
        <w:t>定量标准主要为报告日剩余存续期违约概率较初始确认时上升超过一定比例。</w:t>
      </w:r>
    </w:p>
    <w:p>
      <w:pPr>
        <w:pStyle w:val="BodyText"/>
        <w:spacing w:line="240" w:lineRule="auto" w:before="63"/>
        <w:ind w:left="513" w:right="0"/>
        <w:jc w:val="left"/>
      </w:pPr>
      <w:r>
        <w:rPr>
          <w:rFonts w:ascii="Times New Roman" w:hAnsi="Times New Roman" w:cs="Times New Roman" w:eastAsia="Times New Roman" w:hint="default"/>
        </w:rPr>
        <w:t>&lt;2&gt;</w:t>
      </w:r>
      <w:r>
        <w:rPr>
          <w:rFonts w:ascii="Times New Roman" w:hAnsi="Times New Roman" w:cs="Times New Roman" w:eastAsia="Times New Roman" w:hint="default"/>
          <w:spacing w:val="25"/>
        </w:rPr>
        <w:t> </w:t>
      </w:r>
      <w:r>
        <w:rPr/>
        <w:t>定性标准主要为债务人经营或财务情况出现重大不利变化、预警客户清单等。</w:t>
      </w:r>
    </w:p>
    <w:p>
      <w:pPr>
        <w:pStyle w:val="BodyText"/>
        <w:spacing w:line="240" w:lineRule="auto" w:before="62"/>
        <w:ind w:left="513" w:right="0"/>
        <w:jc w:val="left"/>
      </w:pPr>
      <w:r>
        <w:rPr>
          <w:rFonts w:ascii="Times New Roman" w:hAnsi="Times New Roman" w:cs="Times New Roman" w:eastAsia="Times New Roman" w:hint="default"/>
        </w:rPr>
        <w:t>&lt;3&gt;  </w:t>
      </w:r>
      <w:r>
        <w:rPr/>
        <w:t>上限指标为债务人合同付款</w:t>
      </w:r>
      <w:r>
        <w:rPr>
          <w:rFonts w:ascii="Times New Roman" w:hAnsi="Times New Roman" w:cs="Times New Roman" w:eastAsia="Times New Roman" w:hint="default"/>
        </w:rPr>
        <w:t>(</w:t>
      </w:r>
      <w:r>
        <w:rPr/>
        <w:t>包括本金和利息</w:t>
      </w:r>
      <w:r>
        <w:rPr>
          <w:rFonts w:ascii="Times New Roman" w:hAnsi="Times New Roman" w:cs="Times New Roman" w:eastAsia="Times New Roman" w:hint="default"/>
        </w:rPr>
        <w:t>)</w:t>
      </w:r>
      <w:r>
        <w:rPr/>
        <w:t>一般逾期超过</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天，最长不超过</w:t>
      </w:r>
      <w:r>
        <w:rPr>
          <w:rFonts w:ascii="Times New Roman" w:hAnsi="Times New Roman" w:cs="Times New Roman" w:eastAsia="Times New Roman" w:hint="default"/>
        </w:rPr>
        <w:t>90</w:t>
      </w:r>
      <w:r>
        <w:rPr/>
        <w:t>天。</w:t>
      </w:r>
    </w:p>
    <w:p>
      <w:pPr>
        <w:spacing w:after="0" w:line="240" w:lineRule="auto"/>
        <w:jc w:val="left"/>
        <w:sectPr>
          <w:footerReference w:type="default" r:id="rId56"/>
          <w:pgSz w:w="11910" w:h="16840"/>
          <w:pgMar w:footer="980" w:header="877"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已发生信用减值资产的定义 </w:t>
      </w:r>
      <w:r>
        <w:rPr>
          <w:spacing w:val="-2"/>
        </w:rPr>
        <w:t>为确定是否发生信用减值，公司所采用的界定标准，与内部针对相关金融工具的信用风险管理目标保持一致，同时考虑</w:t>
      </w:r>
    </w:p>
    <w:p>
      <w:pPr>
        <w:pStyle w:val="BodyText"/>
        <w:spacing w:line="240" w:lineRule="auto" w:before="31"/>
        <w:ind w:right="0"/>
        <w:jc w:val="both"/>
      </w:pPr>
      <w:r>
        <w:rPr/>
        <w:t>定量、定性指标。公司评估债务人是否发生信用减值时，主要考虑以下因素：</w:t>
      </w:r>
    </w:p>
    <w:p>
      <w:pPr>
        <w:pStyle w:val="BodyText"/>
        <w:spacing w:line="240" w:lineRule="auto" w:before="76"/>
        <w:ind w:left="513" w:right="0"/>
        <w:jc w:val="left"/>
      </w:pPr>
      <w:r>
        <w:rPr>
          <w:rFonts w:ascii="Times New Roman" w:hAnsi="Times New Roman" w:cs="Times New Roman" w:eastAsia="Times New Roman" w:hint="default"/>
        </w:rPr>
        <w:t>&lt;1&gt;</w:t>
      </w:r>
      <w:r>
        <w:rPr>
          <w:rFonts w:ascii="Times New Roman" w:hAnsi="Times New Roman" w:cs="Times New Roman" w:eastAsia="Times New Roman" w:hint="default"/>
          <w:spacing w:val="26"/>
        </w:rPr>
        <w:t> </w:t>
      </w:r>
      <w:r>
        <w:rPr/>
        <w:t>发行方或债务人发生重大财务困难；</w:t>
      </w:r>
    </w:p>
    <w:p>
      <w:pPr>
        <w:pStyle w:val="BodyText"/>
        <w:spacing w:line="240" w:lineRule="auto" w:before="63"/>
        <w:ind w:left="513" w:right="0"/>
        <w:jc w:val="left"/>
      </w:pPr>
      <w:r>
        <w:rPr>
          <w:rFonts w:ascii="Times New Roman" w:hAnsi="Times New Roman" w:cs="Times New Roman" w:eastAsia="Times New Roman" w:hint="default"/>
        </w:rPr>
        <w:t>&lt;2&gt;</w:t>
      </w:r>
      <w:r>
        <w:rPr>
          <w:rFonts w:ascii="Times New Roman" w:hAnsi="Times New Roman" w:cs="Times New Roman" w:eastAsia="Times New Roman" w:hint="default"/>
          <w:spacing w:val="26"/>
        </w:rPr>
        <w:t> </w:t>
      </w:r>
      <w:r>
        <w:rPr/>
        <w:t>债务人违反合同，如偿付利息或本金违约或逾期等；</w:t>
      </w:r>
    </w:p>
    <w:p>
      <w:pPr>
        <w:pStyle w:val="BodyText"/>
        <w:spacing w:line="240" w:lineRule="auto" w:before="63"/>
        <w:ind w:left="513" w:right="0"/>
        <w:jc w:val="left"/>
      </w:pPr>
      <w:r>
        <w:rPr>
          <w:rFonts w:ascii="Times New Roman" w:hAnsi="Times New Roman" w:cs="Times New Roman" w:eastAsia="Times New Roman" w:hint="default"/>
        </w:rPr>
        <w:t>&lt;3&gt;</w:t>
      </w:r>
      <w:r>
        <w:rPr>
          <w:rFonts w:ascii="Times New Roman" w:hAnsi="Times New Roman" w:cs="Times New Roman" w:eastAsia="Times New Roman" w:hint="default"/>
          <w:spacing w:val="26"/>
        </w:rPr>
        <w:t> </w:t>
      </w:r>
      <w:r>
        <w:rPr/>
        <w:t>债权人出于与债务人财务困难有关的经济或合同考虑，给予债务人在任何其他情况下都不会做出的让步；</w:t>
      </w:r>
    </w:p>
    <w:p>
      <w:pPr>
        <w:pStyle w:val="BodyText"/>
        <w:spacing w:line="240" w:lineRule="auto" w:before="63"/>
        <w:ind w:left="513" w:right="0"/>
        <w:jc w:val="left"/>
      </w:pPr>
      <w:r>
        <w:rPr>
          <w:rFonts w:ascii="Times New Roman" w:hAnsi="Times New Roman" w:cs="Times New Roman" w:eastAsia="Times New Roman" w:hint="default"/>
        </w:rPr>
        <w:t>&lt;4&gt;</w:t>
      </w:r>
      <w:r>
        <w:rPr>
          <w:rFonts w:ascii="Times New Roman" w:hAnsi="Times New Roman" w:cs="Times New Roman" w:eastAsia="Times New Roman" w:hint="default"/>
          <w:spacing w:val="26"/>
        </w:rPr>
        <w:t> </w:t>
      </w:r>
      <w:r>
        <w:rPr/>
        <w:t>债务人很可能破产或进行其他财务重组；</w:t>
      </w:r>
    </w:p>
    <w:p>
      <w:pPr>
        <w:pStyle w:val="BodyText"/>
        <w:spacing w:line="240" w:lineRule="auto" w:before="63"/>
        <w:ind w:left="513" w:right="0"/>
        <w:jc w:val="left"/>
      </w:pPr>
      <w:r>
        <w:rPr>
          <w:rFonts w:ascii="Times New Roman" w:hAnsi="Times New Roman" w:cs="Times New Roman" w:eastAsia="Times New Roman" w:hint="default"/>
        </w:rPr>
        <w:t>&lt;5&gt;</w:t>
      </w:r>
      <w:r>
        <w:rPr>
          <w:rFonts w:ascii="Times New Roman" w:hAnsi="Times New Roman" w:cs="Times New Roman" w:eastAsia="Times New Roman" w:hint="default"/>
          <w:spacing w:val="26"/>
        </w:rPr>
        <w:t> </w:t>
      </w:r>
      <w:r>
        <w:rPr/>
        <w:t>发行方或债务人财务困难导致该金融资产的活跃市场消失；</w:t>
      </w:r>
    </w:p>
    <w:p>
      <w:pPr>
        <w:pStyle w:val="BodyText"/>
        <w:spacing w:line="240" w:lineRule="auto" w:before="63"/>
        <w:ind w:left="513" w:right="0"/>
        <w:jc w:val="left"/>
      </w:pPr>
      <w:r>
        <w:rPr>
          <w:rFonts w:ascii="Times New Roman" w:hAnsi="Times New Roman" w:cs="Times New Roman" w:eastAsia="Times New Roman" w:hint="default"/>
        </w:rPr>
        <w:t>&lt;6&gt;</w:t>
      </w:r>
      <w:r>
        <w:rPr>
          <w:rFonts w:ascii="Times New Roman" w:hAnsi="Times New Roman" w:cs="Times New Roman" w:eastAsia="Times New Roman" w:hint="default"/>
          <w:spacing w:val="26"/>
        </w:rPr>
        <w:t> </w:t>
      </w:r>
      <w:r>
        <w:rPr/>
        <w:t>以大幅折扣购买或源生一项金融资产，该折扣反映了发生信用损失的事实；</w:t>
      </w:r>
    </w:p>
    <w:p>
      <w:pPr>
        <w:pStyle w:val="BodyText"/>
        <w:spacing w:line="240" w:lineRule="auto" w:before="63"/>
        <w:ind w:left="513" w:right="0"/>
        <w:jc w:val="left"/>
      </w:pPr>
      <w:r>
        <w:rPr>
          <w:rFonts w:ascii="Times New Roman" w:hAnsi="Times New Roman" w:cs="Times New Roman" w:eastAsia="Times New Roman" w:hint="default"/>
        </w:rPr>
        <w:t>&lt;7&gt;</w:t>
      </w:r>
      <w:r>
        <w:rPr>
          <w:rFonts w:ascii="Times New Roman" w:hAnsi="Times New Roman" w:cs="Times New Roman" w:eastAsia="Times New Roman" w:hint="default"/>
          <w:spacing w:val="26"/>
        </w:rPr>
        <w:t> </w:t>
      </w:r>
      <w:r>
        <w:rPr/>
        <w:t>金融资产发生信用减值，有可能是多个事件的共同作用所致，未必是可单独识别的事件所致。</w:t>
      </w:r>
    </w:p>
    <w:p>
      <w:pPr>
        <w:pStyle w:val="BodyText"/>
        <w:spacing w:line="300" w:lineRule="auto" w:before="63"/>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预期信用损失计量的参数 根据信用风险是否发生显著增加以及是否已发生信用减值，公司对不同的资产分别以</w:t>
      </w:r>
      <w:r>
        <w:rPr>
          <w:rFonts w:ascii="Times New Roman" w:hAnsi="Times New Roman" w:cs="Times New Roman" w:eastAsia="Times New Roman" w:hint="default"/>
        </w:rPr>
        <w:t>12</w:t>
      </w:r>
      <w:r>
        <w:rPr/>
        <w:t>个月或整个存续期的预期信用</w:t>
      </w:r>
    </w:p>
    <w:p>
      <w:pPr>
        <w:pStyle w:val="BodyText"/>
        <w:spacing w:line="300" w:lineRule="auto" w:before="13"/>
        <w:ind w:right="1131"/>
        <w:jc w:val="both"/>
      </w:pPr>
      <w:r>
        <w:rPr/>
        <w:t>损失计量减值准备。预期信用损失计量的关键参数包括违约概率、违约损失率和违约风险敞口。公司考虑历史统计数据</w:t>
      </w:r>
      <w:r>
        <w:rPr>
          <w:rFonts w:ascii="Times New Roman" w:hAnsi="Times New Roman" w:cs="Times New Roman" w:eastAsia="Times New Roman" w:hint="default"/>
        </w:rPr>
        <w:t>(</w:t>
      </w:r>
      <w:r>
        <w:rPr/>
        <w:t>如</w:t>
      </w:r>
      <w:r>
        <w:rPr>
          <w:spacing w:val="-54"/>
        </w:rPr>
        <w:t> </w:t>
      </w:r>
      <w:r>
        <w:rPr/>
        <w:t>交易对手评级、担保方式及抵质押物类别、还款方式等</w:t>
      </w:r>
      <w:r>
        <w:rPr>
          <w:rFonts w:ascii="Times New Roman" w:hAnsi="Times New Roman" w:cs="Times New Roman" w:eastAsia="Times New Roman" w:hint="default"/>
        </w:rPr>
        <w:t>)</w:t>
      </w:r>
      <w:r>
        <w:rPr/>
        <w:t>的定量分析及前瞻性信息，建立违约概率、违约损失率及违约风险</w:t>
      </w:r>
      <w:r>
        <w:rPr>
          <w:spacing w:val="-57"/>
        </w:rPr>
        <w:t> </w:t>
      </w:r>
      <w:r>
        <w:rPr>
          <w:spacing w:val="-57"/>
        </w:rPr>
      </w:r>
      <w:r>
        <w:rPr/>
        <w:t>敞口模型。</w:t>
      </w:r>
    </w:p>
    <w:p>
      <w:pPr>
        <w:pStyle w:val="BodyText"/>
        <w:spacing w:line="240" w:lineRule="auto" w:before="31"/>
        <w:ind w:left="513" w:right="0"/>
        <w:jc w:val="left"/>
      </w:pPr>
      <w:r>
        <w:rPr/>
        <w:t>相关定义如下：</w:t>
      </w:r>
    </w:p>
    <w:p>
      <w:pPr>
        <w:pStyle w:val="BodyText"/>
        <w:spacing w:line="300" w:lineRule="auto" w:before="76"/>
        <w:ind w:right="0" w:firstLine="360"/>
        <w:jc w:val="left"/>
      </w:pPr>
      <w:r>
        <w:rPr>
          <w:rFonts w:ascii="Times New Roman" w:hAnsi="Times New Roman" w:cs="Times New Roman" w:eastAsia="Times New Roman" w:hint="default"/>
        </w:rPr>
        <w:t>&lt;1&gt; </w:t>
      </w:r>
      <w:r>
        <w:rPr/>
        <w:t>违约概率是指债务人在未来</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个月或在整个剩余存续期，无法履行其偿付义务的可能性。公司的违约概率以历史 信用损失模型结果为基础进行调整，加入前瞻性信息，以反映当前宏观经济环境下债务人违约概率；</w:t>
      </w:r>
    </w:p>
    <w:p>
      <w:pPr>
        <w:pStyle w:val="BodyText"/>
        <w:spacing w:line="300" w:lineRule="auto" w:before="31"/>
        <w:ind w:right="1129" w:firstLine="360"/>
        <w:jc w:val="both"/>
      </w:pPr>
      <w:r>
        <w:rPr>
          <w:rFonts w:ascii="Times New Roman" w:hAnsi="Times New Roman" w:cs="Times New Roman" w:eastAsia="Times New Roman" w:hint="default"/>
        </w:rPr>
        <w:t>&lt;2&gt;</w:t>
      </w:r>
      <w:r>
        <w:rPr>
          <w:rFonts w:ascii="Times New Roman" w:hAnsi="Times New Roman" w:cs="Times New Roman" w:eastAsia="Times New Roman" w:hint="default"/>
          <w:spacing w:val="37"/>
        </w:rPr>
        <w:t> </w:t>
      </w:r>
      <w:r>
        <w:rPr>
          <w:spacing w:val="-2"/>
        </w:rPr>
        <w:t>违约损失率是指公司对违约风险暴露发生损失程度作出的预期。根据交易对手的类型、追索的方式和优先级，以及</w:t>
      </w:r>
      <w:r>
        <w:rPr/>
        <w:t> 担保品的不同，违约损失率也有所不同。违约损失率为违约发生时风险敞口损失的百分比，以未来</w:t>
      </w:r>
      <w:r>
        <w:rPr>
          <w:rFonts w:ascii="Times New Roman" w:hAnsi="Times New Roman" w:cs="Times New Roman" w:eastAsia="Times New Roman" w:hint="default"/>
        </w:rPr>
        <w:t>12 </w:t>
      </w:r>
      <w:r>
        <w:rPr/>
        <w:t>个月内或整个存续期</w:t>
      </w:r>
      <w:r>
        <w:rPr>
          <w:spacing w:val="-81"/>
        </w:rPr>
        <w:t> </w:t>
      </w:r>
      <w:r>
        <w:rPr>
          <w:spacing w:val="-81"/>
        </w:rPr>
      </w:r>
      <w:r>
        <w:rPr/>
        <w:t>为基准进行计算；</w:t>
      </w:r>
    </w:p>
    <w:p>
      <w:pPr>
        <w:pStyle w:val="BodyText"/>
        <w:spacing w:line="240" w:lineRule="auto" w:before="31"/>
        <w:ind w:left="513" w:right="0"/>
        <w:jc w:val="left"/>
      </w:pPr>
      <w:r>
        <w:rPr>
          <w:rFonts w:ascii="Times New Roman" w:hAnsi="Times New Roman" w:cs="Times New Roman" w:eastAsia="Times New Roman" w:hint="default"/>
        </w:rPr>
        <w:t>&lt;3&gt;  </w:t>
      </w:r>
      <w:r>
        <w:rPr/>
        <w:t>违约风险敞口是指，在未来</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个月或在整个剩余存续期中，在违约发生时，公司应被偿付的金额。</w:t>
      </w:r>
    </w:p>
    <w:p>
      <w:pPr>
        <w:pStyle w:val="BodyText"/>
        <w:spacing w:line="300" w:lineRule="auto" w:before="63"/>
        <w:ind w:left="513" w:right="112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前瞻性信息 </w:t>
      </w:r>
      <w:r>
        <w:rPr>
          <w:spacing w:val="-2"/>
        </w:rPr>
        <w:t>信用风险显著增加的评估及预期信用损失的计算均涉及前瞻性信息。公司通过进行历史数据分析，识别出影响各业务类</w:t>
      </w:r>
    </w:p>
    <w:p>
      <w:pPr>
        <w:pStyle w:val="BodyText"/>
        <w:spacing w:line="316" w:lineRule="auto" w:before="32"/>
        <w:ind w:left="513" w:right="0" w:hanging="361"/>
        <w:jc w:val="left"/>
      </w:pPr>
      <w:r>
        <w:rPr/>
        <w:t>型信用风险及预期信用损失的关键经济指标。 </w:t>
      </w:r>
      <w:r>
        <w:rPr>
          <w:spacing w:val="-2"/>
        </w:rPr>
        <w:t>当单项金融资产无法以合理成本评估预期信用损失的信息时，公司依据信用风险特征将应收款项划分为若干组合，在组</w:t>
      </w:r>
    </w:p>
    <w:p>
      <w:pPr>
        <w:pStyle w:val="BodyText"/>
        <w:spacing w:line="240" w:lineRule="auto" w:before="19"/>
        <w:ind w:right="0"/>
        <w:jc w:val="both"/>
      </w:pPr>
      <w:r>
        <w:rPr/>
        <w:t>合基础上计算预期信用损失，确定组合的依据如下：</w:t>
      </w:r>
    </w:p>
    <w:p>
      <w:pPr>
        <w:pStyle w:val="BodyText"/>
        <w:spacing w:line="240" w:lineRule="auto" w:before="117"/>
        <w:ind w:left="441" w:right="0"/>
        <w:jc w:val="left"/>
      </w:pPr>
      <w:r>
        <w:rPr>
          <w:rFonts w:ascii="Times New Roman" w:hAnsi="Times New Roman" w:cs="Times New Roman" w:eastAsia="Times New Roman" w:hint="default"/>
        </w:rPr>
        <w:t>&lt;1&gt;</w:t>
      </w:r>
      <w:r>
        <w:rPr>
          <w:rFonts w:ascii="Times New Roman" w:hAnsi="Times New Roman" w:cs="Times New Roman" w:eastAsia="Times New Roman" w:hint="default"/>
          <w:spacing w:val="26"/>
        </w:rPr>
        <w:t> </w:t>
      </w:r>
      <w:r>
        <w:rPr/>
        <w:t>应收票据组合：</w:t>
      </w:r>
    </w:p>
    <w:p>
      <w:pPr>
        <w:spacing w:line="240" w:lineRule="auto" w:before="1"/>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1133"/>
        <w:gridCol w:w="3545"/>
        <w:gridCol w:w="4820"/>
      </w:tblGrid>
      <w:tr>
        <w:trPr>
          <w:trHeight w:val="34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3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11"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3"/>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正常情况下，信用程度较高。</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一般不计提预期信用损失。</w:t>
            </w:r>
          </w:p>
        </w:tc>
      </w:tr>
      <w:tr>
        <w:trPr>
          <w:trHeight w:val="97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3"/>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正常情况下，信用程度低于银行承兑汇票。</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46"/>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 的预测，通过违约风险敞口和未来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个月内或整个存续期预 期信用损失率，计算预期信用损失。</w:t>
            </w:r>
          </w:p>
        </w:tc>
      </w:tr>
    </w:tbl>
    <w:p>
      <w:pPr>
        <w:pStyle w:val="BodyText"/>
        <w:spacing w:line="240" w:lineRule="auto" w:before="8"/>
        <w:ind w:left="405" w:right="0"/>
        <w:jc w:val="left"/>
      </w:pPr>
      <w:r>
        <w:rPr>
          <w:rFonts w:ascii="Times New Roman" w:hAnsi="Times New Roman" w:cs="Times New Roman" w:eastAsia="Times New Roman" w:hint="default"/>
        </w:rPr>
        <w:t>&lt;2&gt;</w:t>
      </w:r>
      <w:r>
        <w:rPr>
          <w:rFonts w:ascii="Times New Roman" w:hAnsi="Times New Roman" w:cs="Times New Roman" w:eastAsia="Times New Roman" w:hint="default"/>
          <w:spacing w:val="26"/>
        </w:rPr>
        <w:t> </w:t>
      </w:r>
      <w:r>
        <w:rPr/>
        <w:t>应收账款组合：</w:t>
      </w:r>
    </w:p>
    <w:p>
      <w:pPr>
        <w:pStyle w:val="BodyText"/>
        <w:spacing w:line="240" w:lineRule="auto" w:before="63"/>
        <w:ind w:left="513" w:right="0"/>
        <w:jc w:val="left"/>
      </w:pPr>
      <w:r>
        <w:rPr>
          <w:rFonts w:ascii="Times New Roman" w:hAnsi="Times New Roman" w:cs="Times New Roman" w:eastAsia="Times New Roman" w:hint="default"/>
        </w:rPr>
        <w:t>1&gt;</w:t>
      </w:r>
      <w:r>
        <w:rPr>
          <w:rFonts w:ascii="Times New Roman" w:hAnsi="Times New Roman" w:cs="Times New Roman" w:eastAsia="Times New Roman" w:hint="default"/>
          <w:spacing w:val="27"/>
        </w:rPr>
        <w:t> </w:t>
      </w:r>
      <w:r>
        <w:rPr/>
        <w:t>具体组合及计量预期信用损失的方法</w:t>
      </w:r>
    </w:p>
    <w:p>
      <w:pPr>
        <w:spacing w:line="240" w:lineRule="auto" w:before="3"/>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2552"/>
        <w:gridCol w:w="1417"/>
        <w:gridCol w:w="5531"/>
      </w:tblGrid>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69"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97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信用风险特征组合</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10" w:right="3"/>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 编制应收账款逾期天数与整个存续期预期信用损失率对照表，计算预 期信用损失。</w:t>
            </w:r>
          </w:p>
        </w:tc>
      </w:tr>
    </w:tbl>
    <w:p>
      <w:pPr>
        <w:pStyle w:val="BodyText"/>
        <w:spacing w:line="240" w:lineRule="auto" w:before="8"/>
        <w:ind w:left="441" w:right="0"/>
        <w:jc w:val="left"/>
      </w:pPr>
      <w:r>
        <w:rPr>
          <w:rFonts w:ascii="Times New Roman" w:hAnsi="Times New Roman" w:cs="Times New Roman" w:eastAsia="Times New Roman" w:hint="default"/>
        </w:rPr>
        <w:t>2&gt;</w:t>
      </w:r>
      <w:r>
        <w:rPr>
          <w:rFonts w:ascii="Times New Roman" w:hAnsi="Times New Roman" w:cs="Times New Roman" w:eastAsia="Times New Roman" w:hint="default"/>
          <w:spacing w:val="26"/>
        </w:rPr>
        <w:t> </w:t>
      </w:r>
      <w:r>
        <w:rPr/>
        <w:t>应收账款</w:t>
      </w:r>
      <w:r>
        <w:rPr>
          <w:rFonts w:ascii="Times New Roman" w:hAnsi="Times New Roman" w:cs="Times New Roman" w:eastAsia="Times New Roman" w:hint="default"/>
        </w:rPr>
        <w:t>—</w:t>
      </w:r>
      <w:r>
        <w:rPr/>
        <w:t>信用风险特征组合的账龄与整个存续期预期信用损失率对照表</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4388"/>
        <w:gridCol w:w="2444"/>
        <w:gridCol w:w="2667"/>
      </w:tblGrid>
      <w:tr>
        <w:trPr>
          <w:trHeight w:val="346"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1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60"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p>
        </w:tc>
      </w:tr>
      <w:tr>
        <w:trPr>
          <w:trHeight w:val="348" w:hRule="exact"/>
        </w:trPr>
        <w:tc>
          <w:tcPr>
            <w:tcW w:w="4388" w:type="dxa"/>
            <w:tcBorders>
              <w:top w:val="single" w:sz="6" w:space="0" w:color="000000"/>
              <w:left w:val="single" w:sz="6" w:space="0" w:color="000000"/>
              <w:bottom w:val="single" w:sz="6" w:space="0" w:color="000000"/>
              <w:right w:val="single" w:sz="6" w:space="0" w:color="000000"/>
            </w:tcBorders>
          </w:tcPr>
          <w:p>
            <w:pP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游戏行业</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8" w:right="0"/>
              <w:jc w:val="left"/>
              <w:rPr>
                <w:rFonts w:ascii="宋体" w:hAnsi="宋体" w:cs="宋体" w:eastAsia="宋体" w:hint="default"/>
                <w:sz w:val="18"/>
                <w:szCs w:val="18"/>
              </w:rPr>
            </w:pPr>
            <w:r>
              <w:rPr>
                <w:rFonts w:ascii="宋体" w:hAnsi="宋体" w:cs="宋体" w:eastAsia="宋体" w:hint="default"/>
                <w:sz w:val="18"/>
                <w:szCs w:val="18"/>
              </w:rPr>
              <w:t>电气及其他</w:t>
            </w:r>
          </w:p>
        </w:tc>
      </w:tr>
      <w:tr>
        <w:trPr>
          <w:trHeight w:val="348"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3.91%</w:t>
            </w:r>
          </w:p>
        </w:tc>
      </w:tr>
    </w:tbl>
    <w:p>
      <w:pPr>
        <w:spacing w:after="0" w:line="240" w:lineRule="auto"/>
        <w:jc w:val="right"/>
        <w:rPr>
          <w:rFonts w:ascii="Times New Roman" w:hAnsi="Times New Roman" w:cs="Times New Roman" w:eastAsia="Times New Roman" w:hint="default"/>
          <w:sz w:val="18"/>
          <w:szCs w:val="18"/>
        </w:rPr>
        <w:sectPr>
          <w:footerReference w:type="default" r:id="rId57"/>
          <w:pgSz w:w="11910" w:h="16840"/>
          <w:pgMar w:footer="980"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64" w:type="dxa"/>
        <w:tblLayout w:type="fixed"/>
        <w:tblCellMar>
          <w:top w:w="0" w:type="dxa"/>
          <w:left w:w="0" w:type="dxa"/>
          <w:bottom w:w="0" w:type="dxa"/>
          <w:right w:w="0" w:type="dxa"/>
        </w:tblCellMar>
        <w:tblLook w:val="01E0"/>
      </w:tblPr>
      <w:tblGrid>
        <w:gridCol w:w="4388"/>
        <w:gridCol w:w="2444"/>
        <w:gridCol w:w="2667"/>
      </w:tblGrid>
      <w:tr>
        <w:trPr>
          <w:trHeight w:val="348"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3.91%</w:t>
            </w:r>
          </w:p>
        </w:tc>
      </w:tr>
      <w:tr>
        <w:trPr>
          <w:trHeight w:val="346"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3.91%</w:t>
            </w:r>
          </w:p>
        </w:tc>
      </w:tr>
      <w:tr>
        <w:trPr>
          <w:trHeight w:val="348"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16.51%</w:t>
            </w:r>
          </w:p>
        </w:tc>
      </w:tr>
      <w:tr>
        <w:trPr>
          <w:trHeight w:val="346"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20%</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22.78%</w:t>
            </w:r>
          </w:p>
        </w:tc>
      </w:tr>
      <w:tr>
        <w:trPr>
          <w:trHeight w:val="348"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44.50%</w:t>
            </w:r>
          </w:p>
        </w:tc>
      </w:tr>
      <w:tr>
        <w:trPr>
          <w:trHeight w:val="346"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100%</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68.99%</w:t>
            </w:r>
          </w:p>
        </w:tc>
      </w:tr>
      <w:tr>
        <w:trPr>
          <w:trHeight w:val="348" w:hRule="exact"/>
        </w:trPr>
        <w:tc>
          <w:tcPr>
            <w:tcW w:w="4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2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8"/>
        <w:ind w:left="657" w:right="0"/>
        <w:jc w:val="left"/>
      </w:pPr>
      <w:r>
        <w:rPr>
          <w:rFonts w:ascii="Times New Roman" w:hAnsi="Times New Roman" w:cs="Times New Roman" w:eastAsia="Times New Roman" w:hint="default"/>
        </w:rPr>
        <w:t>&lt;3&gt;</w:t>
      </w:r>
      <w:r>
        <w:rPr>
          <w:rFonts w:ascii="Times New Roman" w:hAnsi="Times New Roman" w:cs="Times New Roman" w:eastAsia="Times New Roman" w:hint="default"/>
          <w:spacing w:val="26"/>
        </w:rPr>
        <w:t> </w:t>
      </w:r>
      <w:r>
        <w:rPr/>
        <w:t>其他应收款组合：</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841"/>
        <w:gridCol w:w="2837"/>
        <w:gridCol w:w="4820"/>
      </w:tblGrid>
      <w:tr>
        <w:trPr>
          <w:trHeight w:val="348"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8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11"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46"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7"/>
              <w:jc w:val="left"/>
              <w:rPr>
                <w:rFonts w:ascii="宋体" w:hAnsi="宋体" w:cs="宋体" w:eastAsia="宋体" w:hint="default"/>
                <w:sz w:val="18"/>
                <w:szCs w:val="18"/>
              </w:rPr>
            </w:pPr>
            <w:r>
              <w:rPr>
                <w:rFonts w:ascii="宋体" w:hAnsi="宋体" w:cs="宋体" w:eastAsia="宋体" w:hint="default"/>
                <w:spacing w:val="-3"/>
                <w:sz w:val="18"/>
                <w:szCs w:val="18"/>
              </w:rPr>
              <w:t>正常情况下，所有应收关联方款项。</w:t>
            </w:r>
            <w:r>
              <w:rPr>
                <w:rFonts w:ascii="宋体" w:hAnsi="宋体" w:cs="宋体" w:eastAsia="宋体" w:hint="default"/>
                <w:sz w:val="18"/>
                <w:szCs w:val="18"/>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一般不计提预期信用损失。</w:t>
            </w:r>
          </w:p>
        </w:tc>
      </w:tr>
      <w:tr>
        <w:trPr>
          <w:trHeight w:val="348"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全额计提预期信用损失。</w:t>
            </w:r>
          </w:p>
        </w:tc>
      </w:tr>
      <w:tr>
        <w:trPr>
          <w:trHeight w:val="349"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广告费、保证金组合</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一般不计提预期信用损失。</w:t>
            </w:r>
          </w:p>
        </w:tc>
      </w:tr>
      <w:tr>
        <w:trPr>
          <w:trHeight w:val="970"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除上述组合、单项计提坏账准备的款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项以外的应收款项。</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46"/>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 的预测，通过违约风险敞口和未来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个月内或整个存续期预 期信用损失率，计算预期信用损失。</w:t>
            </w:r>
          </w:p>
        </w:tc>
      </w:tr>
    </w:tbl>
    <w:p>
      <w:pPr>
        <w:pStyle w:val="BodyText"/>
        <w:spacing w:line="316" w:lineRule="auto" w:before="8"/>
        <w:ind w:right="1130" w:firstLine="288"/>
        <w:jc w:val="both"/>
      </w:pPr>
      <w:r>
        <w:rPr>
          <w:spacing w:val="-1"/>
        </w:rPr>
        <w:t>为反映金融工具的信用风险自初始确认后的变化，公司及其子公司在每个资产负债表日重新计量预期信用损失，由此形</w:t>
      </w:r>
      <w:r>
        <w:rPr/>
        <w:t> </w:t>
      </w:r>
      <w:r>
        <w:rPr>
          <w:spacing w:val="-2"/>
        </w:rPr>
        <w:t>成的损失准备的增加或转回金额，应当作为减值损失或利得计入当期损益。对于以摊余成本计量的金融资产，损失准备抵减</w:t>
      </w:r>
      <w:r>
        <w:rPr>
          <w:spacing w:val="-63"/>
        </w:rPr>
        <w:t> </w:t>
      </w:r>
      <w:r>
        <w:rPr>
          <w:spacing w:val="-63"/>
        </w:rPr>
      </w:r>
      <w:r>
        <w:rPr>
          <w:spacing w:val="-2"/>
        </w:rPr>
        <w:t>该金融资产在资产负债表中列示的账面价值；对于以公允价值计量且其变动计入其他综合收益的债权投资，公司及其子公司</w:t>
      </w:r>
      <w:r>
        <w:rPr>
          <w:spacing w:val="-64"/>
        </w:rPr>
        <w:t> </w:t>
      </w:r>
      <w:r>
        <w:rPr>
          <w:spacing w:val="-64"/>
        </w:rPr>
      </w:r>
      <w:r>
        <w:rPr/>
        <w:t>在其他综合收益中确认其损失准备，不抵减该金融资产的账面价值。</w:t>
      </w:r>
    </w:p>
    <w:p>
      <w:pPr>
        <w:pStyle w:val="BodyText"/>
        <w:spacing w:line="316" w:lineRule="auto" w:before="19"/>
        <w:ind w:left="510" w:right="6433"/>
        <w:jc w:val="left"/>
        <w:rPr>
          <w:rFonts w:ascii="宋体" w:hAnsi="宋体" w:cs="宋体" w:eastAsia="宋体" w:hint="default"/>
        </w:rPr>
      </w:pPr>
      <w:r>
        <w:rPr/>
        <w:t>③终止确认 金融资产满足下列条件之一的，予以终止确认：</w:t>
      </w:r>
      <w:r>
        <w:rPr>
          <w:rFonts w:ascii="宋体" w:hAnsi="宋体" w:cs="宋体" w:eastAsia="宋体" w:hint="default"/>
        </w:rPr>
        <w:t> </w:t>
      </w:r>
      <w:r>
        <w:rPr>
          <w:rFonts w:ascii="Times New Roman" w:hAnsi="Times New Roman" w:cs="Times New Roman" w:eastAsia="Times New Roman" w:hint="default"/>
        </w:rPr>
        <w:t>(1)</w:t>
      </w:r>
      <w:r>
        <w:rPr/>
        <w:t>收取该金融资产现金流量的合同权利终止；</w:t>
      </w:r>
      <w:r>
        <w:rPr>
          <w:rFonts w:ascii="宋体" w:hAnsi="宋体" w:cs="宋体" w:eastAsia="宋体" w:hint="default"/>
        </w:rPr>
        <w:t> </w:t>
      </w:r>
    </w:p>
    <w:p>
      <w:pPr>
        <w:pStyle w:val="BodyText"/>
        <w:spacing w:line="300" w:lineRule="auto"/>
        <w:ind w:left="510" w:right="1186"/>
        <w:jc w:val="left"/>
      </w:pPr>
      <w:r>
        <w:rPr>
          <w:rFonts w:ascii="Times New Roman" w:hAnsi="Times New Roman" w:cs="Times New Roman" w:eastAsia="Times New Roman" w:hint="default"/>
        </w:rPr>
        <w:t>(2)</w:t>
      </w:r>
      <w:r>
        <w:rPr/>
        <w:t>该金融资产已转移，且公司将金融资产所有权上几乎所有的风险和报酬转移给转入方；</w:t>
      </w:r>
      <w:r>
        <w:rPr>
          <w:rFonts w:ascii="宋体" w:hAnsi="宋体" w:cs="宋体" w:eastAsia="宋体" w:hint="default"/>
          <w:w w:val="99"/>
        </w:rPr>
        <w:t> </w:t>
      </w:r>
      <w:r>
        <w:rPr>
          <w:rFonts w:ascii="Times New Roman" w:hAnsi="Times New Roman" w:cs="Times New Roman" w:eastAsia="Times New Roman" w:hint="default"/>
        </w:rPr>
        <w:t>(3)</w:t>
      </w:r>
      <w:r>
        <w:rPr/>
        <w:t>该金融资产已转移，虽然公司既没有转移也没有保留金融资产所有权上几乎所有的风险和报酬，但是放弃了对该金</w:t>
      </w:r>
    </w:p>
    <w:p>
      <w:pPr>
        <w:pStyle w:val="BodyText"/>
        <w:spacing w:line="240" w:lineRule="auto" w:before="13"/>
        <w:ind w:right="0"/>
        <w:jc w:val="both"/>
      </w:pPr>
      <w:r>
        <w:rPr/>
        <w:t>融资产控制。</w:t>
      </w:r>
    </w:p>
    <w:p>
      <w:pPr>
        <w:pStyle w:val="BodyText"/>
        <w:spacing w:line="316" w:lineRule="auto" w:before="76"/>
        <w:ind w:right="1231" w:firstLine="358"/>
        <w:jc w:val="both"/>
      </w:pPr>
      <w:r>
        <w:rPr/>
        <w:t>其他权益工具投资终止确认时，其账面价值与收到的对价以及原直接计入其他综合收益的公允价值变动累计额之和的 差额，计入留存收益；其余金融资产终止确认时，其账面价值与收到的对价以及原直接计入其他综合收益的公允价值变动 累计额之和的差额，计入当期损益。</w:t>
      </w:r>
    </w:p>
    <w:p>
      <w:pPr>
        <w:pStyle w:val="BodyText"/>
        <w:spacing w:line="316" w:lineRule="auto" w:before="19"/>
        <w:ind w:left="510" w:right="1216"/>
        <w:jc w:val="left"/>
      </w:pPr>
      <w:r>
        <w:rPr/>
        <w:t>④核销 如果公司及其子公司不再合理预期金融资产合同现金流量能够全部或部分收回，则直接减记该金融资产的账面余额。</w:t>
      </w:r>
    </w:p>
    <w:p>
      <w:pPr>
        <w:pStyle w:val="BodyText"/>
        <w:spacing w:line="316" w:lineRule="auto" w:before="19"/>
        <w:ind w:right="1231"/>
        <w:jc w:val="both"/>
      </w:pPr>
      <w:r>
        <w:rPr/>
        <w:t>这种减记构成相关金融资产的终止确认。这种情况通常发生在公司及其子公司确定债务人没有资产或收入来源可产生足够 的现金流量以偿还将被减记的金额。但是，按照公司及其子公司收回到期款项的程序，被减记的金融资产仍可能受到执行 活动的影响。</w:t>
      </w:r>
    </w:p>
    <w:p>
      <w:pPr>
        <w:pStyle w:val="BodyText"/>
        <w:spacing w:line="240" w:lineRule="auto" w:before="19"/>
        <w:ind w:left="510" w:right="0"/>
        <w:jc w:val="left"/>
      </w:pPr>
      <w:r>
        <w:rPr/>
        <w:t>已减记的金融资产以后又收回的，作为减值损失的转回计入收回当期的损益。</w:t>
      </w:r>
    </w:p>
    <w:p>
      <w:pPr>
        <w:pStyle w:val="BodyText"/>
        <w:spacing w:line="312" w:lineRule="auto" w:before="77"/>
        <w:ind w:left="510" w:right="1126" w:firstLine="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金融负债</w:t>
      </w:r>
      <w:r>
        <w:rPr>
          <w:w w:val="99"/>
        </w:rPr>
        <w:t> </w:t>
      </w:r>
      <w:r>
        <w:rPr/>
        <w:t>金融负债于初始确认时分类为以摊余成本计量的金融负债和以公允价值计量且其变动计入当期损益的金融负债。</w:t>
      </w:r>
      <w:r>
        <w:rPr>
          <w:w w:val="99"/>
        </w:rPr>
        <w:t> </w:t>
      </w:r>
      <w:r>
        <w:rPr/>
        <w:t>除下列各项外，公司将金融负债分类为以摊余成本计量的金融负债：</w:t>
      </w:r>
      <w:r>
        <w:rPr>
          <w:w w:val="99"/>
        </w:rPr>
        <w:t> </w:t>
      </w:r>
      <w:r>
        <w:rPr>
          <w:rFonts w:ascii="Times New Roman" w:hAnsi="Times New Roman" w:cs="Times New Roman" w:eastAsia="Times New Roman" w:hint="default"/>
        </w:rPr>
        <w:t>1)</w:t>
      </w:r>
      <w:r>
        <w:rPr/>
        <w:t>以公允价值计量且其变动计入当期损益的金融负债，包括交易性金融负债</w:t>
      </w:r>
      <w:r>
        <w:rPr>
          <w:rFonts w:ascii="Times New Roman" w:hAnsi="Times New Roman" w:cs="Times New Roman" w:eastAsia="Times New Roman" w:hint="default"/>
        </w:rPr>
        <w:t>(</w:t>
      </w:r>
      <w:r>
        <w:rPr/>
        <w:t>含属于金融负债的衍生工具</w:t>
      </w:r>
      <w:r>
        <w:rPr>
          <w:rFonts w:ascii="Times New Roman" w:hAnsi="Times New Roman" w:cs="Times New Roman" w:eastAsia="Times New Roman" w:hint="default"/>
        </w:rPr>
        <w:t>)</w:t>
      </w:r>
      <w:r>
        <w:rPr/>
        <w:t>和指定为以公</w:t>
      </w:r>
    </w:p>
    <w:p>
      <w:pPr>
        <w:pStyle w:val="BodyText"/>
        <w:spacing w:line="240" w:lineRule="auto" w:before="3"/>
        <w:ind w:right="0"/>
        <w:jc w:val="both"/>
      </w:pPr>
      <w:r>
        <w:rPr/>
        <w:t>允价值计量且其变动计入当期损益的金融负债。</w:t>
      </w:r>
    </w:p>
    <w:p>
      <w:pPr>
        <w:pStyle w:val="BodyText"/>
        <w:spacing w:line="240" w:lineRule="auto" w:before="76"/>
        <w:ind w:left="510" w:right="0"/>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09" w:lineRule="auto" w:before="63"/>
        <w:ind w:right="1156" w:firstLine="358"/>
        <w:jc w:val="left"/>
      </w:pPr>
      <w:r>
        <w:rPr>
          <w:rFonts w:ascii="Times New Roman" w:hAnsi="Times New Roman" w:cs="Times New Roman" w:eastAsia="Times New Roman" w:hint="default"/>
        </w:rPr>
        <w:t>3)</w:t>
      </w:r>
      <w:r>
        <w:rPr/>
        <w:t>不属于本条第</w:t>
      </w:r>
      <w:r>
        <w:rPr>
          <w:rFonts w:ascii="Times New Roman" w:hAnsi="Times New Roman" w:cs="Times New Roman" w:eastAsia="Times New Roman" w:hint="default"/>
        </w:rPr>
        <w:t>1)</w:t>
      </w:r>
      <w:r>
        <w:rPr/>
        <w:t>项或第</w:t>
      </w:r>
      <w:r>
        <w:rPr>
          <w:rFonts w:ascii="Times New Roman" w:hAnsi="Times New Roman" w:cs="Times New Roman" w:eastAsia="Times New Roman" w:hint="default"/>
        </w:rPr>
        <w:t>2)</w:t>
      </w:r>
      <w:r>
        <w:rPr/>
        <w:t>项情形的财务担保合同，以及不属于本条第</w:t>
      </w:r>
      <w:r>
        <w:rPr>
          <w:rFonts w:ascii="Times New Roman" w:hAnsi="Times New Roman" w:cs="Times New Roman" w:eastAsia="Times New Roman" w:hint="default"/>
        </w:rPr>
        <w:t>1)</w:t>
      </w:r>
      <w:r>
        <w:rPr/>
        <w:t>项情形的以低于市场利率贷款的贷款承诺。在</w:t>
      </w:r>
      <w:r>
        <w:rPr>
          <w:w w:val="99"/>
        </w:rPr>
        <w:t> </w:t>
      </w:r>
      <w:r>
        <w:rPr/>
        <w:t>非同一控制下的企业合并中，公司作为购买方确认的或有对价形成金融负债的，该金融负债按照以公允价值计量且其变动</w:t>
      </w:r>
      <w:r>
        <w:rPr>
          <w:w w:val="99"/>
        </w:rPr>
        <w:t> </w:t>
      </w:r>
      <w:r>
        <w:rPr/>
        <w:t>计入当期损益进行会计处理。</w:t>
      </w:r>
    </w:p>
    <w:p>
      <w:pPr>
        <w:spacing w:after="0" w:line="309" w:lineRule="auto"/>
        <w:jc w:val="left"/>
        <w:sectPr>
          <w:footerReference w:type="default" r:id="rId58"/>
          <w:pgSz w:w="11910" w:h="16840"/>
          <w:pgMar w:footer="980" w:header="877" w:top="1100" w:bottom="1160" w:left="980" w:right="0"/>
          <w:pgNumType w:start="2"/>
        </w:sectPr>
      </w:pPr>
    </w:p>
    <w:p>
      <w:pPr>
        <w:spacing w:line="240" w:lineRule="auto" w:before="11"/>
        <w:rPr>
          <w:rFonts w:ascii="宋体" w:hAnsi="宋体" w:cs="宋体" w:eastAsia="宋体" w:hint="default"/>
          <w:sz w:val="21"/>
          <w:szCs w:val="21"/>
        </w:rPr>
      </w:pPr>
    </w:p>
    <w:p>
      <w:pPr>
        <w:pStyle w:val="BodyText"/>
        <w:spacing w:line="319" w:lineRule="auto" w:before="44"/>
        <w:ind w:right="1216" w:firstLine="358"/>
        <w:jc w:val="left"/>
      </w:pPr>
      <w:r>
        <w:rPr/>
        <w:t>在初始确认时，为了提供更相关的会计信息，公司可以将金融负债指定为以公允价值计量且其变动计入当期损益的金 融负债，该指定满足下列条件之一：</w:t>
      </w:r>
    </w:p>
    <w:p>
      <w:pPr>
        <w:pStyle w:val="BodyText"/>
        <w:spacing w:line="240" w:lineRule="auto" w:before="17"/>
        <w:ind w:left="510" w:right="0"/>
        <w:jc w:val="left"/>
      </w:pPr>
      <w:r>
        <w:rPr>
          <w:rFonts w:ascii="Times New Roman" w:hAnsi="Times New Roman" w:cs="Times New Roman" w:eastAsia="Times New Roman" w:hint="default"/>
        </w:rPr>
        <w:t>1)</w:t>
      </w:r>
      <w:r>
        <w:rPr/>
        <w:t>能够消除或显著减少会计错配。</w:t>
      </w:r>
    </w:p>
    <w:p>
      <w:pPr>
        <w:pStyle w:val="BodyText"/>
        <w:spacing w:line="300" w:lineRule="auto" w:before="63"/>
        <w:ind w:right="1246" w:firstLine="358"/>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w:t>
      </w:r>
      <w:r>
        <w:rPr>
          <w:w w:val="99"/>
        </w:rPr>
        <w:t> </w:t>
      </w:r>
      <w:r>
        <w:rPr/>
        <w:t>进行管理和业绩评价，并在公司内部以此为基础向关键管理人员报告。该指定一经做出，不得撤销。</w:t>
      </w:r>
    </w:p>
    <w:p>
      <w:pPr>
        <w:pStyle w:val="BodyText"/>
        <w:spacing w:line="307" w:lineRule="auto" w:before="31"/>
        <w:ind w:right="1214" w:firstLine="358"/>
        <w:jc w:val="left"/>
      </w:pPr>
      <w:r>
        <w:rPr/>
        <w:t>公司的金融负债主要为以摊余成本计量的金融负债，包括应付票据及应付账款、其他应付款、借款及应付债券等。该 类金融负债按其公允价值扣除交易费用后的金额进行初始计量，并采用实际利率法进行后续计量。期限在一年以下</w:t>
      </w:r>
      <w:r>
        <w:rPr>
          <w:rFonts w:ascii="Times New Roman" w:hAnsi="Times New Roman" w:cs="Times New Roman" w:eastAsia="Times New Roman" w:hint="default"/>
        </w:rPr>
        <w:t>(</w:t>
      </w:r>
      <w:r>
        <w:rPr/>
        <w:t>含一 年</w:t>
      </w:r>
      <w:r>
        <w:rPr>
          <w:rFonts w:ascii="Times New Roman" w:hAnsi="Times New Roman" w:cs="Times New Roman" w:eastAsia="Times New Roman" w:hint="default"/>
        </w:rPr>
        <w:t>)</w:t>
      </w:r>
      <w:r>
        <w:rPr/>
        <w:t>的，列示为流动负债；期限在一年以上但自资产负债表日起一年内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到期的，列示为一年内到期的非流动负债； 其余列示为非流动负债。</w:t>
      </w:r>
    </w:p>
    <w:p>
      <w:pPr>
        <w:pStyle w:val="BodyText"/>
        <w:spacing w:line="316" w:lineRule="auto" w:before="26"/>
        <w:ind w:right="1216" w:firstLine="358"/>
        <w:jc w:val="left"/>
      </w:pPr>
      <w:r>
        <w:rPr/>
        <w:t>当金融负债的现时义务全部或部分已经解除时，公司终止确认该金融负债或义务已解除的部分。终止确认部分的账面 价值与支付的对价之间的差额，计入当期损益。</w:t>
      </w:r>
    </w:p>
    <w:p>
      <w:pPr>
        <w:pStyle w:val="BodyText"/>
        <w:spacing w:line="300" w:lineRule="auto" w:before="19"/>
        <w:ind w:left="510" w:right="1216"/>
        <w:jc w:val="left"/>
      </w:pPr>
      <w:r>
        <w:rPr/>
        <w:t>金融负债</w:t>
      </w:r>
      <w:r>
        <w:rPr>
          <w:rFonts w:ascii="Times New Roman" w:hAnsi="Times New Roman" w:cs="Times New Roman" w:eastAsia="Times New Roman" w:hint="default"/>
        </w:rPr>
        <w:t>(</w:t>
      </w:r>
      <w:r>
        <w:rPr/>
        <w:t>或其一部分</w:t>
      </w:r>
      <w:r>
        <w:rPr>
          <w:rFonts w:ascii="Times New Roman" w:hAnsi="Times New Roman" w:cs="Times New Roman" w:eastAsia="Times New Roman" w:hint="default"/>
        </w:rPr>
        <w:t>)</w:t>
      </w:r>
      <w:r>
        <w:rPr/>
        <w:t>的现时义务已经解除的，公司终止确认该金融负债</w:t>
      </w:r>
      <w:r>
        <w:rPr>
          <w:rFonts w:ascii="Times New Roman" w:hAnsi="Times New Roman" w:cs="Times New Roman" w:eastAsia="Times New Roman" w:hint="default"/>
        </w:rPr>
        <w:t>(</w:t>
      </w:r>
      <w:r>
        <w:rPr/>
        <w:t>或该部分金融负债</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金融工具的公允价值确定 存在活跃市场的金融工具，以活跃市场中的报价确定其公允价值。不存在活跃市场的金融工具，采用估值技术确定其</w:t>
      </w:r>
    </w:p>
    <w:p>
      <w:pPr>
        <w:pStyle w:val="BodyText"/>
        <w:spacing w:line="316" w:lineRule="auto" w:before="31"/>
        <w:ind w:right="1231"/>
        <w:jc w:val="both"/>
      </w:pPr>
      <w:r>
        <w:rPr/>
        <w:t>公允价值。在估值时，公司采用在当前情况下适用并且有足够可利用数据和其他信息支持的估值技术，选择与市场参与者 在相关资产或负债的交易中所考虑的资产或负债特征相一致的输入值，并尽可能优先使用相关可观察输入值。在相关可观 察输入值无法取得或取得不切实可行的情况下，使用不可观察输入值。</w:t>
      </w:r>
    </w:p>
    <w:p>
      <w:pPr>
        <w:pStyle w:val="BodyText"/>
        <w:spacing w:line="300" w:lineRule="auto" w:before="19"/>
        <w:ind w:left="510" w:right="1216"/>
        <w:jc w:val="left"/>
      </w:pPr>
      <w:r>
        <w:rPr>
          <w:rFonts w:ascii="Times New Roman" w:hAnsi="Times New Roman" w:cs="Times New Roman" w:eastAsia="Times New Roman" w:hint="default"/>
        </w:rPr>
        <w:t>(4)</w:t>
      </w:r>
      <w:r>
        <w:rPr/>
        <w:t>后续计量</w:t>
      </w:r>
      <w:r>
        <w:rPr>
          <w:w w:val="99"/>
        </w:rPr>
        <w:t> </w:t>
      </w:r>
      <w:r>
        <w:rPr/>
        <w:t>初始确认后，公司对不同类别的金融资产，分别以摊余成本、以公允价值计量且其变动计入其他综合收益或以公允价</w:t>
      </w:r>
    </w:p>
    <w:p>
      <w:pPr>
        <w:pStyle w:val="BodyText"/>
        <w:spacing w:line="316" w:lineRule="auto" w:before="31"/>
        <w:ind w:left="510" w:right="1216" w:hanging="359"/>
        <w:jc w:val="left"/>
      </w:pPr>
      <w:r>
        <w:rPr/>
        <w:t>值计量且其变动计入当期损益进行后续计量。 初始确认后，公司对不同类别的金融负债，分别以摊余成本、以公允价值计量且其变动计入当期损益或以其他适当方</w:t>
      </w:r>
    </w:p>
    <w:p>
      <w:pPr>
        <w:pStyle w:val="BodyText"/>
        <w:spacing w:line="316" w:lineRule="auto" w:before="19"/>
        <w:ind w:left="510" w:right="2296" w:hanging="359"/>
        <w:jc w:val="left"/>
      </w:pPr>
      <w:r>
        <w:rPr/>
        <w:t>法进行后续计量。 金融资产或金融负债的摊余成本，以该金融资产或金融负债的初始确认金额经下列调整后的结果确定： </w:t>
      </w:r>
      <w:r>
        <w:rPr>
          <w:rFonts w:ascii="Times New Roman" w:hAnsi="Times New Roman" w:cs="Times New Roman" w:eastAsia="Times New Roman" w:hint="default"/>
        </w:rPr>
        <w:t>1)</w:t>
      </w:r>
      <w:r>
        <w:rPr/>
        <w:t>扣除已偿还的本金。</w:t>
      </w:r>
    </w:p>
    <w:p>
      <w:pPr>
        <w:pStyle w:val="BodyText"/>
        <w:spacing w:line="249" w:lineRule="exact"/>
        <w:ind w:left="510" w:right="0"/>
        <w:jc w:val="left"/>
      </w:pPr>
      <w:r>
        <w:rPr>
          <w:rFonts w:ascii="Times New Roman" w:hAnsi="Times New Roman" w:cs="Times New Roman" w:eastAsia="Times New Roman" w:hint="default"/>
        </w:rPr>
        <w:t>2)</w:t>
      </w:r>
      <w:r>
        <w:rPr/>
        <w:t>加上或减去采用实际利率法将该初始确认金额与到期日金额之间的差额进行摊销形成的累计摊销额。</w:t>
      </w:r>
    </w:p>
    <w:p>
      <w:pPr>
        <w:pStyle w:val="BodyText"/>
        <w:spacing w:line="309" w:lineRule="auto" w:before="63"/>
        <w:ind w:left="510" w:right="1246"/>
        <w:jc w:val="left"/>
      </w:pPr>
      <w:r>
        <w:rPr>
          <w:rFonts w:ascii="Times New Roman" w:hAnsi="Times New Roman" w:cs="Times New Roman" w:eastAsia="Times New Roman" w:hint="default"/>
        </w:rPr>
        <w:t>3)</w:t>
      </w:r>
      <w:r>
        <w:rPr/>
        <w:t>扣除累计计提的损失准备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r>
        <w:rPr>
          <w:w w:val="99"/>
        </w:rPr>
        <w:t> </w:t>
      </w:r>
      <w:r>
        <w:rPr/>
        <w:t>公司按照实际利率法确认利息收入。利息收入根据金融资产账面余额乘以实际利率计算确定，但下列情况除外：</w:t>
      </w:r>
      <w:r>
        <w:rPr>
          <w:w w:val="99"/>
        </w:rPr>
        <w:t> </w:t>
      </w:r>
      <w:r>
        <w:rPr>
          <w:rFonts w:ascii="Times New Roman" w:hAnsi="Times New Roman" w:cs="Times New Roman" w:eastAsia="Times New Roman" w:hint="default"/>
        </w:rPr>
        <w:t>1)</w:t>
      </w:r>
      <w:r>
        <w:rPr/>
        <w:t>对于购入或源生的已发生信用减值的金融资产，公司自初始确认起，按照该金融资产的摊余成本和经信用调整的实</w:t>
      </w:r>
    </w:p>
    <w:p>
      <w:pPr>
        <w:pStyle w:val="BodyText"/>
        <w:spacing w:line="240" w:lineRule="auto" w:before="5"/>
        <w:ind w:right="0"/>
        <w:jc w:val="left"/>
      </w:pPr>
      <w:r>
        <w:rPr/>
        <w:t>际利率计算确定其利息收入。</w:t>
      </w:r>
    </w:p>
    <w:p>
      <w:pPr>
        <w:pStyle w:val="BodyText"/>
        <w:spacing w:line="312" w:lineRule="auto" w:before="76"/>
        <w:ind w:right="1231" w:firstLine="358"/>
        <w:jc w:val="both"/>
      </w:pPr>
      <w:r>
        <w:rPr>
          <w:rFonts w:ascii="Times New Roman" w:hAnsi="Times New Roman" w:cs="Times New Roman" w:eastAsia="Times New Roman" w:hint="default"/>
        </w:rPr>
        <w:t>2)</w:t>
      </w:r>
      <w:r>
        <w:rPr/>
        <w:t>对于购入或源生的未发生信用减值、但在后续期间成为已发生信用减值的金融资产，公司在后续期间，按照该金融</w:t>
      </w:r>
      <w:r>
        <w:rPr>
          <w:w w:val="99"/>
        </w:rPr>
        <w:t> </w:t>
      </w:r>
      <w:r>
        <w:rPr/>
        <w:t>资产的摊余成本和实际利率计算确定其利息收入。公司按照上述政策对金融资产的摊余成本运用实际利率法计算利息收入</w:t>
      </w:r>
      <w:r>
        <w:rPr>
          <w:w w:val="99"/>
        </w:rPr>
        <w:t> </w:t>
      </w:r>
      <w:r>
        <w:rPr/>
        <w:t>的，若该金融工具在后续期间因其信用风险有所改善而不再存在信用减值，并且这一改善在客观上可与应用上述政策之后</w:t>
      </w:r>
      <w:r>
        <w:rPr>
          <w:w w:val="99"/>
        </w:rPr>
        <w:t> </w:t>
      </w:r>
      <w:r>
        <w:rPr/>
        <w:t>发生的某一事件相联系</w:t>
      </w:r>
      <w:r>
        <w:rPr>
          <w:rFonts w:ascii="Times New Roman" w:hAnsi="Times New Roman" w:cs="Times New Roman" w:eastAsia="Times New Roman" w:hint="default"/>
        </w:rPr>
        <w:t>(</w:t>
      </w:r>
      <w:r>
        <w:rPr/>
        <w:t>如债务人的信用评级被上调</w:t>
      </w:r>
      <w:r>
        <w:rPr>
          <w:rFonts w:ascii="Times New Roman" w:hAnsi="Times New Roman" w:cs="Times New Roman" w:eastAsia="Times New Roman" w:hint="default"/>
        </w:rPr>
        <w:t>)</w:t>
      </w:r>
      <w:r>
        <w:rPr/>
        <w:t>，公司转按实际利率乘以该金融资产账面余额来计算确定利息收入。</w:t>
      </w:r>
    </w:p>
    <w:p>
      <w:pPr>
        <w:spacing w:line="240" w:lineRule="auto" w:before="6"/>
        <w:rPr>
          <w:rFonts w:ascii="宋体" w:hAnsi="宋体" w:cs="宋体" w:eastAsia="宋体" w:hint="default"/>
          <w:sz w:val="16"/>
          <w:szCs w:val="16"/>
        </w:rPr>
      </w:pPr>
    </w:p>
    <w:p>
      <w:pPr>
        <w:spacing w:line="482" w:lineRule="auto" w:before="0"/>
        <w:ind w:left="152" w:right="452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z w:val="18"/>
          <w:szCs w:val="18"/>
        </w:rPr>
        <w:t>应收票据的预期信用损失确定方法及会计处理方法详见附注五、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宋体" w:hAnsi="宋体" w:cs="宋体" w:eastAsia="宋体" w:hint="default"/>
          <w:spacing w:val="-87"/>
          <w:sz w:val="18"/>
          <w:szCs w:val="18"/>
        </w:rPr>
        <w:t> </w:t>
      </w: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BodyText"/>
        <w:spacing w:line="240" w:lineRule="auto" w:before="54"/>
        <w:ind w:right="0"/>
        <w:jc w:val="left"/>
      </w:pPr>
      <w:r>
        <w:rPr/>
        <w:t>应收账款的预期信用损失确定方法及会计处理方法详见附注五、</w:t>
      </w:r>
      <w:r>
        <w:rPr>
          <w:rFonts w:ascii="Times New Roman" w:hAnsi="Times New Roman" w:cs="Times New Roman" w:eastAsia="Times New Roman" w:hint="default"/>
        </w:rPr>
        <w:t>10--</w:t>
      </w:r>
      <w:r>
        <w:rPr/>
        <w:t>金融工具。</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其他应收款的预期信用损失的确定方法及会计处理方法</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pPr>
      <w:r>
        <w:rPr/>
        <w:t>详见附注五、</w:t>
      </w:r>
      <w:r>
        <w:rPr>
          <w:rFonts w:ascii="Times New Roman" w:hAnsi="Times New Roman" w:cs="Times New Roman" w:eastAsia="Times New Roman" w:hint="default"/>
        </w:rPr>
        <w:t>10--</w:t>
      </w:r>
      <w:r>
        <w:rPr/>
        <w:t>金融工具。</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14</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left="510" w:right="31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存货的分类</w:t>
      </w:r>
      <w:r>
        <w:rPr>
          <w:w w:val="99"/>
        </w:rPr>
        <w:t> </w:t>
      </w:r>
      <w:r>
        <w:rPr/>
        <w:t>存货包括原材料、低值易耗品、在产品、自制半成品、库存商品、包装物以及发出商品等。</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w:t>
      </w:r>
    </w:p>
    <w:p>
      <w:pPr>
        <w:pStyle w:val="BodyText"/>
        <w:spacing w:line="240" w:lineRule="auto" w:before="5"/>
        <w:ind w:left="510" w:right="0"/>
        <w:jc w:val="left"/>
      </w:pPr>
      <w:r>
        <w:rPr/>
        <w:t>发出存货时按加权平均法计价。</w:t>
      </w:r>
    </w:p>
    <w:p>
      <w:pPr>
        <w:pStyle w:val="BodyText"/>
        <w:spacing w:line="300" w:lineRule="auto" w:before="76"/>
        <w:ind w:left="510" w:right="1216" w:firstLine="72"/>
        <w:jc w:val="left"/>
      </w:pPr>
      <w:r>
        <w:rPr>
          <w:rFonts w:ascii="Times New Roman" w:hAnsi="Times New Roman" w:cs="Times New Roman" w:eastAsia="Times New Roman" w:hint="default"/>
        </w:rPr>
        <w:t>(3)</w:t>
      </w:r>
      <w:r>
        <w:rPr/>
        <w:t>存货可变现净值的确定依据及存货跌价准备的计提方法</w:t>
      </w:r>
      <w:r>
        <w:rPr>
          <w:w w:val="99"/>
        </w:rPr>
        <w:t> </w:t>
      </w:r>
      <w:r>
        <w:rPr/>
        <w:t>于资产负债表日，存货按照成本与可变现净值孰低计量，存货成本高于其可变现净值的，应当计提存货跌价准备，计</w:t>
      </w:r>
    </w:p>
    <w:p>
      <w:pPr>
        <w:pStyle w:val="BodyText"/>
        <w:spacing w:line="316" w:lineRule="auto" w:before="31"/>
        <w:ind w:right="1231"/>
        <w:jc w:val="both"/>
      </w:pPr>
      <w:r>
        <w:rPr/>
        <w:t>入当期损益。可变现净值，是指在日常活动中，存货的估计售价减去至完工时估计将要发生的成本、估计的销售费用以及 相关税费后的金额。</w:t>
      </w:r>
    </w:p>
    <w:p>
      <w:pPr>
        <w:pStyle w:val="BodyText"/>
        <w:spacing w:line="240" w:lineRule="auto" w:before="19"/>
        <w:ind w:left="510" w:right="0"/>
        <w:jc w:val="left"/>
      </w:pPr>
      <w:r>
        <w:rPr/>
        <w:t>各类存货可变现净值的确定依据如下：</w:t>
      </w:r>
    </w:p>
    <w:p>
      <w:pPr>
        <w:pStyle w:val="BodyText"/>
        <w:spacing w:line="316" w:lineRule="auto" w:before="76"/>
        <w:ind w:right="1216" w:firstLine="358"/>
        <w:jc w:val="left"/>
      </w:pPr>
      <w:r>
        <w:rPr/>
        <w:t>①产成品、商品和用于出售的材料等直接用于出售的商品存货，在正常生产经营过程中，以该存货的估计售价减去估 计的销售费用和相关税费后的金额，确定其可变现净值。</w:t>
      </w:r>
    </w:p>
    <w:p>
      <w:pPr>
        <w:pStyle w:val="BodyText"/>
        <w:spacing w:line="316" w:lineRule="auto" w:before="19"/>
        <w:ind w:right="1216" w:firstLine="358"/>
        <w:jc w:val="left"/>
      </w:pPr>
      <w:r>
        <w:rPr/>
        <w:t>②需要经过加工的材料存货，在正常生产经营过程中，以所生产的产成品的估计售价减去至完工时估计将要发生的成 本、估计的销售费用和相关税费后的金额，确定其可变现净值。</w:t>
      </w:r>
    </w:p>
    <w:p>
      <w:pPr>
        <w:pStyle w:val="BodyText"/>
        <w:spacing w:line="316" w:lineRule="auto" w:before="19"/>
        <w:ind w:right="1216" w:firstLine="358"/>
        <w:jc w:val="left"/>
      </w:pPr>
      <w:r>
        <w:rPr/>
        <w:t>③资产负债表日，同一项存货中一部分有合同价格约定、其他部分不存在合同价格的，应当分别确定其可变现净值， 并与其相对应的成本进行比较，分别确定存货跌价准备的计提或转回的金额。</w:t>
      </w:r>
    </w:p>
    <w:p>
      <w:pPr>
        <w:pStyle w:val="BodyText"/>
        <w:spacing w:line="300" w:lineRule="auto" w:before="19"/>
        <w:ind w:right="1276" w:firstLine="358"/>
        <w:jc w:val="left"/>
      </w:pPr>
      <w:r>
        <w:rPr/>
        <w:t>存货跌价准备按单个存货项目</w:t>
      </w:r>
      <w:r>
        <w:rPr>
          <w:rFonts w:ascii="Times New Roman" w:hAnsi="Times New Roman" w:cs="Times New Roman" w:eastAsia="Times New Roman" w:hint="default"/>
        </w:rPr>
        <w:t>(</w:t>
      </w:r>
      <w:r>
        <w:rPr/>
        <w:t>或存货类别</w:t>
      </w:r>
      <w:r>
        <w:rPr>
          <w:rFonts w:ascii="Times New Roman" w:hAnsi="Times New Roman" w:cs="Times New Roman" w:eastAsia="Times New Roman" w:hint="default"/>
        </w:rPr>
        <w:t>)</w:t>
      </w:r>
      <w:r>
        <w:rPr/>
        <w:t>计提，与在同一地区生产和销售的产品系列相关、具有相同或类似最终用 途或目的，且难以与其他项目分开计量的存货，合并计提存货跌价准备。</w:t>
      </w:r>
    </w:p>
    <w:p>
      <w:pPr>
        <w:pStyle w:val="BodyText"/>
        <w:spacing w:line="309" w:lineRule="auto" w:before="31"/>
        <w:ind w:left="510" w:right="7156" w:firstLine="72"/>
        <w:jc w:val="left"/>
      </w:pPr>
      <w:r>
        <w:rPr>
          <w:rFonts w:ascii="Times New Roman" w:hAnsi="Times New Roman" w:cs="Times New Roman" w:eastAsia="Times New Roman" w:hint="default"/>
        </w:rPr>
        <w:t>(4)</w:t>
      </w:r>
      <w:r>
        <w:rPr/>
        <w:t>存货的盘存制度</w:t>
      </w:r>
      <w:r>
        <w:rPr>
          <w:w w:val="99"/>
        </w:rPr>
        <w:t> </w:t>
      </w:r>
      <w:r>
        <w:rPr/>
        <w:t>存货的盘存制度采用永续盘存制。</w:t>
      </w:r>
      <w:r>
        <w:rPr>
          <w:w w:val="99"/>
        </w:rPr>
        <w:t> </w:t>
      </w:r>
      <w:r>
        <w:rPr>
          <w:rFonts w:ascii="Times New Roman" w:hAnsi="Times New Roman" w:cs="Times New Roman" w:eastAsia="Times New Roman" w:hint="default"/>
        </w:rPr>
        <w:t>(5)</w:t>
      </w:r>
      <w:r>
        <w:rPr/>
        <w:t>低值易耗品和包装物的摊销方法</w:t>
      </w:r>
      <w:r>
        <w:rPr>
          <w:w w:val="99"/>
        </w:rPr>
        <w:t> </w:t>
      </w:r>
      <w:r>
        <w:rPr/>
        <w:t>对低值易耗品采用分次转销法进行摊销。</w:t>
      </w:r>
      <w:r>
        <w:rPr>
          <w:w w:val="99"/>
        </w:rPr>
        <w:t> </w:t>
      </w:r>
      <w:r>
        <w:rPr/>
        <w:t>对包装物采用一次转销法。</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15</w:t>
      </w:r>
      <w:r>
        <w:rPr/>
        <w:t>、持有待售资产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510" w:right="1216"/>
        <w:jc w:val="left"/>
      </w:pPr>
      <w:r>
        <w:rPr/>
        <w:t>（</w:t>
      </w:r>
      <w:r>
        <w:rPr>
          <w:rFonts w:ascii="Times New Roman" w:hAnsi="Times New Roman" w:cs="Times New Roman" w:eastAsia="Times New Roman" w:hint="default"/>
        </w:rPr>
        <w:t>1</w:t>
      </w:r>
      <w:r>
        <w:rPr/>
        <w:t>）持有待售的非流动资产和处置组资产确认标准 公司若主要通过出售（包括具有商业实质的非货币性资产交换，下同）而非持续使用一项非流动资产或处置组收回其</w:t>
      </w:r>
    </w:p>
    <w:p>
      <w:pPr>
        <w:pStyle w:val="BodyText"/>
        <w:spacing w:line="240" w:lineRule="auto" w:before="31"/>
        <w:ind w:right="0"/>
        <w:jc w:val="both"/>
      </w:pPr>
      <w:r>
        <w:rPr/>
        <w:t>账面价值的，则将其划分为持有待售类别。具体标准为同时满足以下条件：</w:t>
      </w:r>
    </w:p>
    <w:p>
      <w:pPr>
        <w:pStyle w:val="BodyText"/>
        <w:spacing w:line="240" w:lineRule="auto" w:before="76"/>
        <w:ind w:left="510" w:right="0"/>
        <w:jc w:val="left"/>
      </w:pPr>
      <w:r>
        <w:rPr/>
        <w:t>①根据类似交易中出售此类资产或处置组的惯例，在当前状况下即可立即出售；</w:t>
      </w:r>
    </w:p>
    <w:p>
      <w:pPr>
        <w:pStyle w:val="BodyText"/>
        <w:spacing w:line="316" w:lineRule="auto" w:before="76"/>
        <w:ind w:left="510" w:right="1216"/>
        <w:jc w:val="left"/>
      </w:pPr>
      <w:r>
        <w:rPr/>
        <w:t>②出售极可能发生，即企业已经就一项出售计划作出决议且获得确定的购买承诺，预计出售将在一年内完成。 其中，处置组是指在一项交易中作为整体通过出售或其他方式一并处置的一组资产，以及在该交易中转让的与这些资</w:t>
      </w:r>
    </w:p>
    <w:p>
      <w:pPr>
        <w:pStyle w:val="BodyText"/>
        <w:spacing w:line="300" w:lineRule="auto" w:before="19"/>
        <w:ind w:right="1139"/>
        <w:jc w:val="both"/>
      </w:pPr>
      <w:r>
        <w:rPr/>
        <w:t>产直接相关的负债。处置组所属的资产组或资产组组合按照《企业会计准则第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资产减值》分摊了企业合并中取得的 商誉的，该处置组应当包含分摊至处置组的商誉。</w:t>
      </w:r>
    </w:p>
    <w:p>
      <w:pPr>
        <w:pStyle w:val="BodyText"/>
        <w:spacing w:line="300" w:lineRule="auto" w:before="31"/>
        <w:ind w:left="510" w:right="1216"/>
        <w:jc w:val="left"/>
      </w:pPr>
      <w:r>
        <w:rPr/>
        <w:t>（</w:t>
      </w:r>
      <w:r>
        <w:rPr>
          <w:rFonts w:ascii="Times New Roman" w:hAnsi="Times New Roman" w:cs="Times New Roman" w:eastAsia="Times New Roman" w:hint="default"/>
        </w:rPr>
        <w:t>2</w:t>
      </w:r>
      <w:r>
        <w:rPr/>
        <w:t>）会计处理方法 初始计量或在资产负债表日重新计量划分为持有待售的非流动资产和处置组时，其账面价值高于公允价值减去出售费</w:t>
      </w:r>
    </w:p>
    <w:p>
      <w:pPr>
        <w:pStyle w:val="BodyText"/>
        <w:spacing w:line="314" w:lineRule="auto" w:before="31"/>
        <w:ind w:right="1231"/>
        <w:jc w:val="both"/>
      </w:pPr>
      <w:r>
        <w:rPr/>
        <w:t>用后的净额的，将账面价值减记至公允价值减去出售费用后的净额，减记的金额确认为资产减值损失，计入当期损益，同 时计提持有待售资产减值准备。对于处置组，所确认的资产减值损失先抵减处置组中商誉的账面价值，再按比例抵减该处 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持有待售的非流动资产、处置组和终止经营》（以下简称</w:t>
      </w:r>
      <w:r>
        <w:rPr>
          <w:rFonts w:ascii="Times New Roman" w:hAnsi="Times New Roman" w:cs="Times New Roman" w:eastAsia="Times New Roman" w:hint="default"/>
        </w:rPr>
        <w:t>“</w:t>
      </w:r>
      <w:r>
        <w:rPr/>
        <w:t>持有待售准则</w:t>
      </w:r>
      <w:r>
        <w:rPr>
          <w:rFonts w:ascii="Times New Roman" w:hAnsi="Times New Roman" w:cs="Times New Roman" w:eastAsia="Times New Roman" w:hint="default"/>
        </w:rPr>
        <w:t>”</w:t>
      </w:r>
      <w:r>
        <w:rPr/>
        <w:t>）的计量 规定的各项非流动资产的账面价值。后续资产负债表日持有待售的处置组公允价值减去出售费用后的净额增加的，以前减 记的金额应当予以恢复，并在划分为持有待售类别后适用持有待售准则计量规定的非流动资产确认的资产减值损失金额内 转回，转回金额计入当期损益，并根据处置组中除商誉外适用持有待售准则计量规定的各项非流动资产账面价值所占比重</w:t>
      </w:r>
    </w:p>
    <w:p>
      <w:pPr>
        <w:spacing w:after="0" w:line="314"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14"/>
        <w:jc w:val="left"/>
      </w:pPr>
      <w:r>
        <w:rPr/>
        <w:t>按比例增加其账面价值；已抵减的商誉账面价值，以及适用持有待售准则计量规定的非流动资产在划分为持有待售类别前 确认的资产减值损失不得转回。</w:t>
      </w:r>
    </w:p>
    <w:p>
      <w:pPr>
        <w:pStyle w:val="BodyText"/>
        <w:spacing w:line="316" w:lineRule="auto" w:before="17"/>
        <w:ind w:right="1233" w:firstLine="358"/>
        <w:jc w:val="both"/>
      </w:pPr>
      <w:r>
        <w:rPr/>
        <w:t>持有待售的非流动资产或处置组中的非流动资产不计提折旧或摊销，持有待售的处置组中负债的利息和其他费用继续 予以确认。</w:t>
      </w:r>
    </w:p>
    <w:p>
      <w:pPr>
        <w:pStyle w:val="BodyText"/>
        <w:spacing w:line="316" w:lineRule="auto" w:before="19"/>
        <w:ind w:right="1233" w:firstLine="358"/>
        <w:jc w:val="both"/>
      </w:pPr>
      <w:r>
        <w:rPr/>
        <w:t>非流动资产或处置组不再满足持有待售类别的划分条件时，不再将其继续划分为持有待售类别或将非流动资产从持有 待售的处置组中移除，并按照以下两者孰低计量：</w:t>
      </w:r>
    </w:p>
    <w:p>
      <w:pPr>
        <w:pStyle w:val="BodyText"/>
        <w:spacing w:line="316" w:lineRule="auto" w:before="19"/>
        <w:ind w:right="1233" w:firstLine="358"/>
        <w:jc w:val="both"/>
      </w:pPr>
      <w:r>
        <w:rPr/>
        <w:t>①划分为持有待售类别前的账面价值，按照假定不划分为持有待售类别情况下本应确认的折旧、摊销或减值等进行调 整后的金额；</w:t>
      </w:r>
    </w:p>
    <w:p>
      <w:pPr>
        <w:pStyle w:val="BodyText"/>
        <w:spacing w:line="240" w:lineRule="auto" w:before="19"/>
        <w:ind w:left="510" w:right="0"/>
        <w:jc w:val="left"/>
      </w:pPr>
      <w:r>
        <w:rPr/>
        <w:t>②可收回金额。</w:t>
      </w:r>
    </w:p>
    <w:p>
      <w:pPr>
        <w:spacing w:line="240" w:lineRule="auto" w:before="1"/>
        <w:rPr>
          <w:rFonts w:ascii="宋体" w:hAnsi="宋体" w:cs="宋体" w:eastAsia="宋体" w:hint="default"/>
          <w:sz w:val="22"/>
          <w:szCs w:val="22"/>
        </w:rPr>
      </w:pPr>
    </w:p>
    <w:p>
      <w:pPr>
        <w:spacing w:line="482" w:lineRule="auto" w:before="0"/>
        <w:ind w:left="152" w:right="42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、长期应收款</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z w:val="18"/>
          <w:szCs w:val="18"/>
        </w:rPr>
        <w:t>长期应收款预期信用损失的确认方法及会计处理方法详见附注五、</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r>
        <w:rPr>
          <w:rFonts w:ascii="宋体" w:hAnsi="宋体" w:cs="宋体" w:eastAsia="宋体" w:hint="default"/>
          <w:spacing w:val="-87"/>
          <w:sz w:val="18"/>
          <w:szCs w:val="18"/>
        </w:rPr>
        <w:t> </w:t>
      </w: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pStyle w:val="BodyText"/>
        <w:spacing w:line="240" w:lineRule="auto" w:before="54"/>
        <w:ind w:left="510" w:right="0"/>
        <w:jc w:val="left"/>
      </w:pPr>
      <w:r>
        <w:rPr/>
        <w:t>长期股权投资是指公司对被投资单位实施控制、重大影响的权益性投资，以及对其合营企业的投资。</w:t>
      </w:r>
    </w:p>
    <w:p>
      <w:pPr>
        <w:pStyle w:val="BodyText"/>
        <w:spacing w:line="300" w:lineRule="auto" w:before="76"/>
        <w:ind w:left="510" w:right="1936"/>
        <w:jc w:val="left"/>
      </w:pPr>
      <w:r>
        <w:rPr/>
        <w:t>（</w:t>
      </w:r>
      <w:r>
        <w:rPr>
          <w:rFonts w:ascii="Times New Roman" w:hAnsi="Times New Roman" w:cs="Times New Roman" w:eastAsia="Times New Roman" w:hint="default"/>
        </w:rPr>
        <w:t>1</w:t>
      </w:r>
      <w:r>
        <w:rPr/>
        <w:t>）投资成本确定 除对外合并形成的长期股权投资以外，其他方式取得的长期股权投资，按照下列规定确定其初始投资成本：</w:t>
      </w:r>
    </w:p>
    <w:p>
      <w:pPr>
        <w:pStyle w:val="BodyText"/>
        <w:spacing w:line="316" w:lineRule="auto" w:before="31"/>
        <w:ind w:right="1233" w:firstLine="358"/>
        <w:jc w:val="both"/>
      </w:pPr>
      <w:r>
        <w:rPr/>
        <w:t>①以支付现金取得的长期股权投资，按照实际支付的购买价款作为初始投资成本。初始投资成本包括与取得长期股权 投资直接相关的费用、税金及其他必要支出；</w:t>
      </w:r>
    </w:p>
    <w:p>
      <w:pPr>
        <w:pStyle w:val="BodyText"/>
        <w:spacing w:line="240" w:lineRule="auto" w:before="19"/>
        <w:ind w:left="510" w:right="0"/>
        <w:jc w:val="left"/>
      </w:pPr>
      <w:r>
        <w:rPr/>
        <w:t>②以发行权益性证券取得的长期股权投资，按照发行权益性证券的公允价值作为初始投资成本；</w:t>
      </w:r>
    </w:p>
    <w:p>
      <w:pPr>
        <w:pStyle w:val="BodyText"/>
        <w:spacing w:line="300" w:lineRule="auto" w:before="76"/>
        <w:ind w:right="1140" w:firstLine="358"/>
        <w:jc w:val="both"/>
      </w:pPr>
      <w:r>
        <w:rPr/>
        <w:t>③通过非货币性资产交换取得的长期股权投资，其初始投资成本应当按照《企业会计准则第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 确定；</w:t>
      </w:r>
    </w:p>
    <w:p>
      <w:pPr>
        <w:pStyle w:val="BodyText"/>
        <w:spacing w:line="240" w:lineRule="auto" w:before="32"/>
        <w:ind w:left="510" w:right="0"/>
        <w:jc w:val="left"/>
      </w:pPr>
      <w:r>
        <w:rPr/>
        <w:t>④通过债务重组取得的长期股权投资，其初始投资成本应当按照《企业会计准则第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w:t>
      </w:r>
    </w:p>
    <w:p>
      <w:pPr>
        <w:pStyle w:val="BodyText"/>
        <w:spacing w:line="240" w:lineRule="auto" w:before="63"/>
        <w:ind w:left="510" w:right="0"/>
        <w:jc w:val="left"/>
      </w:pPr>
      <w:r>
        <w:rPr/>
        <w:t>（</w:t>
      </w:r>
      <w:r>
        <w:rPr>
          <w:rFonts w:ascii="Times New Roman" w:hAnsi="Times New Roman" w:cs="Times New Roman" w:eastAsia="Times New Roman" w:hint="default"/>
        </w:rPr>
        <w:t>2</w:t>
      </w:r>
      <w:r>
        <w:rPr/>
        <w:t>）后续计量及损益确认方法</w:t>
      </w:r>
    </w:p>
    <w:p>
      <w:pPr>
        <w:pStyle w:val="BodyText"/>
        <w:spacing w:line="316" w:lineRule="auto" w:before="63"/>
        <w:ind w:left="510" w:right="6436"/>
        <w:jc w:val="left"/>
      </w:pPr>
      <w:r>
        <w:rPr/>
        <w:t>①下列长期股权投资采用成本法核算： 公司能够对被投资单位实施控制的长期股权投资。</w:t>
      </w:r>
    </w:p>
    <w:p>
      <w:pPr>
        <w:pStyle w:val="BodyText"/>
        <w:spacing w:line="316" w:lineRule="auto" w:before="19"/>
        <w:ind w:right="1233" w:firstLine="358"/>
        <w:jc w:val="both"/>
      </w:pPr>
      <w:r>
        <w:rPr/>
        <w:t>采用成本法核算的长期股权投资按照初始投资成本计价。追加或收回投资应当调整长期股权投资的成本。被投资单位 宣告分派的现金股利或利润，确认为当期投资收益。</w:t>
      </w:r>
    </w:p>
    <w:p>
      <w:pPr>
        <w:pStyle w:val="BodyText"/>
        <w:spacing w:line="300" w:lineRule="auto" w:before="19"/>
        <w:ind w:left="510" w:right="1216"/>
        <w:jc w:val="left"/>
      </w:pPr>
      <w:r>
        <w:rPr/>
        <w:t>②对被投资单位具有共同控制</w:t>
      </w:r>
      <w:r>
        <w:rPr>
          <w:rFonts w:ascii="Times New Roman" w:hAnsi="Times New Roman" w:cs="Times New Roman" w:eastAsia="Times New Roman" w:hint="default"/>
        </w:rPr>
        <w:t>(</w:t>
      </w:r>
      <w:r>
        <w:rPr/>
        <w:t>指合营企业</w:t>
      </w:r>
      <w:r>
        <w:rPr>
          <w:rFonts w:ascii="Times New Roman" w:hAnsi="Times New Roman" w:cs="Times New Roman" w:eastAsia="Times New Roman" w:hint="default"/>
        </w:rPr>
        <w:t>)</w:t>
      </w:r>
      <w:r>
        <w:rPr/>
        <w:t>或重大影响的长期股权投资，按照采用权益法核算。 长期股权投资采用权益法核算时，对长期股权投资的投资成本大于投资时应享有被投资单位可辨认净资产公允价值份</w:t>
      </w:r>
    </w:p>
    <w:p>
      <w:pPr>
        <w:pStyle w:val="BodyText"/>
        <w:spacing w:line="316" w:lineRule="auto" w:before="31"/>
        <w:ind w:right="1214"/>
        <w:jc w:val="left"/>
      </w:pPr>
      <w:r>
        <w:rPr/>
        <w:t>额的，不调整长期股权投资的投资成本；对长期股权投资的投资成本小于投资时应享有被投资单位可辨认净资产公允价值 份额的，对长期股权投资的账面价值进行调整，差额计入投资当期的损益。</w:t>
      </w:r>
    </w:p>
    <w:p>
      <w:pPr>
        <w:pStyle w:val="BodyText"/>
        <w:spacing w:line="319" w:lineRule="auto" w:before="19"/>
        <w:ind w:right="1231" w:firstLine="358"/>
        <w:jc w:val="both"/>
      </w:pPr>
      <w:r>
        <w:rPr/>
        <w:t>在权益法核算时，当取得长期股权投资后，按照应享有或应分担的被投资单位实现的净损益和其他综合收益的份额， 分别确认投资损益和其他综合收益，并调整长期股权投资的账面价值。投资企业按照被投资单位宣告分派的利润或现金股 利计算应分得的部分，相应减少长期股权投资的账面价值。投资方对于被投资单位除净损益、其他综合收益和利润分配以 外所有者权益的其他变动，应当调整长期股权投资的账面价值并计入所有者权益。</w:t>
      </w:r>
    </w:p>
    <w:p>
      <w:pPr>
        <w:pStyle w:val="BodyText"/>
        <w:spacing w:line="316" w:lineRule="auto" w:before="17"/>
        <w:ind w:right="1231" w:firstLine="358"/>
        <w:jc w:val="both"/>
      </w:pPr>
      <w:r>
        <w:rPr/>
        <w:t>确认被投资单位发生的净亏损，以长期股权投资的账面价值以及其他实质上构成对被投资单位净投资的长期权益减记 至零为限，公司对被投资企业负有承担额外损失义务的除外。被投资单位以后实现净利润的，投资企业在其收益分享额弥 补未确认的亏损分担额后，恢复确认收益分享额。</w:t>
      </w:r>
    </w:p>
    <w:p>
      <w:pPr>
        <w:pStyle w:val="BodyText"/>
        <w:spacing w:line="316" w:lineRule="auto" w:before="19"/>
        <w:ind w:right="1233" w:firstLine="358"/>
        <w:jc w:val="both"/>
      </w:pPr>
      <w:r>
        <w:rPr/>
        <w:t>对于被投资单位除净损益、其他综合收益和利润分配以外所有者权益的其他变动，调整长期股权投资的账面价值并计 入所有者权益。</w:t>
      </w:r>
    </w:p>
    <w:p>
      <w:pPr>
        <w:pStyle w:val="BodyText"/>
        <w:spacing w:line="316" w:lineRule="auto" w:before="18"/>
        <w:ind w:right="1231" w:firstLine="358"/>
        <w:jc w:val="both"/>
      </w:pPr>
      <w:r>
        <w:rPr/>
        <w:t>长期股权投资按照权益法核算在确认投资损益时，先对被投资单位的净利润进行取得投资时被投资单位各项可辨认资 产等的公允价值、会计政策和会计期间方面的调整，再按应享有或应分担的被投资单位的净损益份额确认当期投资损益。</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33" w:firstLine="358"/>
        <w:jc w:val="both"/>
      </w:pPr>
      <w:r>
        <w:rPr/>
        <w:t>与联营企业及合营企业之间发生的未实现内部交易损益按照持股比例计算归属于本公司的部分，在抵销基础上确认投 资损益。</w:t>
      </w:r>
    </w:p>
    <w:p>
      <w:pPr>
        <w:pStyle w:val="BodyText"/>
        <w:spacing w:line="300" w:lineRule="auto" w:before="17"/>
        <w:ind w:left="510" w:right="1216"/>
        <w:jc w:val="left"/>
      </w:pPr>
      <w:r>
        <w:rPr/>
        <w:t>（</w:t>
      </w:r>
      <w:r>
        <w:rPr>
          <w:rFonts w:ascii="Times New Roman" w:hAnsi="Times New Roman" w:cs="Times New Roman" w:eastAsia="Times New Roman" w:hint="default"/>
        </w:rPr>
        <w:t>3</w:t>
      </w:r>
      <w:r>
        <w:rPr/>
        <w:t>）确定对被投资单位具有共同控制、重大影响的依据 共同控制，是指按照相关约定对某项安排所共有的控制，并且该安排的相关活动必须经过分享控制权的参与方一致同</w:t>
      </w:r>
    </w:p>
    <w:p>
      <w:pPr>
        <w:pStyle w:val="BodyText"/>
        <w:spacing w:line="316" w:lineRule="auto" w:before="31"/>
        <w:ind w:right="1231"/>
        <w:jc w:val="both"/>
      </w:pPr>
      <w:r>
        <w:rPr/>
        <w:t>意后才能决策。在判断是否存在共同控制时，首先判断所有参与方或参与方组合是否集体控制该安排，如果所有参与方或 一组参与方必须一致行动才能决定某项安排的相关活动，则认为所有参与方或一组参与方集体控制该安排。其次再判断该 安排相关活动的决策是否必须经过这些集体控制该安排的参与方一致同意。如果存在两个或两个以上的参与方组合能够集 体控制某项安排的，不构成共同控制。判断是否存在共同控制时，不考虑享有的保护性权利。</w:t>
      </w:r>
    </w:p>
    <w:p>
      <w:pPr>
        <w:pStyle w:val="BodyText"/>
        <w:spacing w:line="316" w:lineRule="auto" w:before="19"/>
        <w:ind w:right="1231" w:firstLine="358"/>
        <w:jc w:val="both"/>
      </w:pPr>
      <w:r>
        <w:rPr/>
        <w:t>重大影响，是指对一个企业的财务和经营政策有参与决策的权力，但并不能够控制或者与其他方一起共同控制这些政 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 换的认股权证、股份期权及可转换公司债券等的影响。</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31" w:firstLine="358"/>
        <w:jc w:val="both"/>
      </w:pPr>
      <w:r>
        <w:rPr/>
        <w:t>投资性房地产是指为赚取租金或资本增值，或两者兼有而持有的房地产，包括已出租的土地使用权、持有并准备增值 后转让的土地使用权、已出租的建筑物。投资性房地产应当按照成本进行初始计量，公司在资产负债表日采用公允价值模 式进行后续计量。</w:t>
      </w:r>
    </w:p>
    <w:p>
      <w:pPr>
        <w:pStyle w:val="BodyText"/>
        <w:spacing w:line="240" w:lineRule="auto" w:before="19"/>
        <w:ind w:left="510" w:right="0"/>
        <w:jc w:val="left"/>
      </w:pPr>
      <w:r>
        <w:rPr/>
        <w:t>本公司采用公允价值模式对投资性房地产进行后续计量，会计政策选择的依据为：</w:t>
      </w:r>
    </w:p>
    <w:p>
      <w:pPr>
        <w:pStyle w:val="BodyText"/>
        <w:spacing w:line="240" w:lineRule="auto" w:before="76"/>
        <w:ind w:left="510" w:right="0"/>
        <w:jc w:val="left"/>
      </w:pPr>
      <w:r>
        <w:rPr/>
        <w:t>（</w:t>
      </w:r>
      <w:r>
        <w:rPr>
          <w:rFonts w:ascii="Times New Roman" w:hAnsi="Times New Roman" w:cs="Times New Roman" w:eastAsia="Times New Roman" w:hint="default"/>
        </w:rPr>
        <w:t>1</w:t>
      </w:r>
      <w:r>
        <w:rPr/>
        <w:t>）</w:t>
      </w:r>
      <w:r>
        <w:rPr>
          <w:spacing w:val="-18"/>
        </w:rPr>
        <w:t> </w:t>
      </w:r>
      <w:r>
        <w:rPr/>
        <w:t>投资性房地产所在地有活跃的房地产交易市场。</w:t>
      </w:r>
    </w:p>
    <w:p>
      <w:pPr>
        <w:pStyle w:val="BodyText"/>
        <w:spacing w:line="300" w:lineRule="auto" w:before="63"/>
        <w:ind w:right="1142" w:firstLine="358"/>
        <w:jc w:val="both"/>
      </w:pPr>
      <w:r>
        <w:rPr/>
        <w:t>（</w:t>
      </w:r>
      <w:r>
        <w:rPr>
          <w:rFonts w:ascii="Times New Roman" w:hAnsi="Times New Roman" w:cs="Times New Roman" w:eastAsia="Times New Roman" w:hint="default"/>
        </w:rPr>
        <w:t>2</w:t>
      </w:r>
      <w:r>
        <w:rPr/>
        <w:t>）本公司能够从房地产交易市场上取得同类或类似房地产的市场价格及其他相关信息，从而对投资性房地产的公允 价值作出合理的估计。</w:t>
      </w:r>
    </w:p>
    <w:p>
      <w:pPr>
        <w:pStyle w:val="BodyText"/>
        <w:spacing w:line="316" w:lineRule="auto" w:before="31"/>
        <w:ind w:right="1233" w:firstLine="358"/>
        <w:jc w:val="both"/>
      </w:pPr>
      <w:r>
        <w:rPr/>
        <w:t>本公司不对投资性房地产计提折旧或进行摊销，以资产负债表日投资性房地产的公允价值为基础调整其账面价值，公 允价值与原账面价值之间的差额计入当期损益。</w:t>
      </w:r>
    </w:p>
    <w:p>
      <w:pPr>
        <w:pStyle w:val="BodyText"/>
        <w:spacing w:line="316" w:lineRule="auto" w:before="19"/>
        <w:ind w:right="1231" w:firstLine="358"/>
        <w:jc w:val="right"/>
      </w:pPr>
      <w:r>
        <w:rPr/>
        <w:t>确定投资性房地产的公允价值时，参照活跃市场上同类或类似房地产的现行市场价格；无法取得同类或类似房地产的 现行市场价格的，参照活跃市场上同类或类似房地产的最近交易价格，并考虑交易情况、交易日期、所在区域等因素，从 而对投资性房地产的公允价值作出合理的估计；或基于预计未来获得的租金收益和有关现金流量的现值确定其公允价值。 自用房地产或存货转换为投资性房地产时，按照转换当日的公允价值计价，转换当日的公允价值小于原账面价值的， 其差额计入当期损益；转换当日的公允价值大于原账面价值的，其差额确认为其他综合收益。投资性房地产转换为自用房</w:t>
      </w:r>
    </w:p>
    <w:p>
      <w:pPr>
        <w:pStyle w:val="BodyText"/>
        <w:spacing w:line="316" w:lineRule="auto" w:before="19"/>
        <w:ind w:left="510" w:right="1216" w:hanging="359"/>
        <w:jc w:val="left"/>
      </w:pPr>
      <w:r>
        <w:rPr/>
        <w:t>地产时，以转换当日的公允价值作为自用房地产的账面价值，公允价值与原账面价值的差额计入当期损益。 投资性房地产的用途改变为自用时，自改变之日起，将该投资性房地产转换为固定资产或无形资产。自用房地产的用</w:t>
      </w:r>
    </w:p>
    <w:p>
      <w:pPr>
        <w:pStyle w:val="BodyText"/>
        <w:spacing w:line="316" w:lineRule="auto" w:before="19"/>
        <w:ind w:right="1231"/>
        <w:jc w:val="both"/>
      </w:pPr>
      <w:r>
        <w:rPr/>
        <w:t>途改变为赚取租金或资本增值时，自改变之日起，将固定资产或无形资产转换为投资性房地产。发生转换时，以转换日的 公允价值作为转换后的入账价值。</w:t>
      </w:r>
    </w:p>
    <w:p>
      <w:pPr>
        <w:pStyle w:val="BodyText"/>
        <w:spacing w:line="316" w:lineRule="auto" w:before="19"/>
        <w:ind w:right="1233" w:firstLine="358"/>
        <w:jc w:val="both"/>
      </w:pPr>
      <w:r>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31" w:firstLine="360"/>
        <w:jc w:val="both"/>
      </w:pPr>
      <w:r>
        <w:rPr/>
        <w:t>固定资产指为生产商品、提供劳务、出租或经营管理而持有，并且使用寿命超过一个会计年度的有形资产。固定资产 同时满足下列条件的，才能予以确认：</w:t>
      </w:r>
    </w:p>
    <w:p>
      <w:pPr>
        <w:pStyle w:val="BodyText"/>
        <w:spacing w:line="240" w:lineRule="auto" w:before="57"/>
        <w:ind w:left="513" w:right="0"/>
        <w:jc w:val="left"/>
      </w:pPr>
      <w:r>
        <w:rPr/>
        <w:t>①与该固定资产有关的经济利益很可能流入企业；</w:t>
      </w:r>
    </w:p>
    <w:p>
      <w:pPr>
        <w:pStyle w:val="BodyText"/>
        <w:spacing w:line="240" w:lineRule="auto" w:before="117"/>
        <w:ind w:left="513" w:right="0"/>
        <w:jc w:val="left"/>
      </w:pPr>
      <w:r>
        <w:rPr/>
        <w:t>②该固定资产的成本能够可靠地计量。</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4.50%</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19.00%-31.66%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8"/>
        <w:ind w:left="510" w:right="0"/>
        <w:jc w:val="left"/>
      </w:pPr>
      <w:r>
        <w:rPr/>
        <w:t>各类固定资产采用直线法并按上表使用寿命、预计净残值率及折旧率计提折旧。</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214" w:firstLine="360"/>
        <w:jc w:val="left"/>
      </w:pPr>
      <w:r>
        <w:rPr/>
        <w:t>融资租入固定资产的认定依据：实质上转移了与资产所有权有关的全部风险和报酬的租赁。具体认定依据为符合下列 一项或数项条件的：</w:t>
      </w:r>
    </w:p>
    <w:p>
      <w:pPr>
        <w:pStyle w:val="BodyText"/>
        <w:spacing w:line="240" w:lineRule="auto" w:before="59"/>
        <w:ind w:left="513" w:right="0"/>
        <w:jc w:val="left"/>
      </w:pPr>
      <w:r>
        <w:rPr/>
        <w:t>①在租赁期届满时，租赁资产的所有权转移给承租人；</w:t>
      </w:r>
    </w:p>
    <w:p>
      <w:pPr>
        <w:pStyle w:val="BodyText"/>
        <w:spacing w:line="316" w:lineRule="auto" w:before="117"/>
        <w:ind w:right="1214" w:firstLine="360"/>
        <w:jc w:val="left"/>
      </w:pPr>
      <w:r>
        <w:rPr/>
        <w:t>②承租人有购买租赁资产的选择权，所订立的购买价款预计将远低于行使选择权时租赁资产的公允价值，因而在租赁 开始日就可以合理确定承租人会行使这种选择权；</w:t>
      </w:r>
    </w:p>
    <w:p>
      <w:pPr>
        <w:pStyle w:val="BodyText"/>
        <w:spacing w:line="240" w:lineRule="auto" w:before="57"/>
        <w:ind w:left="513" w:right="0"/>
        <w:jc w:val="left"/>
      </w:pPr>
      <w:r>
        <w:rPr/>
        <w:t>③即使资产的所有权不转移，但租赁期占租赁资产使用寿命的大部分；</w:t>
      </w:r>
    </w:p>
    <w:p>
      <w:pPr>
        <w:pStyle w:val="BodyText"/>
        <w:spacing w:line="240" w:lineRule="auto" w:before="117"/>
        <w:ind w:left="513" w:right="0"/>
        <w:jc w:val="left"/>
      </w:pPr>
      <w:r>
        <w:rPr/>
        <w:t>④承租人在租赁开始日的最低租赁付款额现值，几乎相当于租赁开始日租赁资产公允价值；</w:t>
      </w:r>
    </w:p>
    <w:p>
      <w:pPr>
        <w:pStyle w:val="BodyText"/>
        <w:spacing w:line="357" w:lineRule="auto" w:before="117"/>
        <w:ind w:left="513" w:right="1213"/>
        <w:jc w:val="left"/>
      </w:pPr>
      <w:r>
        <w:rPr/>
        <w:t>⑤租赁资产性质特殊，如不作较大改造只有承租人才能使用。 融资租入固定资产的计价方法：融资租入固定资产初始计价为租赁期开始日租赁资产公允价值与最低租赁付款额现值</w:t>
      </w:r>
    </w:p>
    <w:p>
      <w:pPr>
        <w:pStyle w:val="BodyText"/>
        <w:spacing w:line="224" w:lineRule="exact"/>
        <w:ind w:right="0"/>
        <w:jc w:val="left"/>
      </w:pPr>
      <w:r>
        <w:rPr/>
        <w:t>较低者作为入账价值。</w:t>
      </w:r>
    </w:p>
    <w:p>
      <w:pPr>
        <w:pStyle w:val="BodyText"/>
        <w:spacing w:line="240" w:lineRule="auto" w:before="117"/>
        <w:ind w:left="513" w:right="0"/>
        <w:jc w:val="left"/>
      </w:pPr>
      <w:r>
        <w:rPr/>
        <w:t>融资租入固定资产后续计价采用与自有固定资产相一致的折旧政策计提折旧及减值准备。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14" w:firstLine="288"/>
        <w:jc w:val="left"/>
      </w:pPr>
      <w:r>
        <w:rPr/>
        <w:t>在建工程项目按建造该项资产达到预定可使用状态前所发生的必要支出，作为固定资产的入账价值。所建造的固定资 产在建工程已达到预定可使用状态，但尚未办理竣工决算的，自达到预定可使用状态之日起，根据工程预算、造价或者工 程实际成本等，按估计的价值转入固定资产，并按本公司固定资产折旧政策计提固定资产的折旧，待办理竣工决算后，再 按实际成本调整原来的暂估价值，但不调整原已计提的折旧额。</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21</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right="1186" w:firstLine="358"/>
        <w:jc w:val="left"/>
      </w:pPr>
      <w:r>
        <w:rPr>
          <w:rFonts w:ascii="Times New Roman" w:hAnsi="Times New Roman" w:cs="Times New Roman" w:eastAsia="Times New Roman" w:hint="default"/>
        </w:rPr>
        <w:t>(1)</w:t>
      </w:r>
      <w:r>
        <w:rPr/>
        <w:t>公司发生的借款费用，可直接归属于符合资本化条件的资产的购建或者生产的，予以资本化，计入相关资产成本。</w:t>
      </w:r>
      <w:r>
        <w:rPr>
          <w:w w:val="99"/>
        </w:rPr>
        <w:t> </w:t>
      </w:r>
      <w:r>
        <w:rPr/>
        <w:t>符合资本化条件的资产，是指需要经过相当长的时间的</w:t>
      </w:r>
      <w:r>
        <w:rPr>
          <w:rFonts w:ascii="Times New Roman" w:hAnsi="Times New Roman" w:cs="Times New Roman" w:eastAsia="Times New Roman" w:hint="default"/>
        </w:rPr>
        <w:t>(</w:t>
      </w:r>
      <w:r>
        <w:rPr/>
        <w:t>通常是指</w:t>
      </w:r>
      <w:r>
        <w:rPr>
          <w:rFonts w:ascii="Times New Roman" w:hAnsi="Times New Roman" w:cs="Times New Roman" w:eastAsia="Times New Roman" w:hint="default"/>
        </w:rPr>
        <w:t>1</w:t>
      </w:r>
      <w:r>
        <w:rPr/>
        <w:t>年及</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购建或者生产活动才能达到预定可使用可</w:t>
      </w:r>
      <w:r>
        <w:rPr>
          <w:w w:val="99"/>
        </w:rPr>
        <w:t> </w:t>
      </w:r>
      <w:r>
        <w:rPr/>
        <w:t>销售状态的固定资产、投资性房地产和存货等资产。其他借款费用，应当在发生时根据其发生额确认为费用，计入当期损</w:t>
      </w:r>
      <w:r>
        <w:rPr>
          <w:w w:val="99"/>
        </w:rPr>
        <w:t> </w:t>
      </w:r>
      <w:r>
        <w:rPr/>
        <w:t>益。借款费用包括借款利息、折价或者溢价的摊销、辅助费用以及因外币借款而发生的汇兑差额等。</w:t>
      </w:r>
    </w:p>
    <w:p>
      <w:pPr>
        <w:pStyle w:val="BodyText"/>
        <w:spacing w:line="240" w:lineRule="auto" w:before="26"/>
        <w:ind w:left="51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借款费用同时满足下列条件的，开始资本化：</w:t>
      </w:r>
    </w:p>
    <w:p>
      <w:pPr>
        <w:pStyle w:val="BodyText"/>
        <w:spacing w:line="316" w:lineRule="auto" w:before="63"/>
        <w:ind w:right="1216" w:firstLine="358"/>
        <w:jc w:val="left"/>
      </w:pPr>
      <w:r>
        <w:rPr/>
        <w:t>①资产支出已发生，资产支出包括为购建或者生产符合资本化条件的资产而支付的现金、转移非现金资产或者承担带 息债务形式发生的支出；</w:t>
      </w:r>
    </w:p>
    <w:p>
      <w:pPr>
        <w:pStyle w:val="BodyText"/>
        <w:spacing w:line="240" w:lineRule="auto" w:before="18"/>
        <w:ind w:left="510" w:right="0"/>
        <w:jc w:val="left"/>
      </w:pPr>
      <w:r>
        <w:rPr/>
        <w:t>②借款费用已经发生；</w:t>
      </w:r>
    </w:p>
    <w:p>
      <w:pPr>
        <w:pStyle w:val="BodyText"/>
        <w:spacing w:line="240" w:lineRule="auto" w:before="76"/>
        <w:ind w:left="510" w:right="0"/>
        <w:jc w:val="left"/>
      </w:pPr>
      <w:r>
        <w:rPr/>
        <w:t>③为使资产达到预定可使用或者可销售状态所必要的购建或者生产活动已经开始。</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510" w:right="1306"/>
        <w:jc w:val="left"/>
      </w:pPr>
      <w:r>
        <w:rPr/>
        <w:t>购建或者生产符合资本化条件的资产达到预定可使用或者可销售状态时，借款费用停止资本化。 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w:t>
      </w:r>
    </w:p>
    <w:p>
      <w:pPr>
        <w:pStyle w:val="BodyText"/>
        <w:spacing w:line="316" w:lineRule="auto"/>
        <w:ind w:right="1231"/>
        <w:jc w:val="both"/>
      </w:pPr>
      <w:r>
        <w:rPr/>
        <w:t>化。在中断期间发生的借款费用确认为费用，计入当期损益，直至资产的购建或者生产活动重新开始。如果中断是所购建 或者生产的符合资本化条件的资产达到预定可使用或可销售状态必要的程序，借款费用的资本化则继续进行。</w:t>
      </w:r>
    </w:p>
    <w:p>
      <w:pPr>
        <w:pStyle w:val="BodyText"/>
        <w:spacing w:line="240" w:lineRule="auto" w:before="19"/>
        <w:ind w:left="51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在资本化期间内，每一会计期间的利息</w:t>
      </w:r>
      <w:r>
        <w:rPr>
          <w:rFonts w:ascii="Times New Roman" w:hAnsi="Times New Roman" w:cs="Times New Roman" w:eastAsia="Times New Roman" w:hint="default"/>
        </w:rPr>
        <w:t>(</w:t>
      </w:r>
      <w:r>
        <w:rPr/>
        <w:t>包括折价或溢价的摊销</w:t>
      </w:r>
      <w:r>
        <w:rPr>
          <w:rFonts w:ascii="Times New Roman" w:hAnsi="Times New Roman" w:cs="Times New Roman" w:eastAsia="Times New Roman" w:hint="default"/>
        </w:rPr>
        <w:t>)</w:t>
      </w:r>
      <w:r>
        <w:rPr/>
        <w:t>资本化金额，按照下列规定确定：</w:t>
      </w:r>
    </w:p>
    <w:p>
      <w:pPr>
        <w:pStyle w:val="BodyText"/>
        <w:spacing w:line="316" w:lineRule="auto" w:before="63"/>
        <w:ind w:right="1216" w:firstLine="358"/>
        <w:jc w:val="left"/>
      </w:pPr>
      <w:r>
        <w:rPr/>
        <w:t>①为购建或者生产符合资本化条件的资产而借入专门借款的，以专门借款当期实际发生的利息费用，减去尚未动用的 借款资金存入银行取得的利息收入或进行暂时性投资取得的投资收益后的金额确定。</w:t>
      </w:r>
    </w:p>
    <w:p>
      <w:pPr>
        <w:pStyle w:val="BodyText"/>
        <w:spacing w:line="316" w:lineRule="auto" w:before="19"/>
        <w:ind w:right="1231" w:firstLine="358"/>
        <w:jc w:val="both"/>
      </w:pPr>
      <w:r>
        <w:rPr/>
        <w:t>②为购建或者生产符合资本化条件的资产而占用了一般借款的，根据累计资产支出超过专门借款部分的资产支出加权 平均数乘以所占用的一般借款的资本化率，计算确定一般借款应予资本化的利息金额。资本化率根据一般借款加权平均利 率确定。</w:t>
      </w:r>
    </w:p>
    <w:p>
      <w:pPr>
        <w:pStyle w:val="BodyText"/>
        <w:spacing w:line="319" w:lineRule="auto" w:before="19"/>
        <w:ind w:left="510" w:right="1366"/>
        <w:jc w:val="left"/>
      </w:pPr>
      <w:r>
        <w:rPr/>
        <w:t>借款存在折价或溢价的，按照实际利率法确定每一会计期间相应摊销的折价或者溢价的金额，调整每期利息金额。 在资本化期间内，每一会计期间的利息资本化金额，不超过当期相关借款实际发生的利息金额。 </w:t>
      </w:r>
      <w:r>
        <w:rPr>
          <w:rFonts w:ascii="Times New Roman" w:hAnsi="Times New Roman" w:cs="Times New Roman" w:eastAsia="Times New Roman" w:hint="default"/>
        </w:rPr>
        <w:t>(4)</w:t>
      </w:r>
      <w:r>
        <w:rPr/>
        <w:t>专门借款发生的辅助费用，在所购建或者生产的符合资本化条件的资产达到预定可使用或者可销售状态之前发生</w:t>
      </w:r>
    </w:p>
    <w:p>
      <w:pPr>
        <w:pStyle w:val="BodyText"/>
        <w:spacing w:line="316" w:lineRule="auto"/>
        <w:ind w:right="1231"/>
        <w:jc w:val="both"/>
      </w:pPr>
      <w:r>
        <w:rPr/>
        <w:t>的，在发生时根据其发生额予以资本化，计入符合资本化条件的资产的成本；在所购建或者生产的符合资本化条件的资产 达到预定可使用或者可销售状态之后发生的，在发生时根据其发生额确认为费用，计入当期损益。一般借款发生的辅助费 用，在发生时根据其发生额确认为费用，计入当期损益。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22</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16" w:firstLine="358"/>
        <w:jc w:val="left"/>
      </w:pPr>
      <w:r>
        <w:rPr/>
        <w:t>①无形资产，是指企业拥有或者控制的没有实物形态的可辨认非货币性资产。无形资产按照成本进行初始计量。于取 得无形资产时分析判断其使用寿命。</w:t>
      </w:r>
    </w:p>
    <w:p>
      <w:pPr>
        <w:pStyle w:val="BodyText"/>
        <w:spacing w:line="240" w:lineRule="auto" w:before="19"/>
        <w:ind w:left="510" w:right="0"/>
        <w:jc w:val="left"/>
      </w:pPr>
      <w:r>
        <w:rPr/>
        <w:t>②公司确定无形资产使用寿命通常考虑的因素：</w:t>
      </w:r>
    </w:p>
    <w:p>
      <w:pPr>
        <w:pStyle w:val="BodyText"/>
        <w:spacing w:line="240" w:lineRule="auto" w:before="77"/>
        <w:ind w:left="510" w:right="0"/>
        <w:jc w:val="left"/>
      </w:pP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63"/>
        <w:ind w:left="510" w:right="0"/>
        <w:jc w:val="left"/>
      </w:pP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63"/>
        <w:ind w:left="510" w:right="0"/>
        <w:jc w:val="left"/>
      </w:pPr>
      <w:r>
        <w:rPr>
          <w:rFonts w:ascii="Times New Roman" w:hAnsi="Times New Roman" w:cs="Times New Roman" w:eastAsia="Times New Roman" w:hint="default"/>
        </w:rPr>
        <w:t>3</w:t>
      </w:r>
      <w:r>
        <w:rPr/>
        <w:t>）以该资产生产的产品或提供服务的市场需求情况；</w:t>
      </w:r>
    </w:p>
    <w:p>
      <w:pPr>
        <w:pStyle w:val="BodyText"/>
        <w:spacing w:line="240" w:lineRule="auto" w:before="63"/>
        <w:ind w:left="510" w:right="0"/>
        <w:jc w:val="left"/>
      </w:pPr>
      <w:r>
        <w:rPr>
          <w:rFonts w:ascii="Times New Roman" w:hAnsi="Times New Roman" w:cs="Times New Roman" w:eastAsia="Times New Roman" w:hint="default"/>
        </w:rPr>
        <w:t>4</w:t>
      </w:r>
      <w:r>
        <w:rPr/>
        <w:t>）现在或潜在的竞争者预期采取的行动；</w:t>
      </w:r>
    </w:p>
    <w:p>
      <w:pPr>
        <w:pStyle w:val="BodyText"/>
        <w:spacing w:line="240" w:lineRule="auto" w:before="63"/>
        <w:ind w:left="510" w:right="0"/>
        <w:jc w:val="left"/>
      </w:pPr>
      <w:r>
        <w:rPr>
          <w:rFonts w:ascii="Times New Roman" w:hAnsi="Times New Roman" w:cs="Times New Roman" w:eastAsia="Times New Roman" w:hint="default"/>
        </w:rPr>
        <w:t>5</w:t>
      </w:r>
      <w:r>
        <w:rPr/>
        <w:t>）为维持该资产带来经济利益能力的预期维护支出，以及公司预计支付有关支出的能力；</w:t>
      </w:r>
    </w:p>
    <w:p>
      <w:pPr>
        <w:pStyle w:val="BodyText"/>
        <w:spacing w:line="240" w:lineRule="auto" w:before="63"/>
        <w:ind w:left="510" w:right="0"/>
        <w:jc w:val="left"/>
      </w:pPr>
      <w:r>
        <w:rPr>
          <w:rFonts w:ascii="Times New Roman" w:hAnsi="Times New Roman" w:cs="Times New Roman" w:eastAsia="Times New Roman" w:hint="default"/>
        </w:rPr>
        <w:t>6</w:t>
      </w:r>
      <w:r>
        <w:rPr/>
        <w:t>）对该资产控制期限的相关法律规定或类似限制，如特许使用期、租赁期等；</w:t>
      </w:r>
    </w:p>
    <w:p>
      <w:pPr>
        <w:pStyle w:val="BodyText"/>
        <w:spacing w:line="300" w:lineRule="auto" w:before="63"/>
        <w:ind w:left="510" w:right="3916"/>
        <w:jc w:val="left"/>
      </w:pPr>
      <w:r>
        <w:rPr>
          <w:rFonts w:ascii="Times New Roman" w:hAnsi="Times New Roman" w:cs="Times New Roman" w:eastAsia="Times New Roman" w:hint="default"/>
        </w:rPr>
        <w:t>7</w:t>
      </w:r>
      <w:r>
        <w:rPr/>
        <w:t>）与企业持有其他资产使用寿命的关联性等。 无法预见无形资产为公司带来经济利益期限的，视为使用寿命不确定的无形资产。</w:t>
      </w:r>
    </w:p>
    <w:p>
      <w:pPr>
        <w:pStyle w:val="BodyText"/>
        <w:spacing w:line="309" w:lineRule="auto" w:before="31"/>
        <w:ind w:right="1214" w:firstLine="358"/>
        <w:jc w:val="left"/>
      </w:pPr>
      <w:r>
        <w:rPr/>
        <w:t>③对于使用寿命有限的无形资产，在使用寿命内系统合理</w:t>
      </w:r>
      <w:r>
        <w:rPr>
          <w:rFonts w:ascii="Times New Roman" w:hAnsi="Times New Roman" w:cs="Times New Roman" w:eastAsia="Times New Roman" w:hint="default"/>
        </w:rPr>
        <w:t>(</w:t>
      </w:r>
      <w:r>
        <w:rPr/>
        <w:t>或者直线法</w:t>
      </w:r>
      <w:r>
        <w:rPr>
          <w:rFonts w:ascii="Times New Roman" w:hAnsi="Times New Roman" w:cs="Times New Roman" w:eastAsia="Times New Roman" w:hint="default"/>
        </w:rPr>
        <w:t>)</w:t>
      </w:r>
      <w:r>
        <w:rPr/>
        <w:t>摊销。公司于每年年度终了，对使用寿命有限 的无形资产的使用寿命及摊销方法进行复核。无形资产的使用寿命及摊销方法与以前估计不同的，将改变摊销期限和摊销 方法。</w:t>
      </w:r>
    </w:p>
    <w:p>
      <w:pPr>
        <w:pStyle w:val="BodyText"/>
        <w:spacing w:line="240" w:lineRule="auto" w:before="25"/>
        <w:ind w:left="510" w:right="0"/>
        <w:jc w:val="left"/>
        <w:rPr>
          <w:rFonts w:ascii="Times New Roman" w:hAnsi="Times New Roman" w:cs="Times New Roman" w:eastAsia="Times New Roman" w:hint="default"/>
        </w:rPr>
      </w:pPr>
      <w:r>
        <w:rPr/>
        <w:t>对于使用寿命有限的无形资产，在采用直线法计算摊销额时，各项无形资产的使用寿命、预计净残值率如下</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2268"/>
        <w:gridCol w:w="2552"/>
        <w:gridCol w:w="4679"/>
      </w:tblGrid>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3"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2"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0" w:right="0"/>
        <w:jc w:val="left"/>
      </w:pPr>
      <w:r>
        <w:rPr/>
        <w:t>①内部研究开发项目的支出，包括研究阶段支出与开发阶段支出，其中：</w:t>
      </w:r>
    </w:p>
    <w:p>
      <w:pPr>
        <w:pStyle w:val="BodyText"/>
        <w:spacing w:line="240" w:lineRule="auto" w:before="76"/>
        <w:ind w:left="510" w:right="0"/>
        <w:jc w:val="left"/>
      </w:pPr>
      <w:r>
        <w:rPr>
          <w:rFonts w:ascii="Times New Roman" w:hAnsi="Times New Roman" w:cs="Times New Roman" w:eastAsia="Times New Roman" w:hint="default"/>
        </w:rPr>
        <w:t>1</w:t>
      </w:r>
      <w:r>
        <w:rPr/>
        <w:t>）研究是指为获取并理解新的科学或技术知识而进行的独创性的有计划调查。</w:t>
      </w:r>
    </w:p>
    <w:p>
      <w:pPr>
        <w:pStyle w:val="BodyText"/>
        <w:spacing w:line="300" w:lineRule="auto" w:before="63"/>
        <w:ind w:right="1126" w:firstLine="358"/>
        <w:jc w:val="left"/>
      </w:pPr>
      <w:r>
        <w:rPr>
          <w:rFonts w:ascii="Times New Roman" w:hAnsi="Times New Roman" w:cs="Times New Roman" w:eastAsia="Times New Roman" w:hint="default"/>
        </w:rPr>
        <w:t>2</w:t>
      </w:r>
      <w:r>
        <w:rPr/>
        <w:t>）开发是指在进行商业性生产或使用前，将研究成果或其他知识应用于某项计划或设计，以生产出新的或具有实质性 改进的材料、装置、产品等。</w:t>
      </w:r>
    </w:p>
    <w:p>
      <w:pPr>
        <w:pStyle w:val="BodyText"/>
        <w:spacing w:line="316" w:lineRule="auto" w:before="31"/>
        <w:ind w:right="1216" w:firstLine="358"/>
        <w:jc w:val="left"/>
      </w:pPr>
      <w:r>
        <w:rPr/>
        <w:t>②内部研究开发项目在研究阶段的支出于发生时计入当期损益；开发阶段的支出，同时满足下列条件的，确认为无形 资产：</w:t>
      </w:r>
    </w:p>
    <w:p>
      <w:pPr>
        <w:pStyle w:val="BodyText"/>
        <w:spacing w:line="300" w:lineRule="auto" w:before="19"/>
        <w:ind w:right="1126" w:firstLine="358"/>
        <w:jc w:val="left"/>
      </w:pPr>
      <w:r>
        <w:rPr>
          <w:rFonts w:ascii="Times New Roman" w:hAnsi="Times New Roman" w:cs="Times New Roman" w:eastAsia="Times New Roman" w:hint="default"/>
        </w:rPr>
        <w:t>1</w:t>
      </w:r>
      <w:r>
        <w:rPr/>
        <w:t>）公司对该项目方案所采用技术的分析，从技术的角度讲是完全能够生产出产品的，且公司已经对该项目方案所需采 用的技术进行了充分的分析论证和测试，即该项目从技术的角度来讲完全是可行的；</w:t>
      </w:r>
    </w:p>
    <w:p>
      <w:pPr>
        <w:pStyle w:val="BodyText"/>
        <w:spacing w:line="309" w:lineRule="auto" w:before="31"/>
        <w:ind w:right="1126" w:firstLine="358"/>
        <w:jc w:val="left"/>
      </w:pPr>
      <w:r>
        <w:rPr>
          <w:rFonts w:ascii="Times New Roman" w:hAnsi="Times New Roman" w:cs="Times New Roman" w:eastAsia="Times New Roman" w:hint="default"/>
        </w:rPr>
        <w:t>2</w:t>
      </w:r>
      <w:r>
        <w:rPr/>
        <w:t>）公司在完成项目方案的开发，取得技术成功并形成样品后交由部分下游客户试用，能够带来稳定的经济效益。对于 经济效益的评价，公司在确认直接经济效益达到或超过项目投入（包括项目研发阶段和项目市场化开发阶段）的所有成本 时，认为该项目的市场化开发达到预定的经济效益；</w:t>
      </w:r>
    </w:p>
    <w:p>
      <w:pPr>
        <w:pStyle w:val="BodyText"/>
        <w:spacing w:line="240" w:lineRule="auto" w:before="24"/>
        <w:ind w:left="510" w:right="0"/>
        <w:jc w:val="left"/>
      </w:pPr>
      <w:r>
        <w:rPr>
          <w:rFonts w:ascii="Times New Roman" w:hAnsi="Times New Roman" w:cs="Times New Roman" w:eastAsia="Times New Roman" w:hint="default"/>
        </w:rPr>
        <w:t>3</w:t>
      </w:r>
      <w:r>
        <w:rPr/>
        <w:t>）本公司市场部通过市场调研，确认该项目方案进入市场化开发阶段后三年内，能够持续为本公司带来稳定的收益；</w:t>
      </w:r>
    </w:p>
    <w:p>
      <w:pPr>
        <w:pStyle w:val="BodyText"/>
        <w:spacing w:line="300" w:lineRule="auto" w:before="63"/>
        <w:ind w:right="1126" w:firstLine="358"/>
        <w:jc w:val="left"/>
      </w:pPr>
      <w:r>
        <w:rPr>
          <w:rFonts w:ascii="Times New Roman" w:hAnsi="Times New Roman" w:cs="Times New Roman" w:eastAsia="Times New Roman" w:hint="default"/>
        </w:rPr>
        <w:t>4</w:t>
      </w:r>
      <w:r>
        <w:rPr/>
        <w:t>）本公司研发中心、市场部配备专业人员来完成开发和推广，同时本公司财务部门在年度的预算中也为项目技术方案 开发及市场化开发阶段提供了资金预算，从人、财、物上保证项目的顺利开发；</w:t>
      </w:r>
    </w:p>
    <w:p>
      <w:pPr>
        <w:pStyle w:val="BodyText"/>
        <w:spacing w:line="309" w:lineRule="auto" w:before="31"/>
        <w:ind w:right="1126" w:firstLine="358"/>
        <w:jc w:val="left"/>
      </w:pPr>
      <w:r>
        <w:rPr>
          <w:rFonts w:ascii="Times New Roman" w:hAnsi="Times New Roman" w:cs="Times New Roman" w:eastAsia="Times New Roman" w:hint="default"/>
        </w:rPr>
        <w:t>5</w:t>
      </w:r>
      <w:r>
        <w:rPr/>
        <w:t>）本公司对各个研发项目方案，已经按照直接人工、直接材料投入、设计费、试制费、折旧摊销、调试费等费用明细 进行归集，在核算过程中，如果发生的某笔费用系为多个项目而发生，能够按照一定比例分摊的，分摊后归集到该项目 中，不能够按照一定比例分摊的，则直接计入当期管理费用。</w:t>
      </w:r>
    </w:p>
    <w:p>
      <w:pPr>
        <w:pStyle w:val="BodyText"/>
        <w:spacing w:line="240" w:lineRule="auto" w:before="24"/>
        <w:ind w:left="510" w:right="0"/>
        <w:jc w:val="left"/>
      </w:pPr>
      <w:r>
        <w:rPr/>
        <w:t>只有同时符合以上五个条件，公司才将开发阶段的支出资本化，不满足上述条件的开发支出，计入当期损益。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 </w:t>
      </w:r>
      <w:r>
        <w:rPr>
          <w:spacing w:val="2"/>
        </w:rPr>
        <w:t> </w:t>
      </w:r>
      <w:r>
        <w:rPr/>
        <w:t>商誉</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216" w:firstLine="358"/>
        <w:jc w:val="left"/>
      </w:pPr>
      <w:r>
        <w:rPr/>
        <w:t>商誉为非同一控制下企业合并其初始合并成本大于合并中取得的被购买方可辨认净资产公允价值份额的差额。公司对 商誉不摊销，以成本减累计减值准备后的金额计量，在合并资产负债表上单独列示。</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24</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14" w:firstLine="358"/>
        <w:jc w:val="left"/>
      </w:pPr>
      <w:r>
        <w:rPr/>
        <w:t>对于固定资产、在建工程、使用寿命有限的无形资产、以成本模式计量的投资性房地产及对子公司、合营企业、联营 企业的长期股权投资等非流动非金融资产，公司于资产负债表日判断是否存在减值迹象。如存在减值迹象的，则估计其可 收回金额，进行减值测试。商誉、使用寿命不确定的无形资产和尚未达到可使用状态的无形资产，无论是否存在减值迹 象，每年均进行减值测试。</w:t>
      </w:r>
    </w:p>
    <w:p>
      <w:pPr>
        <w:pStyle w:val="BodyText"/>
        <w:spacing w:line="316" w:lineRule="auto" w:before="19"/>
        <w:ind w:right="1230" w:firstLine="358"/>
        <w:jc w:val="both"/>
      </w:pPr>
      <w:r>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 售协议价格确定；不存在销售协议但存在资产活跃市场的，公允价值按照该资产的买方出价确定；不存在销售协议和资产 活跃市场的，则以可获取的最佳信息为基础估计资产的公允价值。处置费用包括与资产处置有关的法律费用、相关税费、 搬运费以及为使资产达到可销售状态所发生的直接费用。资产预计未来现金流量的现值，按照资产在持续使用过程中和最 终处置时所产生的预计未来现金流量，选择恰当的折现率对其进行折现后的金额加以确定。资产减值准备按单项资产为基 础计算并确认，如果难以对单项资产的可收回金额进行估计的，以该资产所属的资产组确定资产组的可收回金额。资产组 是能够独立产生现金流入的最小资产组合。</w:t>
      </w:r>
    </w:p>
    <w:p>
      <w:pPr>
        <w:pStyle w:val="BodyText"/>
        <w:spacing w:line="316" w:lineRule="auto" w:before="19"/>
        <w:ind w:right="1231" w:firstLine="358"/>
        <w:jc w:val="both"/>
      </w:pPr>
      <w:r>
        <w:rPr/>
        <w:t>就商誉的减值测试而言，对于因企业合并形成的商誉的账面价值，自购买日起按照合理的方法分摊至相关的资产组； 难以分摊至相关的资产组的，将其分摊至相关的资产组组合。相关的资产组或资产组组合，是能够从企业合并的协同效应 中受益的资产组或者资产组组合，且不大于本集团确定的报告分部。</w:t>
      </w:r>
    </w:p>
    <w:p>
      <w:pPr>
        <w:pStyle w:val="BodyText"/>
        <w:spacing w:line="316" w:lineRule="auto" w:before="18"/>
        <w:ind w:right="1214" w:firstLine="358"/>
        <w:jc w:val="left"/>
      </w:pPr>
      <w:r>
        <w:rPr/>
        <w:t>对包含商誉的相关资产组或者资产组组合进行减值测试时，如与商誉相关的资产组或者资产组组合存在减值迹象的， 首先对不包含商誉的资产组或者资产组组合进行减值测试，计算可收回金额，确认相应的减值损失。然后对包含商誉的资</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30"/>
        <w:jc w:val="both"/>
      </w:pPr>
      <w:r>
        <w:rPr/>
        <w:t>产组或者资产组组合进行减值测试，比较其账面价值与可收回金额，如可收回金额低于账面价值的，减值损失金额首先抵 减分摊至资产组或资产组组合中商誉的账面价值，再根据资产组或资产组组合中除商誉之外的其他各项资产的账面价值所 占比重，按比例抵减其他各项资产的账面价值，但抵减后的各资产的账面价值不得低于该资产的公允价值减去处置费用后 的净额（如可确定的）和该资产预计未来现金流量的现值（如可确定的）两者之间较高者，同时也不低于零。</w:t>
      </w:r>
    </w:p>
    <w:p>
      <w:pPr>
        <w:pStyle w:val="BodyText"/>
        <w:spacing w:line="240" w:lineRule="auto" w:before="17"/>
        <w:ind w:left="510" w:right="0"/>
        <w:jc w:val="left"/>
      </w:pPr>
      <w:r>
        <w:rPr/>
        <w:t>上述资产减值损失一经确认，以后期间不予转回价值得以恢复的部分。</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274"/>
        <w:jc w:val="left"/>
      </w:pPr>
      <w:r>
        <w:rPr/>
        <w:t>长期待摊费用是公司已经发生但应由本期和以后各期负担的分摊期限在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的各项费用。长期待摊费用在受 益期内平均摊销，如果长期待摊费用项目不能使以后会计期间受益的，则将其尚未摊销的摊余价值全部转入当期损益。</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26</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0" w:right="1216"/>
        <w:jc w:val="left"/>
      </w:pPr>
      <w:r>
        <w:rPr/>
        <w:t>短期薪酬是指公司在职工提供相关服务的年度报告期间结束后十二个月内需要全部予以支付的职工薪酬。 短期薪酬包括职工工资、奖金、津贴和补贴，职工福利费、医疗保险费、工伤保险费和生育保险费等社会保险费，住</w:t>
      </w:r>
    </w:p>
    <w:p>
      <w:pPr>
        <w:pStyle w:val="BodyText"/>
        <w:spacing w:line="316" w:lineRule="auto" w:before="19"/>
        <w:ind w:left="510" w:right="1216" w:hanging="359"/>
        <w:jc w:val="left"/>
      </w:pPr>
      <w:r>
        <w:rPr/>
        <w:t>房公积金、工会经费和职工教育经费，短期带薪缺勤、短期利润分享计划，非货币性福利以及其他短期薪酬。 短期薪酬在职工为公司提供服务的会计期间，将实际发生的短期薪酬确认为负债，并计入当期损益或相关资产成本。</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16" w:firstLine="358"/>
        <w:jc w:val="left"/>
      </w:pPr>
      <w:r>
        <w:rPr/>
        <w:t>离职后福利是指公司为获得员工提供的服务而在职工退休或与公司解除劳动关系后，提供的各种形式的报酬和福利， 短期薪酬和辞退福利除外。</w:t>
      </w:r>
    </w:p>
    <w:p>
      <w:pPr>
        <w:pStyle w:val="BodyText"/>
        <w:spacing w:line="316" w:lineRule="auto" w:before="19"/>
        <w:ind w:right="1216" w:firstLine="358"/>
        <w:jc w:val="left"/>
      </w:pPr>
      <w:r>
        <w:rPr/>
        <w:t>离职后福利计划包括设定提存计划和设定受益计划。其中，设定提存计划，是指向独立的基金缴存固定费用后，公司 不再承担进一步支付义务的离职后福利计划；设定受益计划，是指除设定提存计划以外的离职后福利计划。</w:t>
      </w:r>
    </w:p>
    <w:p>
      <w:pPr>
        <w:pStyle w:val="BodyText"/>
        <w:spacing w:line="316" w:lineRule="auto" w:before="19"/>
        <w:ind w:right="1216" w:firstLine="358"/>
        <w:jc w:val="left"/>
      </w:pPr>
      <w:r>
        <w:rPr/>
        <w:t>设定提存计划包括基本养老保险、失业保险等。在职工提供服务的会计期间，根据设定提存计划计算的应缴存金额确 认为负债，并计入当期损益或相关资产成本。</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396" w:firstLine="358"/>
        <w:jc w:val="left"/>
      </w:pPr>
      <w:r>
        <w:rPr/>
        <w:t>辞退福利是指公司在职工劳动合同到期之前解除与职工的劳动关系，或者为鼓励职工自愿接受裁减而给予职工的补 偿。</w:t>
      </w:r>
    </w:p>
    <w:p>
      <w:pPr>
        <w:pStyle w:val="BodyText"/>
        <w:spacing w:line="316" w:lineRule="auto" w:before="19"/>
        <w:ind w:right="1214" w:firstLine="358"/>
        <w:jc w:val="left"/>
      </w:pPr>
      <w:r>
        <w:rPr/>
        <w:t>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09" w:firstLine="185"/>
        <w:jc w:val="left"/>
      </w:pPr>
      <w:r>
        <w:rPr/>
        <w:t>其他长期职工福利是指除短期薪酬、离职后福利、辞退福利之外所有的职工薪酬，包括长期带薪缺勤、长期残疾福利、 长期利润分享计划等。</w:t>
      </w:r>
    </w:p>
    <w:p>
      <w:pPr>
        <w:pStyle w:val="BodyText"/>
        <w:spacing w:line="240" w:lineRule="auto" w:before="19"/>
        <w:ind w:left="338" w:right="0"/>
        <w:jc w:val="left"/>
      </w:pPr>
      <w:r>
        <w:rPr/>
        <w:t>企业向职工提供的其他长期职工福利，符合设定提存计划条件的，适用于上述设定提存计划的有关规定进行处理。</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0" w:right="0"/>
        <w:jc w:val="left"/>
      </w:pPr>
      <w:r>
        <w:rPr/>
        <w:t>与或有事项相关的义务同时满足下列条件的，确认为预计负债：</w:t>
      </w:r>
    </w:p>
    <w:p>
      <w:pPr>
        <w:spacing w:after="0" w:line="240" w:lineRule="auto"/>
        <w:jc w:val="left"/>
        <w:sectPr>
          <w:footerReference w:type="default" r:id="rId59"/>
          <w:pgSz w:w="11910" w:h="16840"/>
          <w:pgMar w:footer="980" w:header="877"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0" w:right="0"/>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63"/>
        <w:ind w:left="510" w:right="0"/>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300" w:lineRule="auto" w:before="63"/>
        <w:ind w:left="510" w:right="4456"/>
        <w:jc w:val="left"/>
      </w:pPr>
      <w:r>
        <w:rPr/>
        <w:t>（</w:t>
      </w:r>
      <w:r>
        <w:rPr>
          <w:rFonts w:ascii="Times New Roman" w:hAnsi="Times New Roman" w:cs="Times New Roman" w:eastAsia="Times New Roman" w:hint="default"/>
        </w:rPr>
        <w:t>3</w:t>
      </w:r>
      <w:r>
        <w:rPr/>
        <w:t>）该义务的金额能够可靠地计量。 预计负债应当按照履行相关现时义务所需支出的最佳估计数进行初始计量。</w:t>
      </w:r>
    </w:p>
    <w:p>
      <w:pPr>
        <w:pStyle w:val="BodyText"/>
        <w:spacing w:line="316" w:lineRule="auto" w:before="31"/>
        <w:ind w:right="1216" w:firstLine="358"/>
        <w:jc w:val="left"/>
      </w:pPr>
      <w:r>
        <w:rPr/>
        <w:t>本公司在确定最佳估计数时，综合考虑与或有事项有关的风险、不确定性和货币时间价值等因素对于货币时间价值影 响重大的，通过对相关未来现金流出进行折现后确定最佳估计数。</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28</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16" w:firstLine="358"/>
        <w:jc w:val="left"/>
      </w:pPr>
      <w:r>
        <w:rPr/>
        <w:t>本公司的股份支付是为了获取职工提供服务而授予权益工具或者承担以权益工具为基础确定的负债的交易。本公司的 股份支付为以权益结算的股份支付。</w:t>
      </w:r>
    </w:p>
    <w:p>
      <w:pPr>
        <w:pStyle w:val="BodyText"/>
        <w:spacing w:line="300" w:lineRule="auto" w:before="19"/>
        <w:ind w:left="510" w:right="1216"/>
        <w:jc w:val="left"/>
      </w:pPr>
      <w:r>
        <w:rPr/>
        <w:t>（</w:t>
      </w:r>
      <w:r>
        <w:rPr>
          <w:rFonts w:ascii="Times New Roman" w:hAnsi="Times New Roman" w:cs="Times New Roman" w:eastAsia="Times New Roman" w:hint="default"/>
        </w:rPr>
        <w:t>1</w:t>
      </w:r>
      <w:r>
        <w:rPr/>
        <w:t>）权益工具公允价值的确定方法 以权益结算的股份支付换取职工提供服务的，以授予职工权益工具的公允价值计量。授予后立即可行权的，在授予日</w:t>
      </w:r>
    </w:p>
    <w:p>
      <w:pPr>
        <w:pStyle w:val="BodyText"/>
        <w:spacing w:line="316" w:lineRule="auto" w:before="31"/>
        <w:ind w:right="1230"/>
        <w:jc w:val="both"/>
      </w:pPr>
      <w:r>
        <w:rPr/>
        <w:t>按照公允价值计入相关成本或费用，相应增加资本公积；完成等待期内的服务或达到规定业绩条件才可行权的，在等待期 内每个资产负债表日，本公司根据最新取得的可行权职工人数变动、是否达到规定业绩条件等后续信息对可行权权益工具 数量作出最佳估计，以此为基础，按照授予日的公允价值，将当期取得的服务计入相关成本或费用，相应计入资本公积。 权益工具的公允价值采用</w:t>
      </w:r>
      <w:r>
        <w:rPr>
          <w:rFonts w:ascii="Times New Roman" w:hAnsi="Times New Roman" w:cs="Times New Roman" w:eastAsia="Times New Roman" w:hint="default"/>
        </w:rPr>
        <w:t>Black-Scholes</w:t>
      </w:r>
      <w:r>
        <w:rPr>
          <w:rFonts w:ascii="Times New Roman" w:hAnsi="Times New Roman" w:cs="Times New Roman" w:eastAsia="Times New Roman" w:hint="default"/>
          <w:spacing w:val="27"/>
        </w:rPr>
        <w:t> </w:t>
      </w:r>
      <w:r>
        <w:rPr/>
        <w:t>模型确定。</w:t>
      </w:r>
    </w:p>
    <w:p>
      <w:pPr>
        <w:pStyle w:val="BodyText"/>
        <w:spacing w:line="300" w:lineRule="auto"/>
        <w:ind w:left="510" w:right="1216"/>
        <w:jc w:val="left"/>
      </w:pPr>
      <w:r>
        <w:rPr/>
        <w:t>（</w:t>
      </w:r>
      <w:r>
        <w:rPr>
          <w:rFonts w:ascii="Times New Roman" w:hAnsi="Times New Roman" w:cs="Times New Roman" w:eastAsia="Times New Roman" w:hint="default"/>
        </w:rPr>
        <w:t>2</w:t>
      </w:r>
      <w:r>
        <w:rPr/>
        <w:t>）确认可行权权益工具最佳估计的依据 在满足业绩条件或服务期限条件的期间，应确认以权益结算的股份支付的成本或费用，并相应增加资本公积。可行权</w:t>
      </w:r>
    </w:p>
    <w:p>
      <w:pPr>
        <w:pStyle w:val="BodyText"/>
        <w:spacing w:line="316" w:lineRule="auto" w:before="31"/>
        <w:ind w:right="1230"/>
        <w:jc w:val="both"/>
      </w:pPr>
      <w:r>
        <w:rPr/>
        <w:t>日之前，于每个资产负债表日为以权益结算的股份支付确认的累计金额反映了等待期已届满的部分以及本公司对最终可行 权的权益工具数量的最佳估计。</w:t>
      </w:r>
    </w:p>
    <w:p>
      <w:pPr>
        <w:pStyle w:val="BodyText"/>
        <w:spacing w:line="300" w:lineRule="auto" w:before="19"/>
        <w:ind w:left="510" w:right="1216"/>
        <w:jc w:val="left"/>
      </w:pPr>
      <w:r>
        <w:rPr/>
        <w:t>（</w:t>
      </w:r>
      <w:r>
        <w:rPr>
          <w:rFonts w:ascii="Times New Roman" w:hAnsi="Times New Roman" w:cs="Times New Roman" w:eastAsia="Times New Roman" w:hint="default"/>
        </w:rPr>
        <w:t>3</w:t>
      </w:r>
      <w:r>
        <w:rPr/>
        <w:t>）实施、修改、终止股份支付计划的相关会计处理 对于最终未能行权的股份支付，不确认成本或费用，除非行权条件是市场条件或非可行权条件，此时无论是否满足市</w:t>
      </w:r>
    </w:p>
    <w:p>
      <w:pPr>
        <w:pStyle w:val="BodyText"/>
        <w:spacing w:line="319" w:lineRule="auto" w:before="31"/>
        <w:ind w:left="510" w:right="1216" w:hanging="359"/>
        <w:jc w:val="left"/>
      </w:pPr>
      <w:r>
        <w:rPr/>
        <w:t>场条件或非可行权条件，只要满足所有可行权条件中的非市场条件，即视为可行权。 如果修改了以权益结算的股份支付的条款，至少按照未修改条款的情况确认取得的服务。此外，任何增加所授予权益</w:t>
      </w:r>
    </w:p>
    <w:p>
      <w:pPr>
        <w:pStyle w:val="BodyText"/>
        <w:spacing w:line="316" w:lineRule="auto" w:before="17"/>
        <w:ind w:left="510" w:right="1216" w:hanging="359"/>
        <w:jc w:val="left"/>
      </w:pPr>
      <w:r>
        <w:rPr/>
        <w:t>工具公允价值的修改，或在修改日对职工有利的变更，均确认取得服务的增加。 如果取消了以权益结算的股份支付，则于取消日作为加速行权处理，立即确认尚未确认的金额。职工或其他方能够选</w:t>
      </w:r>
    </w:p>
    <w:p>
      <w:pPr>
        <w:pStyle w:val="BodyText"/>
        <w:spacing w:line="316" w:lineRule="auto" w:before="19"/>
        <w:ind w:right="1231"/>
        <w:jc w:val="both"/>
      </w:pPr>
      <w:r>
        <w:rPr/>
        <w:t>择满足非可行权条件但在等待期内未满足的，作为取消以权益结算的股份支付处理。但是，如果授予新的权益工具，并在 新权益工具授予日认定所授予的新权益工具是用于替代被取消的权益工具的，则以与处理原权益工具条款和条件修改相同 的方式，对所授予的替代权益工具进行处理。</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29</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585"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尚未执行新收入准则</w:t>
      </w:r>
      <w:r>
        <w:rPr>
          <w:rFonts w:ascii="Times New Roman" w:hAnsi="Times New Roman" w:cs="Times New Roman" w:eastAsia="Times New Roman" w:hint="default"/>
        </w:rPr>
        <w:t>)</w:t>
      </w:r>
    </w:p>
    <w:p>
      <w:pPr>
        <w:pStyle w:val="BodyText"/>
        <w:spacing w:line="240" w:lineRule="auto" w:before="102"/>
        <w:ind w:left="51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营业收入包括销售商品收入、提供劳务收入以及让渡资产使用权收入。</w:t>
      </w:r>
    </w:p>
    <w:p>
      <w:pPr>
        <w:pStyle w:val="BodyText"/>
        <w:spacing w:line="300" w:lineRule="auto" w:before="63"/>
        <w:ind w:left="510" w:right="66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销售商品收入的确认</w:t>
      </w:r>
      <w:r>
        <w:rPr>
          <w:w w:val="99"/>
        </w:rPr>
        <w:t> </w:t>
      </w:r>
      <w:r>
        <w:rPr/>
        <w:t>销售商品收入同时满足下列条件的，予以确认：</w:t>
      </w:r>
    </w:p>
    <w:p>
      <w:pPr>
        <w:pStyle w:val="BodyText"/>
        <w:spacing w:line="240" w:lineRule="auto" w:before="31"/>
        <w:ind w:left="510" w:right="0"/>
        <w:jc w:val="left"/>
      </w:pPr>
      <w:r>
        <w:rPr/>
        <w:t>①</w:t>
      </w:r>
      <w:r>
        <w:rPr>
          <w:spacing w:val="-18"/>
        </w:rPr>
        <w:t> </w:t>
      </w:r>
      <w:r>
        <w:rPr/>
        <w:t>企业已将商品所有权上的主要风险和报酬转移给购货方；</w:t>
      </w:r>
    </w:p>
    <w:p>
      <w:pPr>
        <w:pStyle w:val="BodyText"/>
        <w:spacing w:line="240" w:lineRule="auto" w:before="76"/>
        <w:ind w:left="510" w:right="0"/>
        <w:jc w:val="left"/>
      </w:pPr>
      <w:r>
        <w:rPr/>
        <w:t>②</w:t>
      </w:r>
      <w:r>
        <w:rPr>
          <w:spacing w:val="-18"/>
        </w:rPr>
        <w:t> </w:t>
      </w:r>
      <w:r>
        <w:rPr/>
        <w:t>企业既没有保留通常与所有权相联系的继续管理权，也没有对已售出的商品实施有效控制；</w:t>
      </w:r>
    </w:p>
    <w:p>
      <w:pPr>
        <w:pStyle w:val="BodyText"/>
        <w:spacing w:line="240" w:lineRule="auto" w:before="76"/>
        <w:ind w:left="510" w:right="0"/>
        <w:jc w:val="left"/>
      </w:pPr>
      <w:r>
        <w:rPr/>
        <w:t>③</w:t>
      </w:r>
      <w:r>
        <w:rPr>
          <w:spacing w:val="-18"/>
        </w:rPr>
        <w:t> </w:t>
      </w:r>
      <w:r>
        <w:rPr/>
        <w:t>收入的金额能够可靠地计量；</w:t>
      </w:r>
    </w:p>
    <w:p>
      <w:pPr>
        <w:pStyle w:val="BodyText"/>
        <w:spacing w:line="240" w:lineRule="auto" w:before="76"/>
        <w:ind w:left="510" w:right="0"/>
        <w:jc w:val="left"/>
      </w:pPr>
      <w:r>
        <w:rPr/>
        <w:t>④</w:t>
      </w:r>
      <w:r>
        <w:rPr>
          <w:spacing w:val="-18"/>
        </w:rPr>
        <w:t> </w:t>
      </w:r>
      <w:r>
        <w:rPr/>
        <w:t>相关的经济利益很可能流入企业；</w:t>
      </w:r>
    </w:p>
    <w:p>
      <w:pPr>
        <w:pStyle w:val="BodyText"/>
        <w:spacing w:line="240" w:lineRule="auto" w:before="76"/>
        <w:ind w:left="510" w:right="0"/>
        <w:jc w:val="left"/>
      </w:pPr>
      <w:r>
        <w:rPr/>
        <w:t>⑤</w:t>
      </w:r>
      <w:r>
        <w:rPr>
          <w:spacing w:val="-18"/>
        </w:rPr>
        <w:t> </w:t>
      </w:r>
      <w:r>
        <w:rPr/>
        <w:t>相关的已发生或将发生的成本能够可靠地计量。</w:t>
      </w:r>
    </w:p>
    <w:p>
      <w:pPr>
        <w:pStyle w:val="BodyText"/>
        <w:spacing w:line="240" w:lineRule="auto" w:before="76"/>
        <w:ind w:left="51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提供劳务收入的确认</w:t>
      </w:r>
    </w:p>
    <w:p>
      <w:pPr>
        <w:spacing w:after="0" w:line="240" w:lineRule="auto"/>
        <w:jc w:val="left"/>
        <w:sectPr>
          <w:footerReference w:type="default" r:id="rId60"/>
          <w:pgSz w:w="11910" w:h="16840"/>
          <w:pgMar w:footer="980" w:header="877" w:top="1100" w:bottom="1160" w:left="980" w:right="0"/>
          <w:pgNumType w:start="1"/>
        </w:sectPr>
      </w:pPr>
    </w:p>
    <w:p>
      <w:pPr>
        <w:spacing w:line="240" w:lineRule="auto" w:before="11"/>
        <w:rPr>
          <w:rFonts w:ascii="宋体" w:hAnsi="宋体" w:cs="宋体" w:eastAsia="宋体" w:hint="default"/>
          <w:sz w:val="21"/>
          <w:szCs w:val="21"/>
        </w:rPr>
      </w:pPr>
    </w:p>
    <w:p>
      <w:pPr>
        <w:pStyle w:val="BodyText"/>
        <w:spacing w:line="319" w:lineRule="auto" w:before="44"/>
        <w:ind w:left="510" w:right="3016"/>
        <w:jc w:val="left"/>
      </w:pPr>
      <w:r>
        <w:rPr/>
        <w:t>在资产负债表日提供劳务交易的结果能够可靠估计的，采用完工百分比法确认提供劳务收入。 提供劳务交易的结果能够可靠估计，是指同时满足下列条件：</w:t>
      </w:r>
    </w:p>
    <w:p>
      <w:pPr>
        <w:pStyle w:val="BodyText"/>
        <w:spacing w:line="240" w:lineRule="auto" w:before="17"/>
        <w:ind w:left="510" w:right="0"/>
        <w:jc w:val="left"/>
      </w:pPr>
      <w:r>
        <w:rPr/>
        <w:t>①</w:t>
      </w:r>
      <w:r>
        <w:rPr>
          <w:spacing w:val="-18"/>
        </w:rPr>
        <w:t> </w:t>
      </w:r>
      <w:r>
        <w:rPr/>
        <w:t>收入的金额能够可靠地计量；</w:t>
      </w:r>
    </w:p>
    <w:p>
      <w:pPr>
        <w:pStyle w:val="BodyText"/>
        <w:spacing w:line="240" w:lineRule="auto" w:before="76"/>
        <w:ind w:left="510" w:right="0"/>
        <w:jc w:val="left"/>
      </w:pPr>
      <w:r>
        <w:rPr/>
        <w:t>②</w:t>
      </w:r>
      <w:r>
        <w:rPr>
          <w:spacing w:val="-18"/>
        </w:rPr>
        <w:t> </w:t>
      </w:r>
      <w:r>
        <w:rPr/>
        <w:t>相关的经济利益很可能流入企业；</w:t>
      </w:r>
    </w:p>
    <w:p>
      <w:pPr>
        <w:pStyle w:val="BodyText"/>
        <w:spacing w:line="240" w:lineRule="auto" w:before="76"/>
        <w:ind w:left="510" w:right="0"/>
        <w:jc w:val="left"/>
      </w:pPr>
      <w:r>
        <w:rPr/>
        <w:t>③</w:t>
      </w:r>
      <w:r>
        <w:rPr>
          <w:spacing w:val="-18"/>
        </w:rPr>
        <w:t> </w:t>
      </w:r>
      <w:r>
        <w:rPr/>
        <w:t>交易的完工进度能够可靠地确定；</w:t>
      </w:r>
    </w:p>
    <w:p>
      <w:pPr>
        <w:pStyle w:val="BodyText"/>
        <w:spacing w:line="316" w:lineRule="auto" w:before="76"/>
        <w:ind w:left="510" w:right="6364"/>
        <w:jc w:val="left"/>
      </w:pPr>
      <w:r>
        <w:rPr/>
        <w:t>④</w:t>
      </w:r>
      <w:r>
        <w:rPr>
          <w:spacing w:val="-18"/>
        </w:rPr>
        <w:t> </w:t>
      </w:r>
      <w:r>
        <w:rPr/>
        <w:t>交易中已发生和将发生的成本能够可靠地计量。</w:t>
      </w:r>
      <w:r>
        <w:rPr/>
        <w:t> 确定提供劳务交易的完工进度，选用下列方法：</w:t>
      </w:r>
    </w:p>
    <w:p>
      <w:pPr>
        <w:pStyle w:val="BodyText"/>
        <w:spacing w:line="240" w:lineRule="auto" w:before="19"/>
        <w:ind w:left="51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已完工作的测量；</w:t>
      </w:r>
    </w:p>
    <w:p>
      <w:pPr>
        <w:pStyle w:val="BodyText"/>
        <w:spacing w:line="240" w:lineRule="auto" w:before="63"/>
        <w:ind w:left="51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已经提供的劳务占应提供劳务总量的比例；</w:t>
      </w:r>
    </w:p>
    <w:p>
      <w:pPr>
        <w:pStyle w:val="BodyText"/>
        <w:spacing w:line="300" w:lineRule="auto" w:before="63"/>
        <w:ind w:left="510" w:right="121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已经发生的成本占估计总成本的比例。 在资产负债表日按照提供劳务收入总额乘以完工进度扣除以前会计期间累计已确认提供劳务收入后的金额，确认当期</w:t>
      </w:r>
    </w:p>
    <w:p>
      <w:pPr>
        <w:pStyle w:val="BodyText"/>
        <w:spacing w:line="319" w:lineRule="auto" w:before="31"/>
        <w:ind w:right="1214"/>
        <w:jc w:val="left"/>
      </w:pPr>
      <w:r>
        <w:rPr/>
        <w:t>提供劳务收入；同时，按照提供劳务估计总成本乘以完工进度扣除以前会计期间累计已确认劳务成本后的金额，结转当期 劳务成本。</w:t>
      </w:r>
    </w:p>
    <w:p>
      <w:pPr>
        <w:pStyle w:val="BodyText"/>
        <w:spacing w:line="240" w:lineRule="auto" w:before="17"/>
        <w:ind w:left="510" w:right="0"/>
        <w:jc w:val="left"/>
      </w:pPr>
      <w:r>
        <w:rPr/>
        <w:t>在资产负债表日提供劳务交易结果不能够可靠估计的，分别下列情况处理：</w:t>
      </w:r>
    </w:p>
    <w:p>
      <w:pPr>
        <w:pStyle w:val="BodyText"/>
        <w:spacing w:line="300" w:lineRule="auto" w:before="76"/>
        <w:ind w:right="1133" w:firstLine="358"/>
        <w:jc w:val="left"/>
      </w:pPr>
      <w:r>
        <w:rPr>
          <w:rFonts w:ascii="Times New Roman" w:hAnsi="Times New Roman" w:cs="Times New Roman" w:eastAsia="Times New Roman" w:hint="default"/>
        </w:rPr>
        <w:t>1&gt;</w:t>
      </w:r>
      <w:r>
        <w:rPr>
          <w:rFonts w:ascii="Times New Roman" w:hAnsi="Times New Roman" w:cs="Times New Roman" w:eastAsia="Times New Roman" w:hint="default"/>
          <w:spacing w:val="26"/>
        </w:rPr>
        <w:t> </w:t>
      </w:r>
      <w:r>
        <w:rPr/>
        <w:t>已经发生的劳务成本预计能够得到补偿的，按照已经发生的劳务成本金额确认提供劳务收入，并按相同金额结转劳 务成本；</w:t>
      </w:r>
    </w:p>
    <w:p>
      <w:pPr>
        <w:pStyle w:val="BodyText"/>
        <w:spacing w:line="300" w:lineRule="auto" w:before="31"/>
        <w:ind w:left="510" w:right="1313"/>
        <w:jc w:val="left"/>
      </w:pPr>
      <w:r>
        <w:rPr>
          <w:rFonts w:ascii="Times New Roman" w:hAnsi="Times New Roman" w:cs="Times New Roman" w:eastAsia="Times New Roman" w:hint="default"/>
        </w:rPr>
        <w:t>2&gt;</w:t>
      </w:r>
      <w:r>
        <w:rPr>
          <w:rFonts w:ascii="Times New Roman" w:hAnsi="Times New Roman" w:cs="Times New Roman" w:eastAsia="Times New Roman" w:hint="default"/>
          <w:spacing w:val="26"/>
        </w:rPr>
        <w:t> </w:t>
      </w:r>
      <w:r>
        <w:rPr/>
        <w:t>已经发生的劳务成本预计不能够得到补偿的，应当将已经发生的劳务成本计入当期损益，不确认提供劳务收入。 提供劳务收入确认条件的具体应用：</w:t>
      </w:r>
    </w:p>
    <w:p>
      <w:pPr>
        <w:pStyle w:val="BodyText"/>
        <w:spacing w:line="300" w:lineRule="auto" w:before="31"/>
        <w:ind w:right="1133" w:firstLine="358"/>
        <w:jc w:val="left"/>
      </w:pPr>
      <w:r>
        <w:rPr>
          <w:rFonts w:ascii="Times New Roman" w:hAnsi="Times New Roman" w:cs="Times New Roman" w:eastAsia="Times New Roman" w:hint="default"/>
        </w:rPr>
        <w:t>1&gt;</w:t>
      </w:r>
      <w:r>
        <w:rPr>
          <w:rFonts w:ascii="Times New Roman" w:hAnsi="Times New Roman" w:cs="Times New Roman" w:eastAsia="Times New Roman" w:hint="default"/>
          <w:spacing w:val="26"/>
        </w:rPr>
        <w:t> </w:t>
      </w:r>
      <w:r>
        <w:rPr/>
        <w:t>安装费，在资产负债表日根据安装的完工进度确认收入。安装工作是商品销售附带条件的，安装费在确认商品销售 实现时确认收入。</w:t>
      </w:r>
    </w:p>
    <w:p>
      <w:pPr>
        <w:pStyle w:val="BodyText"/>
        <w:spacing w:line="300" w:lineRule="auto" w:before="31"/>
        <w:ind w:right="1133" w:firstLine="358"/>
        <w:jc w:val="left"/>
      </w:pPr>
      <w:r>
        <w:rPr>
          <w:rFonts w:ascii="Times New Roman" w:hAnsi="Times New Roman" w:cs="Times New Roman" w:eastAsia="Times New Roman" w:hint="default"/>
        </w:rPr>
        <w:t>2&gt;</w:t>
      </w:r>
      <w:r>
        <w:rPr>
          <w:rFonts w:ascii="Times New Roman" w:hAnsi="Times New Roman" w:cs="Times New Roman" w:eastAsia="Times New Roman" w:hint="default"/>
          <w:spacing w:val="26"/>
        </w:rPr>
        <w:t> </w:t>
      </w:r>
      <w:r>
        <w:rPr/>
        <w:t>宣传媒介的收费，在相关的广告或商业行为开始出现于公众面前时确认收入。广告的制作费，在资产负债表日根据 制作广告的完工进度确认收入。</w:t>
      </w:r>
    </w:p>
    <w:p>
      <w:pPr>
        <w:pStyle w:val="BodyText"/>
        <w:spacing w:line="240" w:lineRule="auto" w:before="31"/>
        <w:ind w:left="510" w:right="0"/>
        <w:jc w:val="left"/>
      </w:pPr>
      <w:r>
        <w:rPr>
          <w:rFonts w:ascii="Times New Roman" w:hAnsi="Times New Roman" w:cs="Times New Roman" w:eastAsia="Times New Roman" w:hint="default"/>
        </w:rPr>
        <w:t>3&gt;</w:t>
      </w:r>
      <w:r>
        <w:rPr>
          <w:rFonts w:ascii="Times New Roman" w:hAnsi="Times New Roman" w:cs="Times New Roman" w:eastAsia="Times New Roman" w:hint="default"/>
          <w:spacing w:val="27"/>
        </w:rPr>
        <w:t> </w:t>
      </w:r>
      <w:r>
        <w:rPr/>
        <w:t>为特定客户开发软件的收费，在资产负债表日根据开发的完工进度确认收入。</w:t>
      </w:r>
    </w:p>
    <w:p>
      <w:pPr>
        <w:pStyle w:val="BodyText"/>
        <w:spacing w:line="240" w:lineRule="auto" w:before="63"/>
        <w:ind w:left="510" w:right="0"/>
        <w:jc w:val="left"/>
      </w:pPr>
      <w:r>
        <w:rPr>
          <w:rFonts w:ascii="Times New Roman" w:hAnsi="Times New Roman" w:cs="Times New Roman" w:eastAsia="Times New Roman" w:hint="default"/>
        </w:rPr>
        <w:t>4&gt;</w:t>
      </w:r>
      <w:r>
        <w:rPr>
          <w:rFonts w:ascii="Times New Roman" w:hAnsi="Times New Roman" w:cs="Times New Roman" w:eastAsia="Times New Roman" w:hint="default"/>
          <w:spacing w:val="27"/>
        </w:rPr>
        <w:t> </w:t>
      </w:r>
      <w:r>
        <w:rPr/>
        <w:t>包括在商品售价内可区分的服务费，在提供服务的期间内分期确认收入。</w:t>
      </w:r>
    </w:p>
    <w:p>
      <w:pPr>
        <w:pStyle w:val="BodyText"/>
        <w:spacing w:line="300" w:lineRule="auto" w:before="63"/>
        <w:ind w:right="1133" w:firstLine="358"/>
        <w:jc w:val="left"/>
      </w:pPr>
      <w:r>
        <w:rPr>
          <w:rFonts w:ascii="Times New Roman" w:hAnsi="Times New Roman" w:cs="Times New Roman" w:eastAsia="Times New Roman" w:hint="default"/>
        </w:rPr>
        <w:t>5&gt;</w:t>
      </w:r>
      <w:r>
        <w:rPr>
          <w:rFonts w:ascii="Times New Roman" w:hAnsi="Times New Roman" w:cs="Times New Roman" w:eastAsia="Times New Roman" w:hint="default"/>
          <w:spacing w:val="26"/>
        </w:rPr>
        <w:t> </w:t>
      </w:r>
      <w:r>
        <w:rPr/>
        <w:t>艺术表演、招待宴会和其他特殊活动的收费，在相关活动发生时确认收入。收费涉及几项活动的，预收的款项应合 理分配给每项活动，分别确认收入。</w:t>
      </w:r>
    </w:p>
    <w:p>
      <w:pPr>
        <w:pStyle w:val="BodyText"/>
        <w:spacing w:line="309" w:lineRule="auto" w:before="31"/>
        <w:ind w:right="1133" w:firstLine="358"/>
        <w:jc w:val="left"/>
      </w:pPr>
      <w:r>
        <w:rPr>
          <w:rFonts w:ascii="Times New Roman" w:hAnsi="Times New Roman" w:cs="Times New Roman" w:eastAsia="Times New Roman" w:hint="default"/>
        </w:rPr>
        <w:t>6&gt;</w:t>
      </w:r>
      <w:r>
        <w:rPr>
          <w:rFonts w:ascii="Times New Roman" w:hAnsi="Times New Roman" w:cs="Times New Roman" w:eastAsia="Times New Roman" w:hint="default"/>
          <w:spacing w:val="26"/>
        </w:rPr>
        <w:t> </w:t>
      </w:r>
      <w:r>
        <w:rPr/>
        <w:t>申请入会费和会员费只允许取得会籍，所有其他服务或商品都要另行收费的，在款项收回不存在重大不确定性时确 认收入。申请入会费和会员费能使会员在会员期内得到各种服务或商品，或者以低于非会员的价格销售商品或提供服务 的，在整个受益期内分期确认收入。</w:t>
      </w:r>
    </w:p>
    <w:p>
      <w:pPr>
        <w:pStyle w:val="BodyText"/>
        <w:spacing w:line="300" w:lineRule="auto" w:before="24"/>
        <w:ind w:right="1133" w:firstLine="358"/>
        <w:jc w:val="left"/>
      </w:pPr>
      <w:r>
        <w:rPr>
          <w:rFonts w:ascii="Times New Roman" w:hAnsi="Times New Roman" w:cs="Times New Roman" w:eastAsia="Times New Roman" w:hint="default"/>
        </w:rPr>
        <w:t>7&gt;</w:t>
      </w:r>
      <w:r>
        <w:rPr>
          <w:rFonts w:ascii="Times New Roman" w:hAnsi="Times New Roman" w:cs="Times New Roman" w:eastAsia="Times New Roman" w:hint="default"/>
          <w:spacing w:val="26"/>
        </w:rPr>
        <w:t> </w:t>
      </w:r>
      <w:r>
        <w:rPr/>
        <w:t>属于提供设备和其他有形资产的特许权费，在交付资产或转移资产所有权时确认收入；属于提供初始及后续服务的 特许权费，在提供服务时确认收入。</w:t>
      </w:r>
    </w:p>
    <w:p>
      <w:pPr>
        <w:pStyle w:val="BodyText"/>
        <w:spacing w:line="240" w:lineRule="auto" w:before="31"/>
        <w:ind w:left="510" w:right="0"/>
        <w:jc w:val="left"/>
      </w:pPr>
      <w:r>
        <w:rPr>
          <w:rFonts w:ascii="Times New Roman" w:hAnsi="Times New Roman" w:cs="Times New Roman" w:eastAsia="Times New Roman" w:hint="default"/>
        </w:rPr>
        <w:t>8&gt;</w:t>
      </w:r>
      <w:r>
        <w:rPr>
          <w:rFonts w:ascii="Times New Roman" w:hAnsi="Times New Roman" w:cs="Times New Roman" w:eastAsia="Times New Roman" w:hint="default"/>
          <w:spacing w:val="27"/>
        </w:rPr>
        <w:t> </w:t>
      </w:r>
      <w:r>
        <w:rPr/>
        <w:t>长期为客户提供重复的劳务收取的劳务费，在相关劳务活动发生时确认收入。</w:t>
      </w:r>
    </w:p>
    <w:p>
      <w:pPr>
        <w:pStyle w:val="BodyText"/>
        <w:spacing w:line="300" w:lineRule="auto" w:before="63"/>
        <w:ind w:left="510" w:right="157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让渡资产使用权收入的确认</w:t>
      </w:r>
      <w:r>
        <w:rPr>
          <w:w w:val="99"/>
        </w:rPr>
        <w:t> </w:t>
      </w:r>
      <w:r>
        <w:rPr/>
        <w:t>让渡资产使用权收入包括利息收入、使用费收入等。让渡资产使用权收入同时满足下列条件的，才能予以确认：</w:t>
      </w:r>
    </w:p>
    <w:p>
      <w:pPr>
        <w:pStyle w:val="BodyText"/>
        <w:spacing w:line="240" w:lineRule="auto" w:before="31"/>
        <w:ind w:left="510" w:right="0"/>
        <w:jc w:val="left"/>
      </w:pPr>
      <w:r>
        <w:rPr/>
        <w:t>①</w:t>
      </w:r>
      <w:r>
        <w:rPr>
          <w:spacing w:val="-18"/>
        </w:rPr>
        <w:t> </w:t>
      </w:r>
      <w:r>
        <w:rPr/>
        <w:t>相关的经济利益很可能流入企业；</w:t>
      </w:r>
    </w:p>
    <w:p>
      <w:pPr>
        <w:pStyle w:val="BodyText"/>
        <w:spacing w:line="316" w:lineRule="auto" w:before="77"/>
        <w:ind w:left="510" w:right="6436"/>
        <w:jc w:val="left"/>
      </w:pPr>
      <w:r>
        <w:rPr/>
        <w:t>②</w:t>
      </w:r>
      <w:r>
        <w:rPr>
          <w:spacing w:val="-18"/>
        </w:rPr>
        <w:t> </w:t>
      </w:r>
      <w:r>
        <w:rPr/>
        <w:t>收入的金额能够可靠地计量。</w:t>
      </w:r>
      <w:r>
        <w:rPr/>
        <w:t> 公司分别下列情况确定让渡资产使用权收入金额：</w:t>
      </w:r>
    </w:p>
    <w:p>
      <w:pPr>
        <w:pStyle w:val="BodyText"/>
        <w:spacing w:line="240" w:lineRule="auto" w:before="19"/>
        <w:ind w:left="51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利息收入金额，按照他人使用本企业货币资金的时间和实际利率计算确定。</w:t>
      </w:r>
    </w:p>
    <w:p>
      <w:pPr>
        <w:pStyle w:val="BodyText"/>
        <w:spacing w:line="240" w:lineRule="auto" w:before="63"/>
        <w:ind w:left="51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使用费收入金额，按照有关合同或协议约定的收费时间和方法计算确定。</w:t>
      </w:r>
    </w:p>
    <w:p>
      <w:pPr>
        <w:pStyle w:val="BodyText"/>
        <w:spacing w:line="240" w:lineRule="auto" w:before="63"/>
        <w:ind w:left="51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房屋租赁收入，按照租赁合同或协议约定的租赁期间及租赁额确认。</w:t>
      </w:r>
    </w:p>
    <w:p>
      <w:pPr>
        <w:pStyle w:val="BodyText"/>
        <w:spacing w:line="309" w:lineRule="auto" w:before="63"/>
        <w:ind w:left="510" w:right="427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公司的收入类型及具体确认原则。</w:t>
      </w:r>
      <w:r>
        <w:rPr>
          <w:w w:val="99"/>
        </w:rPr>
        <w:t> </w:t>
      </w:r>
      <w:r>
        <w:rPr/>
        <w:t>本公司销售商品收入包括电力行业产品（电力设备类）销售和游戏行业销售。</w:t>
      </w:r>
      <w:r>
        <w:rPr>
          <w:w w:val="99"/>
        </w:rPr>
        <w:t> </w:t>
      </w:r>
      <w:r>
        <w:rPr>
          <w:rFonts w:ascii="Times New Roman" w:hAnsi="Times New Roman" w:cs="Times New Roman" w:eastAsia="Times New Roman" w:hint="default"/>
        </w:rPr>
        <w:t>a)</w:t>
      </w:r>
      <w:r>
        <w:rPr/>
        <w:t>电力行业产品（电力设备类）销售确认方式：</w:t>
      </w:r>
    </w:p>
    <w:p>
      <w:pPr>
        <w:pStyle w:val="BodyText"/>
        <w:spacing w:line="240" w:lineRule="auto" w:before="5"/>
        <w:ind w:left="510" w:right="0"/>
        <w:jc w:val="left"/>
      </w:pPr>
      <w:r>
        <w:rPr/>
        <w:t>①</w:t>
      </w:r>
      <w:r>
        <w:rPr>
          <w:spacing w:val="-18"/>
        </w:rPr>
        <w:t> </w:t>
      </w:r>
      <w:r>
        <w:rPr/>
        <w:t>国内销售：</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42" w:firstLine="358"/>
        <w:jc w:val="both"/>
      </w:pPr>
      <w:r>
        <w:rPr>
          <w:rFonts w:ascii="Times New Roman" w:hAnsi="Times New Roman" w:cs="Times New Roman" w:eastAsia="Times New Roman" w:hint="default"/>
        </w:rPr>
        <w:t>1</w:t>
      </w:r>
      <w:r>
        <w:rPr/>
        <w:t>）非工程项目类：合同商品已移交给客户，客户验收合格后，与本公司确认商品数量及结算金额，本公司获得收取货 款权利后确认收入实现。</w:t>
      </w:r>
    </w:p>
    <w:p>
      <w:pPr>
        <w:pStyle w:val="BodyText"/>
        <w:spacing w:line="300" w:lineRule="auto" w:before="31"/>
        <w:ind w:right="1142" w:firstLine="358"/>
        <w:jc w:val="both"/>
      </w:pPr>
      <w:r>
        <w:rPr>
          <w:rFonts w:ascii="Times New Roman" w:hAnsi="Times New Roman" w:cs="Times New Roman" w:eastAsia="Times New Roman" w:hint="default"/>
        </w:rPr>
        <w:t>2</w:t>
      </w:r>
      <w:r>
        <w:rPr/>
        <w:t>）工程项目类：合同商品已移交给购买方施工单位并进行安装调试后，与本公司确认商品数量及结算金额，本公司获 得收取货款权利后确认收入实现。</w:t>
      </w:r>
    </w:p>
    <w:p>
      <w:pPr>
        <w:pStyle w:val="BodyText"/>
        <w:spacing w:line="240" w:lineRule="auto" w:before="31"/>
        <w:ind w:left="510" w:right="0"/>
        <w:jc w:val="left"/>
      </w:pPr>
      <w:r>
        <w:rPr/>
        <w:t>②</w:t>
      </w:r>
      <w:r>
        <w:rPr>
          <w:spacing w:val="-18"/>
        </w:rPr>
        <w:t> </w:t>
      </w:r>
      <w:r>
        <w:rPr/>
        <w:t>国外销售：以出口报关时间为销售收入的确认时间。</w:t>
      </w:r>
    </w:p>
    <w:p>
      <w:pPr>
        <w:pStyle w:val="BodyText"/>
        <w:spacing w:line="240" w:lineRule="auto" w:before="76"/>
        <w:ind w:left="510" w:right="0"/>
        <w:jc w:val="left"/>
      </w:pPr>
      <w:r>
        <w:rPr>
          <w:rFonts w:ascii="Times New Roman" w:hAnsi="Times New Roman" w:cs="Times New Roman" w:eastAsia="Times New Roman" w:hint="default"/>
        </w:rPr>
        <w:t>b)</w:t>
      </w:r>
      <w:r>
        <w:rPr/>
        <w:t>游戏行业销售确认方式：</w:t>
      </w:r>
    </w:p>
    <w:p>
      <w:pPr>
        <w:pStyle w:val="BodyText"/>
        <w:spacing w:line="316" w:lineRule="auto" w:before="63"/>
        <w:ind w:right="1233" w:firstLine="358"/>
        <w:jc w:val="both"/>
      </w:pPr>
      <w:r>
        <w:rPr/>
        <w:t>①自主运营模式下，针对公司的自研游戏产品，玩家通过第三方支付渠道进行充值获得游戏虚拟货币，并在游戏过程 中使用游戏币购买虚拟道具；公司在玩家实际充值并使用游戏货币购买游戏虚拟道具消费时确认营业收入；</w:t>
      </w:r>
    </w:p>
    <w:p>
      <w:pPr>
        <w:pStyle w:val="BodyText"/>
        <w:spacing w:line="316" w:lineRule="auto" w:before="19"/>
        <w:ind w:right="1231" w:firstLine="358"/>
        <w:jc w:val="both"/>
      </w:pPr>
      <w:r>
        <w:rPr/>
        <w:t>②联合运营模式下，针对公司的自研游戏产品，游戏玩家通过平台商支付系统进行充值获得游戏虚拟货币，并在游戏 过程中使用游戏币购买虚拟道具；公司定期与合作平台对账确认玩家充值金额并按约定分成比例从合作平台商处获得游戏 分成；公司根据在与合作平台对账后确认营业收入。</w:t>
      </w:r>
    </w:p>
    <w:p>
      <w:pPr>
        <w:pStyle w:val="BodyText"/>
        <w:spacing w:line="319" w:lineRule="auto" w:before="19"/>
        <w:ind w:right="1231" w:firstLine="358"/>
        <w:jc w:val="both"/>
      </w:pPr>
      <w:r>
        <w:rPr/>
        <w:t>③授权运营模式下，公司将拥有的游戏产品交由运营商进行运营，游戏玩家通过运营商平台注册、充值、消费活动， 游戏玩家在运营商游戏版本中获取并使用游戏虚拟货币，公司定期与合作平台对账确认玩家充值金额并按约定分成比例从 运营商处获得游戏分成。该模式下，公司收入通常由版权金收入及游戏分成收入两部分构成，游戏分成在与游戏运营商核 对确认游戏分成款后确认；版权金在授权期限内分摊确认收入。</w:t>
      </w:r>
    </w:p>
    <w:p>
      <w:pPr>
        <w:pStyle w:val="BodyText"/>
        <w:spacing w:line="316" w:lineRule="auto" w:before="17"/>
        <w:ind w:right="1230" w:firstLine="358"/>
        <w:jc w:val="both"/>
      </w:pPr>
      <w:r>
        <w:rPr/>
        <w:t>④代理运营模式，公司代理运营其他游戏开发商提供的游戏，玩家在公司平台进行注册并通过公司的支付系统进行充 值，并在游戏开发商提供给公司游戏版本中获取并使用游戏虚拟货币，公司定期与游戏开发商对账确认玩家充值金额并按 约定分成比例向游戏开发商支付游戏分成；公司与游戏开发商确定充值金额后，将充值款确认为收入，将对游戏开发商的 分成款确认为成本。（公司作为独家代理时，还可将独家代理的游戏授权给平台商和运营商联合运营，游戏玩家通过平台 商系统或运营商平台进行充值获得游戏虚拟货币，并在游戏过程中使用游戏币购买虚拟道具；公司与游戏开发商确定充值 金额后，根据该金额与合作平台对账确认并按约定分成比例从合作平台商处获得游戏收入分成款并确认收入，根据玩家充 值金额按约定分成比例向游戏开发商支付游戏分成并确认为成本。）</w:t>
      </w:r>
    </w:p>
    <w:p>
      <w:pPr>
        <w:pStyle w:val="BodyText"/>
        <w:spacing w:line="240" w:lineRule="auto" w:before="19"/>
        <w:ind w:left="654" w:right="0"/>
        <w:jc w:val="left"/>
      </w:pPr>
      <w:r>
        <w:rPr/>
        <w:t>⑤游戏软件著作权的转让收入：公司按照合同条款将游戏产品交付对方后，于对方验收合格后收取转让费用。</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33" w:firstLine="358"/>
        <w:jc w:val="both"/>
      </w:pPr>
      <w:r>
        <w:rPr/>
        <w:t>政府补助，是公司从政府无偿取得的货币性资产与非货币性资产。分为与资产相关的政府补助和与收益相关的政府补 助。</w:t>
      </w:r>
    </w:p>
    <w:p>
      <w:pPr>
        <w:spacing w:line="240" w:lineRule="auto" w:before="13"/>
        <w:rPr>
          <w:rFonts w:ascii="宋体" w:hAnsi="宋体" w:cs="宋体" w:eastAsia="宋体" w:hint="default"/>
          <w:sz w:val="19"/>
          <w:szCs w:val="19"/>
        </w:rPr>
      </w:pPr>
    </w:p>
    <w:p>
      <w:pPr>
        <w:pStyle w:val="Heading4"/>
        <w:spacing w:line="240" w:lineRule="auto"/>
        <w:ind w:left="265"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BodyText"/>
        <w:spacing w:line="316" w:lineRule="auto"/>
        <w:ind w:left="510" w:right="1216"/>
        <w:jc w:val="left"/>
      </w:pPr>
      <w:r>
        <w:rPr/>
        <w:t>与资产相关的政府补助，是指企业取得的、用于购建或以其他方式形成长期资产的政府补助。 与资产相关的政府补助，公司确认为递延收益，在相关资产使用寿命内按照合理、系统的方法分期计入损益。按照名</w:t>
      </w:r>
    </w:p>
    <w:p>
      <w:pPr>
        <w:pStyle w:val="BodyText"/>
        <w:spacing w:line="316" w:lineRule="auto" w:before="19"/>
        <w:ind w:left="510" w:right="1216" w:hanging="359"/>
        <w:jc w:val="left"/>
      </w:pPr>
      <w:r>
        <w:rPr/>
        <w:t>义金额计量的政府补助，直接计入当期损益。 相关资产在使用寿命结束前被出售、转让、报废或发生毁损的，将尚未分配的相关递延收益余额转入资产处置当期的</w:t>
      </w:r>
    </w:p>
    <w:p>
      <w:pPr>
        <w:pStyle w:val="BodyText"/>
        <w:spacing w:line="240" w:lineRule="auto" w:before="19"/>
        <w:ind w:right="0"/>
        <w:jc w:val="left"/>
      </w:pPr>
      <w:r>
        <w:rPr/>
        <w:t>损益。</w:t>
      </w:r>
    </w:p>
    <w:p>
      <w:pPr>
        <w:pStyle w:val="BodyText"/>
        <w:spacing w:line="316" w:lineRule="auto" w:before="76"/>
        <w:ind w:right="1233" w:firstLine="358"/>
        <w:jc w:val="both"/>
      </w:pPr>
      <w:r>
        <w:rPr/>
        <w:t>与公司日常活动相关的政府补助，应当按照经济业务实质，计入其他收益。与公司日常活动无关的政府补助，计入营 业外收支。</w:t>
      </w:r>
    </w:p>
    <w:p>
      <w:pPr>
        <w:spacing w:line="240" w:lineRule="auto" w:before="11"/>
        <w:rPr>
          <w:rFonts w:ascii="宋体" w:hAnsi="宋体" w:cs="宋体" w:eastAsia="宋体" w:hint="default"/>
          <w:sz w:val="19"/>
          <w:szCs w:val="19"/>
        </w:rPr>
      </w:pPr>
    </w:p>
    <w:p>
      <w:pPr>
        <w:pStyle w:val="Heading4"/>
        <w:spacing w:line="240" w:lineRule="auto"/>
        <w:ind w:left="265"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BodyText"/>
        <w:spacing w:line="316" w:lineRule="auto"/>
        <w:ind w:left="510" w:right="1216"/>
        <w:jc w:val="left"/>
      </w:pPr>
      <w:r>
        <w:rPr/>
        <w:t>与收益相关的政府补助，是指除与资产相关的政府补助之外的政府补助。 公司对于综合性项目的政府补助，需要将其分解为与资产相关的部分和与收益相关的部分，分别进行会计处理；难以</w:t>
      </w:r>
    </w:p>
    <w:p>
      <w:pPr>
        <w:pStyle w:val="BodyText"/>
        <w:spacing w:line="316" w:lineRule="auto" w:before="18"/>
        <w:ind w:left="510" w:right="1216" w:hanging="359"/>
        <w:jc w:val="left"/>
      </w:pPr>
      <w:r>
        <w:rPr/>
        <w:t>区分的，应当整体归类为与收益相关的政府补助。 与收益相关的政府补助，用于补偿公司以后期间的相关费用或损失的，取得时确认为递延收益，并在确认相关成本费</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用或损失的期间，计入当期损益；用于补偿公司已发生的相关费用或损失的，直接计入当期损益。</w:t>
      </w:r>
    </w:p>
    <w:p>
      <w:pPr>
        <w:spacing w:line="590" w:lineRule="atLeast" w:before="43"/>
        <w:ind w:left="510" w:right="1216" w:hanging="246"/>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b/>
          <w:bCs/>
          <w:spacing w:val="31"/>
          <w:sz w:val="18"/>
          <w:szCs w:val="18"/>
        </w:rPr>
        <w:t> </w:t>
      </w:r>
      <w:r>
        <w:rPr>
          <w:rFonts w:ascii="Microsoft JhengHei" w:hAnsi="Microsoft JhengHei" w:cs="Microsoft JhengHei" w:eastAsia="Microsoft JhengHei" w:hint="default"/>
          <w:b/>
          <w:bCs/>
          <w:sz w:val="18"/>
          <w:szCs w:val="18"/>
        </w:rPr>
        <w:t>政府补助的确认时点</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z w:val="18"/>
          <w:szCs w:val="18"/>
        </w:rPr>
        <w:t>政府补助为货币性资产的，应当按照收到或应收的金额计量。按照应收金额计量的政府补助，在期末有确凿证据表明</w:t>
      </w:r>
    </w:p>
    <w:p>
      <w:pPr>
        <w:pStyle w:val="BodyText"/>
        <w:spacing w:line="316" w:lineRule="auto" w:before="76"/>
        <w:ind w:right="1229"/>
        <w:jc w:val="both"/>
      </w:pPr>
      <w:r>
        <w:rPr/>
        <w:t>能够符合财政扶持政策规定的相关条件且预计能够收到财政扶持资金时予以确认；政府补助为非货币性资产的，应当按照 取得非货币性资产所有权风险和报酬转移时确认政府补助实现。其中非货币性资产按公允价值计量；公允价值不能可靠取 得的，按照名义金额计量。</w:t>
      </w:r>
    </w:p>
    <w:p>
      <w:pPr>
        <w:pStyle w:val="BodyText"/>
        <w:spacing w:line="316" w:lineRule="auto" w:before="19"/>
        <w:ind w:right="1233" w:firstLine="358"/>
        <w:jc w:val="both"/>
      </w:pPr>
      <w:r>
        <w:rPr/>
        <w:t>已确认的政府补助需要返还时，存在相关递延收益余额的，冲减相关递延收益账面余额，超出部分计入当期损益；不 存在相关递延收益的，直接计入当期损益。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right="1229" w:firstLine="360"/>
        <w:jc w:val="both"/>
      </w:pPr>
      <w:r>
        <w:rPr/>
        <w:t>所得税采用资产负债表债务法进行核算。于资产负债表日，分析比较资产、负债的账面价值与其计税基础，两者之间 存在差异的，确认递延所得税资产、递延所得税负债及相应的递延所得税费用</w:t>
      </w:r>
      <w:r>
        <w:rPr>
          <w:rFonts w:ascii="Times New Roman" w:hAnsi="Times New Roman" w:cs="Times New Roman" w:eastAsia="Times New Roman" w:hint="default"/>
        </w:rPr>
        <w:t>(</w:t>
      </w:r>
      <w:r>
        <w:rPr/>
        <w:t>或收益</w:t>
      </w:r>
      <w:r>
        <w:rPr>
          <w:rFonts w:ascii="Times New Roman" w:hAnsi="Times New Roman" w:cs="Times New Roman" w:eastAsia="Times New Roman" w:hint="default"/>
        </w:rPr>
        <w:t>)</w:t>
      </w:r>
      <w:r>
        <w:rPr/>
        <w:t>。在计算确定当期所得税</w:t>
      </w:r>
      <w:r>
        <w:rPr>
          <w:rFonts w:ascii="Times New Roman" w:hAnsi="Times New Roman" w:cs="Times New Roman" w:eastAsia="Times New Roman" w:hint="default"/>
        </w:rPr>
        <w:t>(</w:t>
      </w:r>
      <w:r>
        <w:rPr/>
        <w:t>即当期应 交所得税</w:t>
      </w:r>
      <w:r>
        <w:rPr>
          <w:rFonts w:ascii="Times New Roman" w:hAnsi="Times New Roman" w:cs="Times New Roman" w:eastAsia="Times New Roman" w:hint="default"/>
        </w:rPr>
        <w:t>)</w:t>
      </w:r>
      <w:r>
        <w:rPr/>
        <w:t>以及递延所得税费用</w:t>
      </w:r>
      <w:r>
        <w:rPr>
          <w:rFonts w:ascii="Times New Roman" w:hAnsi="Times New Roman" w:cs="Times New Roman" w:eastAsia="Times New Roman" w:hint="default"/>
        </w:rPr>
        <w:t>(</w:t>
      </w:r>
      <w:r>
        <w:rPr/>
        <w:t>或收益</w:t>
      </w:r>
      <w:r>
        <w:rPr>
          <w:rFonts w:ascii="Times New Roman" w:hAnsi="Times New Roman" w:cs="Times New Roman" w:eastAsia="Times New Roman" w:hint="default"/>
        </w:rPr>
        <w:t>)</w:t>
      </w:r>
      <w:r>
        <w:rPr/>
        <w:t>的基础上，将两者之和确认为利润表中的所得税费用</w:t>
      </w:r>
      <w:r>
        <w:rPr>
          <w:rFonts w:ascii="Times New Roman" w:hAnsi="Times New Roman" w:cs="Times New Roman" w:eastAsia="Times New Roman" w:hint="default"/>
        </w:rPr>
        <w:t>(</w:t>
      </w:r>
      <w:r>
        <w:rPr/>
        <w:t>或收益</w:t>
      </w:r>
      <w:r>
        <w:rPr>
          <w:rFonts w:ascii="Times New Roman" w:hAnsi="Times New Roman" w:cs="Times New Roman" w:eastAsia="Times New Roman" w:hint="default"/>
        </w:rPr>
        <w:t>)</w:t>
      </w:r>
      <w:r>
        <w:rPr/>
        <w:t>，但不包括直接计入 所有者权益的交易或事项的所得税影响。</w:t>
      </w:r>
    </w:p>
    <w:p>
      <w:pPr>
        <w:pStyle w:val="BodyText"/>
        <w:spacing w:line="316" w:lineRule="auto" w:before="26"/>
        <w:ind w:right="1233" w:firstLine="358"/>
        <w:jc w:val="both"/>
      </w:pPr>
      <w:r>
        <w:rPr/>
        <w:t>资产负债表日，对递延所得税资产的账面价值进行复核。如果未来期间很可能无法获得足够的应纳税所得额用以抵扣 递延所得税资产的利益，应当减记递延所得税资产的账面价值。</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32</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公司作为承租人对经营租赁的处理</w:t>
      </w:r>
    </w:p>
    <w:p>
      <w:pPr>
        <w:pStyle w:val="BodyText"/>
        <w:spacing w:line="240" w:lineRule="auto" w:before="63"/>
        <w:ind w:left="510" w:right="0"/>
        <w:jc w:val="left"/>
      </w:pPr>
      <w:r>
        <w:rPr/>
        <w:t>①</w:t>
      </w:r>
      <w:r>
        <w:rPr>
          <w:spacing w:val="-18"/>
        </w:rPr>
        <w:t> </w:t>
      </w:r>
      <w:r>
        <w:rPr/>
        <w:t>租金的处理</w:t>
      </w:r>
    </w:p>
    <w:p>
      <w:pPr>
        <w:pStyle w:val="BodyText"/>
        <w:spacing w:line="316" w:lineRule="auto" w:before="76"/>
        <w:ind w:left="510" w:right="4996"/>
        <w:jc w:val="left"/>
      </w:pPr>
      <w:r>
        <w:rPr/>
        <w:t>①租金的处理 在经营租赁下需将支付或应付的租金计入相关资产成本或当期损益。</w:t>
      </w:r>
    </w:p>
    <w:p>
      <w:pPr>
        <w:pStyle w:val="BodyText"/>
        <w:spacing w:line="316" w:lineRule="auto" w:before="19"/>
        <w:ind w:left="510" w:right="5356"/>
        <w:jc w:val="left"/>
      </w:pPr>
      <w:r>
        <w:rPr/>
        <w:t>②</w:t>
      </w:r>
      <w:r>
        <w:rPr>
          <w:spacing w:val="-18"/>
        </w:rPr>
        <w:t> </w:t>
      </w:r>
      <w:r>
        <w:rPr/>
        <w:t>初始直接费用的处理</w:t>
      </w:r>
      <w:r>
        <w:rPr/>
        <w:t> 对于承租人在经营租赁中发生的初始直接费用，计入当期损益。</w:t>
      </w:r>
    </w:p>
    <w:p>
      <w:pPr>
        <w:pStyle w:val="BodyText"/>
        <w:spacing w:line="316" w:lineRule="auto" w:before="19"/>
        <w:ind w:left="510" w:right="5356"/>
        <w:jc w:val="left"/>
      </w:pPr>
      <w:r>
        <w:rPr/>
        <w:t>③</w:t>
      </w:r>
      <w:r>
        <w:rPr>
          <w:spacing w:val="-18"/>
        </w:rPr>
        <w:t> </w:t>
      </w:r>
      <w:r>
        <w:rPr/>
        <w:t>或有租金的处理</w:t>
      </w:r>
      <w:r>
        <w:rPr/>
        <w:t> 在经营租赁下，承租人对或有租金在实际发生时计入当期损益。</w:t>
      </w:r>
    </w:p>
    <w:p>
      <w:pPr>
        <w:pStyle w:val="BodyText"/>
        <w:spacing w:line="316" w:lineRule="auto" w:before="19"/>
        <w:ind w:left="510" w:right="1216"/>
        <w:jc w:val="left"/>
      </w:pPr>
      <w:r>
        <w:rPr/>
        <w:t>④</w:t>
      </w:r>
      <w:r>
        <w:rPr>
          <w:spacing w:val="-18"/>
        </w:rPr>
        <w:t> </w:t>
      </w:r>
      <w:r>
        <w:rPr/>
        <w:t>出租人提供激励措施的处理</w:t>
      </w:r>
      <w:r>
        <w:rPr/>
        <w:t> 出租人提供免租期的，承租人应将租金总额在不扣除免租期的整个租赁期内，按直线法或其他合理的方法进行分摊，</w:t>
      </w:r>
    </w:p>
    <w:p>
      <w:pPr>
        <w:pStyle w:val="BodyText"/>
        <w:spacing w:line="319" w:lineRule="auto" w:before="19"/>
        <w:ind w:right="1214"/>
        <w:jc w:val="left"/>
      </w:pPr>
      <w:r>
        <w:rPr/>
        <w:t>免租期内应当确认租金费用及相应的负债。出租人承担了承租人某些费用的，承租人将该费用从租金费用总额中扣除，按 扣除后的租金费用余额在租赁期内进行分摊。</w:t>
      </w:r>
    </w:p>
    <w:p>
      <w:pPr>
        <w:pStyle w:val="BodyText"/>
        <w:spacing w:line="240" w:lineRule="auto" w:before="17"/>
        <w:ind w:left="51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公司作为出租人对经营租赁的处理</w:t>
      </w:r>
    </w:p>
    <w:p>
      <w:pPr>
        <w:pStyle w:val="BodyText"/>
        <w:spacing w:line="316" w:lineRule="auto" w:before="63"/>
        <w:ind w:left="510" w:right="5716"/>
        <w:jc w:val="left"/>
      </w:pPr>
      <w:r>
        <w:rPr/>
        <w:t>①</w:t>
      </w:r>
      <w:r>
        <w:rPr>
          <w:spacing w:val="-18"/>
        </w:rPr>
        <w:t> </w:t>
      </w:r>
      <w:r>
        <w:rPr/>
        <w:t>租金的处理</w:t>
      </w:r>
      <w:r>
        <w:rPr/>
        <w:t> 出租人应采用直线法将收到的租金在租赁期内确认为收益。</w:t>
      </w:r>
    </w:p>
    <w:p>
      <w:pPr>
        <w:pStyle w:val="BodyText"/>
        <w:spacing w:line="316" w:lineRule="auto" w:before="19"/>
        <w:ind w:left="510" w:right="1396"/>
        <w:jc w:val="left"/>
      </w:pPr>
      <w:r>
        <w:rPr/>
        <w:t>②</w:t>
      </w:r>
      <w:r>
        <w:rPr>
          <w:spacing w:val="-18"/>
        </w:rPr>
        <w:t> </w:t>
      </w:r>
      <w:r>
        <w:rPr/>
        <w:t>初始直接费用的处理</w:t>
      </w:r>
      <w:r>
        <w:rPr/>
        <w:t> 经营租赁中出租人发生的初始直接费用，是指在租赁谈判和签订租赁合同的过程中发生的可归属于租赁项目的手续</w:t>
      </w:r>
    </w:p>
    <w:p>
      <w:pPr>
        <w:pStyle w:val="BodyText"/>
        <w:spacing w:line="316" w:lineRule="auto" w:before="19"/>
        <w:ind w:right="1214"/>
        <w:jc w:val="left"/>
      </w:pPr>
      <w:r>
        <w:rPr/>
        <w:t>费、律师费、差旅费、印花税等，计入当期损益。金额较大的应当资本化，在整个经营租赁期内按照与确认租金收入相同 的基础分期计入当期损益。</w:t>
      </w:r>
    </w:p>
    <w:p>
      <w:pPr>
        <w:pStyle w:val="BodyText"/>
        <w:spacing w:line="316" w:lineRule="auto" w:before="18"/>
        <w:ind w:left="510" w:right="2656"/>
        <w:jc w:val="left"/>
      </w:pPr>
      <w:r>
        <w:rPr/>
        <w:t>③</w:t>
      </w:r>
      <w:r>
        <w:rPr>
          <w:spacing w:val="-18"/>
        </w:rPr>
        <w:t> </w:t>
      </w:r>
      <w:r>
        <w:rPr/>
        <w:t>租赁资产折旧的计提</w:t>
      </w:r>
      <w:r>
        <w:rPr/>
        <w:t> 对于经营租赁资产中的固定资产，采用出租人对类似应折旧资产通常所采用的折旧政策计提折旧。</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510" w:right="8056"/>
        <w:jc w:val="left"/>
      </w:pPr>
      <w:r>
        <w:rPr/>
        <w:t>④</w:t>
      </w:r>
      <w:r>
        <w:rPr>
          <w:spacing w:val="-18"/>
        </w:rPr>
        <w:t> </w:t>
      </w:r>
      <w:r>
        <w:rPr/>
        <w:t>或有租金的处理</w:t>
      </w:r>
      <w:r>
        <w:rPr/>
        <w:t> 在实际发生时计入当期收益。</w:t>
      </w:r>
    </w:p>
    <w:p>
      <w:pPr>
        <w:pStyle w:val="BodyText"/>
        <w:spacing w:line="316" w:lineRule="auto" w:before="17"/>
        <w:ind w:left="510" w:right="1216"/>
        <w:jc w:val="left"/>
      </w:pPr>
      <w:r>
        <w:rPr/>
        <w:t>⑤</w:t>
      </w:r>
      <w:r>
        <w:rPr>
          <w:spacing w:val="-18"/>
        </w:rPr>
        <w:t> </w:t>
      </w:r>
      <w:r>
        <w:rPr/>
        <w:t>出租人对经营租赁提供激励措施的处理</w:t>
      </w:r>
      <w:r>
        <w:rPr/>
        <w:t> 出租人提供免租期的，出租人将租金总额在不扣除免租期的整个租赁期内，按直线法或其他合理的方法进行分配，免</w:t>
      </w:r>
    </w:p>
    <w:p>
      <w:pPr>
        <w:pStyle w:val="BodyText"/>
        <w:spacing w:line="316" w:lineRule="auto" w:before="19"/>
        <w:ind w:right="1214"/>
        <w:jc w:val="left"/>
      </w:pPr>
      <w:r>
        <w:rPr/>
        <w:t>租期内出租人确认租金收入。出租人承担了承租人某些费用的，出租人将该费用自租金收入总额中扣除，按扣除后的租金 收入余额在租赁期内进行分配。</w:t>
      </w:r>
    </w:p>
    <w:p>
      <w:pPr>
        <w:pStyle w:val="BodyText"/>
        <w:spacing w:line="316" w:lineRule="auto" w:before="19"/>
        <w:ind w:left="510" w:right="1216"/>
        <w:jc w:val="left"/>
      </w:pPr>
      <w:r>
        <w:rPr/>
        <w:t>⑥</w:t>
      </w:r>
      <w:r>
        <w:rPr>
          <w:spacing w:val="-18"/>
        </w:rPr>
        <w:t> </w:t>
      </w:r>
      <w:r>
        <w:rPr/>
        <w:t>经营租赁资产在财务报表中的处理</w:t>
      </w:r>
      <w:r>
        <w:rPr/>
        <w:t> 在经营租赁下，与资产所有权有关的主要风险和报酬仍然留在出租人一方，因此出租人将出租资产作为自身拥有的资</w:t>
      </w:r>
    </w:p>
    <w:p>
      <w:pPr>
        <w:pStyle w:val="BodyText"/>
        <w:spacing w:line="316" w:lineRule="auto" w:before="19"/>
        <w:ind w:right="1214"/>
        <w:jc w:val="left"/>
      </w:pPr>
      <w:r>
        <w:rPr/>
        <w:t>产在资产负债表中列示，如果出租资产属于固定资产，则列在资产负债表固定资产项下，如果出租资产属于流动资产，则 列在资产负债表有关流动资产项下。</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0" w:right="1216"/>
        <w:jc w:val="left"/>
      </w:pPr>
      <w:r>
        <w:rPr/>
        <w:t>售后回租构成的融资租赁 基于交易实质是公司作为卖方兼承租人以标的资产为抵押从买方兼出租人处取得融资的行为。根据对售后回租构成融</w:t>
      </w:r>
    </w:p>
    <w:p>
      <w:pPr>
        <w:pStyle w:val="BodyText"/>
        <w:spacing w:line="316" w:lineRule="auto" w:before="19"/>
        <w:ind w:right="1214"/>
        <w:jc w:val="left"/>
      </w:pPr>
      <w:r>
        <w:rPr/>
        <w:t>资租赁的交易经济实质的上述分析，公司对售后回租构成融资租赁的交易，作为担保借款在长期应付款科目中列报，未来 支付的租金和留购价款视作还本付息，按照实际利率法以摊余成本对该长期应付款进行后续计量，确认利息支出。</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33</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0" w:right="1216"/>
        <w:jc w:val="left"/>
      </w:pPr>
      <w:r>
        <w:rPr/>
        <w:t>分部报告 公司以内部组织结构、管理要求、内部报告制度为依据确定经营分部，以经营分部为基础确定报告分部。并在财务报</w:t>
      </w:r>
    </w:p>
    <w:p>
      <w:pPr>
        <w:pStyle w:val="BodyText"/>
        <w:spacing w:line="316" w:lineRule="auto" w:before="19"/>
        <w:ind w:right="1214"/>
        <w:jc w:val="left"/>
      </w:pPr>
      <w:r>
        <w:rPr/>
        <w:t>表附注中披露各报告分部的财务信息，包括主营业务收入，主营业务成本，资产总额，负债总额等。公司不能披露各报告 分部的资产总额和负债总额的，应说明原因。</w:t>
      </w:r>
    </w:p>
    <w:p>
      <w:pPr>
        <w:pStyle w:val="BodyText"/>
        <w:spacing w:line="307" w:lineRule="auto" w:before="19"/>
        <w:ind w:left="510" w:right="3346"/>
        <w:jc w:val="left"/>
      </w:pPr>
      <w:r>
        <w:rPr/>
        <w:t>经营分部，是指公司内同时满足下列条件的组成部分： </w:t>
      </w:r>
      <w:r>
        <w:rPr>
          <w:rFonts w:ascii="Times New Roman" w:hAnsi="Times New Roman" w:cs="Times New Roman" w:eastAsia="Times New Roman" w:hint="default"/>
        </w:rPr>
        <w:t>(1)</w:t>
      </w:r>
      <w:r>
        <w:rPr/>
        <w:t>该组成部分能够在日常活动中产生收入、发生费用； </w:t>
      </w:r>
      <w:r>
        <w:rPr>
          <w:rFonts w:ascii="Times New Roman" w:hAnsi="Times New Roman" w:cs="Times New Roman" w:eastAsia="Times New Roman" w:hint="default"/>
        </w:rPr>
        <w:t>(2)</w:t>
      </w:r>
      <w:r>
        <w:rPr/>
        <w:t>企业管理层能够定期评价该组成部分的经营成果，以决定向其配置资源、评价其业绩； </w:t>
      </w:r>
      <w:r>
        <w:rPr>
          <w:rFonts w:ascii="Times New Roman" w:hAnsi="Times New Roman" w:cs="Times New Roman" w:eastAsia="Times New Roman" w:hint="default"/>
        </w:rPr>
        <w:t>(3)</w:t>
      </w:r>
      <w:r>
        <w:rPr/>
        <w:t>企业能够取得该组成部分的财务状况、经营成果和现金流量等有关会计信息。</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34</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254"/>
        <w:gridCol w:w="3546"/>
        <w:gridCol w:w="1771"/>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5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根据财政部修订后的《企业会计首次执行新金融工具 准则，财政部于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日分别发布了《企业 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金额工具确认和计量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 </w:t>
            </w:r>
            <w:r>
              <w:rPr>
                <w:rFonts w:ascii="宋体" w:hAnsi="宋体" w:cs="宋体" w:eastAsia="宋体" w:hint="default"/>
                <w:spacing w:val="-1"/>
                <w:sz w:val="18"/>
                <w:szCs w:val="18"/>
              </w:rPr>
              <w:t>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金融资产转移</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9"/>
              <w:ind w:left="24" w:right="89"/>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日发布了《企 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上述准则统称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日公司第六届董事会第二 十九次会议决议批准</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详见本财务报表附注 五、</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p>
        </w:tc>
      </w:tr>
    </w:tbl>
    <w:p>
      <w:pPr>
        <w:spacing w:after="0" w:line="316"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254"/>
        <w:gridCol w:w="3546"/>
        <w:gridCol w:w="1771"/>
      </w:tblGrid>
      <w:tr>
        <w:trPr>
          <w:trHeight w:val="67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4"/>
              <w:jc w:val="left"/>
              <w:rPr>
                <w:rFonts w:ascii="宋体" w:hAnsi="宋体" w:cs="宋体" w:eastAsia="宋体" w:hint="default"/>
                <w:sz w:val="18"/>
                <w:szCs w:val="18"/>
              </w:rPr>
            </w:pPr>
            <w:r>
              <w:rPr>
                <w:rFonts w:ascii="宋体" w:hAnsi="宋体" w:cs="宋体" w:eastAsia="宋体" w:hint="default"/>
                <w:sz w:val="18"/>
                <w:szCs w:val="18"/>
              </w:rPr>
              <w:t>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日起执行新 金融工具准则。</w:t>
            </w:r>
          </w:p>
        </w:tc>
        <w:tc>
          <w:tcPr>
            <w:tcW w:w="354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日发布了《关于修订印发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p>
          <w:p>
            <w:pPr>
              <w:pStyle w:val="TableParagraph"/>
              <w:spacing w:line="300"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文件，要求变更财务报表格式；并于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日发布了《关于修订印发《合并财务 报表格式</w:t>
            </w:r>
            <w:r>
              <w:rPr>
                <w:rFonts w:ascii="Times New Roman" w:hAnsi="Times New Roman" w:cs="Times New Roman" w:eastAsia="Times New Roman" w:hint="default"/>
                <w:sz w:val="18"/>
                <w:szCs w:val="18"/>
              </w:rPr>
              <w:t>(2019 </w:t>
            </w:r>
            <w:r>
              <w:rPr>
                <w:rFonts w:ascii="宋体" w:hAnsi="宋体" w:cs="宋体" w:eastAsia="宋体" w:hint="default"/>
                <w:sz w:val="18"/>
                <w:szCs w:val="18"/>
              </w:rPr>
              <w:t>版</w:t>
            </w:r>
            <w:r>
              <w:rPr>
                <w:rFonts w:ascii="Times New Roman" w:hAnsi="Times New Roman" w:cs="Times New Roman" w:eastAsia="Times New Roman" w:hint="default"/>
                <w:sz w:val="18"/>
                <w:szCs w:val="18"/>
              </w:rPr>
              <w: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 与财会【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号配套执行。</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3" w:right="178"/>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公司第六届董事会第四 十一次会议决议批准</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 </w:t>
            </w:r>
            <w:r>
              <w:rPr>
                <w:rFonts w:ascii="宋体" w:hAnsi="宋体" w:cs="宋体" w:eastAsia="宋体" w:hint="default"/>
                <w:sz w:val="18"/>
                <w:szCs w:val="18"/>
              </w:rPr>
              <w:t>号、财会【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号规定的财务报表格 式编制比较报表，并 采用追溯调整法变更 了相关财务报表列 报。</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80" w:top="110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820"/>
        <w:gridCol w:w="1844"/>
        <w:gridCol w:w="1561"/>
        <w:gridCol w:w="1344"/>
      </w:tblGrid>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749,630,841.74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749,630,841.74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148,056,453.13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148,056,453.13</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23,953,061.52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380,247,011.00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380,247,011.00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131,852,766.57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131,852,766.57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274,033,329.43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274,033,329.43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592,372.09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161,138.00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820"/>
        <w:gridCol w:w="1844"/>
        <w:gridCol w:w="1561"/>
        <w:gridCol w:w="134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64,987,559.66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64,987,559.66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115,269,254.91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14,323,936.70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-100,945,318.21</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1,787,084,959.75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1,787,084,959.75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73,370,462.26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-73,370,462.26</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4,329,570.08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4,329,570.08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167,806,260.17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70,479,462.26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70,479,462.26</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2,891,000.00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2,891,000.00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277,298,900.00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94,457,715.15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94,457,715.15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7,085,519.87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12,195,012.77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12,195,012.77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4,393,658.90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4,393,658.90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1,220,600,461.98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1,220,600,461.98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10,877,616.20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10,877,616.20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21,755,502.84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21,755,502.84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20,204,857.88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20,204,857.88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1,914,375,538.10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1,914,375,538.10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3,701,460,497.85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3,701,460,497.85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113,871,471.84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113,871,471.84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820"/>
        <w:gridCol w:w="1844"/>
        <w:gridCol w:w="1561"/>
        <w:gridCol w:w="134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42,801,652.55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42,801,652.55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381,692,069.53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381,692,069.53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1,566,855.00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1,566,855.00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15,667,160.62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15,667,160.62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57,545,263.30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57,545,263.30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159,723,864.50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159,723,864.50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20,007,928.85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20,007,928.85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387,154,615.89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387,154,615.89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1,160,022,953.23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1,160,022,953.23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174,864,050.46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4,051,698.41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4,051,698.41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15,007,550.32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15,007,550.32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820"/>
        <w:gridCol w:w="1844"/>
        <w:gridCol w:w="1561"/>
        <w:gridCol w:w="134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483,023,299.19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483,023,299.19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1,643,046,252.42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1,643,046,252.42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814,139,568.00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451,760,863.64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451,760,863.64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96,610,892.40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41,658,286.69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41,658,286.69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90,791,924.05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642,160,050.94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642,160,050.94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1,943,899,800.92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1,943,899,800.92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114,514,444.51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114,514,444.51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2,058,414,245.43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2,058,414,245.43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3,701,460,497.85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3,701,460,497.85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348" w:lineRule="auto" w:before="49"/>
        <w:ind w:right="-18"/>
        <w:jc w:val="left"/>
      </w:pPr>
      <w:r>
        <w:rPr/>
        <w:t>调整情况说明 详见本财务报表附注五、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(4)</w:t>
      </w:r>
      <w:r>
        <w:rPr/>
        <w:t>。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160" w:left="980" w:right="0"/>
          <w:cols w:num="2" w:equalWidth="0">
            <w:col w:w="2885" w:space="6035"/>
            <w:col w:w="201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820"/>
        <w:gridCol w:w="1702"/>
        <w:gridCol w:w="1558"/>
        <w:gridCol w:w="148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483,214,456.32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483,214,456.32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100,945,318.21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100,945,318.21</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23,953,061.52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23,953,061.52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128,060,448.28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128,060,448.28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2,972,430.73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2,972,430.73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576,825,964.51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576,825,964.51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592,372.09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592,372.09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820"/>
        <w:gridCol w:w="1702"/>
        <w:gridCol w:w="1558"/>
        <w:gridCol w:w="148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64,987,559.66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64,987,559.66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101,647,006.99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701,688.78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-100,945,318.21</w:t>
            </w:r>
          </w:p>
        </w:tc>
      </w:tr>
      <w:tr>
        <w:trPr>
          <w:trHeight w:val="408"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1,381,660,928.01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1,381,660,928.01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2,891,000.00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-2,891,000.00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4,329,570.08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4,329,570.08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1,635,575,758.49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1,635,575,758.49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2,891,000.00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56,030,800.00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56,030,800.00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84,445,529.39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84,445,529.39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568,764.66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568,764.66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11,085,388.47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11,085,388.47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4,393,658.90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4,393,658.90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2,095,769.20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2,095,769.20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12,977,589.24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12,977,589.24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6,214,291.85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6,214,291.85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1,820,608,120.28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1,820,608,120.28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3,202,269,048.29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3,202,269,048.29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113,871,471.84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113,871,471.84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61"/>
          <w:pgSz w:w="11910" w:h="16840"/>
          <w:pgMar w:footer="980"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820"/>
        <w:gridCol w:w="1702"/>
        <w:gridCol w:w="1558"/>
        <w:gridCol w:w="148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42,801,652.55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42,801,652.55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65,875,316.63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65,875,316.63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1,515,766.51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1,515,766.51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7,349,781.19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7,349,781.19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8,726,315.33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8,726,315.33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234,226,919.65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234,226,919.65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20,581,887.18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20,581,887.18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387,154,615.89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387,154,615.89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1,061,521,839.59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1,061,521,839.59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289,100,000.00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174,864,050.46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174,864,050.46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1,527,449.47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1,527,449.47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6,862,986.29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6,862,986.29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472,354,486.22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472,354,486.22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1,533,876,325.81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1,533,876,325.81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814,139,568.00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814,139,568.00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451,875,806.61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451,875,806.61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62"/>
          <w:pgSz w:w="11910" w:h="16840"/>
          <w:pgMar w:footer="980" w:header="877" w:top="1100" w:bottom="1160" w:left="980" w:right="0"/>
          <w:pgNumType w:start="1"/>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820"/>
        <w:gridCol w:w="1702"/>
        <w:gridCol w:w="1558"/>
        <w:gridCol w:w="148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96,610,892.40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15,693,285.34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15,693,285.34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90,791,924.05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90,791,924.05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392,503,030.88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392,503,030.88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1,668,392,722.48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1,668,392,722.48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3,202,269,048.29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3,202,269,048.29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调整情况说明</w:t>
      </w:r>
    </w:p>
    <w:p>
      <w:pPr>
        <w:pStyle w:val="BodyText"/>
        <w:spacing w:line="240" w:lineRule="auto" w:before="115"/>
        <w:ind w:left="510" w:right="0"/>
        <w:jc w:val="left"/>
      </w:pPr>
      <w:r>
        <w:rPr/>
        <w:t>详见本财务报表附注五、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(4)</w:t>
      </w:r>
      <w:r>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根据新金融工具准则的相关规定，公司对于首次执行该准则的累积影响数调整</w:t>
      </w:r>
      <w:r>
        <w:rPr>
          <w:rFonts w:ascii="Times New Roman" w:hAnsi="Times New Roman" w:cs="Times New Roman" w:eastAsia="Times New Roman" w:hint="default"/>
        </w:rPr>
        <w:t>2019</w:t>
      </w:r>
      <w:r>
        <w:rPr/>
        <w:t>年年初留存收益以及财务报表其他相关</w:t>
      </w:r>
      <w:r>
        <w:rPr>
          <w:spacing w:val="-2"/>
        </w:rPr>
        <w:t> </w:t>
      </w:r>
      <w:r>
        <w:rPr>
          <w:spacing w:val="-2"/>
        </w:rPr>
      </w:r>
      <w:r>
        <w:rPr/>
        <w:t>项目金额，</w:t>
      </w:r>
      <w:r>
        <w:rPr>
          <w:rFonts w:ascii="Times New Roman" w:hAnsi="Times New Roman" w:cs="Times New Roman" w:eastAsia="Times New Roman" w:hint="default"/>
        </w:rPr>
        <w:t>2018</w:t>
      </w:r>
      <w:r>
        <w:rPr/>
        <w:t>年度的比较财务报表未重列。</w:t>
      </w:r>
    </w:p>
    <w:p>
      <w:pPr>
        <w:pStyle w:val="BodyText"/>
        <w:spacing w:line="246" w:lineRule="exact"/>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日，公司合并财务报表中金融资产按照原金融工具准则和新金融工具准则的规定进行分类和计量的结果对比表</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949"/>
        <w:gridCol w:w="1702"/>
        <w:gridCol w:w="1169"/>
        <w:gridCol w:w="1702"/>
        <w:gridCol w:w="1844"/>
        <w:gridCol w:w="1274"/>
      </w:tblGrid>
      <w:tr>
        <w:trPr>
          <w:trHeight w:val="348" w:hRule="exact"/>
        </w:trPr>
        <w:tc>
          <w:tcPr>
            <w:tcW w:w="48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8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72"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
              <w:jc w:val="both"/>
              <w:rPr>
                <w:rFonts w:ascii="宋体" w:hAnsi="宋体" w:cs="宋体" w:eastAsia="宋体" w:hint="default"/>
                <w:sz w:val="18"/>
                <w:szCs w:val="18"/>
              </w:rPr>
            </w:pPr>
            <w:r>
              <w:rPr>
                <w:rFonts w:ascii="宋体" w:hAnsi="宋体" w:cs="宋体" w:eastAsia="宋体" w:hint="default"/>
                <w:spacing w:val="14"/>
                <w:sz w:val="18"/>
                <w:szCs w:val="18"/>
              </w:rPr>
              <w:t>以公允价值计量且其变 动计入当期损益的金融 </w:t>
            </w:r>
            <w:r>
              <w:rPr>
                <w:rFonts w:ascii="宋体" w:hAnsi="宋体" w:cs="宋体" w:eastAsia="宋体" w:hint="default"/>
                <w:sz w:val="18"/>
                <w:szCs w:val="18"/>
              </w:rPr>
              <w:t>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变动计入当期损益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股 票投资</w:t>
            </w:r>
            <w:r>
              <w:rPr>
                <w:rFonts w:ascii="Times New Roman" w:hAnsi="Times New Roman" w:cs="Times New Roman" w:eastAsia="Times New Roman" w:hint="default"/>
                <w:sz w:val="18"/>
                <w:szCs w:val="18"/>
              </w:rPr>
              <w:t>)</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47,111,134.92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47,111,134.92</w:t>
            </w:r>
          </w:p>
        </w:tc>
      </w:tr>
      <w:tr>
        <w:trPr>
          <w:trHeight w:val="972"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8"/>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变动计入当期损益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银 行短期理财产品</w:t>
            </w:r>
            <w:r>
              <w:rPr>
                <w:rFonts w:ascii="Times New Roman" w:hAnsi="Times New Roman" w:cs="Times New Roman" w:eastAsia="Times New Roman" w:hint="default"/>
                <w:sz w:val="18"/>
                <w:szCs w:val="18"/>
              </w:rPr>
              <w:t>)</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100,945,318.21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2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100,945,318.21</w:t>
            </w:r>
          </w:p>
        </w:tc>
      </w:tr>
      <w:tr>
        <w:trPr>
          <w:trHeight w:val="97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56,549,462.26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56,549,462.26</w:t>
            </w:r>
          </w:p>
        </w:tc>
      </w:tr>
      <w:tr>
        <w:trPr>
          <w:trHeight w:val="6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以历史成本计量</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13,930,000.00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13,930,000.00</w:t>
            </w:r>
          </w:p>
        </w:tc>
      </w:tr>
      <w:tr>
        <w:trPr>
          <w:trHeight w:val="6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以历史成本计量</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2,891,000.00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2,891,000.00</w:t>
            </w:r>
          </w:p>
        </w:tc>
      </w:tr>
    </w:tbl>
    <w:p>
      <w:pPr>
        <w:spacing w:line="240" w:lineRule="auto" w:before="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日，母公司财务报表中金融资产按照原金融工具准则和新金融工具准则的规定进行分类和计量的结果对比表</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560"/>
        <w:gridCol w:w="1417"/>
        <w:gridCol w:w="1418"/>
        <w:gridCol w:w="1666"/>
        <w:gridCol w:w="2305"/>
        <w:gridCol w:w="1274"/>
      </w:tblGrid>
      <w:tr>
        <w:trPr>
          <w:trHeight w:val="346" w:hRule="exact"/>
        </w:trPr>
        <w:tc>
          <w:tcPr>
            <w:tcW w:w="43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2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且其变动计入当 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银行短期 理财产品</w:t>
            </w:r>
            <w:r>
              <w:rPr>
                <w:rFonts w:ascii="Times New Roman" w:hAnsi="Times New Roman" w:cs="Times New Roman" w:eastAsia="Times New Roman" w:hint="default"/>
                <w:sz w:val="18"/>
                <w:szCs w:val="18"/>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100,945,318.21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3"/>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100,945,318.21</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以历史成本计量</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2,891,000.00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3"/>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2,891,000.00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日，公司根据新金融工具准则下的计量类别，将原金融资产账面价值调整为新金融工具准则的账面价值的调节表</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3543"/>
        <w:gridCol w:w="2127"/>
        <w:gridCol w:w="1418"/>
        <w:gridCol w:w="425"/>
        <w:gridCol w:w="2127"/>
      </w:tblGrid>
      <w:tr>
        <w:trPr>
          <w:trHeight w:val="660"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公司合并报表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67"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日按原金融 工具准则列示的账面价值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31"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6" w:right="23"/>
              <w:jc w:val="left"/>
              <w:rPr>
                <w:rFonts w:ascii="宋体" w:hAnsi="宋体" w:cs="宋体" w:eastAsia="宋体" w:hint="default"/>
                <w:sz w:val="18"/>
                <w:szCs w:val="18"/>
              </w:rPr>
            </w:pPr>
            <w:r>
              <w:rPr>
                <w:rFonts w:ascii="宋体" w:hAnsi="宋体" w:cs="宋体" w:eastAsia="宋体" w:hint="default"/>
                <w:sz w:val="18"/>
                <w:szCs w:val="18"/>
              </w:rPr>
              <w:t>重新 计量</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159" w:right="60" w:hanging="9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日按新金融工 具准则列示的账面价值</w:t>
            </w:r>
          </w:p>
        </w:tc>
      </w:tr>
      <w:tr>
        <w:trPr>
          <w:trHeight w:val="346" w:hRule="exact"/>
        </w:trPr>
        <w:tc>
          <w:tcPr>
            <w:tcW w:w="964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新金融工具准则下以公允价值计量且其变动计入当期损益的金融资产</w:t>
            </w:r>
          </w:p>
        </w:tc>
      </w:tr>
      <w:tr>
        <w:trPr>
          <w:trHeight w:val="972"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以公允价值计量且其变动计入当期损益的金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融资产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股票投资</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按原金融工具准则列示的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余额</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47,111,134.92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100,945,318.21</w:t>
            </w: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减：转出至交易性金融资产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148,056,453.13</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按新金融工具准则列示的余</w:t>
            </w:r>
            <w:r>
              <w:rPr>
                <w:rFonts w:ascii="宋体" w:hAnsi="宋体" w:cs="宋体" w:eastAsia="宋体" w:hint="default"/>
                <w:spacing w:val="-5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148,056,453.13</w:t>
            </w:r>
          </w:p>
        </w:tc>
      </w:tr>
      <w:tr>
        <w:trPr>
          <w:trHeight w:val="349" w:hRule="exact"/>
        </w:trPr>
        <w:tc>
          <w:tcPr>
            <w:tcW w:w="964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新金融工具准则下以公允价值计量且其变动计入其他综合收益的金融资产</w:t>
            </w:r>
          </w:p>
        </w:tc>
      </w:tr>
      <w:tr>
        <w:trPr>
          <w:trHeight w:val="660"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按原金融工具准则列示的</w:t>
            </w:r>
            <w:r>
              <w:rPr>
                <w:rFonts w:ascii="宋体" w:hAnsi="宋体" w:cs="宋体" w:eastAsia="宋体" w:hint="default"/>
                <w:spacing w:val="-51"/>
                <w:sz w:val="18"/>
                <w:szCs w:val="18"/>
              </w:rPr>
              <w:t> </w:t>
            </w:r>
            <w:r>
              <w:rPr>
                <w:rFonts w:ascii="宋体" w:hAnsi="宋体" w:cs="宋体" w:eastAsia="宋体" w:hint="default"/>
                <w:sz w:val="18"/>
                <w:szCs w:val="18"/>
              </w:rPr>
              <w:t>余额</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70,479,462.26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减：其他权益工具投资</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70,479,462.26</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0"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按新金融工具准则列示的</w:t>
            </w:r>
            <w:r>
              <w:rPr>
                <w:rFonts w:ascii="宋体" w:hAnsi="宋体" w:cs="宋体" w:eastAsia="宋体" w:hint="default"/>
                <w:spacing w:val="-51"/>
                <w:sz w:val="18"/>
                <w:szCs w:val="18"/>
              </w:rPr>
              <w:t> </w:t>
            </w:r>
            <w:r>
              <w:rPr>
                <w:rFonts w:ascii="宋体" w:hAnsi="宋体" w:cs="宋体" w:eastAsia="宋体" w:hint="default"/>
                <w:sz w:val="18"/>
                <w:szCs w:val="18"/>
              </w:rPr>
              <w:t>余额</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70,479,462.26</w:t>
            </w:r>
          </w:p>
        </w:tc>
      </w:tr>
      <w:tr>
        <w:trPr>
          <w:trHeight w:val="65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按原金融工具准则列示的</w:t>
            </w:r>
            <w:r>
              <w:rPr>
                <w:rFonts w:ascii="宋体" w:hAnsi="宋体" w:cs="宋体" w:eastAsia="宋体" w:hint="default"/>
                <w:spacing w:val="-51"/>
                <w:sz w:val="18"/>
                <w:szCs w:val="18"/>
              </w:rPr>
              <w:t> </w:t>
            </w:r>
            <w:r>
              <w:rPr>
                <w:rFonts w:ascii="宋体" w:hAnsi="宋体" w:cs="宋体" w:eastAsia="宋体" w:hint="default"/>
                <w:sz w:val="18"/>
                <w:szCs w:val="18"/>
              </w:rPr>
              <w:t>余额</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2,891,000.00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减：其他非流动金融资产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2,891,000.00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0"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按新金融工具准则列示</w:t>
            </w:r>
            <w:r>
              <w:rPr>
                <w:rFonts w:ascii="宋体" w:hAnsi="宋体" w:cs="宋体" w:eastAsia="宋体" w:hint="default"/>
                <w:spacing w:val="-51"/>
                <w:sz w:val="18"/>
                <w:szCs w:val="18"/>
              </w:rPr>
              <w:t> </w:t>
            </w:r>
            <w:r>
              <w:rPr>
                <w:rFonts w:ascii="宋体" w:hAnsi="宋体" w:cs="宋体" w:eastAsia="宋体" w:hint="default"/>
                <w:sz w:val="18"/>
                <w:szCs w:val="18"/>
              </w:rPr>
              <w:t>的余额</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2,891,000.00</w:t>
            </w:r>
          </w:p>
        </w:tc>
      </w:tr>
      <w:tr>
        <w:trPr>
          <w:trHeight w:val="346"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221,426,915.39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221,426,915.39</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221,426,915.39</w:t>
            </w:r>
          </w:p>
        </w:tc>
      </w:tr>
    </w:tbl>
    <w:p>
      <w:pPr>
        <w:pStyle w:val="BodyText"/>
        <w:spacing w:line="316" w:lineRule="auto" w:before="8"/>
        <w:ind w:right="1125"/>
        <w:jc w:val="left"/>
      </w:pPr>
      <w:r>
        <w:rPr>
          <w:rFonts w:ascii="宋体" w:hAnsi="宋体" w:cs="宋体" w:eastAsia="宋体" w:hint="default"/>
        </w:rPr>
        <w:t> </w:t>
      </w:r>
      <w:r>
        <w:rPr/>
        <w:t>首次执行日，公司原金融资产减值准备期末金额调整为按照修订后金融工具确认计量准则的规定进行分类和计量的新损失                                                                                  </w:t>
      </w:r>
      <w:r>
        <w:rPr>
          <w:spacing w:val="79"/>
        </w:rPr>
        <w:t> </w:t>
      </w:r>
      <w:r>
        <w:rPr>
          <w:spacing w:val="79"/>
        </w:rPr>
      </w:r>
      <w:r>
        <w:rPr/>
        <w:t>准备的调节表</w:t>
      </w:r>
    </w:p>
    <w:tbl>
      <w:tblPr>
        <w:tblW w:w="0" w:type="auto"/>
        <w:jc w:val="left"/>
        <w:tblInd w:w="164" w:type="dxa"/>
        <w:tblLayout w:type="fixed"/>
        <w:tblCellMar>
          <w:top w:w="0" w:type="dxa"/>
          <w:left w:w="0" w:type="dxa"/>
          <w:bottom w:w="0" w:type="dxa"/>
          <w:right w:w="0" w:type="dxa"/>
        </w:tblCellMar>
        <w:tblLook w:val="01E0"/>
      </w:tblPr>
      <w:tblGrid>
        <w:gridCol w:w="2235"/>
        <w:gridCol w:w="2127"/>
        <w:gridCol w:w="1025"/>
        <w:gridCol w:w="1135"/>
        <w:gridCol w:w="2977"/>
      </w:tblGrid>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25" w:right="334" w:hanging="90"/>
              <w:jc w:val="left"/>
              <w:rPr>
                <w:rFonts w:ascii="宋体" w:hAnsi="宋体" w:cs="宋体" w:eastAsia="宋体" w:hint="default"/>
                <w:sz w:val="18"/>
                <w:szCs w:val="18"/>
              </w:rPr>
            </w:pPr>
            <w:r>
              <w:rPr>
                <w:rFonts w:ascii="宋体" w:hAnsi="宋体" w:cs="宋体" w:eastAsia="宋体" w:hint="default"/>
                <w:sz w:val="18"/>
                <w:szCs w:val="18"/>
              </w:rPr>
              <w:t>按原金融工具准则 计提的损失准备</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按新金融工具准则计提的损失准备</w:t>
            </w:r>
          </w:p>
        </w:tc>
      </w:tr>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7"/>
                <w:sz w:val="18"/>
                <w:szCs w:val="18"/>
              </w:rPr>
              <w:t> </w:t>
            </w:r>
            <w:r>
              <w:rPr>
                <w:rFonts w:ascii="宋体" w:hAnsi="宋体" w:cs="宋体" w:eastAsia="宋体" w:hint="default"/>
                <w:sz w:val="18"/>
                <w:szCs w:val="18"/>
              </w:rPr>
              <w:t>摊</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7"/>
                <w:sz w:val="18"/>
                <w:szCs w:val="18"/>
              </w:rPr>
              <w:t> </w:t>
            </w: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pacing w:val="10"/>
                <w:sz w:val="18"/>
                <w:szCs w:val="18"/>
              </w:rPr>
              <w:t>量的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等线" w:hAnsi="等线" w:cs="等线" w:eastAsia="等线" w:hint="default"/>
                <w:sz w:val="18"/>
                <w:szCs w:val="18"/>
              </w:rPr>
            </w:pPr>
            <w:r>
              <w:rPr>
                <w:rFonts w:ascii="等线"/>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等线" w:hAnsi="等线" w:cs="等线" w:eastAsia="等线" w:hint="default"/>
                <w:sz w:val="18"/>
                <w:szCs w:val="18"/>
              </w:rPr>
            </w:pPr>
            <w:r>
              <w:rPr>
                <w:rFonts w:ascii="等线"/>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等线" w:hAnsi="等线" w:cs="等线" w:eastAsia="等线" w:hint="default"/>
                <w:sz w:val="18"/>
                <w:szCs w:val="18"/>
              </w:rPr>
            </w:pPr>
            <w:r>
              <w:rPr>
                <w:rFonts w:ascii="等线"/>
                <w:sz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等线" w:hAnsi="等线" w:cs="等线" w:eastAsia="等线" w:hint="default"/>
                <w:sz w:val="18"/>
                <w:szCs w:val="18"/>
              </w:rPr>
            </w:pPr>
            <w:r>
              <w:rPr>
                <w:rFonts w:ascii="等线"/>
                <w:sz w:val="18"/>
              </w:rPr>
              <w:t>-</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31,073,177.40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31,073,177.40</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12,860,263.58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12,860,263.58</w:t>
            </w:r>
          </w:p>
        </w:tc>
      </w:tr>
    </w:tbl>
    <w:p>
      <w:pPr>
        <w:spacing w:line="240" w:lineRule="auto" w:before="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35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31" w:firstLine="358"/>
        <w:jc w:val="both"/>
      </w:pPr>
      <w:r>
        <w:rPr/>
        <w:t>公司在运用会计政策过程中，由于经营活动内在的不确定性，公司需要对无法准确计量的报表项目的账面价值进行判 断、估计和假设。这些判断、估计和假设是基于公司管理层过去的历史经验，并在考虑其他相关因素的基础上做出的。这 些判断、估计和假设会影响收入、费用、资产和负债的报告金额以及资产负债表日或有负债的披露。然而，这些估计的不 确定性所导致的实际结果可能与公司管理层当前的估计存在差异，进而造成对未来受影响的资产或负债的账面金额进行重 大调整。</w:t>
      </w:r>
    </w:p>
    <w:p>
      <w:pPr>
        <w:pStyle w:val="BodyText"/>
        <w:spacing w:line="316" w:lineRule="auto" w:before="19"/>
        <w:ind w:right="1232" w:firstLine="358"/>
        <w:jc w:val="both"/>
      </w:pPr>
      <w:r>
        <w:rPr/>
        <w:t>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0" w:right="0"/>
        <w:jc w:val="left"/>
      </w:pPr>
      <w:r>
        <w:rPr/>
        <w:t>于资产负债表日，公司需对财务报表项目金额进行判断、估计和假设的重要领域如下：</w:t>
      </w:r>
    </w:p>
    <w:p>
      <w:pPr>
        <w:pStyle w:val="BodyText"/>
        <w:spacing w:line="300" w:lineRule="auto" w:before="77"/>
        <w:ind w:left="510" w:right="12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金融工具减值</w:t>
      </w:r>
      <w:r>
        <w:rPr>
          <w:w w:val="99"/>
        </w:rPr>
        <w:t> </w:t>
      </w:r>
      <w:r>
        <w:rPr/>
        <w:t>公司采用预期信用损失模型对金融工具的减值进行评估，应用预期信用损失模型需要做出重大判断和估计，需考虑所</w:t>
      </w:r>
    </w:p>
    <w:p>
      <w:pPr>
        <w:pStyle w:val="BodyText"/>
        <w:spacing w:line="316" w:lineRule="auto" w:before="31"/>
        <w:ind w:right="1231"/>
        <w:jc w:val="both"/>
      </w:pPr>
      <w:r>
        <w:rPr/>
        <w:t>有合理且有依据的信息，包括前瞻性信息。在做出该等判断和估计时，公司根据历史还款数据结合经济政策、宏观经济指 标、行业风险等因素推断债务人信用风险的预期变动。</w:t>
      </w:r>
    </w:p>
    <w:p>
      <w:pPr>
        <w:pStyle w:val="BodyText"/>
        <w:spacing w:line="300" w:lineRule="auto" w:before="19"/>
        <w:ind w:left="510" w:right="1216"/>
        <w:jc w:val="left"/>
      </w:pPr>
      <w:r>
        <w:rPr/>
        <w:t>（</w:t>
      </w:r>
      <w:r>
        <w:rPr>
          <w:rFonts w:ascii="Times New Roman" w:hAnsi="Times New Roman" w:cs="Times New Roman" w:eastAsia="Times New Roman" w:hint="default"/>
        </w:rPr>
        <w:t>2</w:t>
      </w:r>
      <w:r>
        <w:rPr/>
        <w:t>）存货跌价准备 公司根据存货会计政策，按照成本与可变现净值孰低计量，对成本高于可变现净值及陈旧和滞销的存货，计提存货跌</w:t>
      </w:r>
    </w:p>
    <w:p>
      <w:pPr>
        <w:pStyle w:val="BodyText"/>
        <w:spacing w:line="316" w:lineRule="auto" w:before="31"/>
        <w:ind w:right="1231"/>
        <w:jc w:val="both"/>
      </w:pPr>
      <w:r>
        <w:rPr/>
        <w:t>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 估计被改变的期间影响存货的账面价值及存货跌价准备的计提或转回。</w:t>
      </w:r>
    </w:p>
    <w:p>
      <w:pPr>
        <w:pStyle w:val="BodyText"/>
        <w:spacing w:line="300" w:lineRule="auto" w:before="19"/>
        <w:ind w:left="510" w:right="1216"/>
        <w:jc w:val="left"/>
      </w:pPr>
      <w:r>
        <w:rPr/>
        <w:t>（</w:t>
      </w:r>
      <w:r>
        <w:rPr>
          <w:rFonts w:ascii="Times New Roman" w:hAnsi="Times New Roman" w:cs="Times New Roman" w:eastAsia="Times New Roman" w:hint="default"/>
        </w:rPr>
        <w:t>3</w:t>
      </w:r>
      <w:r>
        <w:rPr/>
        <w:t>）金融工具公允价值 对不存在活跃交易市场的金融工具，公司通过各种估值方法确定其公允价值。这些估值方法包括贴现现金流模型分析</w:t>
      </w:r>
    </w:p>
    <w:p>
      <w:pPr>
        <w:pStyle w:val="BodyText"/>
        <w:spacing w:line="316" w:lineRule="auto" w:before="32"/>
        <w:ind w:right="1230"/>
        <w:jc w:val="both"/>
      </w:pPr>
      <w:r>
        <w:rPr/>
        <w:t>等。估值时公司需对未来现金流量、信用风险、市场波动率和相关性等方面进行估计，并选择适当的折现率。这些相关假 设具有不确定性，其变化会对金融工具的公允价值产生影响。</w:t>
      </w:r>
    </w:p>
    <w:p>
      <w:pPr>
        <w:pStyle w:val="BodyText"/>
        <w:spacing w:line="300" w:lineRule="auto" w:before="19"/>
        <w:ind w:left="510" w:right="1216"/>
        <w:jc w:val="left"/>
      </w:pPr>
      <w:r>
        <w:rPr/>
        <w:t>（</w:t>
      </w:r>
      <w:r>
        <w:rPr>
          <w:rFonts w:ascii="Times New Roman" w:hAnsi="Times New Roman" w:cs="Times New Roman" w:eastAsia="Times New Roman" w:hint="default"/>
        </w:rPr>
        <w:t>4</w:t>
      </w:r>
      <w:r>
        <w:rPr/>
        <w:t>）长期资产减值准备 公司于资产负债表日对除金融资产之外的非流动资产判断是否存在可能发生减值的迹象。对使用寿命不确定的无形资</w:t>
      </w:r>
    </w:p>
    <w:p>
      <w:pPr>
        <w:pStyle w:val="BodyText"/>
        <w:spacing w:line="316" w:lineRule="auto" w:before="31"/>
        <w:ind w:right="1231"/>
        <w:jc w:val="both"/>
      </w:pPr>
      <w:r>
        <w:rPr/>
        <w:t>产，除每年进行的减值测试外，当其存在减值迹象时，也进行减值测试。其他除金融资产之外的非流动资产，当存在迹象 表明其账面金额不可收回时，进行减值测试。</w:t>
      </w:r>
    </w:p>
    <w:p>
      <w:pPr>
        <w:pStyle w:val="BodyText"/>
        <w:spacing w:line="316" w:lineRule="auto" w:before="19"/>
        <w:ind w:right="1233" w:firstLine="358"/>
        <w:jc w:val="both"/>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1233" w:firstLine="358"/>
        <w:jc w:val="both"/>
      </w:pPr>
      <w:r>
        <w:rPr/>
        <w:t>公允价值减去处置费用后的净额，参考公平交易中类似资产的销售协议价格或可观察到的市场价格，减去可直接归属 于该资产处置的增量成本确定。</w:t>
      </w:r>
    </w:p>
    <w:p>
      <w:pPr>
        <w:pStyle w:val="BodyText"/>
        <w:spacing w:line="319" w:lineRule="auto" w:before="19"/>
        <w:ind w:right="1231" w:firstLine="358"/>
        <w:jc w:val="both"/>
      </w:pPr>
      <w:r>
        <w:rPr/>
        <w:t>在预计未来现金流量现值时，需要对该资产（或资产组）的产量、售价、相关经营成本以及计算现值时使用的折现率 等作出重大判断。公司在估计可收回金额时会采用所有能够获得的相关资料，包括根据合理和可支持的假设所作出有关产 量、售价和相关经营成本的预测。</w:t>
      </w:r>
    </w:p>
    <w:p>
      <w:pPr>
        <w:pStyle w:val="BodyText"/>
        <w:spacing w:line="300" w:lineRule="auto" w:before="17"/>
        <w:ind w:left="510" w:right="1216"/>
        <w:jc w:val="left"/>
      </w:pPr>
      <w:r>
        <w:rPr/>
        <w:t>（</w:t>
      </w:r>
      <w:r>
        <w:rPr>
          <w:rFonts w:ascii="Times New Roman" w:hAnsi="Times New Roman" w:cs="Times New Roman" w:eastAsia="Times New Roman" w:hint="default"/>
        </w:rPr>
        <w:t>5</w:t>
      </w:r>
      <w:r>
        <w:rPr/>
        <w:t>）商誉减值准备 在对商誉进行减值测试时，需计算包含商誉的相关资产组或者资产组组合的预计未来现金流量现值，并需要对该资产</w:t>
      </w:r>
    </w:p>
    <w:p>
      <w:pPr>
        <w:pStyle w:val="BodyText"/>
        <w:spacing w:line="240" w:lineRule="auto" w:before="31"/>
        <w:ind w:right="0"/>
        <w:jc w:val="both"/>
      </w:pPr>
      <w:r>
        <w:rPr/>
        <w:t>组或资产组组合的未来现金流量进行预计，同时确定一个适当地反映当前市场货币时间价值和资产特定风险的税前利率。</w:t>
      </w:r>
    </w:p>
    <w:p>
      <w:pPr>
        <w:pStyle w:val="BodyText"/>
        <w:spacing w:line="300" w:lineRule="auto" w:before="76"/>
        <w:ind w:left="510" w:right="1216"/>
        <w:jc w:val="left"/>
      </w:pPr>
      <w:r>
        <w:rPr/>
        <w:t>（</w:t>
      </w:r>
      <w:r>
        <w:rPr>
          <w:rFonts w:ascii="Times New Roman" w:hAnsi="Times New Roman" w:cs="Times New Roman" w:eastAsia="Times New Roman" w:hint="default"/>
        </w:rPr>
        <w:t>6</w:t>
      </w:r>
      <w:r>
        <w:rPr/>
        <w:t>）折旧和摊销 公司对投资性房地产、固定资产和无形资产在考虑其残值后，在使用寿命内按直线法计提折旧和摊销。公司定期复核</w:t>
      </w:r>
    </w:p>
    <w:p>
      <w:pPr>
        <w:pStyle w:val="BodyText"/>
        <w:spacing w:line="316" w:lineRule="auto" w:before="31"/>
        <w:ind w:right="1231"/>
        <w:jc w:val="both"/>
      </w:pPr>
      <w:r>
        <w:rPr/>
        <w:t>使用寿命，以决定将计入每个报告期的折旧和摊销费用数额。使用寿命是公司根据对同类资产的以往经验并结合预期的技 术更新而确定的。如果以前的估计发生重大变化，则会在未来期间对折旧和摊销费用进行调整。</w:t>
      </w:r>
    </w:p>
    <w:p>
      <w:pPr>
        <w:pStyle w:val="BodyText"/>
        <w:spacing w:line="309" w:lineRule="auto" w:before="19"/>
        <w:ind w:left="510" w:right="1216"/>
        <w:jc w:val="left"/>
      </w:pPr>
      <w:r>
        <w:rPr/>
        <w:t>（</w:t>
      </w:r>
      <w:r>
        <w:rPr>
          <w:rFonts w:ascii="Times New Roman" w:hAnsi="Times New Roman" w:cs="Times New Roman" w:eastAsia="Times New Roman" w:hint="default"/>
        </w:rPr>
        <w:t>7</w:t>
      </w:r>
      <w:r>
        <w:rPr/>
        <w:t>）开发支出 确定资本化的金额时，公司管理层需要作出有关资产的预计未来现金流量、适用的折现率以及预计受益期间的假设。 公司管理层认为相关业务的前景和目前的发展良好，市场对以相关无形资产生产的产品的反应也证实了管理层之前对</w:t>
      </w:r>
    </w:p>
    <w:p>
      <w:pPr>
        <w:pStyle w:val="BodyText"/>
        <w:spacing w:line="316" w:lineRule="auto" w:before="25"/>
        <w:ind w:right="1231"/>
        <w:jc w:val="both"/>
      </w:pPr>
      <w:r>
        <w:rPr/>
        <w:t>这些项目预期收入的估计。但是日益增加的竞争也使得管理层重新考虑对市场份额和有关产品的预计毛利等方面的假设。 经过全面的检视后，公司管理层认为即使在产品回报率出现下调的情况下，仍可以全额收回无形资产账面价值。公司将继 续密切检视有关情况，一旦有迹象表明需要调整相关会计估计的假设，公司将在有关迹象发生的期间作出调整。</w:t>
      </w:r>
    </w:p>
    <w:p>
      <w:pPr>
        <w:pStyle w:val="BodyText"/>
        <w:spacing w:line="300" w:lineRule="auto" w:before="19"/>
        <w:ind w:left="510" w:right="1216"/>
        <w:jc w:val="left"/>
      </w:pPr>
      <w:r>
        <w:rPr/>
        <w:t>（</w:t>
      </w:r>
      <w:r>
        <w:rPr>
          <w:rFonts w:ascii="Times New Roman" w:hAnsi="Times New Roman" w:cs="Times New Roman" w:eastAsia="Times New Roman" w:hint="default"/>
        </w:rPr>
        <w:t>8</w:t>
      </w:r>
      <w:r>
        <w:rPr/>
        <w:t>）递延所得税资产 在很有可能有足够的应纳税利润来抵扣亏损的限度内，公司就所有未利用的税务亏损确认递延所得税资产。这需要公</w:t>
      </w:r>
    </w:p>
    <w:p>
      <w:pPr>
        <w:pStyle w:val="BodyText"/>
        <w:spacing w:line="316" w:lineRule="auto" w:before="31"/>
        <w:ind w:right="1231"/>
        <w:jc w:val="both"/>
      </w:pPr>
      <w:r>
        <w:rPr/>
        <w:t>司管理层运用大量的判断来估计未来应纳税利润发生的时间和金额，结合纳税筹划策略，以决定应确认的递延所得税资产 的金额。</w:t>
      </w:r>
    </w:p>
    <w:p>
      <w:pPr>
        <w:pStyle w:val="BodyText"/>
        <w:spacing w:line="300" w:lineRule="auto" w:before="19"/>
        <w:ind w:left="510" w:right="1216"/>
        <w:jc w:val="left"/>
      </w:pPr>
      <w:r>
        <w:rPr/>
        <w:t>（</w:t>
      </w:r>
      <w:r>
        <w:rPr>
          <w:rFonts w:ascii="Times New Roman" w:hAnsi="Times New Roman" w:cs="Times New Roman" w:eastAsia="Times New Roman" w:hint="default"/>
        </w:rPr>
        <w:t>9</w:t>
      </w:r>
      <w:r>
        <w:rPr/>
        <w:t>）所得税 公司在正常的经营活动中，有部分交易其最终的税务处理和计算存在一定的不确定性。部分项目是否能够在税前列支</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214"/>
        <w:jc w:val="left"/>
      </w:pPr>
      <w:r>
        <w:rPr/>
        <w:t>需要税收主管机关的审批。如果这些税务事项的最终认定结果同最初估计的金额存在差异，则该差异将对其最终认定期间 的当期所得税和递延所得税产生影响。</w:t>
      </w:r>
    </w:p>
    <w:p>
      <w:pPr>
        <w:pStyle w:val="BodyText"/>
        <w:spacing w:line="300" w:lineRule="auto" w:before="17"/>
        <w:ind w:left="510" w:right="1396"/>
        <w:jc w:val="left"/>
      </w:pPr>
      <w:r>
        <w:rPr/>
        <w:t>（</w:t>
      </w:r>
      <w:r>
        <w:rPr>
          <w:rFonts w:ascii="Times New Roman" w:hAnsi="Times New Roman" w:cs="Times New Roman" w:eastAsia="Times New Roman" w:hint="default"/>
        </w:rPr>
        <w:t>10</w:t>
      </w:r>
      <w:r>
        <w:rPr/>
        <w:t>）预计负债 公司根据合约条款、现有知识及历史经验，对产品质量保证、预计合同亏损、延迟交货违约金等估计并计提相应准</w:t>
      </w:r>
    </w:p>
    <w:p>
      <w:pPr>
        <w:pStyle w:val="BodyText"/>
        <w:spacing w:line="316" w:lineRule="auto" w:before="31"/>
        <w:ind w:right="1214"/>
        <w:jc w:val="left"/>
      </w:pPr>
      <w:r>
        <w:rPr/>
        <w:t>备。在该等或有事项已经形成一项现时义务，且履行该等现时义务很可能导致经济利益流出公司的情况下，公司对或有事 项按履行相关现时义务所需支出的最佳估计数确认为预计负债。预计负债的确认和计量在很大程度上依赖于管理层的判 断。在进行判断过程中公司需评估该等或有事项相关的风险、不确定性及货币时间价值等因素。</w:t>
      </w:r>
    </w:p>
    <w:p>
      <w:pPr>
        <w:pStyle w:val="BodyText"/>
        <w:spacing w:line="316" w:lineRule="auto" w:before="19"/>
        <w:ind w:right="1231" w:firstLine="358"/>
        <w:jc w:val="both"/>
      </w:pPr>
      <w:r>
        <w:rPr/>
        <w:t>其中，公司会就出售、维修及改造所售商品向客户提供的售后质量维修承诺预计负债。预计负债时已考虑公司近期的 维修经验数据，但近期的维修经验可能无法反映将来的维修情况。这项准备的任何增加或减少，均可能影响未来年度的损 益。</w:t>
      </w:r>
    </w:p>
    <w:p>
      <w:pPr>
        <w:pStyle w:val="BodyText"/>
        <w:spacing w:line="300" w:lineRule="auto" w:before="19"/>
        <w:ind w:left="510" w:right="1216"/>
        <w:jc w:val="left"/>
      </w:pPr>
      <w:r>
        <w:rPr/>
        <w:t>（</w:t>
      </w:r>
      <w:r>
        <w:rPr>
          <w:rFonts w:ascii="Times New Roman" w:hAnsi="Times New Roman" w:cs="Times New Roman" w:eastAsia="Times New Roman" w:hint="default"/>
        </w:rPr>
        <w:t>11</w:t>
      </w:r>
      <w:r>
        <w:rPr/>
        <w:t>）公允价值计量 公司的某些资产和负债在财务报表中按公允价值计量。在对某项资产或负债的公允价值作出估计时，公司采用可获得</w:t>
      </w:r>
    </w:p>
    <w:p>
      <w:pPr>
        <w:pStyle w:val="BodyText"/>
        <w:spacing w:line="316" w:lineRule="auto" w:before="32"/>
        <w:ind w:right="1214"/>
        <w:jc w:val="left"/>
      </w:pPr>
      <w:r>
        <w:rPr/>
        <w:t>的可观察市场数据。如果无法获得第一层次输入值，公司会聘用第三方有资质的评估师来执行估价。在确定各类资产和负 债的公允价值的过程中所采用的估值技术和输入值的相关信息在附注十一中披露。</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见下表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翔瑞科技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豪琛投资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鹏胤投资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吉乾科技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旭梅网络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华向文化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游湛网络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共创网络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珂星网络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铁匣电力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一零电力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零玖电力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缘中缘网络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致合世纪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高奇网络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多趣网络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链接世界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00" w:lineRule="auto"/>
        <w:ind w:right="1124" w:firstLine="360"/>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日通过复审取得深圳市科技创新委员会、深圳市财政委员会、深圳市国家税务局和深圳市 地方税务局联合批准颁发的高新技术企业证书，证书编号</w:t>
      </w:r>
      <w:r>
        <w:rPr>
          <w:rFonts w:ascii="Times New Roman" w:hAnsi="Times New Roman" w:cs="Times New Roman" w:eastAsia="Times New Roman" w:hint="default"/>
        </w:rPr>
        <w:t>GR201744203070</w:t>
      </w:r>
      <w:r>
        <w:rPr/>
        <w:t>；根据高新技术企业所得税优惠政策，本公司 </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年执行企业所得税率减按</w:t>
      </w:r>
      <w:r>
        <w:rPr>
          <w:rFonts w:ascii="Times New Roman" w:hAnsi="Times New Roman" w:cs="Times New Roman" w:eastAsia="Times New Roman" w:hint="default"/>
        </w:rPr>
        <w:t>15%</w:t>
      </w:r>
      <w:r>
        <w:rPr/>
        <w:t>缴纳。</w:t>
      </w:r>
    </w:p>
    <w:p>
      <w:pPr>
        <w:pStyle w:val="BodyText"/>
        <w:spacing w:line="307" w:lineRule="auto" w:before="13"/>
        <w:ind w:right="1124" w:firstLine="360"/>
        <w:jc w:val="left"/>
      </w:pPr>
      <w:r>
        <w:rPr/>
        <w:t>（</w:t>
      </w:r>
      <w:r>
        <w:rPr>
          <w:rFonts w:ascii="Times New Roman" w:hAnsi="Times New Roman" w:cs="Times New Roman" w:eastAsia="Times New Roman" w:hint="default"/>
        </w:rPr>
        <w:t>2</w:t>
      </w:r>
      <w:r>
        <w:rPr/>
        <w:t>）喀什中汇联银依据《关于新疆喀什霍尔果斯两个特殊经济开发区企业所得税优惠政策的通知》（财税【</w:t>
      </w:r>
      <w:r>
        <w:rPr>
          <w:rFonts w:ascii="Times New Roman" w:hAnsi="Times New Roman" w:cs="Times New Roman" w:eastAsia="Times New Roman" w:hint="default"/>
        </w:rPr>
        <w:t>2011</w:t>
      </w:r>
      <w:r>
        <w:rPr/>
        <w:t>】 </w:t>
      </w:r>
      <w:r>
        <w:rPr>
          <w:rFonts w:ascii="Times New Roman" w:hAnsi="Times New Roman" w:cs="Times New Roman" w:eastAsia="Times New Roman" w:hint="default"/>
        </w:rPr>
        <w:t>112</w:t>
      </w:r>
      <w:r>
        <w:rPr/>
        <w:t>号）和《关于公布新疆困难地区重点鼓励发展产业企业所得税优惠目录（试行）的通知》（财税【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60</w:t>
      </w:r>
      <w:r>
        <w:rPr/>
        <w:t>号）文件的 规定，《目录》范围内的企业，自取得第一笔生产经营收入所属纳税年度起，第一年至第五年免征企业所得税，免税期满 后，再免征企业五年所得税地方分享部分。</w:t>
      </w:r>
      <w:r>
        <w:rPr>
          <w:rFonts w:ascii="Times New Roman" w:hAnsi="Times New Roman" w:cs="Times New Roman" w:eastAsia="Times New Roman" w:hint="default"/>
        </w:rPr>
        <w:t>2019</w:t>
      </w:r>
      <w:r>
        <w:rPr/>
        <w:t>年度为第四年享受该项优惠政策。</w:t>
      </w:r>
    </w:p>
    <w:p>
      <w:pPr>
        <w:pStyle w:val="BodyText"/>
        <w:spacing w:line="300" w:lineRule="auto" w:before="7"/>
        <w:ind w:right="1138" w:firstLine="360"/>
        <w:jc w:val="left"/>
      </w:pPr>
      <w:r>
        <w:rPr/>
        <w:t>（</w:t>
      </w:r>
      <w:r>
        <w:rPr>
          <w:rFonts w:ascii="Times New Roman" w:hAnsi="Times New Roman" w:cs="Times New Roman" w:eastAsia="Times New Roman" w:hint="default"/>
        </w:rPr>
        <w:t>3</w:t>
      </w:r>
      <w:r>
        <w:rPr/>
        <w:t>）哆可梦</w:t>
      </w:r>
      <w:r>
        <w:rPr>
          <w:rFonts w:ascii="Times New Roman" w:hAnsi="Times New Roman" w:cs="Times New Roman" w:eastAsia="Times New Roman" w:hint="default"/>
        </w:rPr>
        <w:t>2010</w:t>
      </w:r>
      <w:r>
        <w:rPr/>
        <w:t>年通过四川省经济和信息化委员会的评审，符合《进一步鼓励软件产业和集成电路产业发展的若干政 策》和《软件企业认定管理办法》的有关规定，认定为软件企业，并于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日取得四川省经济和信息化委员会颁发 </w:t>
      </w:r>
      <w:r>
        <w:rPr>
          <w:rFonts w:ascii="Times New Roman" w:hAnsi="Times New Roman" w:cs="Times New Roman" w:eastAsia="Times New Roman" w:hint="default"/>
        </w:rPr>
        <w:t>“</w:t>
      </w:r>
      <w:r>
        <w:rPr/>
        <w:t>证书编号：川</w:t>
      </w:r>
      <w:r>
        <w:rPr>
          <w:rFonts w:ascii="Times New Roman" w:hAnsi="Times New Roman" w:cs="Times New Roman" w:eastAsia="Times New Roman" w:hint="default"/>
        </w:rPr>
        <w:t>R-2010-</w:t>
      </w:r>
      <w:r>
        <w:rPr>
          <w:rFonts w:ascii="Times New Roman" w:hAnsi="Times New Roman" w:cs="Times New Roman" w:eastAsia="Times New Roman" w:hint="default"/>
        </w:rPr>
        <w:t>0062”</w:t>
      </w:r>
      <w:r>
        <w:rPr/>
        <w:t>的软件企业认定证书。哆可梦于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日取得由四川省科学技术厅、四川省财政局、四川 省国家税务局和四川省地方税务局批准颁发的高新技术企业证书，证书编号：</w:t>
      </w:r>
      <w:r>
        <w:rPr>
          <w:rFonts w:ascii="Times New Roman" w:hAnsi="Times New Roman" w:cs="Times New Roman" w:eastAsia="Times New Roman" w:hint="default"/>
        </w:rPr>
        <w:t>GF201551000053</w:t>
      </w:r>
      <w:r>
        <w:rPr/>
        <w:t>，认定为高新技术企业。哆 可梦于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日再次取得由四川省科学技术厅、四川省财政局、四川省国家税务局和四川省地方税务局批准颁发的高 新技术企业证书，证书编号：</w:t>
      </w:r>
      <w:r>
        <w:rPr>
          <w:rFonts w:ascii="Times New Roman" w:hAnsi="Times New Roman" w:cs="Times New Roman" w:eastAsia="Times New Roman" w:hint="default"/>
        </w:rPr>
        <w:t>GR201851001239</w:t>
      </w:r>
      <w:r>
        <w:rPr/>
        <w:t>，认定为高新技术企业。根据《中华人民共和国企业所得税法》以及国家对 高新技术企业的相关税收规定，经有关部门认定为高新技术企业的，可连续三年减按</w:t>
      </w:r>
      <w:r>
        <w:rPr>
          <w:rFonts w:ascii="Times New Roman" w:hAnsi="Times New Roman" w:cs="Times New Roman" w:eastAsia="Times New Roman" w:hint="default"/>
        </w:rPr>
        <w:t>15</w:t>
      </w:r>
      <w:r>
        <w:rPr/>
        <w:t>％的税率征收所得税。哆可梦</w:t>
      </w:r>
      <w:r>
        <w:rPr>
          <w:rFonts w:ascii="Times New Roman" w:hAnsi="Times New Roman" w:cs="Times New Roman" w:eastAsia="Times New Roman" w:hint="default"/>
        </w:rPr>
        <w:t>2019 </w:t>
      </w:r>
      <w:r>
        <w:rPr/>
        <w:t>年度实际按</w:t>
      </w:r>
      <w:r>
        <w:rPr>
          <w:rFonts w:ascii="Times New Roman" w:hAnsi="Times New Roman" w:cs="Times New Roman" w:eastAsia="Times New Roman" w:hint="default"/>
        </w:rPr>
        <w:t>15%</w:t>
      </w:r>
      <w:r>
        <w:rPr/>
        <w:t>的税率缴纳企业所得税。</w:t>
      </w:r>
    </w:p>
    <w:p>
      <w:pPr>
        <w:pStyle w:val="BodyText"/>
        <w:spacing w:line="300" w:lineRule="auto" w:before="13"/>
        <w:ind w:right="1208" w:firstLine="360"/>
        <w:jc w:val="left"/>
      </w:pPr>
      <w:r>
        <w:rPr/>
        <w:t>（</w:t>
      </w:r>
      <w:r>
        <w:rPr>
          <w:rFonts w:ascii="Times New Roman" w:hAnsi="Times New Roman" w:cs="Times New Roman" w:eastAsia="Times New Roman" w:hint="default"/>
        </w:rPr>
        <w:t>4</w:t>
      </w:r>
      <w:r>
        <w:rPr/>
        <w:t>）旭梅网络成立时间为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月，主要经营范围为软件开发，通过上海市软件行业协会的评审，认定为软件企 业，并于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日取得上海市软件行业协会颁发</w:t>
      </w:r>
      <w:r>
        <w:rPr>
          <w:rFonts w:ascii="Times New Roman" w:hAnsi="Times New Roman" w:cs="Times New Roman" w:eastAsia="Times New Roman" w:hint="default"/>
        </w:rPr>
        <w:t>“</w:t>
      </w:r>
      <w:r>
        <w:rPr/>
        <w:t>证书编号：沪</w:t>
      </w:r>
      <w:r>
        <w:rPr>
          <w:rFonts w:ascii="Times New Roman" w:hAnsi="Times New Roman" w:cs="Times New Roman" w:eastAsia="Times New Roman" w:hint="default"/>
        </w:rPr>
        <w:t>RQ-2016-</w:t>
      </w:r>
      <w:r>
        <w:rPr>
          <w:rFonts w:ascii="Times New Roman" w:hAnsi="Times New Roman" w:cs="Times New Roman" w:eastAsia="Times New Roman" w:hint="default"/>
        </w:rPr>
        <w:t>0017”</w:t>
      </w:r>
      <w:r>
        <w:rPr/>
        <w:t>的软件企业认定证书。根据财税</w:t>
      </w:r>
      <w:r>
        <w:rPr>
          <w:rFonts w:ascii="Times New Roman" w:hAnsi="Times New Roman" w:cs="Times New Roman" w:eastAsia="Times New Roman" w:hint="default"/>
        </w:rPr>
        <w:t>[2012] </w:t>
      </w:r>
      <w:r>
        <w:rPr/>
        <w:t>第</w:t>
      </w:r>
      <w:r>
        <w:rPr>
          <w:rFonts w:ascii="Times New Roman" w:hAnsi="Times New Roman" w:cs="Times New Roman" w:eastAsia="Times New Roman" w:hint="default"/>
        </w:rPr>
        <w:t>27</w:t>
      </w:r>
      <w:r>
        <w:rPr/>
        <w:t>号文件第三条：我国境内新办的集成电路设计企业和符合条件的软件企业，经认定后，在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 度起计算优惠期，第一年至第二年免征企业所得税，第三年至第五年按照</w:t>
      </w:r>
      <w:r>
        <w:rPr>
          <w:rFonts w:ascii="Times New Roman" w:hAnsi="Times New Roman" w:cs="Times New Roman" w:eastAsia="Times New Roman" w:hint="default"/>
        </w:rPr>
        <w:t>25%</w:t>
      </w:r>
      <w:r>
        <w:rPr/>
        <w:t>的法定税率减半征收企业所得税，并享受至 期满为止。旭梅网络</w:t>
      </w:r>
      <w:r>
        <w:rPr>
          <w:rFonts w:ascii="Times New Roman" w:hAnsi="Times New Roman" w:cs="Times New Roman" w:eastAsia="Times New Roman" w:hint="default"/>
        </w:rPr>
        <w:t>2015</w:t>
      </w:r>
      <w:r>
        <w:rPr/>
        <w:t>年处于亏损期，无需缴纳所得税；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年度免征企业所得税。</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年度减半</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按</w:t>
      </w:r>
      <w:r>
        <w:rPr>
          <w:rFonts w:ascii="Times New Roman" w:hAnsi="Times New Roman" w:cs="Times New Roman" w:eastAsia="Times New Roman" w:hint="default"/>
        </w:rPr>
        <w:t>12.5%</w:t>
      </w:r>
      <w:r>
        <w:rPr/>
        <w:t>征收企业所得税。</w:t>
      </w:r>
    </w:p>
    <w:p>
      <w:pPr>
        <w:pStyle w:val="BodyText"/>
        <w:spacing w:line="302" w:lineRule="auto" w:before="63"/>
        <w:ind w:right="1124" w:firstLine="360"/>
        <w:jc w:val="left"/>
      </w:pPr>
      <w:r>
        <w:rPr/>
        <w:t>（</w:t>
      </w:r>
      <w:r>
        <w:rPr>
          <w:rFonts w:ascii="Times New Roman" w:hAnsi="Times New Roman" w:cs="Times New Roman" w:eastAsia="Times New Roman" w:hint="default"/>
        </w:rPr>
        <w:t>5</w:t>
      </w:r>
      <w:r>
        <w:rPr/>
        <w:t>）吉乾科技成立时间为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月，主要经营范围为软件开发，通过四川省经济和信息化委员会的评审，符合《进 一步鼓励软件产业和集成电路产业发展的若干政策》和《软件企业认定管理办法》的有关规定，认定为软件企业。根据财 税</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27</w:t>
      </w:r>
      <w:r>
        <w:rPr/>
        <w:t>号第三条：我国境内新办的集成电路设计企业和符合条件的软件企业，经认定后，在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 利年度起计算优惠期，第一年至第二年免征企业所得税，第三年至第五年按照</w:t>
      </w:r>
      <w:r>
        <w:rPr>
          <w:rFonts w:ascii="Times New Roman" w:hAnsi="Times New Roman" w:cs="Times New Roman" w:eastAsia="Times New Roman" w:hint="default"/>
        </w:rPr>
        <w:t>25%</w:t>
      </w:r>
      <w:r>
        <w:rPr/>
        <w:t>的法定税率减半征收企业所得税，并享 受至期满为止。吉乾科技于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日取得由四川省科学技术厅、四川省财政局、四川省国家税务局和四川省地方税务 局批准颁发的高新技术企业证书，证书编号：</w:t>
      </w:r>
      <w:r>
        <w:rPr>
          <w:rFonts w:ascii="Times New Roman" w:hAnsi="Times New Roman" w:cs="Times New Roman" w:eastAsia="Times New Roman" w:hint="default"/>
        </w:rPr>
        <w:t>GF201651000123</w:t>
      </w:r>
      <w:r>
        <w:rPr/>
        <w:t>，认定为高新技术企业。根据《中华人民共和国企业所得税 法》以及国家对高新技术企业的相关税收规定，经有关部门认定为高新技术企业的，可连续三年减按</w:t>
      </w:r>
      <w:r>
        <w:rPr>
          <w:rFonts w:ascii="Times New Roman" w:hAnsi="Times New Roman" w:cs="Times New Roman" w:eastAsia="Times New Roman" w:hint="default"/>
        </w:rPr>
        <w:t>15</w:t>
      </w:r>
      <w:r>
        <w:rPr/>
        <w:t>％的税率征收所得 税。吉乾科技</w:t>
      </w:r>
      <w:r>
        <w:rPr>
          <w:rFonts w:ascii="Times New Roman" w:hAnsi="Times New Roman" w:cs="Times New Roman" w:eastAsia="Times New Roman" w:hint="default"/>
        </w:rPr>
        <w:t>2015</w:t>
      </w:r>
      <w:r>
        <w:rPr/>
        <w:t>年亏损，</w:t>
      </w:r>
      <w:r>
        <w:rPr>
          <w:rFonts w:ascii="Times New Roman" w:hAnsi="Times New Roman" w:cs="Times New Roman" w:eastAsia="Times New Roman" w:hint="default"/>
        </w:rPr>
        <w:t>2016</w:t>
      </w:r>
      <w:r>
        <w:rPr/>
        <w:t>年开始盈利，即从</w:t>
      </w:r>
      <w:r>
        <w:rPr>
          <w:rFonts w:ascii="Times New Roman" w:hAnsi="Times New Roman" w:cs="Times New Roman" w:eastAsia="Times New Roman" w:hint="default"/>
        </w:rPr>
        <w:t>2016</w:t>
      </w:r>
      <w:r>
        <w:rPr/>
        <w:t>年度和</w:t>
      </w:r>
      <w:r>
        <w:rPr>
          <w:rFonts w:ascii="Times New Roman" w:hAnsi="Times New Roman" w:cs="Times New Roman" w:eastAsia="Times New Roman" w:hint="default"/>
        </w:rPr>
        <w:t>2017</w:t>
      </w:r>
      <w:r>
        <w:rPr/>
        <w:t>年度享受软件企业免征企业所得税的优惠。</w:t>
      </w:r>
      <w:r>
        <w:rPr>
          <w:rFonts w:ascii="Times New Roman" w:hAnsi="Times New Roman" w:cs="Times New Roman" w:eastAsia="Times New Roman" w:hint="default"/>
        </w:rPr>
        <w:t>2018</w:t>
      </w:r>
      <w:r>
        <w:rPr/>
        <w:t>年度、 </w:t>
      </w:r>
      <w:r>
        <w:rPr>
          <w:rFonts w:ascii="Times New Roman" w:hAnsi="Times New Roman" w:cs="Times New Roman" w:eastAsia="Times New Roman" w:hint="default"/>
        </w:rPr>
        <w:t>2019</w:t>
      </w:r>
      <w:r>
        <w:rPr/>
        <w:t>年度减半按</w:t>
      </w:r>
      <w:r>
        <w:rPr>
          <w:rFonts w:ascii="Times New Roman" w:hAnsi="Times New Roman" w:cs="Times New Roman" w:eastAsia="Times New Roman" w:hint="default"/>
        </w:rPr>
        <w:t>12.5%</w:t>
      </w:r>
      <w:r>
        <w:rPr/>
        <w:t>征收企业所得税。</w:t>
      </w:r>
    </w:p>
    <w:p>
      <w:pPr>
        <w:pStyle w:val="BodyText"/>
        <w:spacing w:line="300" w:lineRule="auto" w:before="11"/>
        <w:ind w:right="1214" w:firstLine="360"/>
        <w:jc w:val="left"/>
      </w:pPr>
      <w:r>
        <w:rPr/>
        <w:t>（</w:t>
      </w:r>
      <w:r>
        <w:rPr>
          <w:rFonts w:ascii="Times New Roman" w:hAnsi="Times New Roman" w:cs="Times New Roman" w:eastAsia="Times New Roman" w:hint="default"/>
        </w:rPr>
        <w:t>6</w:t>
      </w:r>
      <w:r>
        <w:rPr/>
        <w:t>）华向文化成立时间为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月，根据财税</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27</w:t>
      </w:r>
      <w:r>
        <w:rPr/>
        <w:t>号第三条，</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68</w:t>
      </w:r>
      <w:r>
        <w:rPr/>
        <w:t>号文件：我国境内新办的集成电路 设计企业和符合条件的软件企业，经认定后，在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日前自获利年度起计算优惠期，第一年至第二年免征企业所 得税，第三年至第五年按照</w:t>
      </w:r>
      <w:r>
        <w:rPr>
          <w:rFonts w:ascii="Times New Roman" w:hAnsi="Times New Roman" w:cs="Times New Roman" w:eastAsia="Times New Roman" w:hint="default"/>
        </w:rPr>
        <w:t>25%</w:t>
      </w:r>
      <w:r>
        <w:rPr/>
        <w:t>的法定税率减半征收企业所得税，并享受至期满为止。华向文化</w:t>
      </w:r>
      <w:r>
        <w:rPr>
          <w:rFonts w:ascii="Times New Roman" w:hAnsi="Times New Roman" w:cs="Times New Roman" w:eastAsia="Times New Roman" w:hint="default"/>
        </w:rPr>
        <w:t>2018</w:t>
      </w:r>
      <w:r>
        <w:rPr/>
        <w:t>年开始盈利，</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2019</w:t>
      </w:r>
      <w:r>
        <w:rPr/>
        <w:t>年享受软件企业免征企业所得税的优惠；</w:t>
      </w:r>
    </w:p>
    <w:p>
      <w:pPr>
        <w:pStyle w:val="BodyText"/>
        <w:spacing w:line="300" w:lineRule="auto" w:before="13"/>
        <w:ind w:right="1214" w:firstLine="360"/>
        <w:jc w:val="left"/>
      </w:pPr>
      <w:r>
        <w:rPr/>
        <w:t>（</w:t>
      </w:r>
      <w:r>
        <w:rPr>
          <w:rFonts w:ascii="Times New Roman" w:hAnsi="Times New Roman" w:cs="Times New Roman" w:eastAsia="Times New Roman" w:hint="default"/>
        </w:rPr>
        <w:t>7</w:t>
      </w:r>
      <w:r>
        <w:rPr/>
        <w:t>）游湛网络成立时间为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月，根据财税</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27</w:t>
      </w:r>
      <w:r>
        <w:rPr/>
        <w:t>号第三条，</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68</w:t>
      </w:r>
      <w:r>
        <w:rPr/>
        <w:t>号文件：我国境内新办的集成电路 设计企业和符合条件的软件企业，经认定后，在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日前自获利年度起计算优惠期，第一年至第二年免征企业所 得税，第三年至第五年按照</w:t>
      </w:r>
      <w:r>
        <w:rPr>
          <w:rFonts w:ascii="Times New Roman" w:hAnsi="Times New Roman" w:cs="Times New Roman" w:eastAsia="Times New Roman" w:hint="default"/>
        </w:rPr>
        <w:t>25%</w:t>
      </w:r>
      <w:r>
        <w:rPr/>
        <w:t>的法定税率减半征收企业所得税，并享受至期满为止。游湛网络</w:t>
      </w:r>
      <w:r>
        <w:rPr>
          <w:rFonts w:ascii="Times New Roman" w:hAnsi="Times New Roman" w:cs="Times New Roman" w:eastAsia="Times New Roman" w:hint="default"/>
        </w:rPr>
        <w:t>2018</w:t>
      </w:r>
      <w:r>
        <w:rPr/>
        <w:t>年开始盈利，</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2019</w:t>
      </w:r>
      <w:r>
        <w:rPr/>
        <w:t>年享受软件企业免征企业所得税的优惠；</w:t>
      </w:r>
    </w:p>
    <w:p>
      <w:pPr>
        <w:pStyle w:val="BodyText"/>
        <w:spacing w:line="300" w:lineRule="auto" w:before="13"/>
        <w:ind w:right="1124" w:firstLine="360"/>
        <w:jc w:val="left"/>
      </w:pPr>
      <w:r>
        <w:rPr/>
        <w:t>（</w:t>
      </w:r>
      <w:r>
        <w:rPr>
          <w:rFonts w:ascii="Times New Roman" w:hAnsi="Times New Roman" w:cs="Times New Roman" w:eastAsia="Times New Roman" w:hint="default"/>
        </w:rPr>
        <w:t>8</w:t>
      </w:r>
      <w:r>
        <w:rPr/>
        <w:t>）共创网络、一零电力、零玖电力、铁匣电力、高奇网络、缘中缘网络、致合世纪、多趣网络符合小型微利企业标 准，企业所得减按</w:t>
      </w:r>
      <w:r>
        <w:rPr>
          <w:rFonts w:ascii="Times New Roman" w:hAnsi="Times New Roman" w:cs="Times New Roman" w:eastAsia="Times New Roman" w:hint="default"/>
        </w:rPr>
        <w:t>25%</w:t>
      </w:r>
      <w:r>
        <w:rPr/>
        <w:t>或</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679"/>
        <w:gridCol w:w="2693"/>
        <w:gridCol w:w="2199"/>
      </w:tblGrid>
      <w:tr>
        <w:trPr>
          <w:trHeight w:val="396"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27,384.03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3,653.31</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200,623,398.47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731,823,083.18</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49,944,997.94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17,804,105.25</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250,595,780.44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749,630,841.74</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15,443,210.97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1,863,872.02</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因抵押、质押或冻结等对使用有限制的款项总额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35,805,047.15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16,327,184.41</w:t>
            </w:r>
          </w:p>
        </w:tc>
      </w:tr>
    </w:tbl>
    <w:p>
      <w:pPr>
        <w:pStyle w:val="BodyText"/>
        <w:spacing w:line="360" w:lineRule="auto" w:before="49"/>
        <w:ind w:right="6434"/>
        <w:jc w:val="left"/>
      </w:pPr>
      <w:r>
        <w:rPr/>
        <w:t>其他说明 因抵押、质押或冻结等对使用有限制的款项明细如下：</w:t>
      </w:r>
    </w:p>
    <w:tbl>
      <w:tblPr>
        <w:tblW w:w="0" w:type="auto"/>
        <w:jc w:val="left"/>
        <w:tblInd w:w="164" w:type="dxa"/>
        <w:tblLayout w:type="fixed"/>
        <w:tblCellMar>
          <w:top w:w="0" w:type="dxa"/>
          <w:left w:w="0" w:type="dxa"/>
          <w:bottom w:w="0" w:type="dxa"/>
          <w:right w:w="0" w:type="dxa"/>
        </w:tblCellMar>
        <w:tblLook w:val="01E0"/>
      </w:tblPr>
      <w:tblGrid>
        <w:gridCol w:w="4679"/>
        <w:gridCol w:w="2693"/>
        <w:gridCol w:w="2269"/>
      </w:tblGrid>
      <w:tr>
        <w:trPr>
          <w:trHeight w:val="348" w:hRule="exact"/>
        </w:trPr>
        <w:tc>
          <w:tcPr>
            <w:tcW w:w="467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2151"/>
              <w:jc w:val="righ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8"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pacing w:val="-18"/>
                <w:sz w:val="18"/>
                <w:szCs w:val="18"/>
              </w:rPr>
              <w:t> </w:t>
            </w:r>
            <w:r>
              <w:rPr>
                <w:rFonts w:ascii="宋体" w:hAnsi="宋体" w:cs="宋体" w:eastAsia="宋体" w:hint="default"/>
                <w:sz w:val="18"/>
                <w:szCs w:val="18"/>
              </w:rPr>
              <w:t>（元）</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31,147,790.95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12,543,306.80</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4,657,256.20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3,783,877.61</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2151"/>
              <w:jc w:val="righ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35,805,047.15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16,327,184.41</w:t>
            </w:r>
          </w:p>
        </w:tc>
      </w:tr>
    </w:tbl>
    <w:p>
      <w:pPr>
        <w:pStyle w:val="BodyText"/>
        <w:spacing w:line="300" w:lineRule="auto" w:before="25"/>
        <w:ind w:right="1169"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4,657,256.20</w:t>
      </w:r>
      <w:r>
        <w:rPr/>
        <w:t>元为本公司向银行申请开具无条件、不可撤销的担保函所存 入的保证金存款。</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395"/>
        <w:gridCol w:w="2693"/>
        <w:gridCol w:w="2482"/>
      </w:tblGrid>
      <w:tr>
        <w:trPr>
          <w:trHeight w:val="39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259,381,030.19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148,056,453.13</w:t>
            </w:r>
          </w:p>
        </w:tc>
      </w:tr>
      <w:tr>
        <w:trPr>
          <w:trHeight w:val="39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247,020,013.70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100,945,318.21</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12,361,016.49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47,111,134.92</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指定以公允价值计量且其变动计入当期损益的金融资产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259,381,030.19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148,056,453.13</w:t>
            </w:r>
          </w:p>
        </w:tc>
      </w:tr>
    </w:tbl>
    <w:p>
      <w:pPr>
        <w:pStyle w:val="BodyText"/>
        <w:spacing w:line="338" w:lineRule="auto" w:before="49"/>
        <w:ind w:right="2462"/>
        <w:jc w:val="left"/>
      </w:pPr>
      <w:r>
        <w:rPr/>
        <w:t>其他说明：期初余额与上年年末余额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w:t>
      </w:r>
      <w:r>
        <w:rPr/>
        <w:t>的差异详见本财务报表附注五、</w:t>
      </w:r>
      <w:r>
        <w:rPr>
          <w:rFonts w:ascii="Times New Roman" w:hAnsi="Times New Roman" w:cs="Times New Roman" w:eastAsia="Times New Roman" w:hint="default"/>
        </w:rPr>
        <w:t>33</w:t>
      </w:r>
      <w:r>
        <w:rPr/>
        <w:t>、</w:t>
      </w:r>
      <w:r>
        <w:rPr>
          <w:rFonts w:ascii="Times New Roman" w:hAnsi="Times New Roman" w:cs="Times New Roman" w:eastAsia="Times New Roman" w:hint="default"/>
        </w:rPr>
        <w:t>(4)</w:t>
      </w:r>
      <w:r>
        <w:rPr/>
        <w:t>之说明。 债务工具投资明细</w:t>
      </w:r>
    </w:p>
    <w:tbl>
      <w:tblPr>
        <w:tblW w:w="0" w:type="auto"/>
        <w:jc w:val="left"/>
        <w:tblInd w:w="164" w:type="dxa"/>
        <w:tblLayout w:type="fixed"/>
        <w:tblCellMar>
          <w:top w:w="0" w:type="dxa"/>
          <w:left w:w="0" w:type="dxa"/>
          <w:bottom w:w="0" w:type="dxa"/>
          <w:right w:w="0" w:type="dxa"/>
        </w:tblCellMar>
        <w:tblLook w:val="01E0"/>
      </w:tblPr>
      <w:tblGrid>
        <w:gridCol w:w="5742"/>
        <w:gridCol w:w="1771"/>
        <w:gridCol w:w="1985"/>
      </w:tblGrid>
      <w:tr>
        <w:trPr>
          <w:trHeight w:val="342" w:hRule="exact"/>
        </w:trPr>
        <w:tc>
          <w:tcPr>
            <w:tcW w:w="57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247"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198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358" w:right="0"/>
              <w:jc w:val="left"/>
              <w:rPr>
                <w:rFonts w:ascii="宋体" w:hAnsi="宋体" w:cs="宋体" w:eastAsia="宋体" w:hint="default"/>
                <w:sz w:val="18"/>
                <w:szCs w:val="18"/>
              </w:rPr>
            </w:pPr>
            <w:r>
              <w:rPr>
                <w:rFonts w:ascii="宋体" w:hAnsi="宋体" w:cs="宋体" w:eastAsia="宋体" w:hint="default"/>
                <w:sz w:val="18"/>
                <w:szCs w:val="18"/>
              </w:rPr>
              <w:t>期初余额（元）</w:t>
            </w:r>
          </w:p>
        </w:tc>
      </w:tr>
      <w:tr>
        <w:trPr>
          <w:trHeight w:val="347" w:hRule="exact"/>
        </w:trPr>
        <w:tc>
          <w:tcPr>
            <w:tcW w:w="57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中航信托天启</w:t>
            </w:r>
            <w:r>
              <w:rPr>
                <w:rFonts w:ascii="Times New Roman" w:hAnsi="Times New Roman" w:cs="Times New Roman" w:eastAsia="Times New Roman" w:hint="default"/>
                <w:sz w:val="18"/>
                <w:szCs w:val="18"/>
              </w:rPr>
              <w:t>556</w:t>
            </w:r>
            <w:r>
              <w:rPr>
                <w:rFonts w:ascii="宋体" w:hAnsi="宋体" w:cs="宋体" w:eastAsia="宋体" w:hint="default"/>
                <w:sz w:val="18"/>
                <w:szCs w:val="18"/>
              </w:rPr>
              <w:t>号天诚聚富理财</w:t>
            </w:r>
          </w:p>
        </w:tc>
        <w:tc>
          <w:tcPr>
            <w:tcW w:w="17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246,500,000.00</w:t>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347" w:hRule="exact"/>
        </w:trPr>
        <w:tc>
          <w:tcPr>
            <w:tcW w:w="57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平安银行天天利</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7" w:hRule="exact"/>
        </w:trPr>
        <w:tc>
          <w:tcPr>
            <w:tcW w:w="57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兴业银行金雪球理财产品</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48" w:hRule="exact"/>
        </w:trPr>
        <w:tc>
          <w:tcPr>
            <w:tcW w:w="57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520,013.70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1,445,318.21</w:t>
            </w:r>
          </w:p>
        </w:tc>
      </w:tr>
      <w:tr>
        <w:trPr>
          <w:trHeight w:val="342" w:hRule="exact"/>
        </w:trPr>
        <w:tc>
          <w:tcPr>
            <w:tcW w:w="57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247,020,013.70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100,945,318.21</w:t>
            </w:r>
          </w:p>
        </w:tc>
      </w:tr>
    </w:tbl>
    <w:p>
      <w:pPr>
        <w:spacing w:line="240" w:lineRule="auto" w:before="7"/>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22,544,788.62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9,060,408.46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14,152,949.53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14,892,653.06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36,697,738.15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19"/>
        <w:gridCol w:w="1133"/>
        <w:gridCol w:w="711"/>
        <w:gridCol w:w="425"/>
        <w:gridCol w:w="674"/>
        <w:gridCol w:w="1169"/>
        <w:gridCol w:w="1133"/>
        <w:gridCol w:w="850"/>
        <w:gridCol w:w="425"/>
        <w:gridCol w:w="427"/>
        <w:gridCol w:w="1202"/>
      </w:tblGrid>
      <w:tr>
        <w:trPr>
          <w:trHeight w:val="398"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419" w:type="dxa"/>
            <w:vMerge/>
            <w:tcBorders>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2" w:right="6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按单项计提坏账 准备的应收票据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36,697,738.15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36,697,738.15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23,953,061.52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23,953,061.52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36,697,738.15</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36,697,738.15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23,953,061.52</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23,953,061.52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5"/>
          <w:szCs w:val="25"/>
        </w:rPr>
      </w:pPr>
    </w:p>
    <w:p>
      <w:pPr>
        <w:pStyle w:val="BodyText"/>
        <w:spacing w:line="360" w:lineRule="auto"/>
        <w:ind w:left="140" w:right="-20"/>
        <w:jc w:val="left"/>
      </w:pPr>
      <w:r>
        <w:rPr/>
        <w:pict>
          <v:group style="position:absolute;margin-left:70.559998pt;margin-top:-1.508291pt;width:700.9pt;height:.1pt;mso-position-horizontal-relative:page;mso-position-vertical-relative:paragraph;z-index:1528" coordorigin="1411,-30" coordsize="14018,2">
            <v:shape style="position:absolute;left:1411;top:-30;width:14018;height:2" coordorigin="1411,-30" coordsize="14018,0" path="m1411,-30l15429,-30e" filled="false" stroked="true" strokeweight=".72pt" strokecolor="#000000">
              <v:path arrowok="t"/>
            </v:shape>
            <w10:wrap type="none"/>
          </v:group>
        </w:pict>
      </w:r>
      <w:r>
        <w:rPr/>
        <w:t>确定该组合依据的说明：无。 如是按照预期信用损失一般模型计提应收票据坏账准备，请参照其他应收款的披露方式披露坏账准备的相关信息：</w:t>
      </w:r>
    </w:p>
    <w:p>
      <w:pPr>
        <w:pStyle w:val="BodyText"/>
        <w:spacing w:line="240" w:lineRule="auto" w:before="2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left="140" w:right="-2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pStyle w:val="BodyText"/>
        <w:spacing w:line="240" w:lineRule="auto" w:before="15"/>
        <w:ind w:left="140" w:right="0"/>
        <w:jc w:val="left"/>
      </w:pPr>
      <w:r>
        <w:rPr/>
        <w:br w:type="column"/>
      </w: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63"/>
          <w:footerReference w:type="default" r:id="rId64"/>
          <w:pgSz w:w="16840" w:h="11910" w:orient="landscape"/>
          <w:pgMar w:header="0" w:footer="0" w:top="800" w:bottom="0" w:left="1300" w:right="1220"/>
          <w:cols w:num="2" w:equalWidth="0">
            <w:col w:w="9141" w:space="403"/>
            <w:col w:w="4776"/>
          </w:cols>
        </w:sectPr>
      </w:pPr>
    </w:p>
    <w:p>
      <w:pPr>
        <w:spacing w:line="240" w:lineRule="auto" w:before="4"/>
        <w:rPr>
          <w:rFonts w:ascii="宋体" w:hAnsi="宋体" w:cs="宋体" w:eastAsia="宋体" w:hint="default"/>
          <w:sz w:val="22"/>
          <w:szCs w:val="22"/>
        </w:rPr>
      </w:pPr>
    </w:p>
    <w:p>
      <w:pPr>
        <w:pStyle w:val="BodyText"/>
        <w:spacing w:line="240" w:lineRule="auto" w:before="44"/>
        <w:ind w:left="0" w:right="21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3828"/>
        <w:gridCol w:w="5245"/>
        <w:gridCol w:w="4961"/>
      </w:tblGrid>
      <w:tr>
        <w:trPr>
          <w:trHeight w:val="40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9,747,907.13</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1,669,591.20</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11,417,498.33</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335" w:lineRule="exact"/>
        <w:ind w:left="140"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40"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21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645"/>
        <w:gridCol w:w="1181"/>
        <w:gridCol w:w="1052"/>
        <w:gridCol w:w="1092"/>
        <w:gridCol w:w="1013"/>
        <w:gridCol w:w="1181"/>
        <w:gridCol w:w="1176"/>
        <w:gridCol w:w="1104"/>
        <w:gridCol w:w="1105"/>
        <w:gridCol w:w="1094"/>
        <w:gridCol w:w="1296"/>
      </w:tblGrid>
      <w:tr>
        <w:trPr>
          <w:trHeight w:val="402" w:hRule="exact"/>
        </w:trPr>
        <w:tc>
          <w:tcPr>
            <w:tcW w:w="2645" w:type="dxa"/>
            <w:tcBorders>
              <w:top w:val="single" w:sz="4" w:space="0" w:color="000000"/>
              <w:left w:val="single" w:sz="13" w:space="0" w:color="FFFFFF"/>
              <w:bottom w:val="nil" w:sz="6" w:space="0" w:color="auto"/>
              <w:right w:val="single" w:sz="4" w:space="0" w:color="000000"/>
            </w:tcBorders>
            <w:shd w:val="clear" w:color="auto" w:fill="D2D2D2"/>
          </w:tcPr>
          <w:p>
            <w:pPr/>
          </w:p>
        </w:tc>
        <w:tc>
          <w:tcPr>
            <w:tcW w:w="55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7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645"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55"/>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22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2645" w:type="dxa"/>
            <w:tcBorders>
              <w:top w:val="nil" w:sz="6" w:space="0" w:color="auto"/>
              <w:left w:val="single" w:sz="13" w:space="0" w:color="FFFFFF"/>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96"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2645"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45"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363,216,693.41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41,783,966.05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321,432,727.36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411,320,188.40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100.00%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31,073,177.40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380,247,011.00</w:t>
            </w:r>
          </w:p>
        </w:tc>
      </w:tr>
      <w:tr>
        <w:trPr>
          <w:trHeight w:val="402" w:hRule="exact"/>
        </w:trPr>
        <w:tc>
          <w:tcPr>
            <w:tcW w:w="2645"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64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363,216,693.41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41,783,966.05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321,432,727.36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411,320,188.40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100.00%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31,073,177.40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380,247,011.00</w:t>
            </w:r>
          </w:p>
        </w:tc>
      </w:tr>
      <w:tr>
        <w:trPr>
          <w:trHeight w:val="403" w:hRule="exact"/>
        </w:trPr>
        <w:tc>
          <w:tcPr>
            <w:tcW w:w="2645"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363,216,693.41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41,783,966.05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321,432,727.36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411,320,188.40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4" w:right="0"/>
              <w:jc w:val="left"/>
              <w:rPr>
                <w:rFonts w:ascii="Times New Roman" w:hAnsi="Times New Roman" w:cs="Times New Roman" w:eastAsia="Times New Roman" w:hint="default"/>
                <w:sz w:val="18"/>
                <w:szCs w:val="18"/>
              </w:rPr>
            </w:pPr>
            <w:r>
              <w:rPr>
                <w:rFonts w:ascii="Times New Roman"/>
                <w:sz w:val="18"/>
              </w:rPr>
              <w:t>100.00%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31,073,177.40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380,247,011.00</w:t>
            </w:r>
          </w:p>
        </w:tc>
      </w:tr>
    </w:tbl>
    <w:p>
      <w:pPr>
        <w:pStyle w:val="BodyText"/>
        <w:spacing w:line="240" w:lineRule="auto" w:before="49"/>
        <w:ind w:left="140"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41,783,966.05</w:t>
      </w:r>
    </w:p>
    <w:p>
      <w:pPr>
        <w:spacing w:line="240" w:lineRule="auto" w:before="5"/>
        <w:rPr>
          <w:rFonts w:ascii="Times New Roman" w:hAnsi="Times New Roman" w:cs="Times New Roman" w:eastAsia="Times New Roman" w:hint="default"/>
          <w:sz w:val="16"/>
          <w:szCs w:val="16"/>
        </w:rPr>
      </w:pPr>
    </w:p>
    <w:p>
      <w:pPr>
        <w:pStyle w:val="BodyText"/>
        <w:spacing w:line="240" w:lineRule="auto" w:before="76"/>
        <w:ind w:left="0" w:right="213"/>
        <w:jc w:val="right"/>
        <w:rPr>
          <w:rFonts w:ascii="Times New Roman" w:hAnsi="Times New Roman" w:cs="Times New Roman" w:eastAsia="Times New Roman" w:hint="default"/>
        </w:rPr>
      </w:pPr>
      <w:r>
        <w:rPr>
          <w:rFonts w:ascii="Times New Roman"/>
        </w:rPr>
        <w:t>139</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7"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2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115,156,731.10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3,303,574.54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218,529,893.48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23,689,895.88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15,488,085.59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3,437,013.11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4,245,936.38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1,889,441.69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1,070,641.84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738,635.81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8,725,405.02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8,725,405.02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363,216,693.41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41,783,966.05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5"/>
          <w:pgSz w:w="11910" w:h="16840"/>
          <w:pgMar w:footer="980" w:header="0" w:top="1100" w:bottom="1160" w:left="980" w:right="0"/>
        </w:sectPr>
      </w:pPr>
    </w:p>
    <w:p>
      <w:pPr>
        <w:pStyle w:val="BodyText"/>
        <w:spacing w:line="360" w:lineRule="auto" w:before="49"/>
        <w:ind w:right="-20"/>
        <w:jc w:val="left"/>
      </w:pPr>
      <w:r>
        <w:rPr/>
        <w:t>确定该组合依据的说明： 组合计提项目：游戏事业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133" w:space="6785"/>
            <w:col w:w="2012"/>
          </w:cols>
        </w:sectPr>
      </w:pPr>
    </w:p>
    <w:p>
      <w:pPr>
        <w:spacing w:line="240" w:lineRule="auto" w:before="3"/>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1990"/>
        <w:gridCol w:w="3176"/>
        <w:gridCol w:w="2499"/>
        <w:gridCol w:w="1995"/>
      </w:tblGrid>
      <w:tr>
        <w:trPr>
          <w:trHeight w:val="346"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6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等线" w:hAnsi="等线" w:cs="等线" w:eastAsia="等线" w:hint="default"/>
                <w:sz w:val="18"/>
                <w:szCs w:val="18"/>
              </w:rPr>
            </w:pPr>
            <w:r>
              <w:rPr>
                <w:rFonts w:ascii="等线"/>
                <w:sz w:val="18"/>
              </w:rPr>
              <w:t>-</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32,577,324.16</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6,751,819.30</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337,590.99</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39,329,143.46</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337,590.99</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0.86%</w:t>
            </w:r>
          </w:p>
        </w:tc>
      </w:tr>
      <w:tr>
        <w:trPr>
          <w:trHeight w:val="425"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190,313,203.97</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19,031,320.44</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w:t>
            </w:r>
          </w:p>
        </w:tc>
      </w:tr>
      <w:tr>
        <w:trPr>
          <w:trHeight w:val="428"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3,279,596.69</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655,919.34</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20.00%</w:t>
            </w:r>
          </w:p>
        </w:tc>
      </w:tr>
      <w:tr>
        <w:trPr>
          <w:trHeight w:val="430"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232,921,944.12</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20,024,830.77</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8.60%</w:t>
            </w:r>
          </w:p>
        </w:tc>
      </w:tr>
    </w:tbl>
    <w:p>
      <w:pPr>
        <w:pStyle w:val="BodyText"/>
        <w:spacing w:line="240" w:lineRule="auto" w:before="8"/>
        <w:ind w:right="0"/>
        <w:jc w:val="left"/>
      </w:pPr>
      <w:r>
        <w:rPr/>
        <w:t>组合计提项目：电气事业及其他</w:t>
      </w:r>
    </w:p>
    <w:p>
      <w:pPr>
        <w:pStyle w:val="BodyText"/>
        <w:spacing w:line="240" w:lineRule="auto" w:before="76"/>
        <w:ind w:left="0" w:right="1133"/>
        <w:jc w:val="right"/>
      </w:pPr>
      <w:r>
        <w:rPr/>
        <w:t>单位：元</w:t>
      </w:r>
    </w:p>
    <w:p>
      <w:pPr>
        <w:spacing w:line="240" w:lineRule="auto" w:before="3"/>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1992"/>
        <w:gridCol w:w="3111"/>
        <w:gridCol w:w="2564"/>
        <w:gridCol w:w="1992"/>
      </w:tblGrid>
      <w:tr>
        <w:trPr>
          <w:trHeight w:val="34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6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等线" w:hAnsi="等线" w:cs="等线" w:eastAsia="等线" w:hint="default"/>
                <w:sz w:val="18"/>
                <w:szCs w:val="18"/>
              </w:rPr>
            </w:pPr>
            <w:r>
              <w:rPr>
                <w:rFonts w:ascii="等线"/>
                <w:sz w:val="18"/>
              </w:rPr>
              <w:t>-</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75,827,587.64</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2,965,983.55</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3.91%</w:t>
            </w:r>
          </w:p>
        </w:tc>
      </w:tr>
      <w:tr>
        <w:trPr>
          <w:trHeight w:val="42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28,216,689.51</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4,658,575.44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16.51%</w:t>
            </w:r>
          </w:p>
        </w:tc>
      </w:tr>
      <w:tr>
        <w:trPr>
          <w:trHeight w:val="42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12,208,488.90</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2,781,093.77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22.78%</w:t>
            </w:r>
          </w:p>
        </w:tc>
      </w:tr>
      <w:tr>
        <w:trPr>
          <w:trHeight w:val="42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4,245,936.38</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1,889,441.69</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44.50%</w:t>
            </w:r>
          </w:p>
        </w:tc>
      </w:tr>
      <w:tr>
        <w:trPr>
          <w:trHeight w:val="42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1,070,641.84</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738,635.81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68.99%</w:t>
            </w:r>
          </w:p>
        </w:tc>
      </w:tr>
      <w:tr>
        <w:trPr>
          <w:trHeight w:val="42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8,725,405.02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8,725,405.02</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130,294,749.29</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21,759,135.28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16.70%</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4"/>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after="0" w:line="3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115,156,731.10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32,577,324.16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82,579,406.94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218,529,893.48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15,488,085.59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14,041,983.24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4,245,936.38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1,070,641.84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8,725,405.02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363,216,693.41</w:t>
            </w:r>
          </w:p>
        </w:tc>
      </w:tr>
    </w:tbl>
    <w:p>
      <w:pPr>
        <w:pStyle w:val="BodyText"/>
        <w:spacing w:line="240" w:lineRule="auto" w:before="49"/>
        <w:ind w:right="0"/>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60"/>
        <w:gridCol w:w="1177"/>
        <w:gridCol w:w="1366"/>
        <w:gridCol w:w="1368"/>
        <w:gridCol w:w="1368"/>
        <w:gridCol w:w="1366"/>
        <w:gridCol w:w="13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按账龄组合计提坏 账准备</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31,073,177.40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22,519,301.42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11,423,050.63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385,462.14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41,783,966.05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31,073,177.40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22,519,301.42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11,423,050.63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385,462.14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41,783,966.05</w:t>
            </w:r>
          </w:p>
        </w:tc>
      </w:tr>
    </w:tbl>
    <w:p>
      <w:pPr>
        <w:pStyle w:val="BodyText"/>
        <w:spacing w:line="240" w:lineRule="auto" w:before="49"/>
        <w:ind w:right="0"/>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广东某供电局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1,189,557.00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银行汇款</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1,189,557.00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385,462.14</w:t>
            </w:r>
          </w:p>
        </w:tc>
      </w:tr>
    </w:tbl>
    <w:p>
      <w:pPr>
        <w:pStyle w:val="BodyText"/>
        <w:spacing w:line="357" w:lineRule="auto" w:before="49"/>
        <w:ind w:right="3914"/>
        <w:jc w:val="left"/>
      </w:pPr>
      <w:r>
        <w:rPr/>
        <w:t>应收账款核销说明： 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日第六届董事会第四十四次会议、第六届监事会第二十次会议审议批准。</w:t>
      </w:r>
    </w:p>
    <w:p>
      <w:pPr>
        <w:spacing w:after="0" w:line="357" w:lineRule="auto"/>
        <w:jc w:val="left"/>
        <w:sectPr>
          <w:footerReference w:type="default" r:id="rId66"/>
          <w:pgSz w:w="11910" w:h="16840"/>
          <w:pgMar w:footer="980" w:header="0" w:top="1100" w:bottom="1160" w:left="980" w:right="0"/>
          <w:pgNumType w:start="1"/>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第一名（非关联方）</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49,499,018.14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4,818,654.01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第二名（非关联方）</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24,599,506.14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2,431,164.39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第三名（非关联方）</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19,405,518.94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3,129,220.07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第四名（非关联方）</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19,168,054.14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1,860,304.15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第五名（非关联方）</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18,196,487.80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1,787,525.48</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130,868,585.16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36.03%</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5"/>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334,510,701.02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115,218,474.52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87.38%</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46,792,349.48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16,520,300.35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12.53%</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13,340,688.55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109,671.70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11,616.73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394,655,355.78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131,852,766.57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3738"/>
        <w:gridCol w:w="1976"/>
        <w:gridCol w:w="1973"/>
        <w:gridCol w:w="1973"/>
      </w:tblGrid>
      <w:tr>
        <w:trPr>
          <w:trHeight w:val="346"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16,344,745.56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6"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7,578,636.71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5,108,620.69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6"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37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42,032,002.96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64" w:type="dxa"/>
        <w:tblLayout w:type="fixed"/>
        <w:tblCellMar>
          <w:top w:w="0" w:type="dxa"/>
          <w:left w:w="0" w:type="dxa"/>
          <w:bottom w:w="0" w:type="dxa"/>
          <w:right w:w="0" w:type="dxa"/>
        </w:tblCellMar>
        <w:tblLook w:val="01E0"/>
      </w:tblPr>
      <w:tblGrid>
        <w:gridCol w:w="2194"/>
        <w:gridCol w:w="1407"/>
        <w:gridCol w:w="1502"/>
        <w:gridCol w:w="1659"/>
        <w:gridCol w:w="1477"/>
        <w:gridCol w:w="1313"/>
      </w:tblGrid>
      <w:tr>
        <w:trPr>
          <w:trHeight w:val="660" w:hRule="exact"/>
        </w:trPr>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1" w:right="10" w:hanging="270"/>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219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1" w:right="0"/>
              <w:jc w:val="left"/>
              <w:rPr>
                <w:rFonts w:ascii="Times New Roman" w:hAnsi="Times New Roman" w:cs="Times New Roman" w:eastAsia="Times New Roman" w:hint="default"/>
                <w:sz w:val="18"/>
                <w:szCs w:val="18"/>
              </w:rPr>
            </w:pPr>
            <w:r>
              <w:rPr>
                <w:rFonts w:ascii="Times New Roman"/>
                <w:sz w:val="18"/>
              </w:rPr>
              <w:t>75,309,262.62</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87" w:right="-1"/>
              <w:jc w:val="left"/>
              <w:rPr>
                <w:rFonts w:ascii="Times New Roman" w:hAnsi="Times New Roman" w:cs="Times New Roman" w:eastAsia="Times New Roman" w:hint="default"/>
                <w:sz w:val="18"/>
                <w:szCs w:val="18"/>
              </w:rPr>
            </w:pPr>
            <w:r>
              <w:rPr>
                <w:rFonts w:ascii="Times New Roman"/>
                <w:sz w:val="18"/>
              </w:rPr>
              <w:t>19.08%</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2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64" w:type="dxa"/>
        <w:tblLayout w:type="fixed"/>
        <w:tblCellMar>
          <w:top w:w="0" w:type="dxa"/>
          <w:left w:w="0" w:type="dxa"/>
          <w:bottom w:w="0" w:type="dxa"/>
          <w:right w:w="0" w:type="dxa"/>
        </w:tblCellMar>
        <w:tblLook w:val="01E0"/>
      </w:tblPr>
      <w:tblGrid>
        <w:gridCol w:w="2194"/>
        <w:gridCol w:w="1407"/>
        <w:gridCol w:w="1502"/>
        <w:gridCol w:w="1659"/>
        <w:gridCol w:w="1477"/>
        <w:gridCol w:w="1313"/>
      </w:tblGrid>
      <w:tr>
        <w:trPr>
          <w:trHeight w:val="428" w:hRule="exact"/>
        </w:trPr>
        <w:tc>
          <w:tcPr>
            <w:tcW w:w="219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43,893,800.10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11.12%</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2018-2019</w:t>
            </w:r>
            <w:r>
              <w:rPr>
                <w:rFonts w:ascii="宋体" w:hAnsi="宋体" w:cs="宋体" w:eastAsia="宋体" w:hint="default"/>
                <w:sz w:val="18"/>
                <w:szCs w:val="18"/>
              </w:rPr>
              <w:t>年</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219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23,000,000.00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5.83%</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219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22,949,786.24</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5.82%</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2018-2019</w:t>
            </w:r>
            <w:r>
              <w:rPr>
                <w:rFonts w:ascii="宋体" w:hAnsi="宋体" w:cs="宋体" w:eastAsia="宋体" w:hint="default"/>
                <w:sz w:val="18"/>
                <w:szCs w:val="18"/>
              </w:rPr>
              <w:t>年</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219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17,826,636.67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4.52%</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2018-2019</w:t>
            </w:r>
            <w:r>
              <w:rPr>
                <w:rFonts w:ascii="宋体" w:hAnsi="宋体" w:cs="宋体" w:eastAsia="宋体" w:hint="default"/>
                <w:sz w:val="18"/>
                <w:szCs w:val="18"/>
              </w:rPr>
              <w:t>年</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427" w:hRule="exact"/>
        </w:trPr>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182,979,485.63</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46.37%</w:t>
            </w:r>
          </w:p>
        </w:tc>
        <w:tc>
          <w:tcPr>
            <w:tcW w:w="147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592,372.09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72,294,539.38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273,279,819.34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72,342,177.74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274,033,329.43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592,372.09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592,372.09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银华交易型货币市场基金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161,138.00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161,138.00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2,686,156.51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3,738,220.80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1,565,246.44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2,499,934.17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1,298,936.89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1,255,564.87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312,837.46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1,054,795.73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43,428.57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349,526.95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334,559.50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465,986.37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213,579.28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待退回分红款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35,964,530.53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74,647,221.15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286,140,082.92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68"/>
        <w:gridCol w:w="1299"/>
        <w:gridCol w:w="2098"/>
        <w:gridCol w:w="2101"/>
        <w:gridCol w:w="1802"/>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94" w:right="53" w:hanging="13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12,860,263.58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12,860,263.58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174,676.40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174,676.40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10,670,606.21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10,670,606.21</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2,352,681.77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2,352,681.77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71,745,900.11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663,484.18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141,679.52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2,096,157.34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12,251.98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2,050,905.22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74,647,221.15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14"/>
        <w:gridCol w:w="1099"/>
        <w:gridCol w:w="1193"/>
        <w:gridCol w:w="1303"/>
        <w:gridCol w:w="1092"/>
        <w:gridCol w:w="1738"/>
        <w:gridCol w:w="1728"/>
      </w:tblGrid>
      <w:tr>
        <w:trPr>
          <w:trHeight w:val="401" w:hRule="exact"/>
        </w:trPr>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其他应收款坏账 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第一阶段</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12,860,263.58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174,676.40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10,670,606.21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2,352,681.77</w:t>
            </w:r>
          </w:p>
        </w:tc>
      </w:tr>
      <w:tr>
        <w:trPr>
          <w:trHeight w:val="71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其他应收款坏账 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第二阶段</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其他应收款坏账 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第三阶段</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12,860,263.58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174,676.40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10,670,606.21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2,352,681.77</w:t>
            </w:r>
          </w:p>
        </w:tc>
      </w:tr>
    </w:tbl>
    <w:p>
      <w:pPr>
        <w:pStyle w:val="BodyText"/>
        <w:spacing w:line="240" w:lineRule="auto" w:before="49"/>
        <w:ind w:right="0"/>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687"/>
        <w:gridCol w:w="2691"/>
        <w:gridCol w:w="3193"/>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宁波梅山保税港区元俊投资管理有限公司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11,652.00</w:t>
            </w:r>
          </w:p>
        </w:tc>
      </w:tr>
    </w:tbl>
    <w:p>
      <w:pPr>
        <w:pStyle w:val="BodyText"/>
        <w:spacing w:line="357" w:lineRule="auto" w:before="49"/>
        <w:ind w:right="3914"/>
        <w:jc w:val="left"/>
      </w:pPr>
      <w:r>
        <w:rPr/>
        <w:t>其他应收款核销说明： 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日第六届董事会第四十四次会议、第六届监事会第二十次会议审议批准。</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待退回分红款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35,964,530.53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69,164,530.53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8,786,348.38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8,474,343.46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17,100,369.28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857,680.54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16,242,688.74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3,599,821.72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3,599,821.72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5,387,689.37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5,387,689.37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5,610,730.54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5,549,712.73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11,114,017.27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11,052,999.46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23,677,785.77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2,052,919.11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21,624,866.66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21,533,109.06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1,748,632.49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19,784,476.57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10,572,058.84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1,176,932.08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9,395,126.76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13,939,411.65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1,419,706.13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12,519,705.52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52,246,745.25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3,602,873.92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48,643,871.33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69,074,596.63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4,087,036.97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64,987,559.66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857,680.54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545,675.62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312,004.92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61,017.81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61,017.81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1,748,632.49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2,052,919.11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1,419,706.13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242,774.05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1,176,932.08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4,087,036.97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788,449.67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3,602,873.92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5,589,879.48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信托业保障基金认购资金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8,089,879.48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left="513" w:right="0"/>
        <w:jc w:val="left"/>
      </w:pPr>
      <w:r>
        <w:rPr/>
        <w:t>一年内到期的长期应收款包含公司应向远东国际租赁有限公司（以下简称</w:t>
      </w:r>
      <w:r>
        <w:rPr>
          <w:rFonts w:ascii="Times New Roman" w:hAnsi="Times New Roman" w:cs="Times New Roman" w:eastAsia="Times New Roman" w:hint="default"/>
        </w:rPr>
        <w:t>“</w:t>
      </w:r>
      <w:r>
        <w:rPr/>
        <w:t>远东租赁</w:t>
      </w:r>
      <w:r>
        <w:rPr>
          <w:rFonts w:ascii="Times New Roman" w:hAnsi="Times New Roman" w:cs="Times New Roman" w:eastAsia="Times New Roman" w:hint="default"/>
        </w:rPr>
        <w:t>”</w:t>
      </w:r>
      <w:r>
        <w:rPr/>
        <w:t>）收回的融资租赁保证金余额</w:t>
      </w:r>
    </w:p>
    <w:p>
      <w:pPr>
        <w:pStyle w:val="BodyText"/>
        <w:spacing w:line="240" w:lineRule="auto" w:before="63"/>
        <w:ind w:right="0"/>
        <w:jc w:val="left"/>
      </w:pPr>
      <w:r>
        <w:rPr>
          <w:rFonts w:ascii="Times New Roman" w:hAnsi="Times New Roman" w:cs="Times New Roman" w:eastAsia="Times New Roman" w:hint="default"/>
        </w:rPr>
        <w:t>4,783,702.35</w:t>
      </w:r>
      <w:r>
        <w:rPr/>
        <w:t>元和公司分期收款销售商品一年内到期应收款项</w:t>
      </w:r>
      <w:r>
        <w:rPr>
          <w:rFonts w:ascii="Times New Roman" w:hAnsi="Times New Roman" w:cs="Times New Roman" w:eastAsia="Times New Roman" w:hint="default"/>
        </w:rPr>
        <w:t>806,177.13</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19,037,539.12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13,537,812.38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待摊房租余额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302,430.16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125,023.95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390,091.08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659,235.95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54,857.09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1,864.42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19,784,917.45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14,323,936.70</w:t>
            </w:r>
          </w:p>
        </w:tc>
      </w:tr>
    </w:tbl>
    <w:p>
      <w:pPr>
        <w:pStyle w:val="BodyText"/>
        <w:spacing w:line="240" w:lineRule="auto" w:before="49"/>
        <w:ind w:right="0"/>
        <w:jc w:val="left"/>
      </w:pPr>
      <w:r>
        <w:rPr/>
        <w:t>其他说明：期初余额与上年年末余额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w:t>
      </w:r>
      <w:r>
        <w:rPr/>
        <w:t>的差异详见本财务报表附注五、</w:t>
      </w:r>
      <w:r>
        <w:rPr>
          <w:rFonts w:ascii="Times New Roman" w:hAnsi="Times New Roman" w:cs="Times New Roman" w:eastAsia="Times New Roman" w:hint="default"/>
        </w:rPr>
        <w:t>33</w:t>
      </w:r>
      <w:r>
        <w:rPr/>
        <w:t>、</w:t>
      </w:r>
      <w:r>
        <w:rPr>
          <w:rFonts w:ascii="Times New Roman" w:hAnsi="Times New Roman" w:cs="Times New Roman" w:eastAsia="Times New Roman" w:hint="default"/>
        </w:rPr>
        <w:t>(4)</w:t>
      </w:r>
      <w:r>
        <w:rPr/>
        <w:t>之说明。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02"/>
        <w:gridCol w:w="1169"/>
        <w:gridCol w:w="1167"/>
        <w:gridCol w:w="1166"/>
        <w:gridCol w:w="1167"/>
        <w:gridCol w:w="1169"/>
        <w:gridCol w:w="1165"/>
        <w:gridCol w:w="1166"/>
      </w:tblGrid>
      <w:tr>
        <w:trPr>
          <w:trHeight w:val="401"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4,329,570.08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4,329,570.08</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其中：未实 现融资收益</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670,429.92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670,429.92</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4,445,682.26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4,445,682.26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4,445,682.26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4,445,682.26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4,329,570.08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4,329,570.08</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15"/>
        <w:ind w:left="0" w:right="137"/>
        <w:jc w:val="righ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335" w:lineRule="exact"/>
        <w:ind w:left="140" w:right="128"/>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3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708"/>
        <w:gridCol w:w="1183"/>
        <w:gridCol w:w="1001"/>
        <w:gridCol w:w="809"/>
        <w:gridCol w:w="1219"/>
        <w:gridCol w:w="1016"/>
        <w:gridCol w:w="1015"/>
        <w:gridCol w:w="1222"/>
        <w:gridCol w:w="1021"/>
        <w:gridCol w:w="458"/>
        <w:gridCol w:w="1584"/>
        <w:gridCol w:w="715"/>
      </w:tblGrid>
      <w:tr>
        <w:trPr>
          <w:trHeight w:val="403" w:hRule="exact"/>
        </w:trPr>
        <w:tc>
          <w:tcPr>
            <w:tcW w:w="2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0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285" w:right="10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776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667" w:right="125"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1" w:right="8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3" w:hRule="exact"/>
        </w:trPr>
        <w:tc>
          <w:tcPr>
            <w:tcW w:w="270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3" w:right="65"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6" w:right="62"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4"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9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39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宁波永耀惠程电力科技有限公司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永耀惠程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3,110,188.07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126,114.64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3,236,302.71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北京真机智能科技有限公司（以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真机智能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6,695,095.42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-702,620.42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5,992,475.00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共青城惠智网联投资合伙企业</w:t>
            </w:r>
          </w:p>
          <w:p>
            <w:pPr>
              <w:pStyle w:val="TableParagraph"/>
              <w:spacing w:line="300" w:lineRule="auto" w:before="76"/>
              <w:ind w:left="23" w:right="161"/>
              <w:jc w:val="left"/>
              <w:rPr>
                <w:rFonts w:ascii="宋体" w:hAnsi="宋体" w:cs="宋体" w:eastAsia="宋体" w:hint="default"/>
                <w:sz w:val="18"/>
                <w:szCs w:val="18"/>
              </w:rPr>
            </w:pPr>
            <w:r>
              <w:rPr>
                <w:rFonts w:ascii="宋体" w:hAnsi="宋体" w:cs="宋体" w:eastAsia="宋体" w:hint="default"/>
                <w:spacing w:val="-7"/>
                <w:w w:val="100"/>
                <w:sz w:val="18"/>
                <w:szCs w:val="18"/>
              </w:rPr>
              <w:t>（有限合伙）（以下简称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惠智网</w:t>
            </w:r>
            <w:r>
              <w:rPr>
                <w:rFonts w:ascii="宋体" w:hAnsi="宋体" w:cs="宋体" w:eastAsia="宋体" w:hint="default"/>
                <w:spacing w:val="-77"/>
                <w:w w:val="100"/>
                <w:sz w:val="18"/>
                <w:szCs w:val="18"/>
              </w:rPr>
              <w:t> </w:t>
            </w:r>
            <w:r>
              <w:rPr>
                <w:rFonts w:ascii="宋体" w:hAnsi="宋体" w:cs="宋体" w:eastAsia="宋体" w:hint="default"/>
                <w:spacing w:val="-77"/>
                <w:w w:val="100"/>
                <w:sz w:val="18"/>
                <w:szCs w:val="18"/>
              </w:rPr>
            </w:r>
            <w:r>
              <w:rPr>
                <w:rFonts w:ascii="宋体" w:hAnsi="宋体" w:cs="宋体" w:eastAsia="宋体" w:hint="default"/>
                <w:sz w:val="18"/>
                <w:szCs w:val="18"/>
              </w:rPr>
              <w:t>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158,000,976.68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3,352,000.00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-1,458.79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161,351,517.89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-577,964.57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170,580,295.60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167,806,260.17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-577,964.57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170,580,295.60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140" w:right="128"/>
        <w:jc w:val="left"/>
      </w:pPr>
      <w:r>
        <w:rPr/>
        <w:t>其他说明：喀什中汇联银作为惠智网联有限合伙人认缴出资额人民币</w:t>
      </w:r>
      <w:r>
        <w:rPr>
          <w:spacing w:val="-46"/>
        </w:rPr>
        <w:t> </w:t>
      </w:r>
      <w:r>
        <w:rPr>
          <w:rFonts w:ascii="Times New Roman" w:hAnsi="Times New Roman" w:cs="Times New Roman" w:eastAsia="Times New Roman" w:hint="default"/>
        </w:rPr>
        <w:t>25,000 </w:t>
      </w:r>
      <w:r>
        <w:rPr/>
        <w:t>万元，本期实缴出资额</w:t>
      </w:r>
      <w:r>
        <w:rPr>
          <w:spacing w:val="-47"/>
        </w:rPr>
        <w:t> </w:t>
      </w:r>
      <w:r>
        <w:rPr>
          <w:rFonts w:ascii="Times New Roman" w:hAnsi="Times New Roman" w:cs="Times New Roman" w:eastAsia="Times New Roman" w:hint="default"/>
        </w:rPr>
        <w:t>335.20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0" w:right="133"/>
        <w:jc w:val="right"/>
        <w:rPr>
          <w:rFonts w:ascii="Times New Roman" w:hAnsi="Times New Roman" w:cs="Times New Roman" w:eastAsia="Times New Roman" w:hint="default"/>
        </w:rPr>
      </w:pPr>
      <w:r>
        <w:rPr>
          <w:rFonts w:ascii="Times New Roman"/>
        </w:rPr>
        <w:t>148</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7"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67"/>
          <w:footerReference w:type="default" r:id="rId68"/>
          <w:pgSz w:w="16840" w:h="11910" w:orient="landscape"/>
          <w:pgMar w:header="0" w:footer="0" w:top="800" w:bottom="0" w:left="1300" w:right="1300"/>
        </w:sectPr>
      </w:pPr>
    </w:p>
    <w:p>
      <w:pPr>
        <w:spacing w:line="240" w:lineRule="auto" w:before="8"/>
        <w:rPr>
          <w:rFonts w:ascii="Times New Roman" w:hAnsi="Times New Roman" w:cs="Times New Roman" w:eastAsia="Times New Roman"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、其他权益工具投资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239"/>
        <w:gridCol w:w="1700"/>
        <w:gridCol w:w="1632"/>
      </w:tblGrid>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北京爱酷游科技股份有限公司（以下简称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爱酷游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76,568,291.68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56,549,462.26</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深圳久久益资产管理有限公司（以下简称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久久益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北京兆信通能科技有限公司（以下简称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兆信通能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广州雷霆信息科技有限公司（以下简称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广州雷霆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星灵互动（深圳）科技有限公司（以下简称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星灵互动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广州九天互娱网络科技有限公司（以下简称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九天互娱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北京图纳密信息科技有限公司（以下简称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图纳密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北京智金未来传媒科技有限责任公司（以下简称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智金未来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北京芝士星球网络科技有限公司（以下简称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芝士星球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深圳市利汇春科技有限公司（以下简称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利汇春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武汉君达合智信息科技有限公司（以下简称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君达合智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北京互联星梦科技有限公司（以下简称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互联星梦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222,498,291.68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70,479,462.26</w:t>
            </w:r>
          </w:p>
        </w:tc>
      </w:tr>
    </w:tbl>
    <w:p>
      <w:pPr>
        <w:pStyle w:val="BodyText"/>
        <w:spacing w:line="240" w:lineRule="auto" w:before="49"/>
        <w:ind w:right="0"/>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900"/>
        <w:gridCol w:w="1275"/>
        <w:gridCol w:w="1135"/>
        <w:gridCol w:w="1560"/>
        <w:gridCol w:w="1700"/>
        <w:gridCol w:w="1634"/>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75" w:right="84" w:hanging="92"/>
              <w:jc w:val="left"/>
              <w:rPr>
                <w:rFonts w:ascii="宋体" w:hAnsi="宋体" w:cs="宋体" w:eastAsia="宋体" w:hint="default"/>
                <w:sz w:val="18"/>
                <w:szCs w:val="18"/>
              </w:rPr>
            </w:pPr>
            <w:r>
              <w:rPr>
                <w:rFonts w:ascii="宋体" w:hAnsi="宋体" w:cs="宋体" w:eastAsia="宋体" w:hint="default"/>
                <w:sz w:val="18"/>
                <w:szCs w:val="18"/>
              </w:rPr>
              <w:t>确认的股 利收入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3"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3"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43" w:right="53" w:hanging="89"/>
              <w:jc w:val="left"/>
              <w:rPr>
                <w:rFonts w:ascii="宋体" w:hAnsi="宋体" w:cs="宋体" w:eastAsia="宋体" w:hint="default"/>
                <w:sz w:val="18"/>
                <w:szCs w:val="18"/>
              </w:rPr>
            </w:pPr>
            <w:r>
              <w:rPr>
                <w:rFonts w:ascii="宋体" w:hAnsi="宋体" w:cs="宋体" w:eastAsia="宋体" w:hint="default"/>
                <w:sz w:val="18"/>
                <w:szCs w:val="18"/>
              </w:rPr>
              <w:t>其他综合收益转入 留存收益的金额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32"/>
              <w:jc w:val="center"/>
              <w:rPr>
                <w:rFonts w:ascii="宋体" w:hAnsi="宋体" w:cs="宋体" w:eastAsia="宋体" w:hint="default"/>
                <w:sz w:val="18"/>
                <w:szCs w:val="18"/>
              </w:rPr>
            </w:pPr>
            <w:r>
              <w:rPr>
                <w:rFonts w:ascii="宋体" w:hAnsi="宋体" w:cs="宋体" w:eastAsia="宋体" w:hint="default"/>
                <w:sz w:val="18"/>
                <w:szCs w:val="18"/>
              </w:rPr>
              <w:t>指定为以公允价值计 量且其变动计入其他 综合收益的原因</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82" w:right="91" w:hanging="92"/>
              <w:jc w:val="left"/>
              <w:rPr>
                <w:rFonts w:ascii="宋体" w:hAnsi="宋体" w:cs="宋体" w:eastAsia="宋体" w:hint="default"/>
                <w:sz w:val="18"/>
                <w:szCs w:val="18"/>
              </w:rPr>
            </w:pPr>
            <w:r>
              <w:rPr>
                <w:rFonts w:ascii="宋体" w:hAnsi="宋体" w:cs="宋体" w:eastAsia="宋体" w:hint="default"/>
                <w:sz w:val="18"/>
                <w:szCs w:val="18"/>
              </w:rPr>
              <w:t>其他综合收益转入 留存收益的原因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16,509,162.97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星灵互动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兆信通能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广州雷霆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图纳密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智金未来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芝士星球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利汇春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君达合智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互联星梦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17,509,162.97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3764"/>
        <w:jc w:val="left"/>
      </w:pPr>
      <w:r>
        <w:rPr/>
        <w:t>其他说明： 期初余额与上年年末余额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(4)</w:t>
      </w:r>
      <w:r>
        <w:rPr/>
        <w:t>之说明。</w:t>
      </w:r>
    </w:p>
    <w:p>
      <w:pPr>
        <w:spacing w:after="0" w:line="357" w:lineRule="auto"/>
        <w:jc w:val="left"/>
        <w:sectPr>
          <w:footerReference w:type="default" r:id="rId69"/>
          <w:pgSz w:w="11910" w:h="16840"/>
          <w:pgMar w:footer="980" w:header="0" w:top="1100" w:bottom="1160" w:left="980" w:right="0"/>
          <w:pgNumType w:start="4"/>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13</w:t>
      </w:r>
      <w:r>
        <w:rPr/>
        <w:t>、其他非流动金融资产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信托业保障基金认购资金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2,891,000.00</w:t>
            </w:r>
          </w:p>
        </w:tc>
      </w:tr>
    </w:tbl>
    <w:p>
      <w:pPr>
        <w:pStyle w:val="BodyText"/>
        <w:spacing w:line="357" w:lineRule="auto" w:before="49"/>
        <w:ind w:right="3764"/>
        <w:jc w:val="left"/>
      </w:pPr>
      <w:r>
        <w:rPr/>
        <w:t>其他说明： 期初余额与上年年末余额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(4)</w:t>
      </w:r>
      <w:r>
        <w:rPr/>
        <w:t>之说明。</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277,298,900.00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-24,619,300.00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-24,619,300.00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加：外购</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2,369,740.61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2,369,740.61</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3,096,140.00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3,096,140.00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企业合并增加</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减：处置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18,513,800.00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18,513,800.00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其他转出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-11,571,380.61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-11,571,380.61</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252,679,600.00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100"/>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100"/>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252,679,600.00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车位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pStyle w:val="BodyText"/>
        <w:spacing w:line="357" w:lineRule="auto" w:before="49"/>
        <w:ind w:right="4634"/>
        <w:jc w:val="left"/>
      </w:pPr>
      <w:r>
        <w:rPr/>
        <w:t>其他说明 因抵押、质押或冻结等对使用有限制的具体情况详见本财务报表附注七、</w:t>
      </w:r>
      <w:r>
        <w:rPr>
          <w:rFonts w:ascii="Times New Roman" w:hAnsi="Times New Roman" w:cs="Times New Roman" w:eastAsia="Times New Roman" w:hint="default"/>
        </w:rPr>
        <w:t>58</w:t>
      </w:r>
      <w:r>
        <w:rPr/>
        <w:t>。</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84,788,453.31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94,457,715.15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84,788,453.31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94,457,715.15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40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123,614,510.03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75,543,894.88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13,175,192.60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27,233,520.73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17,888,350.09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257,455,468.33</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56,896.55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779,250.53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988,537.89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372,541.29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2,197,226.26</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779,250.53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988,537.89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372,541.29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2,197,226.26</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5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 工程转入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5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1,983,753.68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2,964,546.00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1,067,611.90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97,786.23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6,192,372.68</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5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2,964,546.00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1,067,611.90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97,786.23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4,208,619.00</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8" w:firstLine="91"/>
              <w:jc w:val="left"/>
              <w:rPr>
                <w:rFonts w:ascii="宋体" w:hAnsi="宋体" w:cs="宋体" w:eastAsia="宋体" w:hint="default"/>
                <w:sz w:val="18"/>
                <w:szCs w:val="18"/>
              </w:rPr>
            </w:pPr>
            <w:r>
              <w:rPr>
                <w:rFonts w:ascii="宋体" w:hAnsi="宋体" w:cs="宋体" w:eastAsia="宋体" w:hint="default"/>
                <w:sz w:val="18"/>
                <w:szCs w:val="18"/>
              </w:rPr>
              <w:t>转入投资性房 地产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1,983,753.68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1,983,753.68</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121,630,756.35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72,636,245.43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12,886,831.23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28,124,272.39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18,182,216.51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253,460,321.91</w:t>
            </w:r>
          </w:p>
        </w:tc>
      </w:tr>
    </w:tbl>
    <w:p>
      <w:pPr>
        <w:spacing w:after="0" w:line="240" w:lineRule="auto"/>
        <w:jc w:val="right"/>
        <w:rPr>
          <w:rFonts w:ascii="Times New Roman" w:hAnsi="Times New Roman" w:cs="Times New Roman" w:eastAsia="Times New Roman" w:hint="default"/>
          <w:sz w:val="18"/>
          <w:szCs w:val="18"/>
        </w:rPr>
        <w:sectPr>
          <w:footerReference w:type="default" r:id="rId70"/>
          <w:pgSz w:w="11910" w:h="16840"/>
          <w:pgMar w:footer="980" w:header="0" w:top="1100" w:bottom="1160" w:left="980" w:right="0"/>
          <w:pgNumType w:start="1"/>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57,862,044.21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52,110,619.21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9,115,772.87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21,398,984.86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15,774,498.36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156,261,919.51</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5,559,785.55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337,333.95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2,636,828.57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1,774,334.96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270,226.45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10,578,509.48</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5,559,785.55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337,333.95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2,636,828.57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1,774,334.96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270,226.45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10,578,509.48</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1,113,506.47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2,620,046.40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960,850.71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97,786.23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64,159.25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4,856,349.06</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5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2,620,046.40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960,850.71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97,786.23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64,159.25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3,742,842.59</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7"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入投资性房地产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1,113,506.47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1,113,506.47</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62,308,323.29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49,827,906.76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10,791,750.73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23,075,533.59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15,980,565.56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161,984,079.93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6,116,955.12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201,916.97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416,961.58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6,735,833.67</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48,045.00</w:t>
            </w: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5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48,045.00</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6,068,910.12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201,916.97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416,961.58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6,687,788.67</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59,322,433.06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16,739,428.55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2,095,080.50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4,846,821.83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1,784,689.37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84,788,453.31</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65,752,465.82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17,316,320.55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4,059,419.73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5,632,618.90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1,696,890.15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94,457,715.15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51,471,442.92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40,781,007.00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3,778,977.17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6,911,458.75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1774"/>
        <w:gridCol w:w="460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兆丰国际</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1106-1107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房</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6" w:right="0"/>
              <w:jc w:val="left"/>
              <w:rPr>
                <w:rFonts w:ascii="Times New Roman" w:hAnsi="Times New Roman" w:cs="Times New Roman" w:eastAsia="Times New Roman" w:hint="default"/>
                <w:sz w:val="18"/>
                <w:szCs w:val="18"/>
              </w:rPr>
            </w:pPr>
            <w:r>
              <w:rPr>
                <w:rFonts w:ascii="Times New Roman"/>
                <w:sz w:val="18"/>
              </w:rPr>
              <w:t>1,268,960.29</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该房产系以前年度购买，未办妥产权证书系历史遗留问题</w:t>
            </w:r>
          </w:p>
        </w:tc>
      </w:tr>
    </w:tbl>
    <w:p>
      <w:pPr>
        <w:pStyle w:val="BodyText"/>
        <w:spacing w:line="357" w:lineRule="auto" w:before="49"/>
        <w:ind w:right="4634"/>
        <w:jc w:val="left"/>
      </w:pPr>
      <w:r>
        <w:rPr/>
        <w:t>其他说明 因抵押、质押或冻结等对使用有限制的具体情况详见本财务报表附注七、</w:t>
      </w:r>
      <w:r>
        <w:rPr>
          <w:rFonts w:ascii="Times New Roman" w:hAnsi="Times New Roman" w:cs="Times New Roman" w:eastAsia="Times New Roman" w:hint="default"/>
        </w:rPr>
        <w:t>58</w:t>
      </w:r>
      <w:r>
        <w:rPr/>
        <w:t>。</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7,085,519.87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7,085,519.87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7,085,519.87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7,085,519.87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7,085,519.87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
        <w:gridCol w:w="1135"/>
        <w:gridCol w:w="1133"/>
        <w:gridCol w:w="1135"/>
        <w:gridCol w:w="708"/>
        <w:gridCol w:w="1133"/>
        <w:gridCol w:w="427"/>
        <w:gridCol w:w="850"/>
        <w:gridCol w:w="425"/>
        <w:gridCol w:w="536"/>
        <w:gridCol w:w="883"/>
        <w:gridCol w:w="566"/>
        <w:gridCol w:w="209"/>
      </w:tblGrid>
      <w:tr>
        <w:trPr>
          <w:trHeight w:val="1649" w:hRule="exact"/>
        </w:trPr>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 w:right="59"/>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82"/>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027"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绿地 装修 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6,516,755.21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5,652,551.76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12,169,306.97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完工</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025"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办事 处装 修费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568,764.66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127,779.07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696,543.73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
              <w:jc w:val="center"/>
              <w:rPr>
                <w:rFonts w:ascii="宋体" w:hAnsi="宋体" w:cs="宋体" w:eastAsia="宋体" w:hint="default"/>
                <w:sz w:val="18"/>
                <w:szCs w:val="18"/>
              </w:rPr>
            </w:pPr>
            <w:r>
              <w:rPr>
                <w:rFonts w:ascii="宋体" w:hAnsi="宋体" w:cs="宋体" w:eastAsia="宋体" w:hint="default"/>
                <w:sz w:val="18"/>
                <w:szCs w:val="18"/>
              </w:rPr>
              <w:t>终止</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03" w:hRule="exact"/>
        </w:trPr>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7,085,519.87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5,780,330.83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12,865,850.70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127"/>
        <w:gridCol w:w="1275"/>
        <w:gridCol w:w="1277"/>
        <w:gridCol w:w="992"/>
        <w:gridCol w:w="1166"/>
        <w:gridCol w:w="1366"/>
        <w:gridCol w:w="1368"/>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5,025,922.33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11,531,723.97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7,356,522.57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9,190,006.96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33,104,175.83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5,051,074.19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5,051,074.19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5,051,074.19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5,051,074.19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5,025,922.33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11,531,723.97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12,407,596.76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9,190,006.96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38,155,250.02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1,431,642.98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11,043,913.72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2,675,515.98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5,758,090.38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20,909,163.06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341,592.29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1,221,682.69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1,157,718.04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2,821,511.50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341,592.29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1,221,682.69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1,157,718.04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2,821,511.50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1,532,161.46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11,385,506.01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3,897,198.67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6,915,808.42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23,730,674.56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3,493,760.87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146,217.96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8,510,398.09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2,274,198.54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14,424,575.46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3,594,279.35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487,810.25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4,681,006.59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3,431,916.58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12,195,012.77</w:t>
            </w:r>
          </w:p>
        </w:tc>
      </w:tr>
    </w:tbl>
    <w:p>
      <w:pPr>
        <w:pStyle w:val="BodyText"/>
        <w:spacing w:line="340" w:lineRule="auto" w:before="49"/>
        <w:ind w:right="4764"/>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24.18%</w:t>
      </w:r>
      <w:r>
        <w:rPr/>
        <w:t>。 因抵押、质押或冻结等对使用有限制的具体情况详见本财务报表附注七</w:t>
      </w:r>
      <w:r>
        <w:rPr>
          <w:rFonts w:ascii="Times New Roman" w:hAnsi="Times New Roman" w:cs="Times New Roman" w:eastAsia="Times New Roman" w:hint="default"/>
        </w:rPr>
        <w:t>/58</w:t>
      </w:r>
      <w:r>
        <w:rPr/>
        <w:t>。</w:t>
      </w:r>
    </w:p>
    <w:p>
      <w:pPr>
        <w:spacing w:after="0" w:line="340" w:lineRule="auto"/>
        <w:jc w:val="left"/>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18</w:t>
      </w:r>
      <w:r>
        <w:rPr/>
        <w:t>、开发支出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1064"/>
        <w:gridCol w:w="1061"/>
        <w:gridCol w:w="1064"/>
        <w:gridCol w:w="1063"/>
        <w:gridCol w:w="1063"/>
        <w:gridCol w:w="1064"/>
        <w:gridCol w:w="1063"/>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YF-18007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1,480,623.26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1,064,455.16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2,545,078.42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YF-17010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2,913,035.64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880,264.42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3,793,300.06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YF-19002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866,624.06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273,022.57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593,601.49</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YF-19004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1,257,774.13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1,257,774.13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4,393,658.90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4,069,117.77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5,051,074.19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2,818,100.99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593,601.49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35"/>
        <w:gridCol w:w="1418"/>
        <w:gridCol w:w="1702"/>
        <w:gridCol w:w="566"/>
        <w:gridCol w:w="991"/>
        <w:gridCol w:w="689"/>
        <w:gridCol w:w="1368"/>
      </w:tblGrid>
      <w:tr>
        <w:trPr>
          <w:trHeight w:val="206"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vMerge/>
            <w:tcBorders>
              <w:left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68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97" w:hRule="exact"/>
        </w:trPr>
        <w:tc>
          <w:tcPr>
            <w:tcW w:w="283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89"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206"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359,972.58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359,972.58</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1,220,240,489.40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1,220,240,489.40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1,220,600,461.98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1,220,600,461.98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35"/>
        <w:gridCol w:w="1702"/>
        <w:gridCol w:w="1419"/>
        <w:gridCol w:w="566"/>
        <w:gridCol w:w="991"/>
        <w:gridCol w:w="689"/>
        <w:gridCol w:w="1368"/>
      </w:tblGrid>
      <w:tr>
        <w:trPr>
          <w:trHeight w:val="206"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2" w:type="dxa"/>
            <w:vMerge/>
            <w:tcBorders>
              <w:left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68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97" w:hRule="exact"/>
        </w:trPr>
        <w:tc>
          <w:tcPr>
            <w:tcW w:w="2835"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89"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204"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49"/>
        <w:ind w:left="513" w:right="5353" w:hanging="361"/>
        <w:jc w:val="left"/>
      </w:pPr>
      <w:r>
        <w:rPr/>
        <w:t>商誉所在资产组或资产组组合的相关信息 上述公司商誉减值测试的资产组或资产组组合的构成情况如下：</w:t>
      </w:r>
    </w:p>
    <w:p>
      <w:pPr>
        <w:pStyle w:val="BodyText"/>
        <w:spacing w:line="224" w:lineRule="exact"/>
        <w:ind w:left="513" w:right="0"/>
        <w:jc w:val="left"/>
      </w:pPr>
      <w:r>
        <w:rPr/>
        <w:t>①</w:t>
      </w:r>
      <w:r>
        <w:rPr>
          <w:spacing w:val="-18"/>
        </w:rPr>
        <w:t> </w:t>
      </w:r>
      <w:r>
        <w:rPr/>
        <w:t>中汇同盈：中汇同盈相关资产组与购买日及以前年度商誉减值测试时确定的资产组一致。</w:t>
      </w:r>
    </w:p>
    <w:p>
      <w:pPr>
        <w:pStyle w:val="BodyText"/>
        <w:spacing w:line="240" w:lineRule="auto" w:before="76"/>
        <w:ind w:left="513" w:right="0"/>
        <w:jc w:val="left"/>
      </w:pPr>
      <w:r>
        <w:rPr/>
        <w:t>中汇同盈资产组，公司管理层根据现行市价法判断资产组现值。</w:t>
      </w:r>
    </w:p>
    <w:p>
      <w:pPr>
        <w:pStyle w:val="BodyText"/>
        <w:spacing w:line="300" w:lineRule="auto" w:before="76"/>
        <w:ind w:right="1282" w:firstLine="360"/>
        <w:jc w:val="left"/>
      </w:pPr>
      <w:r>
        <w:rPr/>
        <w:t>②</w:t>
      </w:r>
      <w:r>
        <w:rPr>
          <w:spacing w:val="-23"/>
        </w:rPr>
        <w:t> </w:t>
      </w:r>
      <w:r>
        <w:rPr/>
        <w:t>哆可梦：公司于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月完成哆可梦股权收购，形成商誉人民币</w:t>
      </w:r>
      <w:r>
        <w:rPr>
          <w:rFonts w:ascii="Times New Roman" w:hAnsi="Times New Roman" w:cs="Times New Roman" w:eastAsia="Times New Roman" w:hint="default"/>
        </w:rPr>
        <w:t>12.20</w:t>
      </w:r>
      <w:r>
        <w:rPr/>
        <w:t>亿元。此次对合并取得的商誉进行减值测 试，即比较资产组的可收回金额和账面价值，相关资产组与购买日及以前年度商誉减值测试时所确定的资产组一致。</w:t>
      </w:r>
    </w:p>
    <w:p>
      <w:pPr>
        <w:pStyle w:val="BodyText"/>
        <w:spacing w:line="300" w:lineRule="auto" w:before="31"/>
        <w:ind w:right="1145" w:firstLine="360"/>
        <w:jc w:val="left"/>
      </w:pPr>
      <w:r>
        <w:rPr/>
        <w:t>哆可梦资产组预计未来现金流量的现值</w:t>
      </w:r>
      <w:r>
        <w:rPr>
          <w:rFonts w:ascii="Times New Roman" w:hAnsi="Times New Roman" w:cs="Times New Roman" w:eastAsia="Times New Roman" w:hint="default"/>
        </w:rPr>
        <w:t>(</w:t>
      </w:r>
      <w:r>
        <w:rPr/>
        <w:t>可收回金额</w:t>
      </w:r>
      <w:r>
        <w:rPr>
          <w:rFonts w:ascii="Times New Roman" w:hAnsi="Times New Roman" w:cs="Times New Roman" w:eastAsia="Times New Roman" w:hint="default"/>
        </w:rPr>
        <w:t>)</w:t>
      </w:r>
      <w:r>
        <w:rPr/>
        <w:t>利用了天津华夏金信资产评估有限公司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日出具的华夏 金信评报字</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rFonts w:ascii="Times New Roman" w:hAnsi="Times New Roman" w:cs="Times New Roman" w:eastAsia="Times New Roman" w:hint="default"/>
        </w:rPr>
        <w:t>055</w:t>
      </w:r>
      <w:r>
        <w:rPr/>
        <w:t>号《深圳市惠程信息科技股份有限公司拟进行商誉减值测试涉及的成都哆可梦网络科技有限公司资产</w:t>
      </w:r>
    </w:p>
    <w:p>
      <w:pPr>
        <w:spacing w:after="0" w:line="300" w:lineRule="auto"/>
        <w:jc w:val="left"/>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1213" w:hanging="361"/>
        <w:jc w:val="left"/>
      </w:pPr>
      <w:r>
        <w:rPr/>
        <w:t>组可回收价值资产评估报告》的评估结果。 说明商誉减值测试过程、关键参数（如预计未来现金流量现值时的预测期增长率、稳定期增长率、利润率、折现率、</w:t>
      </w:r>
    </w:p>
    <w:p>
      <w:pPr>
        <w:pStyle w:val="BodyText"/>
        <w:spacing w:line="222" w:lineRule="exact"/>
        <w:ind w:right="0"/>
        <w:jc w:val="left"/>
      </w:pPr>
      <w:r>
        <w:rPr/>
        <w:t>预测期等）及商誉减值损失的确认方法：</w:t>
      </w:r>
    </w:p>
    <w:p>
      <w:pPr>
        <w:pStyle w:val="BodyText"/>
        <w:spacing w:line="240" w:lineRule="auto" w:before="70"/>
        <w:ind w:left="513" w:right="0"/>
        <w:jc w:val="left"/>
        <w:rPr>
          <w:rFonts w:ascii="宋体" w:hAnsi="宋体" w:cs="宋体" w:eastAsia="宋体" w:hint="default"/>
        </w:rPr>
      </w:pPr>
      <w:r>
        <w:rPr>
          <w:sz w:val="21"/>
          <w:szCs w:val="21"/>
        </w:rPr>
        <w:t>①</w:t>
      </w:r>
      <w:r>
        <w:rPr>
          <w:spacing w:val="-3"/>
          <w:sz w:val="21"/>
          <w:szCs w:val="21"/>
        </w:rPr>
        <w:t> </w:t>
      </w:r>
      <w:r>
        <w:rPr>
          <w:rFonts w:ascii="宋体" w:hAnsi="宋体" w:cs="宋体" w:eastAsia="宋体" w:hint="default"/>
          <w:spacing w:val="-3"/>
          <w:sz w:val="21"/>
          <w:szCs w:val="21"/>
        </w:rPr>
      </w:r>
      <w:r>
        <w:rPr/>
        <w:t>重要假设及依据</w:t>
      </w:r>
      <w:r>
        <w:rPr>
          <w:rFonts w:ascii="宋体" w:hAnsi="宋体" w:cs="宋体" w:eastAsia="宋体" w:hint="default"/>
        </w:rPr>
        <w:t> </w:t>
      </w:r>
    </w:p>
    <w:p>
      <w:pPr>
        <w:pStyle w:val="BodyText"/>
        <w:spacing w:line="333" w:lineRule="auto" w:before="106"/>
        <w:ind w:right="1116" w:firstLine="360"/>
        <w:jc w:val="left"/>
        <w:rPr>
          <w:rFonts w:ascii="宋体" w:hAnsi="宋体" w:cs="宋体" w:eastAsia="宋体" w:hint="default"/>
        </w:rPr>
      </w:pPr>
      <w:r>
        <w:rPr>
          <w:rFonts w:ascii="宋体" w:hAnsi="宋体" w:cs="宋体" w:eastAsia="宋体" w:hint="default"/>
          <w:sz w:val="21"/>
          <w:szCs w:val="21"/>
        </w:rPr>
        <w:t>1)</w:t>
      </w:r>
      <w:r>
        <w:rPr>
          <w:rFonts w:ascii="宋体" w:hAnsi="宋体" w:cs="宋体" w:eastAsia="宋体" w:hint="default"/>
          <w:spacing w:val="-37"/>
          <w:sz w:val="21"/>
          <w:szCs w:val="21"/>
        </w:rPr>
        <w:t> </w:t>
      </w:r>
      <w:r>
        <w:rPr/>
        <w:t>假设被评估单位持续性经营，并在经营范围、销售模式和渠道、管理层等影响到生产和经营的关键方面与目前情况 无重大变化。</w:t>
      </w:r>
      <w:r>
        <w:rPr>
          <w:rFonts w:ascii="宋体" w:hAnsi="宋体" w:cs="宋体" w:eastAsia="宋体" w:hint="default"/>
        </w:rPr>
        <w:t> </w:t>
      </w:r>
    </w:p>
    <w:p>
      <w:pPr>
        <w:pStyle w:val="BodyText"/>
        <w:spacing w:line="336" w:lineRule="auto" w:before="41"/>
        <w:ind w:right="1116" w:firstLine="360"/>
        <w:jc w:val="left"/>
        <w:rPr>
          <w:rFonts w:ascii="宋体" w:hAnsi="宋体" w:cs="宋体" w:eastAsia="宋体" w:hint="default"/>
        </w:rPr>
      </w:pPr>
      <w:r>
        <w:rPr>
          <w:rFonts w:ascii="宋体" w:hAnsi="宋体" w:cs="宋体" w:eastAsia="宋体" w:hint="default"/>
          <w:sz w:val="21"/>
          <w:szCs w:val="21"/>
        </w:rPr>
        <w:t>2)</w:t>
      </w:r>
      <w:r>
        <w:rPr>
          <w:rFonts w:ascii="宋体" w:hAnsi="宋体" w:cs="宋体" w:eastAsia="宋体" w:hint="default"/>
          <w:spacing w:val="-37"/>
          <w:sz w:val="21"/>
          <w:szCs w:val="21"/>
        </w:rPr>
        <w:t> </w:t>
      </w:r>
      <w:r>
        <w:rPr/>
        <w:t>假设被评估单位所处的社会经济环境不产生较大的变化，国家及公司所在的地区有关法律、法规、政策与现时无重 大变化。</w:t>
      </w:r>
      <w:r>
        <w:rPr>
          <w:rFonts w:ascii="宋体" w:hAnsi="宋体" w:cs="宋体" w:eastAsia="宋体" w:hint="default"/>
        </w:rPr>
        <w:t> </w:t>
      </w:r>
    </w:p>
    <w:p>
      <w:pPr>
        <w:pStyle w:val="BodyText"/>
        <w:spacing w:line="240" w:lineRule="auto" w:before="39"/>
        <w:ind w:left="513" w:right="0"/>
        <w:jc w:val="left"/>
        <w:rPr>
          <w:rFonts w:ascii="宋体" w:hAnsi="宋体" w:cs="宋体" w:eastAsia="宋体" w:hint="default"/>
        </w:rPr>
      </w:pPr>
      <w:r>
        <w:rPr>
          <w:rFonts w:ascii="宋体" w:hAnsi="宋体" w:cs="宋体" w:eastAsia="宋体" w:hint="default"/>
          <w:sz w:val="21"/>
          <w:szCs w:val="21"/>
        </w:rPr>
        <w:t>3)</w:t>
      </w:r>
      <w:r>
        <w:rPr>
          <w:rFonts w:ascii="宋体" w:hAnsi="宋体" w:cs="宋体" w:eastAsia="宋体" w:hint="default"/>
          <w:spacing w:val="-1"/>
          <w:sz w:val="21"/>
          <w:szCs w:val="21"/>
        </w:rPr>
        <w:t> </w:t>
      </w:r>
      <w:r>
        <w:rPr/>
        <w:t>假设被评估单位在现有的管理方式和管理水平的基础上，经营范围、方式与目前方向保持一致。</w:t>
      </w:r>
      <w:r>
        <w:rPr>
          <w:rFonts w:ascii="宋体" w:hAnsi="宋体" w:cs="宋体" w:eastAsia="宋体" w:hint="default"/>
        </w:rPr>
        <w:t> </w:t>
      </w:r>
    </w:p>
    <w:p>
      <w:pPr>
        <w:pStyle w:val="BodyText"/>
        <w:spacing w:line="240" w:lineRule="auto" w:before="104"/>
        <w:ind w:left="513" w:right="0"/>
        <w:jc w:val="left"/>
        <w:rPr>
          <w:rFonts w:ascii="宋体" w:hAnsi="宋体" w:cs="宋体" w:eastAsia="宋体" w:hint="default"/>
        </w:rPr>
      </w:pPr>
      <w:r>
        <w:rPr>
          <w:rFonts w:ascii="宋体" w:hAnsi="宋体" w:cs="宋体" w:eastAsia="宋体" w:hint="default"/>
          <w:w w:val="100"/>
          <w:sz w:val="21"/>
          <w:szCs w:val="21"/>
        </w:rPr>
        <w:t>4)</w:t>
      </w:r>
      <w:r>
        <w:rPr>
          <w:rFonts w:ascii="宋体" w:hAnsi="宋体" w:cs="宋体" w:eastAsia="宋体" w:hint="default"/>
          <w:spacing w:val="-3"/>
          <w:w w:val="100"/>
          <w:sz w:val="21"/>
          <w:szCs w:val="21"/>
        </w:rPr>
        <w:t> </w:t>
      </w:r>
      <w:r>
        <w:rPr/>
        <w:t>假设被评估单位在未来预测期内的主要游戏产品能够按照企业的计划时间推出</w:t>
      </w:r>
      <w:r>
        <w:rPr>
          <w:spacing w:val="-63"/>
        </w:rPr>
        <w:t>，</w:t>
      </w:r>
      <w:r>
        <w:rPr/>
        <w:t>现有游戏的更新</w:t>
      </w:r>
      <w:r>
        <w:rPr>
          <w:spacing w:val="-63"/>
        </w:rPr>
        <w:t>、</w:t>
      </w:r>
      <w:r>
        <w:rPr/>
        <w:t>升级能如期实现</w:t>
      </w:r>
      <w:r>
        <w:rPr>
          <w:spacing w:val="-91"/>
        </w:rPr>
        <w:t>。</w:t>
      </w:r>
      <w:r>
        <w:rPr>
          <w:rFonts w:ascii="宋体" w:hAnsi="宋体" w:cs="宋体" w:eastAsia="宋体" w:hint="default"/>
        </w:rPr>
        <w:t> </w:t>
      </w:r>
    </w:p>
    <w:p>
      <w:pPr>
        <w:pStyle w:val="BodyText"/>
        <w:spacing w:line="240" w:lineRule="auto" w:before="106"/>
        <w:ind w:left="513" w:right="0"/>
        <w:jc w:val="left"/>
        <w:rPr>
          <w:rFonts w:ascii="宋体" w:hAnsi="宋体" w:cs="宋体" w:eastAsia="宋体" w:hint="default"/>
        </w:rPr>
      </w:pPr>
      <w:r>
        <w:rPr>
          <w:rFonts w:ascii="宋体" w:hAnsi="宋体" w:cs="宋体" w:eastAsia="宋体" w:hint="default"/>
          <w:sz w:val="21"/>
          <w:szCs w:val="21"/>
        </w:rPr>
        <w:t>5)</w:t>
      </w:r>
      <w:r>
        <w:rPr>
          <w:rFonts w:ascii="宋体" w:hAnsi="宋体" w:cs="宋体" w:eastAsia="宋体" w:hint="default"/>
          <w:spacing w:val="-2"/>
          <w:sz w:val="21"/>
          <w:szCs w:val="21"/>
        </w:rPr>
        <w:t> </w:t>
      </w:r>
      <w:r>
        <w:rPr/>
        <w:t>假设利率、汇率、赋税基准及税率，在国家规定的正常范围内无重大变化等。</w:t>
      </w:r>
      <w:r>
        <w:rPr>
          <w:rFonts w:ascii="宋体" w:hAnsi="宋体" w:cs="宋体" w:eastAsia="宋体" w:hint="default"/>
        </w:rPr>
        <w:t> </w:t>
      </w:r>
    </w:p>
    <w:p>
      <w:pPr>
        <w:spacing w:before="105"/>
        <w:ind w:left="513" w:right="0" w:firstLine="0"/>
        <w:jc w:val="left"/>
        <w:rPr>
          <w:rFonts w:ascii="宋体" w:hAnsi="宋体" w:cs="宋体" w:eastAsia="宋体" w:hint="default"/>
          <w:sz w:val="18"/>
          <w:szCs w:val="18"/>
        </w:rPr>
      </w:pPr>
      <w:r>
        <w:rPr>
          <w:rFonts w:ascii="宋体" w:hAnsi="宋体" w:cs="宋体" w:eastAsia="宋体" w:hint="default"/>
          <w:sz w:val="21"/>
          <w:szCs w:val="21"/>
        </w:rPr>
        <w:t>②</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18"/>
          <w:szCs w:val="18"/>
        </w:rPr>
        <w:t>关键参数</w:t>
      </w:r>
      <w:r>
        <w:rPr>
          <w:rFonts w:ascii="宋体" w:hAnsi="宋体" w:cs="宋体" w:eastAsia="宋体" w:hint="default"/>
          <w:sz w:val="18"/>
          <w:szCs w:val="18"/>
        </w:rPr>
        <w:t> </w:t>
      </w:r>
    </w:p>
    <w:p>
      <w:pPr>
        <w:spacing w:line="240" w:lineRule="auto" w:before="12"/>
        <w:rPr>
          <w:rFonts w:ascii="宋体" w:hAnsi="宋体" w:cs="宋体" w:eastAsia="宋体" w:hint="default"/>
          <w:sz w:val="10"/>
          <w:szCs w:val="10"/>
        </w:rPr>
      </w:pPr>
    </w:p>
    <w:tbl>
      <w:tblPr>
        <w:tblW w:w="0" w:type="auto"/>
        <w:jc w:val="left"/>
        <w:tblInd w:w="152" w:type="dxa"/>
        <w:tblLayout w:type="fixed"/>
        <w:tblCellMar>
          <w:top w:w="0" w:type="dxa"/>
          <w:left w:w="0" w:type="dxa"/>
          <w:bottom w:w="0" w:type="dxa"/>
          <w:right w:w="0" w:type="dxa"/>
        </w:tblCellMar>
        <w:tblLook w:val="01E0"/>
      </w:tblPr>
      <w:tblGrid>
        <w:gridCol w:w="939"/>
        <w:gridCol w:w="2216"/>
        <w:gridCol w:w="1385"/>
        <w:gridCol w:w="1248"/>
        <w:gridCol w:w="1661"/>
        <w:gridCol w:w="2182"/>
      </w:tblGrid>
      <w:tr>
        <w:trPr>
          <w:trHeight w:val="1058"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w:t>
            </w:r>
            <w:r>
              <w:rPr>
                <w:rFonts w:ascii="宋体" w:hAnsi="宋体" w:cs="宋体" w:eastAsia="宋体" w:hint="default"/>
                <w:sz w:val="18"/>
                <w:szCs w:val="18"/>
              </w:rPr>
            </w:r>
            <w:r>
              <w:rPr>
                <w:rFonts w:ascii="宋体" w:hAnsi="宋体" w:cs="宋体" w:eastAsia="宋体" w:hint="default"/>
                <w:sz w:val="18"/>
                <w:szCs w:val="18"/>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预测期</w:t>
            </w:r>
            <w:r>
              <w:rPr>
                <w:rFonts w:ascii="宋体" w:hAnsi="宋体" w:cs="宋体" w:eastAsia="宋体" w:hint="default"/>
                <w:sz w:val="18"/>
                <w:szCs w:val="18"/>
              </w:rPr>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预测期增长率</w:t>
            </w:r>
            <w:r>
              <w:rPr>
                <w:rFonts w:ascii="宋体" w:hAnsi="宋体" w:cs="宋体" w:eastAsia="宋体" w:hint="default"/>
                <w:sz w:val="18"/>
                <w:szCs w:val="18"/>
              </w:rPr>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稳定期增长</w:t>
            </w:r>
            <w:r>
              <w:rPr>
                <w:rFonts w:ascii="宋体" w:hAnsi="宋体" w:cs="宋体" w:eastAsia="宋体" w:hint="default"/>
                <w:sz w:val="18"/>
                <w:szCs w:val="18"/>
              </w:rPr>
            </w:r>
          </w:p>
          <w:p>
            <w:pPr>
              <w:pStyle w:val="TableParagraph"/>
              <w:spacing w:line="240" w:lineRule="auto" w:before="115"/>
              <w:ind w:left="8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率</w:t>
            </w:r>
            <w:r>
              <w:rPr>
                <w:rFonts w:ascii="宋体" w:hAnsi="宋体" w:cs="宋体" w:eastAsia="宋体" w:hint="default"/>
                <w:sz w:val="18"/>
                <w:szCs w:val="18"/>
              </w:rPr>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利润率</w:t>
            </w:r>
            <w:r>
              <w:rPr>
                <w:rFonts w:ascii="宋体" w:hAnsi="宋体" w:cs="宋体" w:eastAsia="宋体" w:hint="default"/>
                <w:sz w:val="18"/>
                <w:szCs w:val="18"/>
              </w:rPr>
            </w:r>
            <w:r>
              <w:rPr>
                <w:rFonts w:ascii="宋体" w:hAnsi="宋体" w:cs="宋体" w:eastAsia="宋体" w:hint="default"/>
                <w:sz w:val="18"/>
                <w:szCs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折现率</w:t>
            </w:r>
            <w:r>
              <w:rPr>
                <w:rFonts w:ascii="宋体" w:hAnsi="宋体" w:cs="宋体" w:eastAsia="宋体" w:hint="default"/>
                <w:sz w:val="18"/>
                <w:szCs w:val="18"/>
              </w:rPr>
            </w:r>
            <w:r>
              <w:rPr>
                <w:rFonts w:ascii="宋体" w:hAnsi="宋体" w:cs="宋体" w:eastAsia="宋体" w:hint="default"/>
                <w:sz w:val="18"/>
                <w:szCs w:val="18"/>
              </w:rPr>
              <w:t> </w:t>
            </w:r>
          </w:p>
          <w:p>
            <w:pPr>
              <w:pStyle w:val="TableParagraph"/>
              <w:spacing w:line="357" w:lineRule="auto" w:before="115"/>
              <w:ind w:left="322" w:right="31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加权平均资本成本</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WACC)</w:t>
            </w:r>
            <w:r>
              <w:rPr>
                <w:rFonts w:ascii="宋体" w:hAnsi="宋体" w:cs="宋体" w:eastAsia="宋体" w:hint="default"/>
                <w:sz w:val="18"/>
                <w:szCs w:val="18"/>
              </w:rPr>
              <w:t> </w:t>
            </w:r>
          </w:p>
        </w:tc>
      </w:tr>
      <w:tr>
        <w:trPr>
          <w:trHeight w:val="36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中汇同盈</w:t>
            </w:r>
            <w:r>
              <w:rPr>
                <w:rFonts w:ascii="宋体" w:hAnsi="宋体" w:cs="宋体" w:eastAsia="宋体" w:hint="default"/>
                <w:sz w:val="18"/>
                <w:szCs w:val="18"/>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6"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哆可梦</w:t>
            </w:r>
            <w:r>
              <w:rPr>
                <w:rFonts w:ascii="宋体" w:hAnsi="宋体" w:cs="宋体" w:eastAsia="宋体" w:hint="default"/>
                <w:sz w:val="18"/>
                <w:szCs w:val="18"/>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pacing w:val="-47"/>
                <w:sz w:val="18"/>
                <w:szCs w:val="18"/>
              </w:rPr>
              <w:t> </w:t>
            </w:r>
            <w:r>
              <w:rPr>
                <w:rFonts w:ascii="宋体" w:hAnsi="宋体" w:cs="宋体" w:eastAsia="宋体" w:hint="default"/>
                <w:sz w:val="18"/>
                <w:szCs w:val="18"/>
              </w:rPr>
              <w:t>年为增长期</w:t>
            </w:r>
            <w:r>
              <w:rPr>
                <w:rFonts w:ascii="宋体" w:hAnsi="宋体" w:cs="宋体" w:eastAsia="宋体" w:hint="default"/>
                <w:sz w:val="18"/>
                <w:szCs w:val="18"/>
              </w:rPr>
              <w:t> </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之后年度为稳定期</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8.55%-20.67%</w:t>
            </w:r>
            <w:r>
              <w:rPr>
                <w:rFonts w:ascii="宋体"/>
                <w:sz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根据预测的收入、</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成本、费用等计算</w:t>
            </w:r>
            <w:r>
              <w:rPr>
                <w:rFonts w:ascii="宋体" w:hAnsi="宋体" w:cs="宋体" w:eastAsia="宋体" w:hint="default"/>
                <w:sz w:val="18"/>
                <w:szCs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14.18%</w:t>
            </w:r>
            <w:r>
              <w:rPr>
                <w:rFonts w:ascii="宋体"/>
                <w:sz w:val="18"/>
              </w:rPr>
              <w:t> </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商誉减值测试的影响</w:t>
      </w:r>
    </w:p>
    <w:p>
      <w:pPr>
        <w:pStyle w:val="BodyText"/>
        <w:spacing w:line="240" w:lineRule="auto" w:before="115"/>
        <w:ind w:left="513" w:right="0"/>
        <w:jc w:val="left"/>
      </w:pPr>
      <w:r>
        <w:rPr>
          <w:rFonts w:ascii="Times New Roman" w:hAnsi="Times New Roman" w:cs="Times New Roman" w:eastAsia="Times New Roman" w:hint="default"/>
        </w:rPr>
        <w:t>1</w:t>
      </w:r>
      <w:r>
        <w:rPr/>
        <w:t>）经测试，公司收购中汇同盈形成的商誉本期不存在减值。</w:t>
      </w:r>
    </w:p>
    <w:p>
      <w:pPr>
        <w:pStyle w:val="BodyText"/>
        <w:spacing w:line="240" w:lineRule="auto" w:before="63"/>
        <w:ind w:left="513" w:right="0"/>
        <w:jc w:val="left"/>
      </w:pPr>
      <w:r>
        <w:rPr>
          <w:rFonts w:ascii="Times New Roman" w:hAnsi="Times New Roman" w:cs="Times New Roman" w:eastAsia="Times New Roman" w:hint="default"/>
        </w:rPr>
        <w:t>2</w:t>
      </w:r>
      <w:r>
        <w:rPr/>
        <w:t>）哆可梦业绩承诺完成情况：</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877"/>
        <w:gridCol w:w="1505"/>
        <w:gridCol w:w="5975"/>
      </w:tblGrid>
      <w:tr>
        <w:trPr>
          <w:trHeight w:val="34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对赌期</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承诺金额</w:t>
            </w:r>
          </w:p>
        </w:tc>
        <w:tc>
          <w:tcPr>
            <w:tcW w:w="5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实现金额</w:t>
            </w:r>
            <w:r>
              <w:rPr>
                <w:rFonts w:ascii="Times New Roman" w:hAnsi="Times New Roman" w:cs="Times New Roman" w:eastAsia="Times New Roman" w:hint="default"/>
                <w:sz w:val="18"/>
                <w:szCs w:val="18"/>
              </w:rPr>
              <w:t>(</w:t>
            </w:r>
            <w:r>
              <w:rPr>
                <w:rFonts w:ascii="宋体" w:hAnsi="宋体" w:cs="宋体" w:eastAsia="宋体" w:hint="default"/>
                <w:sz w:val="18"/>
                <w:szCs w:val="18"/>
              </w:rPr>
              <w:t>扣除非经常性损益</w:t>
            </w:r>
            <w:r>
              <w:rPr>
                <w:rFonts w:ascii="Times New Roman" w:hAnsi="Times New Roman" w:cs="Times New Roman" w:eastAsia="Times New Roman" w:hint="default"/>
                <w:sz w:val="18"/>
                <w:szCs w:val="18"/>
              </w:rPr>
              <w:t>)</w:t>
            </w:r>
          </w:p>
        </w:tc>
      </w:tr>
      <w:tr>
        <w:trPr>
          <w:trHeight w:val="34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24,500</w:t>
            </w:r>
            <w:r>
              <w:rPr>
                <w:rFonts w:ascii="宋体" w:hAnsi="宋体" w:cs="宋体" w:eastAsia="宋体" w:hint="default"/>
                <w:sz w:val="18"/>
                <w:szCs w:val="18"/>
              </w:rPr>
              <w:t>万元</w:t>
            </w:r>
          </w:p>
        </w:tc>
        <w:tc>
          <w:tcPr>
            <w:tcW w:w="5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25,385.51</w:t>
            </w:r>
            <w:r>
              <w:rPr>
                <w:rFonts w:ascii="宋体" w:hAnsi="宋体" w:cs="宋体" w:eastAsia="宋体" w:hint="default"/>
                <w:sz w:val="18"/>
                <w:szCs w:val="18"/>
              </w:rPr>
              <w:t>万元</w:t>
            </w:r>
          </w:p>
        </w:tc>
      </w:tr>
    </w:tbl>
    <w:p>
      <w:pPr>
        <w:pStyle w:val="BodyText"/>
        <w:spacing w:line="300" w:lineRule="auto" w:before="8"/>
        <w:ind w:right="1228" w:firstLine="360"/>
        <w:jc w:val="both"/>
      </w:pPr>
      <w:r>
        <w:rPr/>
        <w:t>根据天津华夏金信资产评估有限公司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日出具的华夏金信评报字</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rFonts w:ascii="Times New Roman" w:hAnsi="Times New Roman" w:cs="Times New Roman" w:eastAsia="Times New Roman" w:hint="default"/>
        </w:rPr>
        <w:t>055</w:t>
      </w:r>
      <w:r>
        <w:rPr/>
        <w:t>号《深圳市惠程信息科技股份有 限公司拟进行商誉减值测试涉及的成都哆可梦网络科技有限公司资产组可回收价值资产评估报告》的评估结果，截至</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日，哆可梦收购时形成的商誉相关资产组的账面价值为</w:t>
      </w:r>
      <w:r>
        <w:rPr>
          <w:rFonts w:ascii="Times New Roman" w:hAnsi="Times New Roman" w:cs="Times New Roman" w:eastAsia="Times New Roman" w:hint="default"/>
        </w:rPr>
        <w:t>61,835.72</w:t>
      </w:r>
      <w:r>
        <w:rPr/>
        <w:t>万元，包含未确认归属于少数股东权益的商誉价 值为</w:t>
      </w:r>
      <w:r>
        <w:rPr>
          <w:rFonts w:ascii="Times New Roman" w:hAnsi="Times New Roman" w:cs="Times New Roman" w:eastAsia="Times New Roman" w:hint="default"/>
        </w:rPr>
        <w:t>157,308.30</w:t>
      </w:r>
      <w:r>
        <w:rPr/>
        <w:t>万元，合计</w:t>
      </w:r>
      <w:r>
        <w:rPr>
          <w:rFonts w:ascii="Times New Roman" w:hAnsi="Times New Roman" w:cs="Times New Roman" w:eastAsia="Times New Roman" w:hint="default"/>
        </w:rPr>
        <w:t>219,144.02</w:t>
      </w:r>
      <w:r>
        <w:rPr/>
        <w:t>万元，商誉资产组可收回金额为</w:t>
      </w:r>
      <w:r>
        <w:rPr>
          <w:rFonts w:ascii="Times New Roman" w:hAnsi="Times New Roman" w:cs="Times New Roman" w:eastAsia="Times New Roman" w:hint="default"/>
        </w:rPr>
        <w:t>338,540.00</w:t>
      </w:r>
      <w:r>
        <w:rPr/>
        <w:t>万元。</w:t>
      </w:r>
    </w:p>
    <w:p>
      <w:pPr>
        <w:pStyle w:val="BodyText"/>
        <w:spacing w:line="316" w:lineRule="auto" w:before="13"/>
        <w:ind w:right="5714" w:firstLine="360"/>
        <w:jc w:val="left"/>
        <w:rPr>
          <w:rFonts w:ascii="宋体" w:hAnsi="宋体" w:cs="宋体" w:eastAsia="宋体" w:hint="default"/>
        </w:rPr>
      </w:pPr>
      <w:r>
        <w:rPr/>
        <w:t>经测试，公司收购哆可梦形成的商誉本期不存在减值。</w:t>
      </w:r>
      <w:r>
        <w:rPr>
          <w:rFonts w:ascii="宋体" w:hAnsi="宋体" w:cs="宋体" w:eastAsia="宋体" w:hint="default"/>
        </w:rPr>
        <w:t> </w:t>
      </w:r>
      <w:r>
        <w:rPr/>
        <w:t>其他说明：</w:t>
      </w:r>
      <w:r>
        <w:rPr>
          <w:rFonts w:ascii="宋体" w:hAnsi="宋体" w:cs="宋体" w:eastAsia="宋体" w:hint="default"/>
        </w:rPr>
        <w:t> </w:t>
      </w:r>
    </w:p>
    <w:p>
      <w:pPr>
        <w:pStyle w:val="BodyText"/>
        <w:spacing w:line="214" w:lineRule="exact"/>
        <w:ind w:left="513" w:right="0"/>
        <w:jc w:val="left"/>
      </w:pPr>
      <w:r>
        <w:rPr/>
        <w:t>公司期末对与商誉相关的各资产组进行了减值测试，调整各资产组的账面价值，然后将调整后的各资产组账面价值与其</w:t>
      </w:r>
    </w:p>
    <w:p>
      <w:pPr>
        <w:pStyle w:val="BodyText"/>
        <w:spacing w:line="357" w:lineRule="auto" w:before="115"/>
        <w:ind w:right="6254"/>
        <w:jc w:val="left"/>
      </w:pPr>
      <w:r>
        <w:rPr/>
        <w:t>可收回金额进行比较，以确定各资产组是否发生了减值。 商誉减值测试情况如下：</w:t>
      </w:r>
    </w:p>
    <w:p>
      <w:pPr>
        <w:pStyle w:val="BodyText"/>
        <w:spacing w:line="240" w:lineRule="auto" w:before="26"/>
        <w:ind w:left="0" w:right="1131"/>
        <w:jc w:val="right"/>
      </w:pPr>
      <w:r>
        <w:rPr/>
        <w:t>单位：元</w:t>
      </w:r>
    </w:p>
    <w:p>
      <w:pPr>
        <w:spacing w:line="240" w:lineRule="auto" w:before="4"/>
        <w:rPr>
          <w:rFonts w:ascii="宋体" w:hAnsi="宋体" w:cs="宋体" w:eastAsia="宋体"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5533"/>
        <w:gridCol w:w="1358"/>
        <w:gridCol w:w="2739"/>
      </w:tblGrid>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1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中汇同盈</w:t>
            </w:r>
            <w:r>
              <w:rPr>
                <w:rFonts w:ascii="宋体" w:hAnsi="宋体" w:cs="宋体" w:eastAsia="宋体" w:hint="default"/>
                <w:sz w:val="18"/>
                <w:szCs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哆可梦</w:t>
            </w:r>
            <w:r>
              <w:rPr>
                <w:rFonts w:ascii="宋体" w:hAnsi="宋体" w:cs="宋体" w:eastAsia="宋体" w:hint="default"/>
                <w:sz w:val="18"/>
                <w:szCs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Times New Roman" w:hAnsi="Times New Roman" w:cs="Times New Roman" w:eastAsia="Times New Roman" w:hint="default"/>
                <w:sz w:val="18"/>
                <w:szCs w:val="18"/>
              </w:rPr>
            </w:pPr>
            <w:r>
              <w:rPr>
                <w:rFonts w:ascii="Times New Roman"/>
                <w:spacing w:val="-1"/>
                <w:w w:val="90"/>
                <w:sz w:val="18"/>
              </w:rPr>
              <w:t>359,972.58</w:t>
            </w:r>
            <w:r>
              <w:rPr>
                <w:rFonts w:ascii="Times New Roman"/>
                <w:spacing w:val="-1"/>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2"/>
              <w:jc w:val="right"/>
              <w:rPr>
                <w:rFonts w:ascii="Times New Roman" w:hAnsi="Times New Roman" w:cs="Times New Roman" w:eastAsia="Times New Roman" w:hint="default"/>
                <w:sz w:val="18"/>
                <w:szCs w:val="18"/>
              </w:rPr>
            </w:pPr>
            <w:r>
              <w:rPr>
                <w:rFonts w:ascii="Times New Roman"/>
                <w:spacing w:val="-1"/>
                <w:w w:val="90"/>
                <w:sz w:val="18"/>
              </w:rPr>
              <w:t>1,220,240,489.40</w:t>
            </w:r>
            <w:r>
              <w:rPr>
                <w:rFonts w:ascii="Times New Roman"/>
                <w:spacing w:val="-1"/>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Times New Roman" w:hAnsi="Times New Roman" w:cs="Times New Roman" w:eastAsia="Times New Roman" w:hint="default"/>
                <w:sz w:val="18"/>
                <w:szCs w:val="18"/>
              </w:rPr>
            </w:pPr>
            <w:r>
              <w:rPr>
                <w:rFonts w:ascii="Times New Roman"/>
                <w:spacing w:val="-1"/>
                <w:w w:val="90"/>
                <w:sz w:val="18"/>
              </w:rPr>
              <w:t>359,972.58</w:t>
            </w:r>
            <w:r>
              <w:rPr>
                <w:rFonts w:ascii="Times New Roman"/>
                <w:spacing w:val="-1"/>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2"/>
              <w:jc w:val="right"/>
              <w:rPr>
                <w:rFonts w:ascii="Times New Roman" w:hAnsi="Times New Roman" w:cs="Times New Roman" w:eastAsia="Times New Roman" w:hint="default"/>
                <w:sz w:val="18"/>
                <w:szCs w:val="18"/>
              </w:rPr>
            </w:pPr>
            <w:r>
              <w:rPr>
                <w:rFonts w:ascii="Times New Roman"/>
                <w:spacing w:val="-1"/>
                <w:w w:val="90"/>
                <w:sz w:val="18"/>
              </w:rPr>
              <w:t>1,220,240,489.40</w:t>
            </w:r>
            <w:r>
              <w:rPr>
                <w:rFonts w:ascii="Times New Roman"/>
                <w:spacing w:val="-1"/>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1"/>
              <w:jc w:val="right"/>
              <w:rPr>
                <w:rFonts w:ascii="Times New Roman" w:hAnsi="Times New Roman" w:cs="Times New Roman" w:eastAsia="Times New Roman" w:hint="default"/>
                <w:sz w:val="18"/>
                <w:szCs w:val="18"/>
              </w:rPr>
            </w:pPr>
            <w:r>
              <w:rPr>
                <w:rFonts w:ascii="Times New Roman"/>
                <w:spacing w:val="-1"/>
                <w:w w:val="90"/>
                <w:sz w:val="18"/>
              </w:rPr>
              <w:t>352,842,518.72</w:t>
            </w:r>
            <w:r>
              <w:rPr>
                <w:rFonts w:ascii="Times New Roman"/>
                <w:spacing w:val="-1"/>
                <w:sz w:val="18"/>
              </w:rPr>
            </w:r>
          </w:p>
        </w:tc>
      </w:tr>
    </w:tbl>
    <w:p>
      <w:pPr>
        <w:spacing w:after="0" w:line="192" w:lineRule="exact"/>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5533"/>
        <w:gridCol w:w="1358"/>
        <w:gridCol w:w="2739"/>
      </w:tblGrid>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Times New Roman" w:hAnsi="Times New Roman" w:cs="Times New Roman" w:eastAsia="Times New Roman" w:hint="default"/>
                <w:sz w:val="18"/>
                <w:szCs w:val="18"/>
              </w:rPr>
            </w:pPr>
            <w:r>
              <w:rPr>
                <w:rFonts w:ascii="Times New Roman"/>
                <w:spacing w:val="-1"/>
                <w:w w:val="90"/>
                <w:sz w:val="18"/>
              </w:rPr>
              <w:t>359,972.58</w:t>
            </w:r>
            <w:r>
              <w:rPr>
                <w:rFonts w:ascii="Times New Roman"/>
                <w:spacing w:val="-1"/>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2"/>
              <w:jc w:val="right"/>
              <w:rPr>
                <w:rFonts w:ascii="Times New Roman" w:hAnsi="Times New Roman" w:cs="Times New Roman" w:eastAsia="Times New Roman" w:hint="default"/>
                <w:sz w:val="18"/>
                <w:szCs w:val="18"/>
              </w:rPr>
            </w:pPr>
            <w:r>
              <w:rPr>
                <w:rFonts w:ascii="Times New Roman"/>
                <w:spacing w:val="-1"/>
                <w:w w:val="90"/>
                <w:sz w:val="18"/>
              </w:rPr>
              <w:t>1,573,083,008.12</w:t>
            </w:r>
            <w:r>
              <w:rPr>
                <w:rFonts w:ascii="Times New Roman"/>
                <w:spacing w:val="-1"/>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Times New Roman" w:hAnsi="Times New Roman" w:cs="Times New Roman" w:eastAsia="Times New Roman" w:hint="default"/>
                <w:sz w:val="18"/>
                <w:szCs w:val="18"/>
              </w:rPr>
            </w:pPr>
            <w:r>
              <w:rPr>
                <w:rFonts w:ascii="Times New Roman"/>
                <w:spacing w:val="-1"/>
                <w:w w:val="90"/>
                <w:sz w:val="18"/>
              </w:rPr>
              <w:t>618,357,219.70</w:t>
            </w:r>
            <w:r>
              <w:rPr>
                <w:rFonts w:ascii="Times New Roman"/>
                <w:spacing w:val="-1"/>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Times New Roman" w:hAnsi="Times New Roman" w:cs="Times New Roman" w:eastAsia="Times New Roman" w:hint="default"/>
                <w:sz w:val="18"/>
                <w:szCs w:val="18"/>
              </w:rPr>
            </w:pPr>
            <w:r>
              <w:rPr>
                <w:rFonts w:ascii="Times New Roman"/>
                <w:spacing w:val="-1"/>
                <w:w w:val="90"/>
                <w:sz w:val="18"/>
              </w:rPr>
              <w:t>359,972.58</w:t>
            </w:r>
            <w:r>
              <w:rPr>
                <w:rFonts w:ascii="Times New Roman"/>
                <w:spacing w:val="-1"/>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2"/>
              <w:jc w:val="right"/>
              <w:rPr>
                <w:rFonts w:ascii="Times New Roman" w:hAnsi="Times New Roman" w:cs="Times New Roman" w:eastAsia="Times New Roman" w:hint="default"/>
                <w:sz w:val="18"/>
                <w:szCs w:val="18"/>
              </w:rPr>
            </w:pPr>
            <w:r>
              <w:rPr>
                <w:rFonts w:ascii="Times New Roman"/>
                <w:spacing w:val="-1"/>
                <w:w w:val="90"/>
                <w:sz w:val="18"/>
              </w:rPr>
              <w:t>2,191,440,227.82</w:t>
            </w:r>
            <w:r>
              <w:rPr>
                <w:rFonts w:ascii="Times New Roman"/>
                <w:spacing w:val="-1"/>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w:t>
            </w:r>
            <w:r>
              <w:rPr>
                <w:rFonts w:ascii="Times New Roman" w:hAnsi="Times New Roman" w:cs="Times New Roman" w:eastAsia="Times New Roman" w:hint="default"/>
                <w:sz w:val="18"/>
                <w:szCs w:val="18"/>
              </w:rPr>
              <w:t>(</w:t>
            </w:r>
            <w:r>
              <w:rPr>
                <w:rFonts w:ascii="宋体" w:hAnsi="宋体" w:cs="宋体" w:eastAsia="宋体" w:hint="default"/>
                <w:sz w:val="18"/>
                <w:szCs w:val="18"/>
              </w:rPr>
              <w:t>可收回金额</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Times New Roman" w:hAnsi="Times New Roman" w:cs="Times New Roman" w:eastAsia="Times New Roman" w:hint="default"/>
                <w:sz w:val="18"/>
                <w:szCs w:val="18"/>
              </w:rPr>
            </w:pPr>
            <w:r>
              <w:rPr>
                <w:rFonts w:ascii="Times New Roman"/>
                <w:spacing w:val="-1"/>
                <w:w w:val="90"/>
                <w:sz w:val="18"/>
              </w:rPr>
              <w:t>360,000.00</w:t>
            </w:r>
            <w:r>
              <w:rPr>
                <w:rFonts w:ascii="Times New Roman"/>
                <w:spacing w:val="-1"/>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2"/>
              <w:jc w:val="right"/>
              <w:rPr>
                <w:rFonts w:ascii="Times New Roman" w:hAnsi="Times New Roman" w:cs="Times New Roman" w:eastAsia="Times New Roman" w:hint="default"/>
                <w:sz w:val="18"/>
                <w:szCs w:val="18"/>
              </w:rPr>
            </w:pPr>
            <w:r>
              <w:rPr>
                <w:rFonts w:ascii="Times New Roman"/>
                <w:spacing w:val="-1"/>
                <w:w w:val="90"/>
                <w:sz w:val="18"/>
              </w:rPr>
              <w:t>3,385,399,967.55</w:t>
            </w:r>
            <w:r>
              <w:rPr>
                <w:rFonts w:ascii="Times New Roman"/>
                <w:spacing w:val="-1"/>
                <w:sz w:val="18"/>
              </w:rPr>
            </w:r>
          </w:p>
        </w:tc>
      </w:tr>
      <w:tr>
        <w:trPr>
          <w:trHeight w:val="360"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r>
              <w:rPr>
                <w:rFonts w:ascii="宋体" w:hAnsi="宋体" w:cs="宋体" w:eastAsia="宋体" w:hint="default"/>
                <w:sz w:val="18"/>
                <w:szCs w:val="18"/>
              </w:rPr>
              <w:t>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券商持续督导费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1,984,931.53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497,260.25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1,487,671.28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10,377.26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代言费及版权金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8,151,191.79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16,610,727.29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6,782,246.98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17,979,672.10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房屋改造装修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20,399,705.20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794,619.36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20,324,880.66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62,716,721.42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3,924,796.50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58,791,924.92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10,877,616.20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99,727,153.91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12,010,243.89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98,594,526.22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68"/>
        <w:gridCol w:w="1561"/>
        <w:gridCol w:w="1913"/>
        <w:gridCol w:w="1916"/>
        <w:gridCol w:w="1913"/>
      </w:tblGrid>
      <w:tr>
        <w:trPr>
          <w:trHeight w:val="403"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52,370,963.55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7,421,094.59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53,616,431.51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7,890,180.41</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116,739,922.46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20,435,514.96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32,138,764.61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8,034,691.16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预提服务费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9,938,341.12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1,490,751.17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18,862,946.26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2,829,441.94</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预提的应付利息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15,252,374.80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2,287,856.22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20,007,928.85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3,001,189.33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固定资产累计折旧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201,739.75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1,513,807.61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378,451.90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196,017,149.29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32,043,929.80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124,626,071.23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21,755,502.84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68"/>
        <w:gridCol w:w="1561"/>
        <w:gridCol w:w="1913"/>
        <w:gridCol w:w="1916"/>
        <w:gridCol w:w="1913"/>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54,631,612.94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10,255,144.26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75,944,472.73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14,649,496.53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268"/>
        <w:gridCol w:w="1561"/>
        <w:gridCol w:w="1913"/>
        <w:gridCol w:w="1916"/>
        <w:gridCol w:w="1913"/>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未实现的理财收益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567,652.06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2,037,690.30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305,653.54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有限合伙企业的盈利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348,150.70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52,222.61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349,335.01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52,400.25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55,547,415.70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10,392,514.68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78,331,498.04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15,007,550.32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32,043,929.80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21,755,502.84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10,392,514.68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15,007,550.32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12,409,603.80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16,874,267.53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77,596,328.42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47,627,688.00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90,005,932.22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64,501,955.53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418,219.11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252,008.62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6,554,742.01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6,554,742.02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20,400,077.90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20,400,201.01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21,665,802.44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17,240,118.95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25,747,042.81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2,976,654.64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2,762,398.29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77,596,328.42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47,627,688.00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3,006,150.83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5,703,897.85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10,741,344.53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13,990,566.03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510,394.00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13,747,495.36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20,204,857.88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113,871,471.84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113,871,471.84</w:t>
            </w:r>
          </w:p>
        </w:tc>
      </w:tr>
    </w:tbl>
    <w:p>
      <w:pPr>
        <w:pStyle w:val="BodyText"/>
        <w:spacing w:line="240" w:lineRule="auto" w:before="49"/>
        <w:ind w:right="0"/>
        <w:jc w:val="left"/>
      </w:pPr>
      <w:r>
        <w:rPr/>
        <w:t>短期借款分类的说明：</w:t>
      </w:r>
    </w:p>
    <w:p>
      <w:pPr>
        <w:pStyle w:val="BodyText"/>
        <w:spacing w:line="300" w:lineRule="auto" w:before="115"/>
        <w:ind w:right="1289" w:firstLine="360"/>
        <w:jc w:val="left"/>
      </w:pPr>
      <w:r>
        <w:rPr/>
        <w:t>① 为支付收购哆可梦</w:t>
      </w:r>
      <w:r>
        <w:rPr>
          <w:rFonts w:ascii="Times New Roman" w:hAnsi="Times New Roman" w:cs="Times New Roman" w:eastAsia="Times New Roman" w:hint="default"/>
        </w:rPr>
        <w:t>77.57%</w:t>
      </w:r>
      <w:r>
        <w:rPr/>
        <w:t>股权的转让价款，</w:t>
      </w:r>
      <w:r>
        <w:rPr>
          <w:rFonts w:ascii="Times New Roman" w:hAnsi="Times New Roman" w:cs="Times New Roman" w:eastAsia="Times New Roman" w:hint="default"/>
        </w:rPr>
        <w:t>2017</w:t>
      </w:r>
      <w:r>
        <w:rPr/>
        <w:t>年公司向中航信托申请总金额不超过 </w:t>
      </w:r>
      <w:r>
        <w:rPr>
          <w:rFonts w:ascii="Times New Roman" w:hAnsi="Times New Roman" w:cs="Times New Roman" w:eastAsia="Times New Roman" w:hint="default"/>
        </w:rPr>
        <w:t>8.30</w:t>
      </w:r>
      <w:r>
        <w:rPr>
          <w:rFonts w:ascii="Times New Roman" w:hAnsi="Times New Roman" w:cs="Times New Roman" w:eastAsia="Times New Roman" w:hint="default"/>
          <w:spacing w:val="-11"/>
        </w:rPr>
        <w:t> </w:t>
      </w:r>
      <w:r>
        <w:rPr/>
        <w:t>亿元人民币的并购贷 款，并将公司持有的哆可梦</w:t>
      </w:r>
      <w:r>
        <w:rPr>
          <w:rFonts w:ascii="Times New Roman" w:hAnsi="Times New Roman" w:cs="Times New Roman" w:eastAsia="Times New Roman" w:hint="default"/>
        </w:rPr>
        <w:t>77.57%</w:t>
      </w:r>
      <w:r>
        <w:rPr/>
        <w:t>股权作为贷款担保。自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日起，该并购贷款合同项下后续发放的各笔贷款期 限为</w:t>
      </w:r>
      <w:r>
        <w:rPr>
          <w:rFonts w:ascii="Times New Roman" w:hAnsi="Times New Roman" w:cs="Times New Roman" w:eastAsia="Times New Roman" w:hint="default"/>
        </w:rPr>
        <w:t>12</w:t>
      </w:r>
      <w:r>
        <w:rPr/>
        <w:t>个月，分别自各笔贷款实际放款日开始计算。截止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日，本公司向中航信托申请信托并购贷款余额为 </w:t>
      </w:r>
      <w:r>
        <w:rPr>
          <w:rFonts w:ascii="Times New Roman" w:hAnsi="Times New Roman" w:cs="Times New Roman" w:eastAsia="Times New Roman" w:hint="default"/>
        </w:rPr>
        <w:t>250,000,000.00</w:t>
      </w:r>
      <w:r>
        <w:rPr/>
        <w:t>元。</w:t>
      </w:r>
    </w:p>
    <w:p>
      <w:pPr>
        <w:pStyle w:val="BodyText"/>
        <w:spacing w:line="312" w:lineRule="auto" w:before="54"/>
        <w:ind w:right="1214" w:firstLine="360"/>
        <w:jc w:val="left"/>
      </w:pPr>
      <w:r>
        <w:rPr/>
        <w:t>②</w:t>
      </w:r>
      <w:r>
        <w:rPr>
          <w:spacing w:val="-18"/>
        </w:rPr>
        <w:t> </w:t>
      </w:r>
      <w:r>
        <w:rPr/>
        <w:t>为满足公司生产经营需要，报告期内公司向华夏银行股份有限公司深圳前海分行申请不超过</w:t>
      </w:r>
      <w:r>
        <w:rPr>
          <w:rFonts w:ascii="Times New Roman" w:hAnsi="Times New Roman" w:cs="Times New Roman" w:eastAsia="Times New Roman" w:hint="default"/>
        </w:rPr>
        <w:t>300,000,000.00</w:t>
      </w:r>
      <w:r>
        <w:rPr/>
        <w:t>元综合 授信额度，授信期限为一年，以公司持有的位于深圳市坪山新区的房产作抵押担保，并由控股子公司哆可梦提供连带责任 保证担保，额度使用仅限于采购原材料及日常经营周转，贷款利率为贷款发放日的人民银行同档次贷款基准利率上浮 </w:t>
      </w:r>
      <w:r>
        <w:rPr>
          <w:rFonts w:ascii="Times New Roman" w:hAnsi="Times New Roman" w:cs="Times New Roman" w:eastAsia="Times New Roman" w:hint="default"/>
        </w:rPr>
        <w:t>45%</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日，报告期内公司向华夏银行股份有限公司深圳前海分行申请的贷款余额为</w:t>
      </w:r>
      <w:r>
        <w:rPr>
          <w:rFonts w:ascii="Times New Roman" w:hAnsi="Times New Roman" w:cs="Times New Roman" w:eastAsia="Times New Roman" w:hint="default"/>
        </w:rPr>
        <w:t>97,000,000.00</w:t>
      </w:r>
      <w:r>
        <w:rPr/>
        <w:t>元。</w:t>
      </w:r>
    </w:p>
    <w:p>
      <w:pPr>
        <w:pStyle w:val="BodyText"/>
        <w:spacing w:line="309" w:lineRule="auto" w:before="44"/>
        <w:ind w:right="1394" w:firstLine="360"/>
        <w:jc w:val="left"/>
      </w:pPr>
      <w:r>
        <w:rPr/>
        <w:t>③</w:t>
      </w:r>
      <w:r>
        <w:rPr>
          <w:spacing w:val="-19"/>
        </w:rPr>
        <w:t> </w:t>
      </w:r>
      <w:r>
        <w:rPr/>
        <w:t>为满足公司生产经营需要，公司向中国光大银行股份有限公司深圳分行申请不超过</w:t>
      </w:r>
      <w:r>
        <w:rPr>
          <w:rFonts w:ascii="Times New Roman" w:hAnsi="Times New Roman" w:cs="Times New Roman" w:eastAsia="Times New Roman" w:hint="default"/>
        </w:rPr>
        <w:t>100,000,000.00</w:t>
      </w:r>
      <w:r>
        <w:rPr/>
        <w:t>元综合授信额 度，授信期限为一年，由控股子公司哆可梦提供连带责任保证担保，该贷款的使用仅限于支付货款，贷款利率为固定利 率。截止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日，公司向中国光大银行股份有限公司深圳分行申请的贷款余额为</w:t>
      </w:r>
      <w:r>
        <w:rPr>
          <w:rFonts w:ascii="Times New Roman" w:hAnsi="Times New Roman" w:cs="Times New Roman" w:eastAsia="Times New Roman" w:hint="default"/>
        </w:rPr>
        <w:t>10,000,000.00</w:t>
      </w:r>
      <w:r>
        <w:rPr/>
        <w:t>元。</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、应付票据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7,864,014.68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15,473,263.87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31,064,301.95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27,328,388.68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38,928,316.63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42,801,652.55</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185,691,885.04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360,966,375.93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11,169,043.59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18,229,925.02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4,126,803.22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285,531.18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1,837,626.38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2,210,237.40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202,825,358.23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381,692,069.53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2199"/>
        <w:gridCol w:w="4184"/>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未达到协议约定的付款条件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4,187,130.52</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按照诉讼调解书，要求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月底之前付清</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4,103,828.03</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尚未对账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13,290,958.55</w:t>
            </w:r>
          </w:p>
        </w:tc>
        <w:tc>
          <w:tcPr>
            <w:tcW w:w="4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26</w:t>
      </w:r>
      <w:r>
        <w:rPr/>
        <w:t>、预收款项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2,776,730.68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1,217,212.18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349,642.82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3,223,315.51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1,566,855.00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71"/>
          <w:pgSz w:w="11910" w:h="16840"/>
          <w:pgMar w:footer="980" w:header="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410"/>
        <w:gridCol w:w="1419"/>
        <w:gridCol w:w="1913"/>
        <w:gridCol w:w="1916"/>
        <w:gridCol w:w="1913"/>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15,265,383.48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128,321,714.46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127,304,596.66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16,282,501.28</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55"/>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 划</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401,777.14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6,407,063.43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6,522,877.82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285,962.75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834,226.38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834,226.38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15,667,160.62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135,563,004.27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134,661,700.86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16,568,464.03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68"/>
        <w:gridCol w:w="1561"/>
        <w:gridCol w:w="1913"/>
        <w:gridCol w:w="1916"/>
        <w:gridCol w:w="1913"/>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 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14,912,311.12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114,237,714.67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113,184,120.69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15,965,905.10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6,439,940.93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6,439,940.93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94,868.99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2,846,981.04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2,861,490.33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80,359.70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68,531.54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2,400,651.39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2,403,091.23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66,091.70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13,062.41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128,159.07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136,501.43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4,720.05</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318,170.58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321,897.67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9,547.95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140,443.23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3,063,766.14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3,076,316.53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127,892.84</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 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117,760.14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1,649,964.99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1,659,381.49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108,343.64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83,346.69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83,346.69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15,265,383.48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128,321,714.46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127,304,596.66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16,282,501.28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394,167.62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6,236,700.59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6,352,195.64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278,672.57</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7,609.52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170,362.84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170,682.18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7,290.18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401,777.14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6,407,063.43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6,522,877.82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285,962.75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7,917,119.37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10,438,625.98</w:t>
            </w:r>
          </w:p>
        </w:tc>
      </w:tr>
    </w:tbl>
    <w:p>
      <w:pPr>
        <w:spacing w:after="0" w:line="240" w:lineRule="auto"/>
        <w:jc w:val="right"/>
        <w:rPr>
          <w:rFonts w:ascii="Times New Roman" w:hAnsi="Times New Roman" w:cs="Times New Roman" w:eastAsia="Times New Roman" w:hint="default"/>
          <w:sz w:val="18"/>
          <w:szCs w:val="18"/>
        </w:rPr>
        <w:sectPr>
          <w:footerReference w:type="default" r:id="rId72"/>
          <w:pgSz w:w="11910" w:h="16840"/>
          <w:pgMar w:footer="980" w:header="0" w:top="1100" w:bottom="1160" w:left="980" w:right="0"/>
          <w:pgNumType w:start="1"/>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6,056,059.12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44,600,918.10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553,211.15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854,586.39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386,402.91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902,155.89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380,918.67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722,860.04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222,511.21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15,537,280.81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57,545,263.30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15,252,374.80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20,007,928.85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53,082,362.72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139,715,935.65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68,334,737.52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159,723,864.50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15,053,274.81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19,804,416.74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203,512.11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15,252,374.80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20,007,928.85</w:t>
            </w:r>
          </w:p>
        </w:tc>
      </w:tr>
    </w:tbl>
    <w:p>
      <w:pPr>
        <w:pStyle w:val="BodyText"/>
        <w:spacing w:line="240" w:lineRule="auto" w:before="49"/>
        <w:ind w:right="0"/>
        <w:jc w:val="left"/>
      </w:pPr>
      <w:r>
        <w:rPr/>
        <w:t>重要的已逾期未支付的利息情况：无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759,405.56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924,791.08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1,442,839.31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9,938,341.12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18,862,946.26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594,339.62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594,339.62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35,877,666.76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15,074,900.38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784,212.12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181,947.47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53,082,362.72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139,715,935.65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387,154,615.89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174,864,050.46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387,154,615.89</w:t>
            </w:r>
          </w:p>
        </w:tc>
      </w:tr>
    </w:tbl>
    <w:p>
      <w:pPr>
        <w:pStyle w:val="BodyText"/>
        <w:spacing w:line="240" w:lineRule="auto" w:before="49"/>
        <w:ind w:right="0"/>
        <w:jc w:val="left"/>
      </w:pPr>
      <w:r>
        <w:rPr/>
        <w:t>其他说明：</w:t>
      </w:r>
    </w:p>
    <w:p>
      <w:pPr>
        <w:pStyle w:val="BodyText"/>
        <w:spacing w:line="240" w:lineRule="auto" w:before="115"/>
        <w:ind w:left="513" w:right="0"/>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2017</w:t>
      </w:r>
      <w:r>
        <w:rPr/>
        <w:t>年重大资产购买协议约定，在</w:t>
      </w:r>
      <w:r>
        <w:rPr>
          <w:rFonts w:ascii="宋体" w:hAnsi="宋体" w:cs="宋体" w:eastAsia="宋体" w:hint="default"/>
        </w:rPr>
        <w:t>2020</w:t>
      </w:r>
      <w:r>
        <w:rPr/>
        <w:t>年公司应支付的剩余哆可梦股权受让款</w:t>
      </w:r>
      <w:r>
        <w:rPr>
          <w:rFonts w:ascii="Times New Roman" w:hAnsi="Times New Roman" w:cs="Times New Roman" w:eastAsia="Times New Roman" w:hint="default"/>
        </w:rPr>
        <w:t>160,461,866.26</w:t>
      </w:r>
      <w:r>
        <w:rPr/>
        <w:t>元；</w:t>
      </w:r>
    </w:p>
    <w:p>
      <w:pPr>
        <w:pStyle w:val="BodyText"/>
        <w:spacing w:line="300" w:lineRule="auto" w:before="103"/>
        <w:ind w:right="1130"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月，公司与远东租赁签订《所有权转让协议》、《售后回租赁合同》等相关文件，分别以售后回租方式进</w:t>
      </w:r>
      <w:r>
        <w:rPr/>
        <w:t> </w:t>
      </w:r>
      <w:r>
        <w:rPr>
          <w:spacing w:val="-3"/>
        </w:rPr>
        <w:t>行了两笔合计</w:t>
      </w:r>
      <w:r>
        <w:rPr>
          <w:rFonts w:ascii="Times New Roman" w:hAnsi="Times New Roman" w:cs="Times New Roman" w:eastAsia="Times New Roman" w:hint="default"/>
          <w:spacing w:val="-3"/>
        </w:rPr>
        <w:t>55,000,000.00</w:t>
      </w:r>
      <w:r>
        <w:rPr>
          <w:spacing w:val="-3"/>
        </w:rPr>
        <w:t>元的融资租赁交易，租赁期满后，公司将按照约定购回标的物。售后回租租金分为</w:t>
      </w:r>
      <w:r>
        <w:rPr>
          <w:rFonts w:ascii="Times New Roman" w:hAnsi="Times New Roman" w:cs="Times New Roman" w:eastAsia="Times New Roman" w:hint="default"/>
          <w:spacing w:val="-3"/>
        </w:rPr>
        <w:t>8</w:t>
      </w:r>
      <w:r>
        <w:rPr>
          <w:spacing w:val="-3"/>
        </w:rPr>
        <w:t>期支付，截止</w:t>
      </w:r>
      <w:r>
        <w:rPr>
          <w:spacing w:val="-38"/>
        </w:rPr>
        <w:t> </w:t>
      </w:r>
      <w:r>
        <w:rPr>
          <w:spacing w:val="-38"/>
        </w:rPr>
      </w:r>
      <w:r>
        <w:rPr/>
        <w:t>报告期末，公司已累计支付租金</w:t>
      </w:r>
      <w:r>
        <w:rPr>
          <w:rFonts w:ascii="Times New Roman" w:hAnsi="Times New Roman" w:cs="Times New Roman" w:eastAsia="Times New Roman" w:hint="default"/>
        </w:rPr>
        <w:t>21,139,541.28</w:t>
      </w:r>
      <w:r>
        <w:rPr/>
        <w:t>元，剩余一年内到期的长期应付款余额</w:t>
      </w:r>
      <w:r>
        <w:rPr>
          <w:rFonts w:ascii="Times New Roman" w:hAnsi="Times New Roman" w:cs="Times New Roman" w:eastAsia="Times New Roman" w:hint="default"/>
        </w:rPr>
        <w:t>14,402,184.2</w:t>
      </w:r>
      <w:r>
        <w:rPr/>
        <w:t>元。</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中航信托哆可梦项目并购贷款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289,100,000.00</w:t>
            </w:r>
          </w:p>
        </w:tc>
      </w:tr>
    </w:tbl>
    <w:p>
      <w:pPr>
        <w:pStyle w:val="BodyText"/>
        <w:spacing w:line="240" w:lineRule="auto" w:before="49"/>
        <w:ind w:right="0"/>
        <w:jc w:val="left"/>
      </w:pPr>
      <w:r>
        <w:rPr/>
        <w:t>长期借款分类的说明：</w:t>
      </w:r>
    </w:p>
    <w:p>
      <w:pPr>
        <w:pStyle w:val="BodyText"/>
        <w:spacing w:line="300" w:lineRule="auto" w:before="117"/>
        <w:ind w:right="1181" w:firstLine="360"/>
        <w:jc w:val="both"/>
      </w:pPr>
      <w:r>
        <w:rPr/>
        <w:t>①为满足公司资金需要，报告期内公司向中国工商银行股份有限公司深圳星河支行申请融资额度人民币</w:t>
      </w:r>
      <w:r>
        <w:rPr>
          <w:rFonts w:ascii="Times New Roman" w:hAnsi="Times New Roman" w:cs="Times New Roman" w:eastAsia="Times New Roman" w:hint="default"/>
        </w:rPr>
        <w:t>4.9</w:t>
      </w:r>
      <w:r>
        <w:rPr/>
        <w:t>亿元，融资 额度使用期限为五年，以公司持有的哆可梦</w:t>
      </w:r>
      <w:r>
        <w:rPr>
          <w:rFonts w:ascii="Times New Roman" w:hAnsi="Times New Roman" w:cs="Times New Roman" w:eastAsia="Times New Roman" w:hint="default"/>
        </w:rPr>
        <w:t>77.57%</w:t>
      </w:r>
      <w:r>
        <w:rPr/>
        <w:t>股权质押、位于北京的房产和车位抵押、北京信中利投资股份有限公司 和汪超涌先生连带责任保证作为担保，截止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日，公司已获得工商银行深圳星河支行发放的贷款</w:t>
      </w:r>
      <w:r>
        <w:rPr>
          <w:rFonts w:ascii="Times New Roman" w:hAnsi="Times New Roman" w:cs="Times New Roman" w:eastAsia="Times New Roman" w:hint="default"/>
        </w:rPr>
        <w:t>490,000,000.00 </w:t>
      </w:r>
      <w:r>
        <w:rPr/>
        <w:t>元。</w:t>
      </w:r>
    </w:p>
    <w:p>
      <w:pPr>
        <w:pStyle w:val="BodyText"/>
        <w:spacing w:line="304" w:lineRule="auto" w:before="70"/>
        <w:ind w:right="1124" w:firstLine="360"/>
        <w:jc w:val="left"/>
      </w:pPr>
      <w:r>
        <w:rPr/>
        <w:t>②为满足公司生产经营需要，</w:t>
      </w:r>
      <w:r>
        <w:rPr>
          <w:rFonts w:ascii="Times New Roman" w:hAnsi="Times New Roman" w:cs="Times New Roman" w:eastAsia="Times New Roman" w:hint="default"/>
        </w:rPr>
        <w:t>2018</w:t>
      </w:r>
      <w:r>
        <w:rPr/>
        <w:t>年公司向上海浦东发展银行股份有限公司深圳分行申请融资额度人民币</w:t>
      </w:r>
      <w:r>
        <w:rPr>
          <w:rFonts w:ascii="Times New Roman" w:hAnsi="Times New Roman" w:cs="Times New Roman" w:eastAsia="Times New Roman" w:hint="default"/>
        </w:rPr>
        <w:t>3</w:t>
      </w:r>
      <w:r>
        <w:rPr/>
        <w:t>亿元，融资 额度使用期限为三年，以公司持有的位于深圳新保辉大厦的房产及孙公司鹏胤投资管理（上海）有限责任公司和豪琛投资 管理（上海）有限公司持有的上海恒基旭辉中心相关房产作为担保。截止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日，公司已获得浦发银行深圳分行 发放的贷款</w:t>
      </w:r>
      <w:r>
        <w:rPr>
          <w:rFonts w:ascii="Times New Roman" w:hAnsi="Times New Roman" w:cs="Times New Roman" w:eastAsia="Times New Roman" w:hint="default"/>
        </w:rPr>
        <w:t>68,850,000.00</w:t>
      </w:r>
      <w:r>
        <w:rPr/>
        <w:t>元，具体用途为发放工资及采购原材料，贷款利率为贷款发放日的人民银行同档次贷款基准利率 上浮</w:t>
      </w:r>
      <w:r>
        <w:rPr>
          <w:rFonts w:ascii="Times New Roman" w:hAnsi="Times New Roman" w:cs="Times New Roman" w:eastAsia="Times New Roman" w:hint="default"/>
        </w:rPr>
        <w:t>30%</w:t>
      </w:r>
      <w:r>
        <w:rPr/>
        <w:t>。</w:t>
      </w:r>
    </w:p>
    <w:p>
      <w:pPr>
        <w:pStyle w:val="BodyText"/>
        <w:spacing w:line="240" w:lineRule="auto" w:before="50"/>
        <w:ind w:right="0"/>
        <w:jc w:val="left"/>
      </w:pPr>
      <w:r>
        <w:rPr/>
        <w:t>其他说明，包括利率区间：无。</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32</w:t>
      </w:r>
      <w:r>
        <w:rPr/>
        <w:t>、长期应付款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174,864,050.46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174,864,050.46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1,527,449.47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219,034.20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1,308,415.27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未消耗金币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1,642,738.11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704,794.12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1,642,738.11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704,794.12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尚未实现的版权金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881,510.83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339,396.57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542,114.26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4,051,698.41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704,794.12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2,201,168.88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2,555,323.65</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02"/>
        <w:gridCol w:w="1133"/>
        <w:gridCol w:w="852"/>
        <w:gridCol w:w="1274"/>
        <w:gridCol w:w="994"/>
        <w:gridCol w:w="991"/>
        <w:gridCol w:w="566"/>
        <w:gridCol w:w="1047"/>
        <w:gridCol w:w="1010"/>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产学研合作项目资助 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高性能聚酰亚胺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打印耗材的制备与应 用开发（新兴产业发 展专项资金）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1,002,449.51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803,415.35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74,999.96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54,999.92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1,527,449.47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219,034.20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1,308,415.27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0"/>
        <w:jc w:val="left"/>
      </w:pPr>
      <w:r>
        <w:rPr/>
        <w:t>其他说明：</w:t>
      </w:r>
    </w:p>
    <w:p>
      <w:pPr>
        <w:pStyle w:val="BodyText"/>
        <w:spacing w:line="300" w:lineRule="auto" w:before="117"/>
        <w:ind w:right="1264" w:firstLine="360"/>
        <w:jc w:val="left"/>
      </w:pPr>
      <w:r>
        <w:rPr/>
        <w:t>（</w:t>
      </w:r>
      <w:r>
        <w:rPr>
          <w:rFonts w:ascii="Times New Roman" w:hAnsi="Times New Roman" w:cs="Times New Roman" w:eastAsia="Times New Roman" w:hint="default"/>
        </w:rPr>
        <w:t>1</w:t>
      </w:r>
      <w:r>
        <w:rPr/>
        <w:t>）高性能聚酰亚胺</w:t>
      </w:r>
      <w:r>
        <w:rPr>
          <w:rFonts w:ascii="Times New Roman" w:hAnsi="Times New Roman" w:cs="Times New Roman" w:eastAsia="Times New Roman" w:hint="default"/>
        </w:rPr>
        <w:t>3D</w:t>
      </w:r>
      <w:r>
        <w:rPr/>
        <w:t>打印耗材的制备与应用开发（新兴产业发展专项资金）在</w:t>
      </w:r>
      <w:r>
        <w:rPr>
          <w:rFonts w:ascii="Times New Roman" w:hAnsi="Times New Roman" w:cs="Times New Roman" w:eastAsia="Times New Roman" w:hint="default"/>
        </w:rPr>
        <w:t>2013</w:t>
      </w:r>
      <w:r>
        <w:rPr/>
        <w:t>年度获得深圳市发展和改革委 员会资金补助</w:t>
      </w:r>
      <w:r>
        <w:rPr>
          <w:rFonts w:ascii="Times New Roman" w:hAnsi="Times New Roman" w:cs="Times New Roman" w:eastAsia="Times New Roman" w:hint="default"/>
        </w:rPr>
        <w:t>150</w:t>
      </w:r>
      <w:r>
        <w:rPr/>
        <w:t>万元，并在</w:t>
      </w:r>
      <w:r>
        <w:rPr>
          <w:rFonts w:ascii="Times New Roman" w:hAnsi="Times New Roman" w:cs="Times New Roman" w:eastAsia="Times New Roman" w:hint="default"/>
        </w:rPr>
        <w:t>2016</w:t>
      </w:r>
      <w:r>
        <w:rPr/>
        <w:t>年度验收完成，公司按与资产相关的政府补助政策计入营业外收入。</w:t>
      </w:r>
    </w:p>
    <w:p>
      <w:pPr>
        <w:pStyle w:val="BodyText"/>
        <w:spacing w:line="240" w:lineRule="auto" w:before="52"/>
        <w:ind w:left="5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月购入的纯电动中巴车地方补贴款</w:t>
      </w:r>
      <w:r>
        <w:rPr>
          <w:rFonts w:ascii="Times New Roman" w:hAnsi="Times New Roman" w:cs="Times New Roman" w:eastAsia="Times New Roman" w:hint="default"/>
        </w:rPr>
        <w:t>10</w:t>
      </w:r>
      <w:r>
        <w:rPr/>
        <w:t>万元，公司按与资产相关的政府补助政策计入营业外收入。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6"/>
        <w:gridCol w:w="1195"/>
        <w:gridCol w:w="1198"/>
        <w:gridCol w:w="1195"/>
        <w:gridCol w:w="1196"/>
        <w:gridCol w:w="1198"/>
        <w:gridCol w:w="1197"/>
        <w:gridCol w:w="1194"/>
      </w:tblGrid>
      <w:tr>
        <w:trPr>
          <w:trHeight w:val="40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814,139,568.00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-12,210,000.00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-12,210,000.00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801,929,568.00</w:t>
            </w:r>
          </w:p>
        </w:tc>
      </w:tr>
    </w:tbl>
    <w:p>
      <w:pPr>
        <w:pStyle w:val="BodyText"/>
        <w:spacing w:line="240" w:lineRule="auto" w:before="49"/>
        <w:ind w:right="0"/>
        <w:jc w:val="left"/>
      </w:pPr>
      <w:r>
        <w:rPr/>
        <w:t>其他说明：</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7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日，公司完成了对</w:t>
      </w:r>
      <w:r>
        <w:rPr>
          <w:rFonts w:ascii="Times New Roman" w:hAnsi="Times New Roman" w:cs="Times New Roman" w:eastAsia="Times New Roman" w:hint="default"/>
        </w:rPr>
        <w:t>2016</w:t>
      </w:r>
      <w:r>
        <w:rPr/>
        <w:t>年限制性股票激励计划第三个解锁期由于绩效考核未达标导致不能解锁的</w:t>
      </w:r>
      <w:r>
        <w:rPr>
          <w:rFonts w:ascii="Times New Roman" w:hAnsi="Times New Roman" w:cs="Times New Roman" w:eastAsia="Times New Roman" w:hint="default"/>
        </w:rPr>
        <w:t>1,221</w:t>
      </w:r>
      <w:r>
        <w:rPr/>
        <w:t>万股 限制性股票的回购注销工作，本次回购注销完成后，公司总股本由</w:t>
      </w:r>
      <w:r>
        <w:rPr>
          <w:rFonts w:ascii="Times New Roman" w:hAnsi="Times New Roman" w:cs="Times New Roman" w:eastAsia="Times New Roman" w:hint="default"/>
        </w:rPr>
        <w:t>814,139,568</w:t>
      </w:r>
      <w:r>
        <w:rPr/>
        <w:t>股变更为</w:t>
      </w:r>
      <w:r>
        <w:rPr>
          <w:rFonts w:ascii="Times New Roman" w:hAnsi="Times New Roman" w:cs="Times New Roman" w:eastAsia="Times New Roman" w:hint="default"/>
        </w:rPr>
        <w:t>801,929,568</w:t>
      </w:r>
      <w:r>
        <w:rPr/>
        <w:t>股。上述股份减少已经 上会会计师事务所于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日出具上会师报字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4742</w:t>
      </w:r>
      <w:r>
        <w:rPr/>
        <w:t>号验资报告验证确认。</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451,760,863.64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83,557,123.89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368,203,739.75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451,760,863.64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83,557,123.89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368,203,739.75</w:t>
            </w:r>
          </w:p>
        </w:tc>
      </w:tr>
    </w:tbl>
    <w:p>
      <w:pPr>
        <w:pStyle w:val="BodyText"/>
        <w:spacing w:line="240" w:lineRule="auto" w:before="49"/>
        <w:ind w:right="0"/>
        <w:jc w:val="left"/>
      </w:pPr>
      <w:r>
        <w:rPr/>
        <w:t>其他说明，包括本期增减变动情况、变动原因说明：</w:t>
      </w:r>
    </w:p>
    <w:p>
      <w:pPr>
        <w:pStyle w:val="BodyText"/>
        <w:spacing w:line="300" w:lineRule="auto" w:before="115"/>
        <w:ind w:right="116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日，公司完成了对</w:t>
      </w:r>
      <w:r>
        <w:rPr>
          <w:rFonts w:ascii="Times New Roman" w:hAnsi="Times New Roman" w:cs="Times New Roman" w:eastAsia="Times New Roman" w:hint="default"/>
        </w:rPr>
        <w:t>2016</w:t>
      </w:r>
      <w:r>
        <w:rPr/>
        <w:t>年限制性股票激励计划第三个解锁期由于绩效考核未达标导致不能解锁的</w:t>
      </w:r>
      <w:r>
        <w:rPr>
          <w:rFonts w:ascii="Times New Roman" w:hAnsi="Times New Roman" w:cs="Times New Roman" w:eastAsia="Times New Roman" w:hint="default"/>
        </w:rPr>
        <w:t>1,221</w:t>
      </w:r>
      <w:r>
        <w:rPr/>
        <w:t>万股 限制性股票的回购注销工作，相应减少资本溢价（股本溢价）。</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股份回购义务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96,610,892.40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回购公司股份</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147,613,580.50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147,613,580.50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96,610,892.40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147,613,580.50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96,610,892.40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147,613,580.50</w:t>
            </w:r>
          </w:p>
        </w:tc>
      </w:tr>
    </w:tbl>
    <w:p>
      <w:pPr>
        <w:pStyle w:val="BodyText"/>
        <w:spacing w:line="240" w:lineRule="auto" w:before="49"/>
        <w:ind w:right="0"/>
        <w:jc w:val="left"/>
      </w:pPr>
      <w:r>
        <w:rPr/>
        <w:t>其他说明，包括本期增减变动情况、变动原因说明：</w:t>
      </w:r>
    </w:p>
    <w:p>
      <w:pPr>
        <w:pStyle w:val="BodyText"/>
        <w:spacing w:line="300" w:lineRule="auto" w:before="115"/>
        <w:ind w:right="1259" w:firstLine="360"/>
        <w:jc w:val="left"/>
      </w:pPr>
      <w:r>
        <w:rPr/>
        <w:t>（</w:t>
      </w:r>
      <w:r>
        <w:rPr>
          <w:rFonts w:ascii="Times New Roman" w:hAnsi="Times New Roman" w:cs="Times New Roman" w:eastAsia="Times New Roman" w:hint="default"/>
        </w:rPr>
        <w:t>1</w:t>
      </w:r>
      <w:r>
        <w:rPr/>
        <w:t>）因回购注销</w:t>
      </w:r>
      <w:r>
        <w:rPr>
          <w:rFonts w:ascii="Times New Roman" w:hAnsi="Times New Roman" w:cs="Times New Roman" w:eastAsia="Times New Roman" w:hint="default"/>
        </w:rPr>
        <w:t>2016</w:t>
      </w:r>
      <w:r>
        <w:rPr/>
        <w:t>年限制性股票激励计划第三个解锁期由于绩效考核未达标导致不能解锁的</w:t>
      </w:r>
      <w:r>
        <w:rPr>
          <w:rFonts w:ascii="Times New Roman" w:hAnsi="Times New Roman" w:cs="Times New Roman" w:eastAsia="Times New Roman" w:hint="default"/>
        </w:rPr>
        <w:t>1,221</w:t>
      </w:r>
      <w:r>
        <w:rPr/>
        <w:t>万股限制性股票 导致本期减少股份回购义务</w:t>
      </w:r>
      <w:r>
        <w:rPr>
          <w:rFonts w:ascii="Times New Roman" w:hAnsi="Times New Roman" w:cs="Times New Roman" w:eastAsia="Times New Roman" w:hint="default"/>
        </w:rPr>
        <w:t>96,610,892.40</w:t>
      </w:r>
      <w:r>
        <w:rPr/>
        <w:t>元。</w:t>
      </w:r>
    </w:p>
    <w:p>
      <w:pPr>
        <w:pStyle w:val="BodyText"/>
        <w:spacing w:line="300" w:lineRule="auto" w:before="53"/>
        <w:ind w:right="1124" w:firstLine="360"/>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日召开的第六届董事会第三十二次会议及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日召开的</w:t>
      </w:r>
      <w:r>
        <w:rPr>
          <w:rFonts w:ascii="Times New Roman" w:hAnsi="Times New Roman" w:cs="Times New Roman" w:eastAsia="Times New Roman" w:hint="default"/>
        </w:rPr>
        <w:t>2019</w:t>
      </w:r>
      <w:r>
        <w:rPr/>
        <w:t>年第三次临时股东大会审 议通过了回购公司股份方案。截至报告期末，本公司累计回购股票</w:t>
      </w:r>
      <w:r>
        <w:rPr>
          <w:rFonts w:ascii="Times New Roman" w:hAnsi="Times New Roman" w:cs="Times New Roman" w:eastAsia="Times New Roman" w:hint="default"/>
        </w:rPr>
        <w:t>17,766,200</w:t>
      </w:r>
      <w:r>
        <w:rPr/>
        <w:t>股，共计人民币</w:t>
      </w:r>
      <w:r>
        <w:rPr>
          <w:rFonts w:ascii="Times New Roman" w:hAnsi="Times New Roman" w:cs="Times New Roman" w:eastAsia="Times New Roman" w:hint="default"/>
        </w:rPr>
        <w:t>147,613,580.50</w:t>
      </w:r>
      <w:r>
        <w:rPr/>
        <w:t>元（不含交易 费用）。</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02"/>
        <w:gridCol w:w="1133"/>
        <w:gridCol w:w="1277"/>
        <w:gridCol w:w="1133"/>
        <w:gridCol w:w="994"/>
        <w:gridCol w:w="425"/>
        <w:gridCol w:w="1136"/>
        <w:gridCol w:w="566"/>
        <w:gridCol w:w="1202"/>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3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91"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0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减：前期计 入其他综合 收益当期转 入留存收益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减： 所得 税费 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税后 归属 于少 数股 东</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一、不能重分类进损 益的其他综合收益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16,509,162.97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17,509,162.97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16,509,162.97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17,509,162.97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702"/>
        <w:gridCol w:w="1133"/>
        <w:gridCol w:w="1277"/>
        <w:gridCol w:w="1133"/>
        <w:gridCol w:w="994"/>
        <w:gridCol w:w="425"/>
        <w:gridCol w:w="1136"/>
        <w:gridCol w:w="566"/>
        <w:gridCol w:w="1202"/>
      </w:tblGrid>
      <w:tr>
        <w:trPr>
          <w:trHeight w:val="36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投资公允价值变动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25,149,123.72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2,094,510.79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11,459,002.64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333,883.92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-9,698,375.77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15,450,747.95</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 折算差额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-131,313.37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-131,382.00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-131,382.00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-262,695.37</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firstLine="542"/>
              <w:jc w:val="both"/>
              <w:rPr>
                <w:rFonts w:ascii="宋体" w:hAnsi="宋体" w:cs="宋体" w:eastAsia="宋体" w:hint="default"/>
                <w:sz w:val="18"/>
                <w:szCs w:val="18"/>
              </w:rPr>
            </w:pPr>
            <w:r>
              <w:rPr>
                <w:rFonts w:ascii="宋体" w:hAnsi="宋体" w:cs="宋体" w:eastAsia="宋体" w:hint="default"/>
                <w:sz w:val="18"/>
                <w:szCs w:val="18"/>
              </w:rPr>
              <w:t>自用房产转投 资性房地产产生的其 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25,280,437.09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2,225,892.79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11,459,002.64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333,883.92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-9,566,993.77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15,713,443.32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41,658,286.69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3,094,510.79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11,459,002.64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333,883.92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-8,698,375.77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32,959,910.92</w:t>
            </w:r>
          </w:p>
        </w:tc>
      </w:tr>
    </w:tbl>
    <w:p>
      <w:pPr>
        <w:pStyle w:val="BodyText"/>
        <w:spacing w:line="240" w:lineRule="auto" w:before="49"/>
        <w:ind w:right="0"/>
        <w:jc w:val="left"/>
      </w:pPr>
      <w:r>
        <w:rPr/>
        <w:t>其他说明，包括对现金流量套期损益的有效部分转为被套期项目初始确认金额调整：无。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78,637,148.39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3,656,891.27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82,294,039.66</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12,154,775.66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12,154,775.66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90,791,924.05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3,656,891.27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94,448,815.32</w:t>
            </w:r>
          </w:p>
        </w:tc>
      </w:tr>
    </w:tbl>
    <w:p>
      <w:pPr>
        <w:pStyle w:val="BodyText"/>
        <w:spacing w:line="240" w:lineRule="auto" w:before="49"/>
        <w:ind w:right="0"/>
        <w:jc w:val="left"/>
      </w:pPr>
      <w:r>
        <w:rPr/>
        <w:t>盈余公积说明，包括本期增减变动情况、变动原因说明：无。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39</w:t>
      </w:r>
      <w:r>
        <w:rPr/>
        <w:t>、未分配利润</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642,160,050.94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318,910,068.88</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642,160,050.94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318,910,068.88</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134,997,926.83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336,389,804.53</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3,656,891.27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13,139,822.47</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773,501,086.50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642,160,050.94</w:t>
            </w:r>
          </w:p>
        </w:tc>
      </w:tr>
    </w:tbl>
    <w:p>
      <w:pPr>
        <w:pStyle w:val="BodyText"/>
        <w:spacing w:line="240" w:lineRule="auto" w:before="49"/>
        <w:ind w:right="0"/>
        <w:jc w:val="left"/>
      </w:pPr>
      <w:r>
        <w:rPr/>
        <w:t>调整期初未分配利润明细：</w:t>
      </w:r>
    </w:p>
    <w:p>
      <w:pPr>
        <w:pStyle w:val="BodyText"/>
        <w:spacing w:line="240" w:lineRule="auto" w:before="115"/>
        <w:ind w:left="51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513"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w w:val="90"/>
                <w:sz w:val="18"/>
              </w:rPr>
              <w:t>279,877,006.52</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w w:val="90"/>
                <w:sz w:val="18"/>
              </w:rPr>
              <w:t>196,728,573.24</w:t>
            </w:r>
            <w:r>
              <w:rPr>
                <w:rFonts w:ascii="Times New Roman"/>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right"/>
              <w:rPr>
                <w:rFonts w:ascii="Times New Roman" w:hAnsi="Times New Roman" w:cs="Times New Roman" w:eastAsia="Times New Roman" w:hint="default"/>
                <w:sz w:val="18"/>
                <w:szCs w:val="18"/>
              </w:rPr>
            </w:pPr>
            <w:r>
              <w:rPr>
                <w:rFonts w:ascii="Times New Roman"/>
                <w:spacing w:val="-1"/>
                <w:w w:val="90"/>
                <w:sz w:val="18"/>
              </w:rPr>
              <w:t>323,568,620.60</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w w:val="90"/>
                <w:sz w:val="18"/>
              </w:rPr>
              <w:t>222,108,357.09</w:t>
            </w:r>
            <w:r>
              <w:rPr>
                <w:rFonts w:ascii="Times New Roman"/>
                <w:spacing w:val="-1"/>
                <w:sz w:val="18"/>
              </w:rPr>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w w:val="90"/>
                <w:sz w:val="18"/>
              </w:rPr>
              <w:t>784,250,543.63</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w w:val="90"/>
                <w:sz w:val="18"/>
              </w:rPr>
              <w:t>138,001,705.35</w:t>
            </w:r>
            <w:r>
              <w:rPr>
                <w:rFonts w:ascii="Times New Roman"/>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
              <w:jc w:val="right"/>
              <w:rPr>
                <w:rFonts w:ascii="Times New Roman" w:hAnsi="Times New Roman" w:cs="Times New Roman" w:eastAsia="Times New Roman" w:hint="default"/>
                <w:sz w:val="18"/>
                <w:szCs w:val="18"/>
              </w:rPr>
            </w:pPr>
            <w:r>
              <w:rPr>
                <w:rFonts w:ascii="Times New Roman"/>
                <w:spacing w:val="-1"/>
                <w:w w:val="90"/>
                <w:sz w:val="18"/>
              </w:rPr>
              <w:t>1,572,809,999.93</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w w:val="90"/>
                <w:sz w:val="18"/>
              </w:rPr>
              <w:t>321,540,391.75</w:t>
            </w:r>
            <w:r>
              <w:rPr>
                <w:rFonts w:ascii="Times New Roman"/>
                <w:spacing w:val="-1"/>
                <w:sz w:val="18"/>
              </w:rPr>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w w:val="90"/>
                <w:sz w:val="18"/>
              </w:rPr>
              <w:t>28,193,892.42</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w w:val="90"/>
                <w:sz w:val="18"/>
              </w:rPr>
              <w:t>9,441,314.64</w:t>
            </w:r>
            <w:r>
              <w:rPr>
                <w:rFonts w:ascii="Times New Roman"/>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5"/>
              <w:jc w:val="right"/>
              <w:rPr>
                <w:rFonts w:ascii="Times New Roman" w:hAnsi="Times New Roman" w:cs="Times New Roman" w:eastAsia="Times New Roman" w:hint="default"/>
                <w:sz w:val="18"/>
                <w:szCs w:val="18"/>
              </w:rPr>
            </w:pPr>
            <w:r>
              <w:rPr>
                <w:rFonts w:ascii="Times New Roman"/>
                <w:spacing w:val="-1"/>
                <w:w w:val="90"/>
                <w:sz w:val="18"/>
              </w:rPr>
              <w:t>1,779,762.00</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w w:val="93"/>
                <w:sz w:val="18"/>
              </w:rPr>
              <w:t>-</w:t>
            </w:r>
            <w:r>
              <w:rPr>
                <w:rFonts w:ascii="Times New Roman"/>
                <w:sz w:val="18"/>
              </w:rPr>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w w:val="90"/>
                <w:sz w:val="18"/>
              </w:rPr>
              <w:t>1,092,321,442.57</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w w:val="90"/>
                <w:sz w:val="18"/>
              </w:rPr>
              <w:t>344,171,593.23</w:t>
            </w:r>
            <w:r>
              <w:rPr>
                <w:rFonts w:ascii="Times New Roman"/>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
              <w:jc w:val="right"/>
              <w:rPr>
                <w:rFonts w:ascii="Times New Roman" w:hAnsi="Times New Roman" w:cs="Times New Roman" w:eastAsia="Times New Roman" w:hint="default"/>
                <w:sz w:val="18"/>
                <w:szCs w:val="18"/>
              </w:rPr>
            </w:pPr>
            <w:r>
              <w:rPr>
                <w:rFonts w:ascii="Times New Roman"/>
                <w:spacing w:val="-1"/>
                <w:w w:val="90"/>
                <w:sz w:val="18"/>
              </w:rPr>
              <w:t>1,898,158,382.53</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w w:val="90"/>
                <w:sz w:val="18"/>
              </w:rPr>
              <w:t>543,648,748.84</w:t>
            </w:r>
            <w:r>
              <w:rPr>
                <w:rFonts w:ascii="Times New Roman"/>
                <w:spacing w:val="-1"/>
                <w:sz w:val="18"/>
              </w:rPr>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41</w:t>
      </w:r>
      <w:r>
        <w:rPr/>
        <w:t>、税金及附加</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1,316,758.28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3,065,007.58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656,829.53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1,537,095.84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1,570,825.12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79,837.37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102,353.08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29,314.08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1,144,406.58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947,206.33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393,595.54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901,496.23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5,386,799.61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8,198,514.59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42</w:t>
      </w:r>
      <w:r>
        <w:rPr/>
        <w:t>、销售费用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335,683,471.71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866,599,008.00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18,729,380.55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20,926,090.99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2,968,595.77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3,547,616.64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994,129.49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1,118,299.73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111,973.38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489,127.88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907,552.39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793,361.88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471,113.55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603,764.80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1,141,915.35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360,381,637.91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894,903,570.23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43</w:t>
      </w:r>
      <w:r>
        <w:rPr/>
        <w:t>、管理费用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1,899,716.21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44,220,017.14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36,231,274.84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8,980,271.50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7,580,460.14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12,962,897.63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10,801,224.80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8,926,996.47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12,539,402.93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4,274,361.46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4,269,587.31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2,219,036.12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1,082,643.48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4,253,411.54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2,284,624.50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967,079.30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1,020,557.43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907,874.37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471,973.84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446,112.42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1,289,982.46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17,183.96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劳保用品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68,266.28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6,086,166.34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4,778,747.50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4,313,952.48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3,959,233.03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99,841,837.89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87,886,909.20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44</w:t>
      </w:r>
      <w:r>
        <w:rPr/>
        <w:t>、研发费用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56,707,951.00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46,439,526.17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美术外包制作费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5,933,005.18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3,904,082.04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试验检测外协加工等测试费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4,820,834.90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1,112,299.48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1,238,734.00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860,966.12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3,309,212.70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468,767.44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158,238.33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132,555.87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150,691.04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194,927.09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748,843.41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72,319,838.15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53,861,967.62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45</w:t>
      </w:r>
      <w:r>
        <w:rPr/>
        <w:t>、财务费用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69,454,737.42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24,226,413.67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6,097,000.89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8,047,674.05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-799,110.85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262,833.86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359,805.95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63,522,070.77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15,739,434.72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46</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704,535.71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1,410,124.00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2,653,394.58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2,907,392.33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2,114,659.71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47</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-577,964.57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109,207,520.91</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83,964,228.06</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206,396.41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-871,933.79</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-6,118,582.39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-4,605,719.94</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1,432,200.00</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20,643,491.38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3,120,003.53</w:t>
            </w:r>
          </w:p>
        </w:tc>
      </w:tr>
      <w:tr>
        <w:trPr>
          <w:trHeight w:val="40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14,153,340.83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192,246,298.77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48</w:t>
      </w:r>
      <w:r>
        <w:rPr/>
        <w:t>、公允价值变动收益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9,804,157.19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-15,385,358.48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-11,571,380.61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-1,767,223.42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-15,564,858.48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49</w:t>
      </w:r>
      <w:r>
        <w:rPr/>
        <w:t>、信用减值损失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10,495,929.81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-11,096,250.79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-600,320.98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50</w:t>
      </w:r>
      <w:r>
        <w:rPr/>
        <w:t>、资产减值损失</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73"/>
          <w:pgSz w:w="11910" w:h="16840"/>
          <w:pgMar w:footer="980" w:header="0"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-16,203,895.89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-602,942.71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-16,806,838.60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51</w:t>
      </w:r>
      <w:r>
        <w:rPr/>
        <w:t>、资产处置收益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-311,125.50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1,052,454.07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52</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3,322,177.35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1,749,296.18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3,322,177.35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无法支付的应付款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77,159.42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6,216.00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6,216.00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3,406,062.77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1,867,494.58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3,406,062.77</w:t>
            </w:r>
          </w:p>
        </w:tc>
      </w:tr>
    </w:tbl>
    <w:p>
      <w:pPr>
        <w:pStyle w:val="BodyText"/>
        <w:spacing w:line="240" w:lineRule="auto" w:before="49"/>
        <w:ind w:right="0"/>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560"/>
        <w:gridCol w:w="1558"/>
        <w:gridCol w:w="569"/>
        <w:gridCol w:w="1844"/>
        <w:gridCol w:w="850"/>
        <w:gridCol w:w="566"/>
        <w:gridCol w:w="992"/>
        <w:gridCol w:w="994"/>
        <w:gridCol w:w="638"/>
      </w:tblGrid>
      <w:tr>
        <w:trPr>
          <w:trHeight w:val="133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1"/>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8" w:right="9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400" w:right="3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400" w:right="41"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2"/>
              <w:jc w:val="both"/>
              <w:rPr>
                <w:rFonts w:ascii="宋体" w:hAnsi="宋体" w:cs="宋体" w:eastAsia="宋体" w:hint="default"/>
                <w:sz w:val="18"/>
                <w:szCs w:val="18"/>
              </w:rPr>
            </w:pPr>
            <w:r>
              <w:rPr>
                <w:rFonts w:ascii="宋体" w:hAnsi="宋体" w:cs="宋体" w:eastAsia="宋体" w:hint="default"/>
                <w:sz w:val="18"/>
                <w:szCs w:val="18"/>
              </w:rPr>
              <w:t>成都高新技术产业 开发区基层治理和 社会事业局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32,907.88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18,583.84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稳岗补贴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深圳市社会保险基 金管理局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81,894.64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高性能聚酰亚胺</w:t>
            </w:r>
          </w:p>
          <w:p>
            <w:pPr>
              <w:pStyle w:val="TableParagraph"/>
              <w:spacing w:line="300" w:lineRule="auto" w:before="74"/>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打印耗材的制 备与应用开发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82"/>
              <w:jc w:val="left"/>
              <w:rPr>
                <w:rFonts w:ascii="宋体" w:hAnsi="宋体" w:cs="宋体" w:eastAsia="宋体" w:hint="default"/>
                <w:sz w:val="18"/>
                <w:szCs w:val="18"/>
              </w:rPr>
            </w:pPr>
            <w:r>
              <w:rPr>
                <w:rFonts w:ascii="宋体" w:hAnsi="宋体" w:cs="宋体" w:eastAsia="宋体" w:hint="default"/>
                <w:sz w:val="18"/>
                <w:szCs w:val="18"/>
              </w:rPr>
              <w:t>（深圳市科技创新 委员会）深圳国库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199,034.16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62"/>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成都市软件著作权 登记资助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成都高新技术产业 开发区科技与新经 济发展局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深圳市高技能人才 公共实训管理服务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企业岗前培训补贴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深圳市高技能人才 公共实训管理服务 中心</w:t>
            </w:r>
            <w:r>
              <w:rPr>
                <w:rFonts w:ascii="Times New Roman" w:hAnsi="Times New Roman" w:cs="Times New Roman" w:eastAsia="Times New Roman" w:hint="default"/>
                <w:sz w:val="18"/>
                <w:szCs w:val="18"/>
              </w:rPr>
              <w:t>-</w:t>
            </w:r>
            <w:r>
              <w:rPr>
                <w:rFonts w:ascii="宋体" w:hAnsi="宋体" w:cs="宋体" w:eastAsia="宋体" w:hint="default"/>
                <w:sz w:val="18"/>
                <w:szCs w:val="18"/>
              </w:rPr>
              <w:t>人事行政部申 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2017-2018 </w:t>
            </w:r>
            <w:r>
              <w:rPr>
                <w:rFonts w:ascii="宋体" w:hAnsi="宋体" w:cs="宋体" w:eastAsia="宋体" w:hint="default"/>
                <w:sz w:val="18"/>
                <w:szCs w:val="18"/>
              </w:rPr>
              <w:t>年企</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业岗前培训补贴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88,860.43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深圳市经济贸易和 信息化委员会展会 补贴费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深圳市经济贸易和 信息化委员会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42"/>
              <w:jc w:val="right"/>
              <w:rPr>
                <w:rFonts w:ascii="宋体" w:hAnsi="宋体" w:cs="宋体" w:eastAsia="宋体" w:hint="default"/>
                <w:sz w:val="18"/>
                <w:szCs w:val="18"/>
              </w:rPr>
            </w:pPr>
            <w:r>
              <w:rPr>
                <w:rFonts w:ascii="宋体" w:hAnsi="宋体" w:cs="宋体" w:eastAsia="宋体" w:hint="default"/>
                <w:sz w:val="18"/>
                <w:szCs w:val="18"/>
              </w:rPr>
              <w:t>深圳市发改委</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电费补贴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42"/>
              <w:jc w:val="right"/>
              <w:rPr>
                <w:rFonts w:ascii="宋体" w:hAnsi="宋体" w:cs="宋体" w:eastAsia="宋体" w:hint="default"/>
                <w:sz w:val="18"/>
                <w:szCs w:val="18"/>
              </w:rPr>
            </w:pPr>
            <w:r>
              <w:rPr>
                <w:rFonts w:ascii="宋体" w:hAnsi="宋体" w:cs="宋体" w:eastAsia="宋体" w:hint="default"/>
                <w:sz w:val="18"/>
                <w:szCs w:val="18"/>
              </w:rPr>
              <w:t>深圳市供电局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468,789.30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452,602.50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坪山年度经济发展 专项资金补助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深圳市坪山新区财 政局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395,945.00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369,778.00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深圳市坪山区科技 创新服务署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年第一批科技 创新专项资金（国 高认定）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深圳市坪山区科技 创新服务署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14" w:lineRule="auto"/>
        <w:jc w:val="left"/>
        <w:rPr>
          <w:rFonts w:ascii="宋体" w:hAnsi="宋体" w:cs="宋体" w:eastAsia="宋体" w:hint="default"/>
          <w:sz w:val="18"/>
          <w:szCs w:val="18"/>
        </w:rPr>
        <w:sectPr>
          <w:footerReference w:type="default" r:id="rId74"/>
          <w:pgSz w:w="11910" w:h="16840"/>
          <w:pgMar w:footer="980" w:header="0" w:top="1100" w:bottom="1160" w:left="980" w:right="0"/>
          <w:pgNumType w:start="1"/>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560"/>
        <w:gridCol w:w="1558"/>
        <w:gridCol w:w="569"/>
        <w:gridCol w:w="1844"/>
        <w:gridCol w:w="850"/>
        <w:gridCol w:w="566"/>
        <w:gridCol w:w="992"/>
        <w:gridCol w:w="994"/>
        <w:gridCol w:w="638"/>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316" w:lineRule="auto" w:before="63"/>
              <w:ind w:left="24" w:right="84"/>
              <w:jc w:val="left"/>
              <w:rPr>
                <w:rFonts w:ascii="宋体" w:hAnsi="宋体" w:cs="宋体" w:eastAsia="宋体" w:hint="default"/>
                <w:sz w:val="18"/>
                <w:szCs w:val="18"/>
              </w:rPr>
            </w:pPr>
            <w:r>
              <w:rPr>
                <w:rFonts w:ascii="宋体" w:hAnsi="宋体" w:cs="宋体" w:eastAsia="宋体" w:hint="default"/>
                <w:sz w:val="18"/>
                <w:szCs w:val="18"/>
              </w:rPr>
              <w:t>国家高新技术企业 认定企业奖补资金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深圳市坪山区科技 创新服务署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年第四批科技 创新专项资金（贷 款贴息）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深圳市坪山区科技 创新服务署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114,403.00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年深圳市科技 研发资金企业研究 开发资助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深圳市科创技委</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坪山区发展和改革 局关于新能源汽车 充电设施扶持资金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深圳市坪山区发改 委</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年度坪山区经 济发展专项资金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企 业自行参加国内外 展会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深圳市坪山工信局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124,605.00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年坪山区科技 创新专项资金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深圳市坪山区科技 创新服务署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456,403.00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第二届中国国际进 口博览会坪山区采 购商参会资助费用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深圳市坪山工信局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高新技术产业开发 区经济运行与安全 生产监管局补贴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2"/>
              <w:jc w:val="both"/>
              <w:rPr>
                <w:rFonts w:ascii="宋体" w:hAnsi="宋体" w:cs="宋体" w:eastAsia="宋体" w:hint="default"/>
                <w:sz w:val="18"/>
                <w:szCs w:val="18"/>
              </w:rPr>
            </w:pPr>
            <w:r>
              <w:rPr>
                <w:rFonts w:ascii="宋体" w:hAnsi="宋体" w:cs="宋体" w:eastAsia="宋体" w:hint="default"/>
                <w:sz w:val="18"/>
                <w:szCs w:val="18"/>
              </w:rPr>
              <w:t>成都高新技术产业 开发区经济运行与 安全生产监管局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高新技术产业开发 区科技和人才工作 局人才补贴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成都高新技术产业 开发区科技和人才 工作局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上海市嘉定区国库 收付中心企业扶持 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上海市嘉定区国库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778,130.00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82"/>
              <w:jc w:val="left"/>
              <w:rPr>
                <w:rFonts w:ascii="宋体" w:hAnsi="宋体" w:cs="宋体" w:eastAsia="宋体" w:hint="default"/>
                <w:sz w:val="18"/>
                <w:szCs w:val="18"/>
              </w:rPr>
            </w:pPr>
            <w:r>
              <w:rPr>
                <w:rFonts w:ascii="宋体" w:hAnsi="宋体" w:cs="宋体" w:eastAsia="宋体" w:hint="default"/>
                <w:sz w:val="18"/>
                <w:szCs w:val="18"/>
              </w:rPr>
              <w:t>北京市东城区社会 保障基金管理中心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9"/>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6,905.54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62"/>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53</w:t>
      </w:r>
      <w:r>
        <w:rPr/>
        <w:t>、营业外支出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1846"/>
        <w:gridCol w:w="2938"/>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3" w:right="0"/>
              <w:jc w:val="left"/>
              <w:rPr>
                <w:rFonts w:ascii="Times New Roman" w:hAnsi="Times New Roman" w:cs="Times New Roman" w:eastAsia="Times New Roman" w:hint="default"/>
                <w:sz w:val="18"/>
                <w:szCs w:val="18"/>
              </w:rPr>
            </w:pPr>
            <w:r>
              <w:rPr>
                <w:rFonts w:ascii="Times New Roman"/>
                <w:sz w:val="18"/>
              </w:rPr>
              <w:t>405,000.00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1846"/>
        <w:gridCol w:w="2938"/>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18,989.63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49,914.83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473,906.76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54</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-16,886,743.17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51,971,601.87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-13,215,169.58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3,915,549.56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-30,101,912.75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55,887,151.43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531"/>
        <w:gridCol w:w="4037"/>
      </w:tblGrid>
      <w:tr>
        <w:trPr>
          <w:trHeight w:val="398"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164,171,504.42</w:t>
            </w:r>
          </w:p>
        </w:tc>
      </w:tr>
      <w:tr>
        <w:trPr>
          <w:trHeight w:val="40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24,625,725.66</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-20,268,663.26</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-22,936,009.17</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-177.65</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-18,867,880.72</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-1,036.72</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7,346,129.11</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-30,101,912.75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55</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详见附注七、</w:t>
      </w:r>
      <w:r>
        <w:rPr>
          <w:rFonts w:ascii="Times New Roman" w:hAnsi="Times New Roman" w:cs="Times New Roman" w:eastAsia="Times New Roman" w:hint="default"/>
        </w:rPr>
        <w:t>37</w:t>
      </w:r>
      <w:r>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56</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收到的保函保证金、票据保证金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5,571,597.58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44,760,796.40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42,453,788.08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18,346,631.69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6,641,734.62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7,825,640.01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3,103,143.15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1,530,261.98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534,338.89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收到的赔款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42,784.70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2,438,645.11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75,413.70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60,275,418.54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78,565,867.37</w:t>
            </w:r>
          </w:p>
        </w:tc>
      </w:tr>
    </w:tbl>
    <w:p>
      <w:pPr>
        <w:pStyle w:val="BodyText"/>
        <w:spacing w:line="240" w:lineRule="auto" w:before="49"/>
        <w:ind w:right="0"/>
        <w:jc w:val="left"/>
      </w:pPr>
      <w:r>
        <w:rPr/>
        <w:t>收到的其他与经营活动有关的现金说明：无。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付现销售、管理和研发费用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645,055,165.14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819,494,160.38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支付的保函保证金、票据保证金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25,049,460.32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3,840,837.46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53,531,062.45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16,064,776.44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2,566,091.64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262,833.86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358,253.20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1,786,084.80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2,245,978.97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待退回分红款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35,964,530.53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871,680.51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884,151.30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762,540,043.41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845,454,249.39</w:t>
            </w:r>
          </w:p>
        </w:tc>
      </w:tr>
    </w:tbl>
    <w:p>
      <w:pPr>
        <w:pStyle w:val="BodyText"/>
        <w:spacing w:line="240" w:lineRule="auto" w:before="49"/>
        <w:ind w:right="0"/>
        <w:jc w:val="left"/>
      </w:pPr>
      <w:r>
        <w:rPr/>
        <w:t>支付的其他与经营活动有关的现金说明：无。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收回爱酷游诚意金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收到的其他与投资活动有关的现金说明：无。</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49"/>
        <w:ind w:right="0"/>
        <w:jc w:val="left"/>
      </w:pPr>
      <w:r>
        <w:rPr/>
        <w:t>支付的其他与投资活动有关的现金说明：无。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359,999,588.91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547,788,574.59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回购公司股份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147,613,580.50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注销限制性股票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95,767,123.89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50,138,756.00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603,380,293.30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597,927,330.59</w:t>
            </w:r>
          </w:p>
        </w:tc>
      </w:tr>
    </w:tbl>
    <w:p>
      <w:pPr>
        <w:pStyle w:val="BodyText"/>
        <w:spacing w:line="240" w:lineRule="auto" w:before="49"/>
        <w:ind w:right="0"/>
        <w:jc w:val="left"/>
      </w:pPr>
      <w:r>
        <w:rPr/>
        <w:t>支付的其他与筹资活动有关的现金说明：无。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57</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239"/>
        <w:gridCol w:w="1841"/>
        <w:gridCol w:w="1488"/>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194,273,417.17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402,467,389.19</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304,286.62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16,806,838.60</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10,400,716.50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9,885,416.77</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2,821,511.50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2,427,668.08</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12,010,243.89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7,780,664.27</w:t>
            </w:r>
          </w:p>
        </w:tc>
      </w:tr>
      <w:tr>
        <w:trPr>
          <w:trHeight w:val="716"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8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8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-17,712,642.26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-1,052,454.07</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49,914.83</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1,767,223.42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15,564,858.48</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69,356,237.80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23,427,302.82</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-14,153,340.83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-192,246,298.77</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-10,288,426.96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4,321,994.58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6239"/>
        <w:gridCol w:w="1841"/>
        <w:gridCol w:w="1488"/>
      </w:tblGrid>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-2,926,742.62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-406,445.02</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16,039,401.71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-3,461,728.69</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-299,670,297.32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-44,151,334.27</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-229,864,792.50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65,637,380.61</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600,320.98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1,898,836.22</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-267,042,882.90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308,950,003.63</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214,790,733.29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733,303,657.33</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733,303,657.33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289,312,815.48</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-518,512,924.04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443,990,841.85</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214,790,733.29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733,303,657.33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27,384.03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3,653.31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200,623,398.47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731,823,083.18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14,139,950.79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1,476,920.84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214,790,733.29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733,303,657.33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58</w:t>
      </w:r>
      <w:r>
        <w:rPr/>
        <w:t>、所有权或使用权受到限制的资产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35,805,047.15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保函、银行承兑汇票保证金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59,742,271.29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借款抵押、融资租赁</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3,493,760.87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1,383,460,950.00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237,591,500.00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1,720,093,529.31</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59</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18,054,546.55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253,913.14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1,771,348.85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125,938.47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984,272.11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48,033.40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237,975,411.00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15,250,892.19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945,296.95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46,643.59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325,395.01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79,316.99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619,901.94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35,952.25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35,952.25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60</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245"/>
        <w:gridCol w:w="1135"/>
        <w:gridCol w:w="1419"/>
        <w:gridCol w:w="1769"/>
      </w:tblGrid>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成都市稳岗补贴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32,907.88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32,907.88</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高性能聚酰亚胺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打印耗材的制备与应用开发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199,034.16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199,034.16</w:t>
            </w:r>
          </w:p>
        </w:tc>
      </w:tr>
      <w:tr>
        <w:trPr>
          <w:trHeight w:val="71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深圳市高技能人才公共实训管理服务中心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年企业岗前 培训补贴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88,860.43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88,860.43</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20,000.04</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电费补贴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468,789.30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468,789.30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年深圳市科技研发资金企业研究开发资助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889,000.00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年度坪山区经济发展专项资金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企业快速增长奖励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395,945.00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395,945.00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5245"/>
        <w:gridCol w:w="1135"/>
        <w:gridCol w:w="1419"/>
        <w:gridCol w:w="1769"/>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坪山区发展和改革局关于新能源汽车充电设施扶持资金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年度坪山区经济发展专项资金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企业自行参加国内外展会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124,605.00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124,605.00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年坪山区科技创新专项资金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第二届中国国际进口博览会坪山区采购商参会资助费用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高新技术产业开发区经济运行与安全生产监管局补贴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高新技术产业开发区科技和人才工作局人才补贴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上海市嘉定区国库收付中心企业扶持资金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778,130.00</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北京市稳岗补贴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6,905.54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6,905.54</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253,997.75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253,997.75</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2,653,394.58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2,653,394.58</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说明其他原因导致的合并范围变动（如，新设子公司、清算子公司等）及其相关情况：</w:t>
      </w:r>
    </w:p>
    <w:p>
      <w:pPr>
        <w:pStyle w:val="BodyText"/>
        <w:spacing w:line="309" w:lineRule="auto" w:before="117"/>
        <w:ind w:right="1214" w:firstLine="35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月，经公司总裁办公会审议批准，控股子公司哆可梦出资</w:t>
      </w:r>
      <w:r>
        <w:rPr>
          <w:rFonts w:ascii="Times New Roman" w:hAnsi="Times New Roman" w:cs="Times New Roman" w:eastAsia="Times New Roman" w:hint="default"/>
        </w:rPr>
        <w:t>100</w:t>
      </w:r>
      <w:r>
        <w:rPr/>
        <w:t>万元设立全资子公司共创网络。</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 </w:t>
      </w:r>
      <w:r>
        <w:rPr/>
        <w:t>月，经公司总裁办公会审议批准，因共创网络自成立以来未实际开展业务并且无法取得相关优惠政策，哆可梦尚未实际出 资，哆可梦拟注销共创网络，截至本报告披露日，相关注销登记手续已办理完毕。</w:t>
      </w:r>
    </w:p>
    <w:p>
      <w:pPr>
        <w:pStyle w:val="BodyText"/>
        <w:spacing w:line="240" w:lineRule="auto" w:before="24"/>
        <w:ind w:left="510"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月，经公司总裁办公会审议批准，控股子公司哆可梦出资</w:t>
      </w:r>
      <w:r>
        <w:rPr>
          <w:rFonts w:ascii="Times New Roman" w:hAnsi="Times New Roman" w:cs="Times New Roman" w:eastAsia="Times New Roman" w:hint="default"/>
        </w:rPr>
        <w:t>1,000</w:t>
      </w:r>
      <w:r>
        <w:rPr/>
        <w:t>万元在成都市成立孙公司多趣网络。</w:t>
      </w:r>
    </w:p>
    <w:p>
      <w:pPr>
        <w:pStyle w:val="BodyText"/>
        <w:spacing w:line="300" w:lineRule="auto" w:before="63"/>
        <w:ind w:right="1126" w:firstLine="358"/>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月，经公司总裁办公会审议批准，公司与子公司喀什中汇联银成立</w:t>
      </w:r>
      <w:r>
        <w:rPr>
          <w:rFonts w:ascii="Times New Roman" w:hAnsi="Times New Roman" w:cs="Times New Roman" w:eastAsia="Times New Roman" w:hint="default"/>
        </w:rPr>
        <w:t>1</w:t>
      </w:r>
      <w:r>
        <w:rPr/>
        <w:t>家下属公司铁匣电力，注册资本为人 民币</w:t>
      </w:r>
      <w:r>
        <w:rPr>
          <w:rFonts w:ascii="Times New Roman" w:hAnsi="Times New Roman" w:cs="Times New Roman" w:eastAsia="Times New Roman" w:hint="default"/>
        </w:rPr>
        <w:t>100</w:t>
      </w:r>
      <w:r>
        <w:rPr/>
        <w:t>万元，其中：公司认缴出资额</w:t>
      </w:r>
      <w:r>
        <w:rPr>
          <w:rFonts w:ascii="Times New Roman" w:hAnsi="Times New Roman" w:cs="Times New Roman" w:eastAsia="Times New Roman" w:hint="default"/>
        </w:rPr>
        <w:t>60</w:t>
      </w:r>
      <w:r>
        <w:rPr/>
        <w:t>万元，出资比例为</w:t>
      </w:r>
      <w:r>
        <w:rPr>
          <w:rFonts w:ascii="Times New Roman" w:hAnsi="Times New Roman" w:cs="Times New Roman" w:eastAsia="Times New Roman" w:hint="default"/>
        </w:rPr>
        <w:t>60%</w:t>
      </w:r>
      <w:r>
        <w:rPr/>
        <w:t>；喀什中汇联银认缴出资额</w:t>
      </w:r>
      <w:r>
        <w:rPr>
          <w:rFonts w:ascii="Times New Roman" w:hAnsi="Times New Roman" w:cs="Times New Roman" w:eastAsia="Times New Roman" w:hint="default"/>
        </w:rPr>
        <w:t>40</w:t>
      </w:r>
      <w:r>
        <w:rPr/>
        <w:t>万元，出资比例为</w:t>
      </w:r>
      <w:r>
        <w:rPr>
          <w:rFonts w:ascii="Times New Roman" w:hAnsi="Times New Roman" w:cs="Times New Roman" w:eastAsia="Times New Roman" w:hint="default"/>
        </w:rPr>
        <w:t>40%</w:t>
      </w:r>
      <w:r>
        <w:rPr/>
        <w:t>。</w:t>
      </w:r>
    </w:p>
    <w:p>
      <w:pPr>
        <w:pStyle w:val="BodyText"/>
        <w:spacing w:line="300" w:lineRule="auto" w:before="13"/>
        <w:ind w:right="1141" w:firstLine="358"/>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月，经公司总裁办公会审议批准，公司与子公司喀什中汇联银成立</w:t>
      </w:r>
      <w:r>
        <w:rPr>
          <w:rFonts w:ascii="Times New Roman" w:hAnsi="Times New Roman" w:cs="Times New Roman" w:eastAsia="Times New Roman" w:hint="default"/>
        </w:rPr>
        <w:t>2</w:t>
      </w:r>
      <w:r>
        <w:rPr/>
        <w:t>家下属公司，名称分别为一零电力、 零玖电力，注册资本均为人民币</w:t>
      </w:r>
      <w:r>
        <w:rPr>
          <w:rFonts w:ascii="Times New Roman" w:hAnsi="Times New Roman" w:cs="Times New Roman" w:eastAsia="Times New Roman" w:hint="default"/>
        </w:rPr>
        <w:t>100</w:t>
      </w:r>
      <w:r>
        <w:rPr/>
        <w:t>万元，其中股权结构均为：公司认缴出资额</w:t>
      </w:r>
      <w:r>
        <w:rPr>
          <w:rFonts w:ascii="Times New Roman" w:hAnsi="Times New Roman" w:cs="Times New Roman" w:eastAsia="Times New Roman" w:hint="default"/>
        </w:rPr>
        <w:t>60</w:t>
      </w:r>
      <w:r>
        <w:rPr/>
        <w:t>万元，出资比例为</w:t>
      </w:r>
      <w:r>
        <w:rPr>
          <w:rFonts w:ascii="Times New Roman" w:hAnsi="Times New Roman" w:cs="Times New Roman" w:eastAsia="Times New Roman" w:hint="default"/>
        </w:rPr>
        <w:t>60%</w:t>
      </w:r>
      <w:r>
        <w:rPr/>
        <w:t>；喀什中汇联银认 缴出资额</w:t>
      </w:r>
      <w:r>
        <w:rPr>
          <w:rFonts w:ascii="Times New Roman" w:hAnsi="Times New Roman" w:cs="Times New Roman" w:eastAsia="Times New Roman" w:hint="default"/>
        </w:rPr>
        <w:t>40</w:t>
      </w:r>
      <w:r>
        <w:rPr/>
        <w:t>万元，出资比例为</w:t>
      </w:r>
      <w:r>
        <w:rPr>
          <w:rFonts w:ascii="Times New Roman" w:hAnsi="Times New Roman" w:cs="Times New Roman" w:eastAsia="Times New Roman" w:hint="default"/>
        </w:rPr>
        <w:t>40%</w:t>
      </w:r>
      <w:r>
        <w:rPr/>
        <w:t>。</w:t>
      </w:r>
    </w:p>
    <w:p>
      <w:pPr>
        <w:pStyle w:val="BodyText"/>
        <w:spacing w:line="300" w:lineRule="auto" w:before="13"/>
        <w:ind w:right="1396" w:firstLine="358"/>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月，经公司总裁办公会审议批准，控股子公司哆可梦在成都市成立</w:t>
      </w:r>
      <w:r>
        <w:rPr>
          <w:rFonts w:ascii="Times New Roman" w:hAnsi="Times New Roman" w:cs="Times New Roman" w:eastAsia="Times New Roman" w:hint="default"/>
        </w:rPr>
        <w:t>2</w:t>
      </w:r>
      <w:r>
        <w:rPr/>
        <w:t>家孙公司、在江西省成立</w:t>
      </w:r>
      <w:r>
        <w:rPr>
          <w:rFonts w:ascii="Times New Roman" w:hAnsi="Times New Roman" w:cs="Times New Roman" w:eastAsia="Times New Roman" w:hint="default"/>
        </w:rPr>
        <w:t>1</w:t>
      </w:r>
      <w:r>
        <w:rPr/>
        <w:t>家孙公 司，孙公司名称分别为缘中缘网络、致合世纪、高奇网络，注册资本均为人民币</w:t>
      </w:r>
      <w:r>
        <w:rPr>
          <w:rFonts w:ascii="Times New Roman" w:hAnsi="Times New Roman" w:cs="Times New Roman" w:eastAsia="Times New Roman" w:hint="default"/>
        </w:rPr>
        <w:t>300</w:t>
      </w:r>
      <w:r>
        <w:rPr/>
        <w:t>万元。</w:t>
      </w:r>
    </w:p>
    <w:p>
      <w:pPr>
        <w:pStyle w:val="BodyText"/>
        <w:spacing w:line="240" w:lineRule="auto" w:before="17"/>
        <w:ind w:left="510" w:right="0"/>
        <w:jc w:val="left"/>
        <w:rPr>
          <w:rFonts w:ascii="Times New Roman" w:hAnsi="Times New Roman" w:cs="Times New Roman" w:eastAsia="Times New Roman" w:hint="default"/>
          <w:sz w:val="20"/>
          <w:szCs w:val="20"/>
        </w:rPr>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月，经公司第六届董事会第三十七次会议审议批准，公司在日本设立一家全资游戏研发、发行子公司</w:t>
      </w:r>
      <w:r>
        <w:rPr>
          <w:rFonts w:ascii="Times New Roman" w:hAnsi="Times New Roman" w:cs="Times New Roman" w:eastAsia="Times New Roman" w:hint="default"/>
          <w:color w:val="333333"/>
          <w:sz w:val="20"/>
          <w:szCs w:val="20"/>
        </w:rPr>
        <w:t>—</w:t>
      </w:r>
      <w:r>
        <w:rPr>
          <w:rFonts w:ascii="Times New Roman" w:hAnsi="Times New Roman" w:cs="Times New Roman" w:eastAsia="Times New Roman" w:hint="default"/>
          <w:sz w:val="20"/>
          <w:szCs w:val="20"/>
        </w:rPr>
      </w:r>
    </w:p>
    <w:p>
      <w:pPr>
        <w:pStyle w:val="BodyText"/>
        <w:spacing w:line="240" w:lineRule="auto" w:before="58"/>
        <w:ind w:right="0"/>
        <w:jc w:val="left"/>
      </w:pPr>
      <w:r>
        <w:rPr>
          <w:rFonts w:ascii="Times New Roman" w:hAnsi="Times New Roman" w:cs="Times New Roman" w:eastAsia="Times New Roman" w:hint="default"/>
          <w:color w:val="333333"/>
          <w:sz w:val="20"/>
          <w:szCs w:val="20"/>
        </w:rPr>
        <w:t>—</w:t>
      </w:r>
      <w:r>
        <w:rPr/>
        <w:t>链接世界，作为惠程海外游戏运作平台。截止本报告期末，当地注册登记文件已办理完毕。</w:t>
      </w: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r>
        <w:rPr/>
        <w:t>九、在其他主体中的权益</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707"/>
        <w:gridCol w:w="1027"/>
        <w:gridCol w:w="1369"/>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707" w:type="dxa"/>
            <w:vMerge/>
            <w:tcBorders>
              <w:left w:val="single" w:sz="4" w:space="0" w:color="000000"/>
              <w:bottom w:val="single" w:sz="4" w:space="0" w:color="000000"/>
              <w:right w:val="single" w:sz="4" w:space="0" w:color="000000"/>
            </w:tcBorders>
            <w:shd w:val="clear" w:color="auto" w:fill="D2D2D2"/>
          </w:tcPr>
          <w:p>
            <w:pP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707"/>
        <w:gridCol w:w="1027"/>
        <w:gridCol w:w="1369"/>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互联网及相关服务业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互联网及相关服务业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铁匣电力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一零电力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零玖电力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链接世界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互联网及相关服务业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474"/>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240" w:lineRule="auto" w:before="29"/>
        <w:ind w:right="0"/>
        <w:jc w:val="left"/>
      </w:pPr>
      <w:r>
        <w:rPr/>
        <w:t>确定公司是代理人还是委托人的依据：无。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994"/>
        <w:gridCol w:w="1558"/>
        <w:gridCol w:w="2269"/>
        <w:gridCol w:w="2838"/>
        <w:gridCol w:w="1913"/>
      </w:tblGrid>
      <w:tr>
        <w:trPr>
          <w:trHeight w:val="76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59,250,547.15</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24,578,445.28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155,593,322.18</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24,943.19</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-1,481,832.61</w:t>
            </w:r>
          </w:p>
        </w:tc>
      </w:tr>
    </w:tbl>
    <w:p>
      <w:pPr>
        <w:pStyle w:val="BodyText"/>
        <w:spacing w:line="240" w:lineRule="auto" w:before="49"/>
        <w:ind w:right="0"/>
        <w:jc w:val="left"/>
      </w:pPr>
      <w:r>
        <w:rPr/>
        <w:t>子公司少数股东的持股比例不同于表决权比例的说明：无。</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after="0" w:line="240" w:lineRule="auto"/>
        <w:jc w:val="left"/>
        <w:sectPr>
          <w:pgSz w:w="11910" w:h="16840"/>
          <w:pgMar w:header="0" w:footer="980" w:top="1100" w:bottom="1160" w:left="980" w:right="0"/>
        </w:sectPr>
      </w:pPr>
    </w:p>
    <w:p>
      <w:pPr>
        <w:pStyle w:val="BodyText"/>
        <w:spacing w:line="240" w:lineRule="auto" w:before="15"/>
        <w:ind w:left="0" w:right="133"/>
        <w:jc w:val="right"/>
      </w:pPr>
      <w:r>
        <w:rPr/>
        <w:t>深圳市惠程信息科技股份有限公司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13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876"/>
        <w:gridCol w:w="1265"/>
        <w:gridCol w:w="977"/>
        <w:gridCol w:w="1177"/>
        <w:gridCol w:w="1126"/>
        <w:gridCol w:w="984"/>
        <w:gridCol w:w="1128"/>
        <w:gridCol w:w="1128"/>
        <w:gridCol w:w="984"/>
        <w:gridCol w:w="1128"/>
        <w:gridCol w:w="1124"/>
        <w:gridCol w:w="989"/>
        <w:gridCol w:w="1066"/>
      </w:tblGrid>
      <w:tr>
        <w:trPr>
          <w:trHeight w:val="403" w:hRule="exact"/>
        </w:trPr>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43" w:right="72"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6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876"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Times New Roman" w:hAnsi="Times New Roman" w:cs="Times New Roman" w:eastAsia="Times New Roman" w:hint="default"/>
                <w:sz w:val="16"/>
                <w:szCs w:val="16"/>
              </w:rPr>
            </w:pPr>
            <w:r>
              <w:rPr>
                <w:rFonts w:ascii="Times New Roman"/>
                <w:sz w:val="16"/>
              </w:rPr>
              <w:t>919,910,646.34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44,698,833.27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964,609,479.61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 w:right="0"/>
              <w:jc w:val="center"/>
              <w:rPr>
                <w:rFonts w:ascii="Times New Roman" w:hAnsi="Times New Roman" w:cs="Times New Roman" w:eastAsia="Times New Roman" w:hint="default"/>
                <w:sz w:val="16"/>
                <w:szCs w:val="16"/>
              </w:rPr>
            </w:pPr>
            <w:r>
              <w:rPr>
                <w:rFonts w:ascii="Times New Roman"/>
                <w:sz w:val="16"/>
              </w:rPr>
              <w:t>269,678,566.87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1,246,908.38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270,925,475.25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871,823,000.86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29,163,604.08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 w:right="0"/>
              <w:jc w:val="center"/>
              <w:rPr>
                <w:rFonts w:ascii="Times New Roman" w:hAnsi="Times New Roman" w:cs="Times New Roman" w:eastAsia="Times New Roman" w:hint="default"/>
                <w:sz w:val="16"/>
                <w:szCs w:val="16"/>
              </w:rPr>
            </w:pPr>
            <w:r>
              <w:rPr>
                <w:rFonts w:ascii="Times New Roman"/>
                <w:sz w:val="16"/>
              </w:rPr>
              <w:t>900,986,604.94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center"/>
              <w:rPr>
                <w:rFonts w:ascii="Times New Roman" w:hAnsi="Times New Roman" w:cs="Times New Roman" w:eastAsia="Times New Roman" w:hint="default"/>
                <w:sz w:val="16"/>
                <w:szCs w:val="16"/>
              </w:rPr>
            </w:pPr>
            <w:r>
              <w:rPr>
                <w:rFonts w:ascii="Times New Roman"/>
                <w:sz w:val="16"/>
              </w:rPr>
              <w:t>359,357,495.07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2,524,248.94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361,881,744.01</w:t>
            </w:r>
          </w:p>
        </w:tc>
      </w:tr>
      <w:tr>
        <w:trPr>
          <w:trHeight w:val="401"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Times New Roman" w:hAnsi="Times New Roman" w:cs="Times New Roman" w:eastAsia="Times New Roman" w:hint="default"/>
                <w:sz w:val="16"/>
                <w:szCs w:val="16"/>
              </w:rPr>
            </w:pPr>
            <w:r>
              <w:rPr>
                <w:rFonts w:ascii="Times New Roman"/>
                <w:sz w:val="16"/>
              </w:rPr>
              <w:t>33,484,576.76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Times New Roman" w:hAnsi="Times New Roman" w:cs="Times New Roman" w:eastAsia="Times New Roman" w:hint="default"/>
                <w:sz w:val="16"/>
                <w:szCs w:val="16"/>
              </w:rPr>
            </w:pPr>
            <w:r>
              <w:rPr>
                <w:rFonts w:ascii="Times New Roman"/>
                <w:sz w:val="16"/>
              </w:rPr>
              <w:t>3,554,041.43</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2"/>
                <w:sz w:val="16"/>
              </w:rPr>
              <w:t>37,038,618.19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4" w:right="0"/>
              <w:jc w:val="center"/>
              <w:rPr>
                <w:rFonts w:ascii="Times New Roman" w:hAnsi="Times New Roman" w:cs="Times New Roman" w:eastAsia="Times New Roman" w:hint="default"/>
                <w:sz w:val="16"/>
                <w:szCs w:val="16"/>
              </w:rPr>
            </w:pPr>
            <w:r>
              <w:rPr>
                <w:rFonts w:ascii="Times New Roman"/>
                <w:sz w:val="16"/>
              </w:rPr>
              <w:t>40,062,766.38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40,062,766.38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6,035,451.60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4,823,181.91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center"/>
              <w:rPr>
                <w:rFonts w:ascii="Times New Roman" w:hAnsi="Times New Roman" w:cs="Times New Roman" w:eastAsia="Times New Roman" w:hint="default"/>
                <w:sz w:val="16"/>
                <w:szCs w:val="16"/>
              </w:rPr>
            </w:pPr>
            <w:r>
              <w:rPr>
                <w:rFonts w:ascii="Times New Roman"/>
                <w:sz w:val="16"/>
              </w:rPr>
              <w:t>10,858,633.51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center"/>
              <w:rPr>
                <w:rFonts w:ascii="Times New Roman" w:hAnsi="Times New Roman" w:cs="Times New Roman" w:eastAsia="Times New Roman" w:hint="default"/>
                <w:sz w:val="16"/>
                <w:szCs w:val="16"/>
              </w:rPr>
            </w:pPr>
            <w:r>
              <w:rPr>
                <w:rFonts w:ascii="Times New Roman"/>
                <w:sz w:val="16"/>
              </w:rPr>
              <w:t>18,833,686.17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18,833,686.17</w:t>
            </w:r>
          </w:p>
        </w:tc>
      </w:tr>
      <w:tr>
        <w:trPr>
          <w:trHeight w:val="40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Times New Roman" w:hAnsi="Times New Roman" w:cs="Times New Roman" w:eastAsia="Times New Roman" w:hint="default"/>
                <w:sz w:val="16"/>
                <w:szCs w:val="16"/>
              </w:rPr>
            </w:pPr>
            <w:r>
              <w:rPr>
                <w:rFonts w:ascii="Times New Roman"/>
                <w:sz w:val="16"/>
              </w:rPr>
              <w:t>953,395,223.10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48,252,874.70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1,001,648,097.80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 w:right="0"/>
              <w:jc w:val="center"/>
              <w:rPr>
                <w:rFonts w:ascii="Times New Roman" w:hAnsi="Times New Roman" w:cs="Times New Roman" w:eastAsia="Times New Roman" w:hint="default"/>
                <w:sz w:val="16"/>
                <w:szCs w:val="16"/>
              </w:rPr>
            </w:pPr>
            <w:r>
              <w:rPr>
                <w:rFonts w:ascii="Times New Roman"/>
                <w:sz w:val="16"/>
              </w:rPr>
              <w:t>309,741,333.25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1,246,908.38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310,988,241.63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877,858,452.46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2"/>
                <w:sz w:val="16"/>
              </w:rPr>
              <w:t>33,986,785.99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 w:right="0"/>
              <w:jc w:val="center"/>
              <w:rPr>
                <w:rFonts w:ascii="Times New Roman" w:hAnsi="Times New Roman" w:cs="Times New Roman" w:eastAsia="Times New Roman" w:hint="default"/>
                <w:sz w:val="16"/>
                <w:szCs w:val="16"/>
              </w:rPr>
            </w:pPr>
            <w:r>
              <w:rPr>
                <w:rFonts w:ascii="Times New Roman"/>
                <w:sz w:val="16"/>
              </w:rPr>
              <w:t>911,845,238.45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center"/>
              <w:rPr>
                <w:rFonts w:ascii="Times New Roman" w:hAnsi="Times New Roman" w:cs="Times New Roman" w:eastAsia="Times New Roman" w:hint="default"/>
                <w:sz w:val="16"/>
                <w:szCs w:val="16"/>
              </w:rPr>
            </w:pPr>
            <w:r>
              <w:rPr>
                <w:rFonts w:ascii="Times New Roman"/>
                <w:sz w:val="16"/>
              </w:rPr>
              <w:t>378,191,181.24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2,524,248.94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380,715,430.18</w:t>
            </w:r>
          </w:p>
        </w:tc>
      </w:tr>
    </w:tbl>
    <w:p>
      <w:pPr>
        <w:pStyle w:val="BodyText"/>
        <w:spacing w:line="240" w:lineRule="auto" w:before="49"/>
        <w:ind w:left="0" w:right="137"/>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546"/>
        <w:gridCol w:w="1546"/>
        <w:gridCol w:w="1551"/>
        <w:gridCol w:w="1553"/>
        <w:gridCol w:w="1553"/>
        <w:gridCol w:w="1548"/>
        <w:gridCol w:w="1548"/>
        <w:gridCol w:w="1549"/>
        <w:gridCol w:w="1558"/>
      </w:tblGrid>
      <w:tr>
        <w:trPr>
          <w:trHeight w:val="403" w:hRule="exact"/>
        </w:trPr>
        <w:tc>
          <w:tcPr>
            <w:tcW w:w="1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6"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692,654,289.04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264,157,588.71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264,157,588.71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-46,302,458.16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1,560,185,210.70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323,158,093.89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323,158,093.89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320,681,545.40</w:t>
            </w:r>
          </w:p>
        </w:tc>
      </w:tr>
      <w:tr>
        <w:trPr>
          <w:trHeight w:val="40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98,405,848.21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50,904.47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50,904.47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13,042,608.29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13,092,253.38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-13,075,052.66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-13,075,052.66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-1,473,443.65</w:t>
            </w:r>
          </w:p>
        </w:tc>
      </w:tr>
      <w:tr>
        <w:trPr>
          <w:trHeight w:val="40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791,060,137.25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264,208,493.18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264,208,493.18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-33,259,849.87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1,573,277,464.08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310,083,041.23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310,083,041.23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319,208,101.75</w:t>
            </w:r>
          </w:p>
        </w:tc>
      </w:tr>
    </w:tbl>
    <w:p>
      <w:pPr>
        <w:pStyle w:val="BodyText"/>
        <w:spacing w:line="240" w:lineRule="auto" w:before="49"/>
        <w:ind w:left="140" w:right="128"/>
        <w:jc w:val="left"/>
      </w:pPr>
      <w:r>
        <w:rPr/>
        <w:t>其他说明：</w:t>
      </w:r>
    </w:p>
    <w:p>
      <w:pPr>
        <w:pStyle w:val="BodyText"/>
        <w:spacing w:line="300" w:lineRule="auto" w:before="115"/>
        <w:ind w:left="140" w:right="128" w:firstLine="360"/>
        <w:jc w:val="left"/>
      </w:pPr>
      <w:r>
        <w:rPr/>
        <w:t>控股子公司哆可梦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日股东会决议，同意公司向全体股东派发现金分红金额总计</w:t>
      </w:r>
      <w:r>
        <w:rPr>
          <w:rFonts w:ascii="Times New Roman" w:hAnsi="Times New Roman" w:cs="Times New Roman" w:eastAsia="Times New Roman" w:hint="default"/>
        </w:rPr>
        <w:t>269,919,642.47</w:t>
      </w:r>
      <w:r>
        <w:rPr/>
        <w:t>元人民币，股东按出资比例分取现金分红，其中：向公司派发现金 分红</w:t>
      </w:r>
      <w:r>
        <w:rPr>
          <w:rFonts w:ascii="Times New Roman" w:hAnsi="Times New Roman" w:cs="Times New Roman" w:eastAsia="Times New Roman" w:hint="default"/>
        </w:rPr>
        <w:t>209,376,666.66</w:t>
      </w:r>
      <w:r>
        <w:rPr/>
        <w:t>元人民币，向中冀投资股份有限公司派发现金分红</w:t>
      </w:r>
      <w:r>
        <w:rPr>
          <w:rFonts w:ascii="Times New Roman" w:hAnsi="Times New Roman" w:cs="Times New Roman" w:eastAsia="Times New Roman" w:hint="default"/>
        </w:rPr>
        <w:t>60,542,975.81</w:t>
      </w:r>
      <w:r>
        <w:rPr/>
        <w:t>元人民币。后经公司年审会计师初步核查，发现哆可梦在完成上述现金分红后导致</w:t>
      </w:r>
      <w:r>
        <w:rPr>
          <w:rFonts w:ascii="Times New Roman" w:hAnsi="Times New Roman" w:cs="Times New Roman" w:eastAsia="Times New Roman" w:hint="default"/>
        </w:rPr>
        <w:t>2019</w:t>
      </w:r>
      <w:r>
        <w:rPr/>
        <w:t>年度的 未分配利润出现负数，不符合法律法规及公司章程等相关规定，哆可梦也不具备按前述决议现金分红的客观条件。因此，</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日经哆可梦股东一致决议，将前述现金分红 方案修改为：哆可梦向全体股东派发现金分红金额总计</w:t>
      </w:r>
      <w:r>
        <w:rPr>
          <w:rFonts w:ascii="Times New Roman" w:hAnsi="Times New Roman" w:cs="Times New Roman" w:eastAsia="Times New Roman" w:hint="default"/>
        </w:rPr>
        <w:t>109,578,445.28</w:t>
      </w:r>
      <w:r>
        <w:rPr/>
        <w:t>元人民币，股东按出资比例分取现金分红，其中：向公司派发现金分红</w:t>
      </w:r>
      <w:r>
        <w:rPr>
          <w:rFonts w:ascii="Times New Roman" w:hAnsi="Times New Roman" w:cs="Times New Roman" w:eastAsia="Times New Roman" w:hint="default"/>
        </w:rPr>
        <w:t>85,000,000.00</w:t>
      </w:r>
      <w:r>
        <w:rPr/>
        <w:t>元人民币，向中冀投资 股份有限公司派发现金分红</w:t>
      </w:r>
      <w:r>
        <w:rPr>
          <w:rFonts w:ascii="Times New Roman" w:hAnsi="Times New Roman" w:cs="Times New Roman" w:eastAsia="Times New Roman" w:hint="default"/>
        </w:rPr>
        <w:t>24,578,445.28</w:t>
      </w:r>
      <w:r>
        <w:rPr/>
        <w:t>元人民币。因哆可梦向公司的分红款项冲抵了双方的往来资金，不涉及支付现金分红款及退还超额分红款事宜；哆可梦于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日向中冀投资股份有限公司实际派发现金分红</w:t>
      </w:r>
      <w:r>
        <w:rPr>
          <w:rFonts w:ascii="Times New Roman" w:hAnsi="Times New Roman" w:cs="Times New Roman" w:eastAsia="Times New Roman" w:hint="default"/>
        </w:rPr>
        <w:t>60,542,975.81</w:t>
      </w:r>
      <w:r>
        <w:rPr/>
        <w:t>元人民币，超额发放的现金红利</w:t>
      </w:r>
      <w:r>
        <w:rPr>
          <w:rFonts w:ascii="Times New Roman" w:hAnsi="Times New Roman" w:cs="Times New Roman" w:eastAsia="Times New Roman" w:hint="default"/>
        </w:rPr>
        <w:t>35,964,530.53</w:t>
      </w:r>
      <w:r>
        <w:rPr/>
        <w:t>元应返还哆可梦。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180</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27"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75"/>
          <w:footerReference w:type="default" r:id="rId76"/>
          <w:pgSz w:w="16840" w:h="11910" w:orient="landscape"/>
          <w:pgMar w:header="0" w:footer="0" w:top="800" w:bottom="0" w:left="1300" w:right="1300"/>
        </w:sectPr>
      </w:pPr>
    </w:p>
    <w:p>
      <w:pPr>
        <w:spacing w:line="240" w:lineRule="auto" w:before="8"/>
        <w:rPr>
          <w:rFonts w:ascii="Times New Roman" w:hAnsi="Times New Roman" w:cs="Times New Roman" w:eastAsia="Times New Roman"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惠智网联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在合营企业或联营企业的持股比例不同于表决权比例的说明：无。</w:t>
      </w:r>
    </w:p>
    <w:p>
      <w:pPr>
        <w:pStyle w:val="BodyText"/>
        <w:spacing w:line="338" w:lineRule="auto" w:before="118"/>
        <w:ind w:left="513" w:right="1213" w:hanging="361"/>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公司是真机智能研发和设计的无人配送机器人及其他智能机器人的唯一生产制造商。由于该交易行为在一定程度上会</w:t>
      </w:r>
    </w:p>
    <w:p>
      <w:pPr>
        <w:pStyle w:val="BodyText"/>
        <w:spacing w:line="240" w:lineRule="auto" w:before="2"/>
        <w:ind w:right="0"/>
        <w:jc w:val="left"/>
      </w:pPr>
      <w:r>
        <w:rPr/>
        <w:t>对真机智能的日常生产经营决策产生重大影响，具有重要性，因此采用权益法核算。</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161,350,071.55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158,004,906.70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161,350,071.55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158,004,906.70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161,350,071.55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158,003,906.70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161,351,517.89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158,000,976.68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3,906.70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3,906.70</w:t>
            </w:r>
          </w:p>
        </w:tc>
      </w:tr>
    </w:tbl>
    <w:p>
      <w:pPr>
        <w:spacing w:after="0" w:line="240" w:lineRule="auto"/>
        <w:jc w:val="right"/>
        <w:rPr>
          <w:rFonts w:ascii="Times New Roman" w:hAnsi="Times New Roman" w:cs="Times New Roman" w:eastAsia="Times New Roman" w:hint="default"/>
          <w:sz w:val="18"/>
          <w:szCs w:val="18"/>
        </w:rPr>
        <w:sectPr>
          <w:footerReference w:type="default" r:id="rId77"/>
          <w:pgSz w:w="11910" w:h="16840"/>
          <w:pgMar w:footer="980" w:header="0" w:top="1100" w:bottom="1160" w:left="980" w:right="0"/>
          <w:pgNumType w:start="1"/>
        </w:sectPr>
      </w:pPr>
    </w:p>
    <w:p>
      <w:pPr>
        <w:pStyle w:val="BodyText"/>
        <w:spacing w:line="357" w:lineRule="auto" w:before="49"/>
        <w:ind w:right="-20"/>
        <w:jc w:val="left"/>
      </w:pPr>
      <w:r>
        <w:rPr/>
        <w:t>其他说明 以上为惠智网联的主要财务信息。 以下为真机智能的主要财务信息：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单位：元</w:t>
      </w:r>
    </w:p>
    <w:p>
      <w:pPr>
        <w:spacing w:after="0" w:line="240" w:lineRule="auto"/>
        <w:jc w:val="left"/>
        <w:sectPr>
          <w:type w:val="continuous"/>
          <w:pgSz w:w="11910" w:h="16840"/>
          <w:pgMar w:top="1060" w:bottom="1160" w:left="980" w:right="0"/>
          <w:cols w:num="2" w:equalWidth="0">
            <w:col w:w="2853" w:space="6065"/>
            <w:col w:w="2012"/>
          </w:cols>
        </w:sectPr>
      </w:pPr>
    </w:p>
    <w:p>
      <w:pPr>
        <w:spacing w:line="240" w:lineRule="auto" w:before="9"/>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3553"/>
        <w:gridCol w:w="3120"/>
        <w:gridCol w:w="2986"/>
      </w:tblGrid>
      <w:tr>
        <w:trPr>
          <w:trHeight w:val="342"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7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6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47"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2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2,160,115.01</w:t>
            </w:r>
          </w:p>
        </w:tc>
        <w:tc>
          <w:tcPr>
            <w:tcW w:w="298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5,843,912.04</w:t>
            </w:r>
          </w:p>
        </w:tc>
      </w:tr>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27,216.93</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41,416.89</w:t>
            </w:r>
          </w:p>
        </w:tc>
      </w:tr>
      <w:tr>
        <w:trPr>
          <w:trHeight w:val="346"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2,187,331.94</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5,885,328.93</w:t>
            </w:r>
          </w:p>
        </w:tc>
      </w:tr>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1,058,873.77</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72,734.64</w:t>
            </w:r>
          </w:p>
        </w:tc>
      </w:tr>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4" w:type="dxa"/>
        <w:tblLayout w:type="fixed"/>
        <w:tblCellMar>
          <w:top w:w="0" w:type="dxa"/>
          <w:left w:w="0" w:type="dxa"/>
          <w:bottom w:w="0" w:type="dxa"/>
          <w:right w:w="0" w:type="dxa"/>
        </w:tblCellMar>
        <w:tblLook w:val="01E0"/>
      </w:tblPr>
      <w:tblGrid>
        <w:gridCol w:w="3553"/>
        <w:gridCol w:w="3120"/>
        <w:gridCol w:w="2986"/>
      </w:tblGrid>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1,058,873.77-</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72,734.64</w:t>
            </w:r>
          </w:p>
        </w:tc>
      </w:tr>
      <w:tr>
        <w:trPr>
          <w:trHeight w:val="346"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1,128,458.17</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5,812,594.29</w:t>
            </w:r>
          </w:p>
        </w:tc>
      </w:tr>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5,992,475.00</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6,695,095.42</w:t>
            </w:r>
          </w:p>
        </w:tc>
      </w:tr>
      <w:tr>
        <w:trPr>
          <w:trHeight w:val="346"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524,757.30</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297,087.38</w:t>
            </w:r>
          </w:p>
        </w:tc>
      </w:tr>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-4,684,136.12</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-3,308,807.82</w:t>
            </w:r>
          </w:p>
        </w:tc>
      </w:tr>
      <w:tr>
        <w:trPr>
          <w:trHeight w:val="346"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-4,684,136.12</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-3,308,807.82</w:t>
            </w:r>
          </w:p>
        </w:tc>
      </w:tr>
    </w:tbl>
    <w:p>
      <w:pPr>
        <w:pStyle w:val="BodyText"/>
        <w:spacing w:line="240" w:lineRule="auto" w:before="49"/>
        <w:ind w:right="0"/>
        <w:jc w:val="left"/>
      </w:pPr>
      <w:r>
        <w:rPr/>
        <w:t>以下为永耀惠程的主要财务信息：</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9"/>
          <w:szCs w:val="9"/>
        </w:rPr>
      </w:pPr>
    </w:p>
    <w:tbl>
      <w:tblPr>
        <w:tblW w:w="0" w:type="auto"/>
        <w:jc w:val="left"/>
        <w:tblInd w:w="164" w:type="dxa"/>
        <w:tblLayout w:type="fixed"/>
        <w:tblCellMar>
          <w:top w:w="0" w:type="dxa"/>
          <w:left w:w="0" w:type="dxa"/>
          <w:bottom w:w="0" w:type="dxa"/>
          <w:right w:w="0" w:type="dxa"/>
        </w:tblCellMar>
        <w:tblLook w:val="01E0"/>
      </w:tblPr>
      <w:tblGrid>
        <w:gridCol w:w="3191"/>
        <w:gridCol w:w="3190"/>
        <w:gridCol w:w="3190"/>
      </w:tblGrid>
      <w:tr>
        <w:trPr>
          <w:trHeight w:val="414"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7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75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2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18,642,467.81</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7,722,392.68</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138,764.55</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337,171.49</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18,781,232.36</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8,059,564.17</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10,690,475.57</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284,093.99</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10,690,475.57</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284,093.99</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8,090,756.79</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7,775,470.18</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3,236,302.71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3,110,188.07</w:t>
            </w:r>
          </w:p>
        </w:tc>
      </w:tr>
      <w:tr>
        <w:trPr>
          <w:trHeight w:val="425"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26,537,810.78</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6,138,002.54</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315,286.61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-1,270,834.03</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315,286.61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-1,270,834.03</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3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的确定，并对风险管理目标和政策承担最终责任，但是董事会已授权本公司战略部门设计和实施能够确保风险管理目标和政</w:t>
      </w:r>
      <w:r>
        <w:rPr>
          <w:spacing w:val="-64"/>
        </w:rPr>
        <w:t> </w:t>
      </w:r>
      <w:r>
        <w:rPr>
          <w:spacing w:val="-64"/>
        </w:rPr>
      </w:r>
      <w:r>
        <w:rPr/>
        <w:t>策得以有效执行的程序。本公司的内部审计师审查风险管理的政策和程序，并且将有关发现汇报给审计委员会。</w:t>
      </w:r>
    </w:p>
    <w:p>
      <w:pPr>
        <w:pStyle w:val="BodyText"/>
        <w:spacing w:line="240" w:lineRule="auto" w:before="59"/>
        <w:ind w:left="513" w:right="0"/>
        <w:jc w:val="left"/>
      </w:pPr>
      <w:r>
        <w:rPr/>
        <w:t>本公司风险管理的总体目标是在不过度影响公司竞争力和应变力的情况下，制定尽可能降低风险的风险管理政策。</w:t>
      </w:r>
    </w:p>
    <w:p>
      <w:pPr>
        <w:pStyle w:val="BodyText"/>
        <w:spacing w:line="340" w:lineRule="auto" w:before="115"/>
        <w:ind w:left="513" w:right="1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、信用风险 信用风险是指金融工具的一方不履行义务，造成另一方发生财务损失的风险。本公司主要面临赊销导致的客户信用风</w:t>
      </w:r>
    </w:p>
    <w:p>
      <w:pPr>
        <w:pStyle w:val="BodyText"/>
        <w:spacing w:line="316" w:lineRule="auto" w:before="1"/>
        <w:ind w:right="0"/>
        <w:jc w:val="left"/>
      </w:pPr>
      <w:r>
        <w:rPr>
          <w:spacing w:val="-2"/>
        </w:rPr>
        <w:t>险。在签订新合同之前，本公司会对新客户的信用风险进行评估，包括外部信用评级和在某些情况下的银行资信证明（当此</w:t>
      </w:r>
      <w:r>
        <w:rPr>
          <w:spacing w:val="-64"/>
        </w:rPr>
        <w:t> </w:t>
      </w:r>
      <w:r>
        <w:rPr>
          <w:spacing w:val="-64"/>
        </w:rPr>
      </w:r>
      <w:r>
        <w:rPr/>
        <w:t>信息可获取时）。</w:t>
      </w:r>
    </w:p>
    <w:p>
      <w:pPr>
        <w:pStyle w:val="BodyText"/>
        <w:spacing w:line="309" w:lineRule="auto" w:before="59"/>
        <w:ind w:right="1129" w:firstLine="360"/>
        <w:jc w:val="both"/>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40" w:lineRule="auto" w:before="62"/>
        <w:ind w:left="513" w:right="1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、市场风险 </w:t>
      </w:r>
      <w:r>
        <w:rPr>
          <w:spacing w:val="-2"/>
        </w:rPr>
        <w:t>金融工具的市场风险，是指金融工具的公允价值或未来现金流量因市场价格变动而发生波动的风险，包括汇率风险、利</w:t>
      </w:r>
    </w:p>
    <w:p>
      <w:pPr>
        <w:spacing w:after="0" w:line="340" w:lineRule="auto"/>
        <w:jc w:val="left"/>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率风险和其他价格风险。</w:t>
      </w:r>
    </w:p>
    <w:p>
      <w:pPr>
        <w:pStyle w:val="BodyText"/>
        <w:spacing w:line="338" w:lineRule="auto" w:before="117"/>
        <w:ind w:left="513" w:right="1125" w:hanging="72"/>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2"/>
        <w:ind w:right="0"/>
        <w:jc w:val="left"/>
      </w:pPr>
      <w:r>
        <w:rPr/>
        <w:t>源于银行短期借款。公司目前短期借款是固定利率借款，因此不存在利率风险。</w:t>
      </w:r>
    </w:p>
    <w:p>
      <w:pPr>
        <w:pStyle w:val="BodyText"/>
        <w:spacing w:line="340" w:lineRule="auto" w:before="117"/>
        <w:ind w:left="513" w:right="1125" w:hanging="72"/>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1"/>
        <w:ind w:right="0"/>
        <w:jc w:val="left"/>
      </w:pPr>
      <w:r>
        <w:rPr>
          <w:spacing w:val="-2"/>
        </w:rPr>
        <w:t>币支出相匹配以降低汇率风险。本公司未签署任何远期外汇合约或货币互换合约。本公司以美元计价的金融资产和金融负债</w:t>
      </w:r>
      <w:r>
        <w:rPr>
          <w:spacing w:val="-64"/>
        </w:rPr>
        <w:t> </w:t>
      </w:r>
      <w:r>
        <w:rPr>
          <w:spacing w:val="-64"/>
        </w:rPr>
      </w:r>
      <w:r>
        <w:rPr/>
        <w:t>金额较小，因此不存在重大汇率风险。</w:t>
      </w:r>
    </w:p>
    <w:p>
      <w:pPr>
        <w:pStyle w:val="BodyText"/>
        <w:spacing w:line="240" w:lineRule="auto" w:before="57"/>
        <w:ind w:left="0" w:right="1131"/>
        <w:jc w:val="right"/>
      </w:pPr>
      <w:r>
        <w:rPr/>
        <w:t>单位：人民币元</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435"/>
        <w:gridCol w:w="965"/>
        <w:gridCol w:w="1013"/>
        <w:gridCol w:w="824"/>
        <w:gridCol w:w="1090"/>
        <w:gridCol w:w="1092"/>
        <w:gridCol w:w="1092"/>
        <w:gridCol w:w="1013"/>
        <w:gridCol w:w="1016"/>
        <w:gridCol w:w="1087"/>
      </w:tblGrid>
      <w:tr>
        <w:trPr>
          <w:trHeight w:val="348" w:hRule="exact"/>
        </w:trPr>
        <w:tc>
          <w:tcPr>
            <w:tcW w:w="435" w:type="dxa"/>
            <w:vMerge w:val="restart"/>
            <w:tcBorders>
              <w:top w:val="single" w:sz="6" w:space="0" w:color="000000"/>
              <w:left w:val="single" w:sz="6" w:space="0" w:color="000000"/>
              <w:right w:val="single" w:sz="6" w:space="0" w:color="000000"/>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8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435" w:type="dxa"/>
            <w:vMerge/>
            <w:tcBorders>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661"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3"/>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1,771,348.85</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984,272.11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3" w:right="0"/>
              <w:jc w:val="center"/>
              <w:rPr>
                <w:rFonts w:ascii="Times New Roman" w:hAnsi="Times New Roman" w:cs="Times New Roman" w:eastAsia="Times New Roman" w:hint="default"/>
                <w:sz w:val="18"/>
                <w:szCs w:val="18"/>
              </w:rPr>
            </w:pPr>
            <w:r>
              <w:rPr>
                <w:rFonts w:ascii="Times New Roman"/>
                <w:sz w:val="18"/>
              </w:rPr>
              <w:t>48,033.40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15,250,892.19</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18,054,546.55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3,560,584.51</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1,365,307.23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262,978.32</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5,188,870.06</w:t>
            </w:r>
          </w:p>
        </w:tc>
      </w:tr>
      <w:tr>
        <w:trPr>
          <w:trHeight w:val="658"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325,395.01</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619,901.94</w:t>
            </w:r>
          </w:p>
        </w:tc>
        <w:tc>
          <w:tcPr>
            <w:tcW w:w="824"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945,296.95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320,649.80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443,130.20</w:t>
            </w:r>
          </w:p>
        </w:tc>
        <w:tc>
          <w:tcPr>
            <w:tcW w:w="1016"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763,780.01</w:t>
            </w:r>
          </w:p>
        </w:tc>
      </w:tr>
      <w:tr>
        <w:trPr>
          <w:trHeight w:val="660"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3"/>
              <w:jc w:val="left"/>
              <w:rPr>
                <w:rFonts w:ascii="宋体" w:hAnsi="宋体" w:cs="宋体" w:eastAsia="宋体" w:hint="default"/>
                <w:sz w:val="18"/>
                <w:szCs w:val="18"/>
              </w:rPr>
            </w:pPr>
            <w:r>
              <w:rPr>
                <w:rFonts w:ascii="宋体" w:hAnsi="宋体" w:cs="宋体" w:eastAsia="宋体" w:hint="default"/>
                <w:sz w:val="18"/>
                <w:szCs w:val="18"/>
              </w:rPr>
              <w:t>预收 款项</w:t>
            </w:r>
          </w:p>
        </w:tc>
        <w:tc>
          <w:tcPr>
            <w:tcW w:w="965"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78,825.16</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66,545.10</w:t>
            </w:r>
          </w:p>
        </w:tc>
        <w:tc>
          <w:tcPr>
            <w:tcW w:w="1016"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145,370.26</w:t>
            </w:r>
          </w:p>
        </w:tc>
      </w:tr>
      <w:tr>
        <w:trPr>
          <w:trHeight w:val="970"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both"/>
              <w:rPr>
                <w:rFonts w:ascii="宋体" w:hAnsi="宋体" w:cs="宋体" w:eastAsia="宋体" w:hint="default"/>
                <w:sz w:val="18"/>
                <w:szCs w:val="18"/>
              </w:rPr>
            </w:pPr>
            <w:r>
              <w:rPr>
                <w:rFonts w:ascii="宋体" w:hAnsi="宋体" w:cs="宋体" w:eastAsia="宋体" w:hint="default"/>
                <w:sz w:val="18"/>
                <w:szCs w:val="18"/>
              </w:rPr>
              <w:t>其他 应付 款</w:t>
            </w:r>
          </w:p>
        </w:tc>
        <w:tc>
          <w:tcPr>
            <w:tcW w:w="965"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35,952.25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35,952.25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10,294,786.82</w:t>
            </w:r>
          </w:p>
        </w:tc>
        <w:tc>
          <w:tcPr>
            <w:tcW w:w="1013" w:type="dxa"/>
            <w:tcBorders>
              <w:top w:val="single" w:sz="6" w:space="0" w:color="000000"/>
              <w:left w:val="single" w:sz="6" w:space="0" w:color="000000"/>
              <w:bottom w:val="single" w:sz="6" w:space="0" w:color="000000"/>
              <w:right w:val="single" w:sz="6" w:space="0" w:color="000000"/>
            </w:tcBorders>
          </w:tcPr>
          <w:p>
            <w:pP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1,074,649.54</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11,369,436.36</w:t>
            </w:r>
          </w:p>
        </w:tc>
      </w:tr>
      <w:tr>
        <w:trPr>
          <w:trHeight w:val="430"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2,096,743.86</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1,604,174.05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3" w:right="0"/>
              <w:jc w:val="center"/>
              <w:rPr>
                <w:rFonts w:ascii="Times New Roman" w:hAnsi="Times New Roman" w:cs="Times New Roman" w:eastAsia="Times New Roman" w:hint="default"/>
                <w:sz w:val="18"/>
                <w:szCs w:val="18"/>
              </w:rPr>
            </w:pPr>
            <w:r>
              <w:rPr>
                <w:rFonts w:ascii="Times New Roman"/>
                <w:sz w:val="18"/>
              </w:rPr>
              <w:t>48,033.40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15,286,844.44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19,035,795.75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-6,492,377.67</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1,741,892.33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-811,671.22</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-5,562,156.55</w:t>
            </w:r>
          </w:p>
        </w:tc>
      </w:tr>
    </w:tbl>
    <w:p>
      <w:pPr>
        <w:pStyle w:val="BodyText"/>
        <w:spacing w:line="300" w:lineRule="auto" w:before="8"/>
        <w:ind w:left="441" w:right="1285" w:hanging="289"/>
        <w:jc w:val="left"/>
      </w:pPr>
      <w:r>
        <w:rPr/>
        <w:t>（</w:t>
      </w:r>
      <w:r>
        <w:rPr>
          <w:rFonts w:ascii="Times New Roman" w:hAnsi="Times New Roman" w:cs="Times New Roman" w:eastAsia="Times New Roman" w:hint="default"/>
        </w:rPr>
        <w:t>3</w:t>
      </w:r>
      <w:r>
        <w:rPr/>
        <w:t>）流动性风险 流动风险，是指企业在履行以交付现金或其他金融资产的方式结算的义务时发生资金短缺的风险。本公司的政策是确</w:t>
      </w:r>
    </w:p>
    <w:p>
      <w:pPr>
        <w:pStyle w:val="BodyText"/>
        <w:spacing w:line="316" w:lineRule="auto" w:before="31"/>
        <w:ind w:right="1214"/>
        <w:jc w:val="left"/>
      </w:pPr>
      <w:r>
        <w:rPr/>
        <w:t>保拥有充足的现金以偿还到期债务。流动性风险由本公司的财务部门集中控制。财务部门通过监控现金余额、可随时变现 的有价证券以及对未来现金流量的滚动预测，确保公司在所有合理预测的情况下拥有充足的资金偿还债务。</w:t>
      </w:r>
    </w:p>
    <w:p>
      <w:pPr>
        <w:pStyle w:val="BodyText"/>
        <w:spacing w:line="240" w:lineRule="auto" w:before="59"/>
        <w:ind w:left="441" w:right="0"/>
        <w:jc w:val="left"/>
      </w:pPr>
      <w:r>
        <w:rPr/>
        <w:t>本公司各项金融负债以未折现的合同现金流量按到期日列示如下：</w:t>
      </w:r>
    </w:p>
    <w:p>
      <w:pPr>
        <w:pStyle w:val="BodyText"/>
        <w:spacing w:line="240" w:lineRule="auto" w:before="115"/>
        <w:ind w:left="0" w:right="1133"/>
        <w:jc w:val="right"/>
      </w:pPr>
      <w:r>
        <w:rPr/>
        <w:t>单位：人民币元</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024"/>
        <w:gridCol w:w="1517"/>
        <w:gridCol w:w="1514"/>
        <w:gridCol w:w="1988"/>
        <w:gridCol w:w="915"/>
        <w:gridCol w:w="1668"/>
      </w:tblGrid>
      <w:tr>
        <w:trPr>
          <w:trHeight w:val="346" w:hRule="exact"/>
        </w:trPr>
        <w:tc>
          <w:tcPr>
            <w:tcW w:w="2024"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0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024" w:type="dxa"/>
            <w:vMerge/>
            <w:tcBorders>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250,000,000.00</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107,000,000.00</w:t>
            </w: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等线" w:hAnsi="等线" w:cs="等线" w:eastAsia="等线" w:hint="default"/>
                <w:sz w:val="18"/>
                <w:szCs w:val="18"/>
              </w:rPr>
            </w:pPr>
            <w:r>
              <w:rPr>
                <w:rFonts w:ascii="等线"/>
                <w:sz w:val="18"/>
              </w:rPr>
              <w:t>-</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357,000,000.00</w:t>
            </w:r>
          </w:p>
        </w:tc>
      </w:tr>
      <w:tr>
        <w:trPr>
          <w:trHeight w:val="348"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38,928,316.63</w:t>
            </w:r>
          </w:p>
        </w:tc>
        <w:tc>
          <w:tcPr>
            <w:tcW w:w="15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38,928,316.63</w:t>
            </w:r>
          </w:p>
        </w:tc>
      </w:tr>
      <w:tr>
        <w:trPr>
          <w:trHeight w:val="348"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57,826,902.60</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144,998,455.63</w:t>
            </w: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202,825,358.23</w:t>
            </w:r>
          </w:p>
        </w:tc>
      </w:tr>
      <w:tr>
        <w:trPr>
          <w:trHeight w:val="346"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16,568,464.03</w:t>
            </w:r>
          </w:p>
        </w:tc>
        <w:tc>
          <w:tcPr>
            <w:tcW w:w="15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16,568,464.03</w:t>
            </w:r>
          </w:p>
        </w:tc>
      </w:tr>
      <w:tr>
        <w:trPr>
          <w:trHeight w:val="348"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47,632,362.72</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5,450,000.00</w:t>
            </w: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53,082,362.72</w:t>
            </w:r>
          </w:p>
        </w:tc>
      </w:tr>
      <w:tr>
        <w:trPr>
          <w:trHeight w:val="346"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15,252,374.80</w:t>
            </w:r>
          </w:p>
        </w:tc>
        <w:tc>
          <w:tcPr>
            <w:tcW w:w="15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15,252,374.80</w:t>
            </w:r>
          </w:p>
        </w:tc>
      </w:tr>
      <w:tr>
        <w:trPr>
          <w:trHeight w:val="348"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174,864,050.46</w:t>
            </w:r>
          </w:p>
        </w:tc>
        <w:tc>
          <w:tcPr>
            <w:tcW w:w="15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174,864,050.46</w:t>
            </w:r>
          </w:p>
        </w:tc>
      </w:tr>
      <w:tr>
        <w:trPr>
          <w:trHeight w:val="346"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8" w:right="0"/>
              <w:jc w:val="left"/>
              <w:rPr>
                <w:rFonts w:ascii="Times New Roman" w:hAnsi="Times New Roman" w:cs="Times New Roman" w:eastAsia="Times New Roman" w:hint="default"/>
                <w:sz w:val="18"/>
                <w:szCs w:val="18"/>
              </w:rPr>
            </w:pPr>
            <w:r>
              <w:rPr>
                <w:rFonts w:ascii="Times New Roman"/>
                <w:sz w:val="18"/>
              </w:rPr>
              <w:t>558,850,000.00</w:t>
            </w:r>
          </w:p>
        </w:tc>
        <w:tc>
          <w:tcPr>
            <w:tcW w:w="915"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558,850,000.00</w:t>
            </w:r>
          </w:p>
        </w:tc>
      </w:tr>
      <w:tr>
        <w:trPr>
          <w:trHeight w:val="348" w:hRule="exact"/>
        </w:trPr>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601,072,471.24</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257,448,455.63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42" w:right="0"/>
              <w:jc w:val="left"/>
              <w:rPr>
                <w:rFonts w:ascii="Times New Roman" w:hAnsi="Times New Roman" w:cs="Times New Roman" w:eastAsia="Times New Roman" w:hint="default"/>
                <w:sz w:val="18"/>
                <w:szCs w:val="18"/>
              </w:rPr>
            </w:pPr>
            <w:r>
              <w:rPr>
                <w:rFonts w:ascii="Times New Roman"/>
                <w:sz w:val="18"/>
              </w:rPr>
              <w:t>558,850,000.00</w:t>
            </w:r>
          </w:p>
        </w:tc>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83" w:right="0"/>
              <w:jc w:val="left"/>
              <w:rPr>
                <w:rFonts w:ascii="Times New Roman" w:hAnsi="Times New Roman" w:cs="Times New Roman" w:eastAsia="Times New Roman" w:hint="default"/>
                <w:sz w:val="18"/>
                <w:szCs w:val="18"/>
              </w:rPr>
            </w:pPr>
            <w:r>
              <w:rPr>
                <w:rFonts w:ascii="Times New Roman"/>
                <w:sz w:val="18"/>
              </w:rPr>
              <w:t>0.00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1,417,370,926.87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十一、公允价值的披露</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4"/>
        <w:gridCol w:w="1277"/>
        <w:gridCol w:w="1274"/>
        <w:gridCol w:w="1419"/>
        <w:gridCol w:w="1346"/>
      </w:tblGrid>
      <w:tr>
        <w:trPr>
          <w:trHeight w:val="384" w:hRule="exact"/>
        </w:trPr>
        <w:tc>
          <w:tcPr>
            <w:tcW w:w="4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370" w:hRule="exact"/>
        </w:trPr>
        <w:tc>
          <w:tcPr>
            <w:tcW w:w="42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73" w:right="93"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73" w:right="89"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434" w:right="74" w:hanging="360"/>
              <w:jc w:val="left"/>
              <w:rPr>
                <w:rFonts w:ascii="宋体" w:hAnsi="宋体" w:cs="宋体" w:eastAsia="宋体" w:hint="default"/>
                <w:sz w:val="18"/>
                <w:szCs w:val="18"/>
              </w:rPr>
            </w:pPr>
            <w:r>
              <w:rPr>
                <w:rFonts w:ascii="宋体" w:hAnsi="宋体" w:cs="宋体" w:eastAsia="宋体" w:hint="default"/>
                <w:sz w:val="18"/>
                <w:szCs w:val="18"/>
              </w:rPr>
              <w:t>第三层次公允价 值计量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7" w:hRule="exact"/>
        </w:trPr>
        <w:tc>
          <w:tcPr>
            <w:tcW w:w="4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12,361,016.49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247,020,013.70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259,381,030.19</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以公允价值计量且其变动计入当期损益的金融资产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12,361,016.49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247,020,013.70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259,381,030.19</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247,020,013.70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247,020,013.70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12,361,016.49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12,361,016.49</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76,568,291.68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145,930,000.00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222,498,291.68</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（四）投资性房地产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252,679,600.00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252,679,600.00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252,679,600.00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252,679,600.00</w:t>
            </w:r>
          </w:p>
        </w:tc>
      </w:tr>
      <w:tr>
        <w:trPr>
          <w:trHeight w:val="406"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12,361,016.49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576,267,905.38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145,930,000.00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734,558,921.87</w:t>
            </w:r>
          </w:p>
        </w:tc>
      </w:tr>
      <w:tr>
        <w:trPr>
          <w:trHeight w:val="398"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2"/>
        </w:rPr>
        <w:t>第一层输入值是企业在计量日能够取得的相同资产或负债在活跃市场上未经调整的报价。活跃市场，是指相关资产或负</w:t>
      </w:r>
      <w:r>
        <w:rPr/>
        <w:t> 债交易量及交易量足以持续提供定价信息的市场。</w:t>
      </w:r>
    </w:p>
    <w:p>
      <w:pPr>
        <w:pStyle w:val="BodyText"/>
        <w:spacing w:line="240" w:lineRule="auto" w:before="59"/>
        <w:ind w:left="513" w:right="0"/>
        <w:jc w:val="left"/>
      </w:pPr>
      <w:r>
        <w:rPr/>
        <w:t>公司的交易性金融资产期末公允价值是基于上海证券交易所和深圳证券交易所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日收盘价进行计量。</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0" w:firstLine="360"/>
        <w:jc w:val="left"/>
      </w:pPr>
      <w:r>
        <w:rPr>
          <w:spacing w:val="-1"/>
        </w:rPr>
        <w:t>第二层输入值是除第一层输入值外相关资产或负债直接或间接客户安插的输入值。对于具有特定期限</w:t>
      </w:r>
      <w:r>
        <w:rPr>
          <w:rFonts w:ascii="Times New Roman" w:hAnsi="Times New Roman" w:cs="Times New Roman" w:eastAsia="Times New Roman" w:hint="default"/>
          <w:spacing w:val="-1"/>
        </w:rPr>
        <w:t>(</w:t>
      </w:r>
      <w:r>
        <w:rPr>
          <w:spacing w:val="-1"/>
        </w:rPr>
        <w:t>如合同期限</w:t>
      </w:r>
      <w:r>
        <w:rPr>
          <w:rFonts w:ascii="Times New Roman" w:hAnsi="Times New Roman" w:cs="Times New Roman" w:eastAsia="Times New Roman" w:hint="default"/>
          <w:spacing w:val="-1"/>
        </w:rPr>
        <w:t>)</w:t>
      </w:r>
      <w:r>
        <w:rPr>
          <w:spacing w:val="-1"/>
        </w:rPr>
        <w:t>的相</w:t>
      </w:r>
      <w:r>
        <w:rPr/>
        <w:t> 关资产或负债，第二层输入值必须在其几乎整个期限内是可观察的。第二层输入值包括：</w:t>
      </w:r>
    </w:p>
    <w:p>
      <w:pPr>
        <w:pStyle w:val="BodyText"/>
        <w:spacing w:line="240" w:lineRule="auto" w:before="70"/>
        <w:ind w:left="441" w:right="0"/>
        <w:jc w:val="left"/>
      </w:pPr>
      <w:r>
        <w:rPr/>
        <w:t>（</w:t>
      </w:r>
      <w:r>
        <w:rPr>
          <w:rFonts w:ascii="Times New Roman" w:hAnsi="Times New Roman" w:cs="Times New Roman" w:eastAsia="Times New Roman" w:hint="default"/>
        </w:rPr>
        <w:t>1</w:t>
      </w:r>
      <w:r>
        <w:rPr/>
        <w:t>）活跃市场中类似资产或负债的报价；</w:t>
      </w:r>
    </w:p>
    <w:p>
      <w:pPr>
        <w:pStyle w:val="BodyText"/>
        <w:spacing w:line="240" w:lineRule="auto" w:before="103"/>
        <w:ind w:left="441" w:right="0"/>
        <w:jc w:val="left"/>
      </w:pPr>
      <w:r>
        <w:rPr/>
        <w:t>（</w:t>
      </w:r>
      <w:r>
        <w:rPr>
          <w:rFonts w:ascii="Times New Roman" w:hAnsi="Times New Roman" w:cs="Times New Roman" w:eastAsia="Times New Roman" w:hint="default"/>
        </w:rPr>
        <w:t>2</w:t>
      </w:r>
      <w:r>
        <w:rPr/>
        <w:t>）</w:t>
      </w:r>
      <w:r>
        <w:rPr>
          <w:spacing w:val="-17"/>
        </w:rPr>
        <w:t> </w:t>
      </w:r>
      <w:r>
        <w:rPr/>
        <w:t>非活跃市场中相同或类似资产或负债的报价；</w:t>
      </w:r>
    </w:p>
    <w:p>
      <w:pPr>
        <w:pStyle w:val="BodyText"/>
        <w:spacing w:line="240" w:lineRule="auto" w:before="104"/>
        <w:ind w:left="438" w:right="0"/>
        <w:jc w:val="left"/>
        <w:rPr>
          <w:rFonts w:ascii="宋体" w:hAnsi="宋体" w:cs="宋体" w:eastAsia="宋体" w:hint="default"/>
        </w:rPr>
      </w:pPr>
      <w:r>
        <w:rPr/>
        <w:t>（</w:t>
      </w:r>
      <w:r>
        <w:rPr>
          <w:rFonts w:ascii="Times New Roman" w:hAnsi="Times New Roman" w:cs="Times New Roman" w:eastAsia="Times New Roman" w:hint="default"/>
        </w:rPr>
        <w:t>3</w:t>
      </w:r>
      <w:r>
        <w:rPr/>
        <w:t>）</w:t>
      </w:r>
      <w:r>
        <w:rPr>
          <w:spacing w:val="-16"/>
        </w:rPr>
        <w:t> </w:t>
      </w:r>
      <w:r>
        <w:rPr/>
        <w:t>除报价以外的其他可观察输入值，包括在正常报价间隔期间内可观察的利率和收益率曲线等。</w:t>
      </w:r>
      <w:r>
        <w:rPr>
          <w:rFonts w:ascii="宋体" w:hAnsi="宋体" w:cs="宋体" w:eastAsia="宋体" w:hint="default"/>
        </w:rPr>
        <w:t> </w:t>
      </w:r>
    </w:p>
    <w:p>
      <w:pPr>
        <w:spacing w:line="240" w:lineRule="auto" w:before="1"/>
        <w:rPr>
          <w:rFonts w:ascii="宋体" w:hAnsi="宋体" w:cs="宋体" w:eastAsia="宋体" w:hint="default"/>
          <w:sz w:val="7"/>
          <w:szCs w:val="7"/>
        </w:rPr>
      </w:pPr>
    </w:p>
    <w:tbl>
      <w:tblPr>
        <w:tblW w:w="0" w:type="auto"/>
        <w:jc w:val="left"/>
        <w:tblInd w:w="265" w:type="dxa"/>
        <w:tblLayout w:type="fixed"/>
        <w:tblCellMar>
          <w:top w:w="0" w:type="dxa"/>
          <w:left w:w="0" w:type="dxa"/>
          <w:bottom w:w="0" w:type="dxa"/>
          <w:right w:w="0" w:type="dxa"/>
        </w:tblCellMar>
        <w:tblLook w:val="01E0"/>
      </w:tblPr>
      <w:tblGrid>
        <w:gridCol w:w="2903"/>
        <w:gridCol w:w="3039"/>
        <w:gridCol w:w="2921"/>
      </w:tblGrid>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5" w:right="0"/>
              <w:jc w:val="left"/>
              <w:rPr>
                <w:rFonts w:ascii="宋体" w:hAnsi="宋体" w:cs="宋体" w:eastAsia="宋体" w:hint="default"/>
                <w:sz w:val="18"/>
                <w:szCs w:val="18"/>
              </w:rPr>
            </w:pPr>
            <w:r>
              <w:rPr>
                <w:rFonts w:ascii="宋体" w:hAnsi="宋体" w:cs="宋体" w:eastAsia="宋体" w:hint="default"/>
                <w:sz w:val="18"/>
                <w:szCs w:val="18"/>
              </w:rPr>
              <w:t>期末公允价值（元）</w:t>
            </w:r>
            <w:r>
              <w:rPr>
                <w:rFonts w:ascii="宋体" w:hAnsi="宋体" w:cs="宋体" w:eastAsia="宋体" w:hint="default"/>
                <w:sz w:val="18"/>
                <w:szCs w:val="18"/>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z w:val="18"/>
                <w:szCs w:val="18"/>
              </w:rPr>
              <w:t>估值技术</w:t>
            </w:r>
            <w:r>
              <w:rPr>
                <w:rFonts w:ascii="宋体" w:hAnsi="宋体" w:cs="宋体" w:eastAsia="宋体" w:hint="default"/>
                <w:sz w:val="18"/>
                <w:szCs w:val="18"/>
              </w:rPr>
              <w:t> </w:t>
            </w:r>
          </w:p>
        </w:tc>
      </w:tr>
      <w:tr>
        <w:trPr>
          <w:trHeight w:val="32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银行短期理财产品</w:t>
            </w:r>
            <w:r>
              <w:rPr>
                <w:rFonts w:ascii="宋体" w:hAnsi="宋体" w:cs="宋体" w:eastAsia="宋体" w:hint="default"/>
                <w:sz w:val="18"/>
                <w:szCs w:val="18"/>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w w:val="90"/>
                <w:sz w:val="18"/>
              </w:rPr>
              <w:t>247,020,013.70</w:t>
            </w:r>
            <w:r>
              <w:rPr>
                <w:rFonts w:ascii="Times New Roman"/>
                <w:spacing w:val="-1"/>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按照金融机构提供的报价</w:t>
            </w:r>
            <w:r>
              <w:rPr>
                <w:rFonts w:ascii="宋体" w:hAnsi="宋体" w:cs="宋体" w:eastAsia="宋体" w:hint="default"/>
                <w:sz w:val="18"/>
                <w:szCs w:val="18"/>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其他权益性工具投资</w:t>
            </w:r>
            <w:r>
              <w:rPr>
                <w:rFonts w:ascii="宋体" w:hAnsi="宋体" w:cs="宋体" w:eastAsia="宋体" w:hint="default"/>
                <w:sz w:val="18"/>
                <w:szCs w:val="18"/>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w w:val="90"/>
                <w:sz w:val="18"/>
              </w:rPr>
              <w:t>76,568,291.68</w:t>
            </w:r>
            <w:r>
              <w:rPr>
                <w:rFonts w:ascii="Times New Roman"/>
                <w:spacing w:val="-1"/>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hAnsi="宋体" w:cs="宋体" w:eastAsia="宋体" w:hint="default"/>
                <w:sz w:val="18"/>
                <w:szCs w:val="18"/>
              </w:rPr>
              <w:t>参考股转中心历史成交价</w:t>
            </w:r>
            <w:r>
              <w:rPr>
                <w:rFonts w:ascii="宋体" w:hAnsi="宋体" w:cs="宋体" w:eastAsia="宋体" w:hint="default"/>
                <w:sz w:val="18"/>
                <w:szCs w:val="18"/>
              </w:rPr>
              <w:t> </w:t>
            </w:r>
          </w:p>
        </w:tc>
      </w:tr>
      <w:tr>
        <w:trPr>
          <w:trHeight w:val="46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r>
              <w:rPr>
                <w:rFonts w:ascii="宋体" w:hAnsi="宋体" w:cs="宋体" w:eastAsia="宋体" w:hint="default"/>
                <w:sz w:val="18"/>
                <w:szCs w:val="18"/>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w w:val="90"/>
                <w:sz w:val="18"/>
              </w:rPr>
              <w:t>252,679,600.00</w:t>
            </w:r>
            <w:r>
              <w:rPr>
                <w:rFonts w:ascii="Times New Roman"/>
                <w:spacing w:val="-1"/>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hAnsi="宋体" w:cs="宋体" w:eastAsia="宋体" w:hint="default"/>
                <w:sz w:val="18"/>
                <w:szCs w:val="18"/>
              </w:rPr>
              <w:t>按照第三方估值机构提供的报价</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第三层输入值是相关资产或负债的不可观察输入值。第三层输入值包括不能直接观察和无法由可观察市场数据验证的利率、</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rPr>
          <w:rFonts w:ascii="宋体" w:hAnsi="宋体" w:cs="宋体" w:eastAsia="宋体" w:hint="default"/>
        </w:rPr>
      </w:pPr>
      <w:r>
        <w:rPr/>
        <w:t>股票波动率、企业合并中承担的弃置义务的未来现金流量、企业使用给自身数据作出的财务预测等。</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4539"/>
        <w:gridCol w:w="2079"/>
        <w:gridCol w:w="1246"/>
        <w:gridCol w:w="1766"/>
      </w:tblGrid>
      <w:tr>
        <w:trPr>
          <w:trHeight w:val="425" w:hRule="exact"/>
        </w:trPr>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3"/>
              <w:jc w:val="right"/>
              <w:rPr>
                <w:rFonts w:ascii="宋体" w:hAnsi="宋体" w:cs="宋体" w:eastAsia="宋体" w:hint="default"/>
                <w:sz w:val="18"/>
                <w:szCs w:val="18"/>
              </w:rPr>
            </w:pPr>
            <w:r>
              <w:rPr>
                <w:rFonts w:ascii="宋体" w:hAnsi="宋体" w:cs="宋体" w:eastAsia="宋体" w:hint="default"/>
                <w:sz w:val="18"/>
                <w:szCs w:val="18"/>
              </w:rPr>
              <w:t>期末公允价值（元）</w:t>
            </w:r>
            <w:r>
              <w:rPr>
                <w:rFonts w:ascii="宋体" w:hAnsi="宋体" w:cs="宋体" w:eastAsia="宋体" w:hint="default"/>
                <w:sz w:val="18"/>
                <w:szCs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6" w:right="0"/>
              <w:jc w:val="left"/>
              <w:rPr>
                <w:rFonts w:ascii="宋体" w:hAnsi="宋体" w:cs="宋体" w:eastAsia="宋体" w:hint="default"/>
                <w:sz w:val="18"/>
                <w:szCs w:val="18"/>
              </w:rPr>
            </w:pPr>
            <w:r>
              <w:rPr>
                <w:rFonts w:ascii="宋体" w:hAnsi="宋体" w:cs="宋体" w:eastAsia="宋体" w:hint="default"/>
                <w:sz w:val="18"/>
                <w:szCs w:val="18"/>
              </w:rPr>
              <w:t>估值技术</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7" w:right="0"/>
              <w:jc w:val="left"/>
              <w:rPr>
                <w:rFonts w:ascii="宋体" w:hAnsi="宋体" w:cs="宋体" w:eastAsia="宋体" w:hint="default"/>
                <w:sz w:val="18"/>
                <w:szCs w:val="18"/>
              </w:rPr>
            </w:pPr>
            <w:r>
              <w:rPr>
                <w:rFonts w:ascii="宋体" w:hAnsi="宋体" w:cs="宋体" w:eastAsia="宋体" w:hint="default"/>
                <w:sz w:val="18"/>
                <w:szCs w:val="18"/>
              </w:rPr>
              <w:t>输入值</w:t>
            </w:r>
            <w:r>
              <w:rPr>
                <w:rFonts w:ascii="宋体" w:hAnsi="宋体" w:cs="宋体" w:eastAsia="宋体" w:hint="default"/>
                <w:sz w:val="18"/>
                <w:szCs w:val="18"/>
              </w:rPr>
              <w:t> </w:t>
            </w:r>
          </w:p>
        </w:tc>
      </w:tr>
      <w:tr>
        <w:trPr>
          <w:trHeight w:val="461" w:hRule="exact"/>
        </w:trPr>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其他权益性工具投资—对非上市公司权益工具投资</w:t>
            </w:r>
            <w:r>
              <w:rPr>
                <w:rFonts w:ascii="宋体" w:hAnsi="宋体" w:cs="宋体" w:eastAsia="宋体" w:hint="default"/>
                <w:sz w:val="18"/>
                <w:szCs w:val="18"/>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w w:val="90"/>
                <w:sz w:val="18"/>
              </w:rPr>
              <w:t>145,930,000.00</w:t>
            </w:r>
            <w:r>
              <w:rPr>
                <w:rFonts w:ascii="Times New Roman"/>
                <w:spacing w:val="-1"/>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2" w:right="0"/>
              <w:jc w:val="left"/>
              <w:rPr>
                <w:rFonts w:ascii="宋体" w:hAnsi="宋体" w:cs="宋体" w:eastAsia="宋体" w:hint="default"/>
                <w:sz w:val="18"/>
                <w:szCs w:val="18"/>
              </w:rPr>
            </w:pPr>
            <w:r>
              <w:rPr>
                <w:rFonts w:ascii="宋体" w:hAnsi="宋体" w:cs="宋体" w:eastAsia="宋体" w:hint="default"/>
                <w:sz w:val="18"/>
                <w:szCs w:val="18"/>
              </w:rPr>
              <w:t>净资产法</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3" w:right="0"/>
              <w:jc w:val="left"/>
              <w:rPr>
                <w:rFonts w:ascii="宋体" w:hAnsi="宋体" w:cs="宋体" w:eastAsia="宋体" w:hint="default"/>
                <w:sz w:val="18"/>
                <w:szCs w:val="18"/>
              </w:rPr>
            </w:pPr>
            <w:r>
              <w:rPr>
                <w:rFonts w:ascii="宋体" w:hAnsi="宋体" w:cs="宋体" w:eastAsia="宋体" w:hint="default"/>
                <w:sz w:val="18"/>
                <w:szCs w:val="18"/>
              </w:rPr>
              <w:t>净资产公允价值</w:t>
            </w:r>
            <w:r>
              <w:rPr>
                <w:rFonts w:ascii="宋体" w:hAnsi="宋体" w:cs="宋体" w:eastAsia="宋体" w:hint="default"/>
                <w:sz w:val="18"/>
                <w:szCs w:val="18"/>
              </w:rPr>
              <w:t> </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十二、关联方及关联交易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410"/>
        <w:gridCol w:w="781"/>
        <w:gridCol w:w="780"/>
        <w:gridCol w:w="1275"/>
        <w:gridCol w:w="1985"/>
        <w:gridCol w:w="2338"/>
      </w:tblGrid>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08" w:right="84" w:hanging="720"/>
              <w:jc w:val="left"/>
              <w:rPr>
                <w:rFonts w:ascii="宋体" w:hAnsi="宋体" w:cs="宋体" w:eastAsia="宋体" w:hint="default"/>
                <w:sz w:val="18"/>
                <w:szCs w:val="18"/>
              </w:rPr>
            </w:pPr>
            <w:r>
              <w:rPr>
                <w:rFonts w:ascii="宋体" w:hAnsi="宋体" w:cs="宋体" w:eastAsia="宋体" w:hint="default"/>
                <w:sz w:val="18"/>
                <w:szCs w:val="18"/>
              </w:rPr>
              <w:t>母公司对本企业的持股 比例</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3" w:right="82" w:hanging="990"/>
              <w:jc w:val="left"/>
              <w:rPr>
                <w:rFonts w:ascii="宋体" w:hAnsi="宋体" w:cs="宋体" w:eastAsia="宋体" w:hint="default"/>
                <w:sz w:val="18"/>
                <w:szCs w:val="18"/>
              </w:rPr>
            </w:pPr>
            <w:r>
              <w:rPr>
                <w:rFonts w:ascii="宋体" w:hAnsi="宋体" w:cs="宋体" w:eastAsia="宋体" w:hint="default"/>
                <w:sz w:val="18"/>
                <w:szCs w:val="18"/>
              </w:rPr>
              <w:t>母公司对本企业的表决权比 例</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企业管理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25,000.00 </w:t>
            </w:r>
            <w:r>
              <w:rPr>
                <w:rFonts w:ascii="宋体" w:hAnsi="宋体" w:cs="宋体" w:eastAsia="宋体" w:hint="default"/>
                <w:sz w:val="18"/>
                <w:szCs w:val="18"/>
              </w:rPr>
              <w:t>万元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10.54%</w:t>
            </w:r>
          </w:p>
        </w:tc>
      </w:tr>
    </w:tbl>
    <w:p>
      <w:pPr>
        <w:pStyle w:val="BodyText"/>
        <w:spacing w:line="360" w:lineRule="auto" w:before="49"/>
        <w:ind w:left="513" w:right="1213" w:hanging="361"/>
        <w:jc w:val="left"/>
      </w:pPr>
      <w:r>
        <w:rPr/>
        <w:t>本企业的母公司情况的说明 截止报告期末，公司母公司中驰惠程及其一致行动人中源信、共青城信中利宝信投资合伙企业（有限合伙）（以下简</w:t>
      </w:r>
    </w:p>
    <w:p>
      <w:pPr>
        <w:pStyle w:val="BodyText"/>
        <w:spacing w:line="236" w:lineRule="exact"/>
        <w:ind w:right="0"/>
        <w:jc w:val="left"/>
      </w:pPr>
      <w:r>
        <w:rPr/>
        <w:t>称</w:t>
      </w:r>
      <w:r>
        <w:rPr>
          <w:rFonts w:ascii="Times New Roman" w:hAnsi="Times New Roman" w:cs="Times New Roman" w:eastAsia="Times New Roman" w:hint="default"/>
        </w:rPr>
        <w:t>“</w:t>
      </w:r>
      <w:r>
        <w:rPr/>
        <w:t>信中利宝信</w:t>
      </w:r>
      <w:r>
        <w:rPr>
          <w:rFonts w:ascii="Times New Roman" w:hAnsi="Times New Roman" w:cs="Times New Roman" w:eastAsia="Times New Roman" w:hint="default"/>
        </w:rPr>
        <w:t>”</w:t>
      </w:r>
      <w:r>
        <w:rPr/>
        <w:t>）、北京信中利投资股份有限公司（以下简称</w:t>
      </w:r>
      <w:r>
        <w:rPr>
          <w:rFonts w:ascii="Times New Roman" w:hAnsi="Times New Roman" w:cs="Times New Roman" w:eastAsia="Times New Roman" w:hint="default"/>
        </w:rPr>
        <w:t>“</w:t>
      </w:r>
      <w:r>
        <w:rPr/>
        <w:t>信中利</w:t>
      </w:r>
      <w:r>
        <w:rPr>
          <w:rFonts w:ascii="Times New Roman" w:hAnsi="Times New Roman" w:cs="Times New Roman" w:eastAsia="Times New Roman" w:hint="default"/>
        </w:rPr>
        <w:t>”</w:t>
      </w:r>
      <w:r>
        <w:rPr/>
        <w:t>），合计持有公司股份</w:t>
      </w:r>
      <w:r>
        <w:rPr>
          <w:rFonts w:ascii="Times New Roman" w:hAnsi="Times New Roman" w:cs="Times New Roman" w:eastAsia="Times New Roman" w:hint="default"/>
        </w:rPr>
        <w:t>238,524,871</w:t>
      </w:r>
      <w:r>
        <w:rPr/>
        <w:t>股，占公司总股</w:t>
      </w:r>
    </w:p>
    <w:p>
      <w:pPr>
        <w:pStyle w:val="BodyText"/>
        <w:spacing w:line="340" w:lineRule="auto" w:before="63"/>
        <w:ind w:left="513" w:right="6613" w:hanging="361"/>
        <w:jc w:val="left"/>
      </w:pPr>
      <w:r>
        <w:rPr/>
        <w:t>本的比例为</w:t>
      </w:r>
      <w:r>
        <w:rPr>
          <w:rFonts w:ascii="Times New Roman" w:hAnsi="Times New Roman" w:cs="Times New Roman" w:eastAsia="Times New Roman" w:hint="default"/>
        </w:rPr>
        <w:t>29.74%</w:t>
      </w:r>
      <w:r>
        <w:rPr/>
        <w:t>。 本企业最终控制方是汪超涌先生、李亦非女士。</w:t>
      </w:r>
    </w:p>
    <w:p>
      <w:pPr>
        <w:pStyle w:val="BodyText"/>
        <w:spacing w:line="240" w:lineRule="auto" w:before="39"/>
        <w:ind w:right="0"/>
        <w:jc w:val="left"/>
      </w:pPr>
      <w:r>
        <w:rPr/>
        <w:t>其他说明：</w:t>
      </w:r>
    </w:p>
    <w:p>
      <w:pPr>
        <w:pStyle w:val="BodyText"/>
        <w:spacing w:line="312" w:lineRule="auto" w:before="117"/>
        <w:ind w:right="1214" w:firstLine="283"/>
        <w:jc w:val="left"/>
      </w:pPr>
      <w:r>
        <w:rPr/>
        <w:t>中驰惠程企业管理有限公司成立于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17</w:t>
      </w:r>
      <w:r>
        <w:rPr/>
        <w:t>日，注册资本为</w:t>
      </w:r>
      <w:r>
        <w:rPr>
          <w:rFonts w:ascii="Times New Roman" w:hAnsi="Times New Roman" w:cs="Times New Roman" w:eastAsia="Times New Roman" w:hint="default"/>
        </w:rPr>
        <w:t>25,000.00</w:t>
      </w:r>
      <w:r>
        <w:rPr/>
        <w:t>万元，公司的经营范围为企业管理；企业营 销策划；企业管理咨询；技术开发、技术转让、技术咨询、技术服务。（企业依法自主选择经营项目，开展经营活动；依 法须经批准的项目，经相关部门批准后依批准的内容开展经营活动；不得从事本市产业政策禁止和限制类项目的经营活 动。）</w:t>
      </w:r>
    </w:p>
    <w:p>
      <w:pPr>
        <w:pStyle w:val="BodyText"/>
        <w:spacing w:line="240" w:lineRule="auto" w:before="63"/>
        <w:ind w:left="436" w:right="0"/>
        <w:jc w:val="left"/>
      </w:pPr>
      <w:r>
        <w:rPr/>
        <w:t>中驰惠程实际控制人为汪超涌先生与李亦非女士。</w:t>
      </w:r>
    </w:p>
    <w:p>
      <w:pPr>
        <w:spacing w:line="240" w:lineRule="auto" w:before="12"/>
        <w:rPr>
          <w:rFonts w:ascii="宋体" w:hAnsi="宋体" w:cs="宋体" w:eastAsia="宋体" w:hint="default"/>
          <w:sz w:val="21"/>
          <w:szCs w:val="21"/>
        </w:rPr>
      </w:pPr>
    </w:p>
    <w:p>
      <w:pPr>
        <w:spacing w:line="482" w:lineRule="auto" w:before="0"/>
        <w:ind w:left="152" w:right="67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13"/>
          <w:sz w:val="18"/>
          <w:szCs w:val="18"/>
        </w:rPr>
        <w:t>本企业子公司的情况详见附注九、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92"/>
          <w:sz w:val="18"/>
          <w:szCs w:val="18"/>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pStyle w:val="BodyText"/>
        <w:spacing w:line="340" w:lineRule="auto" w:before="54"/>
        <w:ind w:right="2294"/>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2307"/>
        <w:gridCol w:w="2905"/>
        <w:gridCol w:w="2434"/>
        <w:gridCol w:w="2014"/>
      </w:tblGrid>
      <w:tr>
        <w:trPr>
          <w:trHeight w:val="34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3"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2" w:right="0"/>
              <w:jc w:val="center"/>
              <w:rPr>
                <w:rFonts w:ascii="宋体" w:hAnsi="宋体" w:cs="宋体" w:eastAsia="宋体" w:hint="default"/>
                <w:sz w:val="18"/>
                <w:szCs w:val="18"/>
              </w:rPr>
            </w:pPr>
            <w:r>
              <w:rPr>
                <w:rFonts w:ascii="宋体" w:hAnsi="宋体" w:cs="宋体" w:eastAsia="宋体" w:hint="default"/>
                <w:sz w:val="18"/>
                <w:szCs w:val="18"/>
              </w:rPr>
              <w:t>期末余额（元）</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center"/>
              <w:rPr>
                <w:rFonts w:ascii="宋体" w:hAnsi="宋体" w:cs="宋体" w:eastAsia="宋体" w:hint="default"/>
                <w:sz w:val="18"/>
                <w:szCs w:val="18"/>
              </w:rPr>
            </w:pPr>
            <w:r>
              <w:rPr>
                <w:rFonts w:ascii="宋体" w:hAnsi="宋体" w:cs="宋体" w:eastAsia="宋体" w:hint="default"/>
                <w:sz w:val="18"/>
                <w:szCs w:val="18"/>
              </w:rPr>
              <w:t>期初余额（元）</w:t>
            </w:r>
          </w:p>
        </w:tc>
      </w:tr>
      <w:tr>
        <w:trPr>
          <w:trHeight w:val="34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3"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 w:right="0"/>
              <w:jc w:val="center"/>
              <w:rPr>
                <w:rFonts w:ascii="宋体" w:hAnsi="宋体" w:cs="宋体" w:eastAsia="宋体" w:hint="default"/>
                <w:sz w:val="18"/>
                <w:szCs w:val="18"/>
              </w:rPr>
            </w:pPr>
            <w:r>
              <w:rPr>
                <w:rFonts w:ascii="宋体" w:hAnsi="宋体" w:cs="宋体" w:eastAsia="宋体" w:hint="default"/>
                <w:sz w:val="18"/>
                <w:szCs w:val="18"/>
              </w:rPr>
              <w:t>真机智能</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0" w:right="0"/>
              <w:jc w:val="center"/>
              <w:rPr>
                <w:rFonts w:ascii="Times New Roman" w:hAnsi="Times New Roman" w:cs="Times New Roman" w:eastAsia="Times New Roman" w:hint="default"/>
                <w:sz w:val="18"/>
                <w:szCs w:val="18"/>
              </w:rPr>
            </w:pPr>
            <w:r>
              <w:rPr>
                <w:rFonts w:ascii="Times New Roman"/>
                <w:sz w:val="18"/>
              </w:rPr>
              <w:t>10,000.00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6" w:right="0"/>
              <w:jc w:val="center"/>
              <w:rPr>
                <w:rFonts w:ascii="Times New Roman" w:hAnsi="Times New Roman" w:cs="Times New Roman" w:eastAsia="Times New Roman" w:hint="default"/>
                <w:sz w:val="18"/>
                <w:szCs w:val="18"/>
              </w:rPr>
            </w:pPr>
            <w:r>
              <w:rPr>
                <w:rFonts w:ascii="Times New Roman"/>
                <w:sz w:val="18"/>
              </w:rPr>
              <w:t>4,875.00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after="0" w:line="335" w:lineRule="exact"/>
        <w:jc w:val="left"/>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共青城信中利宝信投资合伙企业（有限合伙）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实际控制人、董事长、总裁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李亦非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公司原董事、副总裁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公司原董事长、总裁；信中利董事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潘林武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林嘉喜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赵红艳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公司副总裁、财务总监</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付汝峰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公司董事会秘书、副总裁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公司原副总裁、财务总监</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公司原董事会秘书、副总裁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公司原副总裁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公司原监事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公司职工代表监事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刘小峰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信中利董事</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刘朝晨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信中利副总经理</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王旭东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信中利副总经理</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信中利监事会主席</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信中利职工代表监事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崔诗禹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信中利监事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李朝岭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母公司中驰惠程法定代表人、执行董事、经理</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彭寸玲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信中利宝信执行事务合伙人委派代表</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控股股东前一致行动人</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北京京城九方酒店管理有限责任公司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控股股东前一致行动人田勇控制的企业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刘俊辉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信中利原监事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信中利原副总经理</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成都启成投资发展有限公司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公司副总裁寇汉先生控制下的公司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四川瑞美森国际教育咨询有限公司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公司副总裁寇汉先生配偶控制下的公司</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8"/>
        <w:gridCol w:w="2259"/>
        <w:gridCol w:w="2259"/>
        <w:gridCol w:w="2653"/>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货物销售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326,409.43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54,568.96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128,962.26</w:t>
            </w:r>
          </w:p>
        </w:tc>
      </w:tr>
    </w:tbl>
    <w:p>
      <w:pPr>
        <w:pStyle w:val="BodyText"/>
        <w:spacing w:line="360" w:lineRule="auto" w:before="49"/>
        <w:ind w:left="513" w:right="1348" w:hanging="361"/>
        <w:jc w:val="left"/>
      </w:pPr>
      <w:r>
        <w:rPr/>
        <w:t>购销商品、提供和接受劳务的关联交易说明 购销商品、提供和接受劳务的关联交易说明：经公司总裁办公会批准，公司向真机智能投资人民币</w:t>
      </w:r>
      <w:r>
        <w:rPr>
          <w:rFonts w:ascii="Times New Roman" w:hAnsi="Times New Roman" w:cs="Times New Roman" w:eastAsia="Times New Roman" w:hint="default"/>
        </w:rPr>
        <w:t>1,500</w:t>
      </w:r>
      <w:r>
        <w:rPr/>
        <w:t>万元，截止</w:t>
      </w:r>
    </w:p>
    <w:p>
      <w:pPr>
        <w:pStyle w:val="BodyText"/>
        <w:spacing w:line="212" w:lineRule="exact"/>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日，公司实缴人民币</w:t>
      </w:r>
      <w:r>
        <w:rPr>
          <w:rFonts w:ascii="Times New Roman" w:hAnsi="Times New Roman" w:cs="Times New Roman" w:eastAsia="Times New Roman" w:hint="default"/>
        </w:rPr>
        <w:t>700</w:t>
      </w:r>
      <w:r>
        <w:rPr/>
        <w:t>万元，公司持有真机智能</w:t>
      </w:r>
      <w:r>
        <w:rPr>
          <w:rFonts w:ascii="Times New Roman" w:hAnsi="Times New Roman" w:cs="Times New Roman" w:eastAsia="Times New Roman" w:hint="default"/>
        </w:rPr>
        <w:t>15%</w:t>
      </w:r>
      <w:r>
        <w:rPr/>
        <w:t>的股权，公司亦成为真机智能研发和设计的无人配送机</w:t>
      </w:r>
    </w:p>
    <w:p>
      <w:pPr>
        <w:pStyle w:val="BodyText"/>
        <w:spacing w:line="316" w:lineRule="auto" w:before="63"/>
        <w:ind w:right="1214"/>
        <w:jc w:val="left"/>
      </w:pPr>
      <w:r>
        <w:rPr/>
        <w:t>器人及其他智能机器人的唯一生产制造商，因此报告期内公司与真机智能存在出售商品和提供劳务交易，根据中国证监会 和深圳证券交易所相关规定公司与真机智能相关交易不构成关联交易，但根据企业会计准则相关交易构成关联交易。</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77"/>
        <w:gridCol w:w="1805"/>
        <w:gridCol w:w="2393"/>
        <w:gridCol w:w="2393"/>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四川瑞美森国际教育咨询有限公司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184,936.89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成都启成投资发展有限公司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184,936.89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19"/>
        <w:gridCol w:w="1666"/>
        <w:gridCol w:w="2393"/>
        <w:gridCol w:w="2391"/>
      </w:tblGrid>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1,980,000.00</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北京京城九方酒店管理有限责任公司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2,488,200.00</w:t>
            </w:r>
          </w:p>
        </w:tc>
      </w:tr>
    </w:tbl>
    <w:p>
      <w:pPr>
        <w:pStyle w:val="BodyText"/>
        <w:spacing w:line="240" w:lineRule="auto" w:before="49"/>
        <w:ind w:right="0"/>
        <w:jc w:val="left"/>
      </w:pPr>
      <w:r>
        <w:rPr/>
        <w:t>关联租赁情况说明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10,756,484.43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9,448,423.96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552"/>
        <w:gridCol w:w="2233"/>
        <w:gridCol w:w="2393"/>
        <w:gridCol w:w="2391"/>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代收成都市人才奖励计划奖金</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318,000.00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尚未到期的哆可梦股权受让款</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146,048,592.95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473,711,698.51</w:t>
            </w:r>
          </w:p>
        </w:tc>
      </w:tr>
      <w:tr>
        <w:trPr>
          <w:trHeight w:val="133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根据哆可梦前控股股东、实际 控制人寇汉在公司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 资产重组时出具承诺，公司向 寇汉预收的诉讼赔偿保证金</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5,450,000.00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尚未到期的哆可梦股权受让款</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林嘉喜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14,413,273.31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46,749,756.66</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十三、股份支付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12,210,000.00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1169"/>
        <w:jc w:val="left"/>
      </w:pPr>
      <w:r>
        <w:rPr/>
        <w:t>其他说明 公司本期失效的各项权益工具为：</w:t>
      </w:r>
      <w:r>
        <w:rPr>
          <w:rFonts w:ascii="Times New Roman" w:hAnsi="Times New Roman" w:cs="Times New Roman" w:eastAsia="Times New Roman" w:hint="default"/>
        </w:rPr>
        <w:t>2016</w:t>
      </w:r>
      <w:r>
        <w:rPr/>
        <w:t>年股权激励计划授予的限制性股票</w:t>
      </w:r>
      <w:r>
        <w:rPr>
          <w:rFonts w:ascii="Times New Roman" w:hAnsi="Times New Roman" w:cs="Times New Roman" w:eastAsia="Times New Roman" w:hint="default"/>
        </w:rPr>
        <w:t>1,221</w:t>
      </w:r>
      <w:r>
        <w:rPr/>
        <w:t>万股于报告期内因业绩考核未达标而失效。</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、股份支付的修改、终止情况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6" w:firstLine="35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日公司第六届董事会第二十九次会议、第六届监事会第十三次会议和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2019</w:t>
      </w:r>
      <w:r>
        <w:rPr/>
        <w:t>年第二次临时 股东大会审议通过了关于回购注销</w:t>
      </w:r>
      <w:r>
        <w:rPr>
          <w:rFonts w:ascii="Times New Roman" w:hAnsi="Times New Roman" w:cs="Times New Roman" w:eastAsia="Times New Roman" w:hint="default"/>
        </w:rPr>
        <w:t>2016</w:t>
      </w:r>
      <w:r>
        <w:rPr/>
        <w:t>年限制性股票激励计划部分限制性股票的议案，鉴于根据公司绩效考核管理相关制 度和</w:t>
      </w:r>
      <w:r>
        <w:rPr>
          <w:rFonts w:ascii="Times New Roman" w:hAnsi="Times New Roman" w:cs="Times New Roman" w:eastAsia="Times New Roman" w:hint="default"/>
        </w:rPr>
        <w:t>2016</w:t>
      </w:r>
      <w:r>
        <w:rPr/>
        <w:t>年限制性股票激励计划的相关规定，激励对象</w:t>
      </w:r>
      <w:r>
        <w:rPr>
          <w:rFonts w:ascii="Times New Roman" w:hAnsi="Times New Roman" w:cs="Times New Roman" w:eastAsia="Times New Roman" w:hint="default"/>
        </w:rPr>
        <w:t>2018</w:t>
      </w:r>
      <w:r>
        <w:rPr/>
        <w:t>年度绩效考核考评结果均为不合格，公司决定对</w:t>
      </w:r>
      <w:r>
        <w:rPr>
          <w:rFonts w:ascii="Times New Roman" w:hAnsi="Times New Roman" w:cs="Times New Roman" w:eastAsia="Times New Roman" w:hint="default"/>
        </w:rPr>
        <w:t>2016</w:t>
      </w:r>
      <w:r>
        <w:rPr/>
        <w:t>年限制性 股票激励计划第三个解锁期因激励对象个人绩效考核结果不达标导致不能解锁的</w:t>
      </w:r>
      <w:r>
        <w:rPr>
          <w:rFonts w:ascii="Times New Roman" w:hAnsi="Times New Roman" w:cs="Times New Roman" w:eastAsia="Times New Roman" w:hint="default"/>
        </w:rPr>
        <w:t>1,221</w:t>
      </w:r>
      <w:r>
        <w:rPr/>
        <w:t>万股限制性股票进行回购注销，本次 回购注销相关手续已于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日办理完毕。</w:t>
      </w:r>
    </w:p>
    <w:p>
      <w:pPr>
        <w:spacing w:after="0" w:line="300" w:lineRule="auto"/>
        <w:jc w:val="left"/>
        <w:sectPr>
          <w:pgSz w:w="11910" w:h="16840"/>
          <w:pgMar w:header="0"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十四、承诺及或有事项</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资产负债表日存在的重要承诺</w:t>
      </w:r>
    </w:p>
    <w:p>
      <w:pPr>
        <w:pStyle w:val="BodyText"/>
        <w:spacing w:line="300" w:lineRule="auto" w:before="117"/>
        <w:ind w:right="1124" w:firstLine="283"/>
        <w:jc w:val="left"/>
      </w:pPr>
      <w:r>
        <w:rPr>
          <w:rFonts w:ascii="Times New Roman" w:hAnsi="Times New Roman" w:cs="Times New Roman" w:eastAsia="Times New Roman" w:hint="default"/>
        </w:rPr>
        <w:t>2017</w:t>
      </w:r>
      <w:r>
        <w:rPr/>
        <w:t>年度公司完成现金收购哆可梦</w:t>
      </w:r>
      <w:r>
        <w:rPr>
          <w:rFonts w:ascii="Times New Roman" w:hAnsi="Times New Roman" w:cs="Times New Roman" w:eastAsia="Times New Roman" w:hint="default"/>
        </w:rPr>
        <w:t>77.57%</w:t>
      </w:r>
      <w:r>
        <w:rPr/>
        <w:t>股权的重大资产购买交易，交易对手方寇汉、林嘉喜作为业绩补偿义务人承 诺哆可梦</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年各年度实现的净利润（以扣除非经常性损益前后孰低者为计算依据）不少于</w:t>
      </w:r>
      <w:r>
        <w:rPr>
          <w:rFonts w:ascii="Times New Roman" w:hAnsi="Times New Roman" w:cs="Times New Roman" w:eastAsia="Times New Roman" w:hint="default"/>
        </w:rPr>
        <w:t>14,500</w:t>
      </w:r>
      <w:r>
        <w:rPr/>
        <w:t>万元、</w:t>
      </w:r>
      <w:r>
        <w:rPr>
          <w:rFonts w:ascii="Times New Roman" w:hAnsi="Times New Roman" w:cs="Times New Roman" w:eastAsia="Times New Roman" w:hint="default"/>
        </w:rPr>
        <w:t>18,800</w:t>
      </w:r>
      <w:r>
        <w:rPr/>
        <w:t>万 元、</w:t>
      </w:r>
      <w:r>
        <w:rPr>
          <w:rFonts w:ascii="Times New Roman" w:hAnsi="Times New Roman" w:cs="Times New Roman" w:eastAsia="Times New Roman" w:hint="default"/>
        </w:rPr>
        <w:t>24,500</w:t>
      </w:r>
      <w:r>
        <w:rPr/>
        <w:t>万元，并承担相应的盈利补偿义务。</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）资产负债表日存在的重要或有事项：无。</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2"/>
          <w:szCs w:val="22"/>
        </w:rPr>
      </w:pPr>
    </w:p>
    <w:p>
      <w:pPr>
        <w:spacing w:line="376" w:lineRule="auto" w:before="0"/>
        <w:ind w:left="152" w:right="78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sz w:val="21"/>
          <w:szCs w:val="21"/>
        </w:rPr>
      </w:r>
    </w:p>
    <w:p>
      <w:pPr>
        <w:pStyle w:val="BodyText"/>
        <w:spacing w:line="240" w:lineRule="auto" w:before="17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78" w:lineRule="auto"/>
        <w:ind w:right="1129" w:firstLine="360"/>
        <w:jc w:val="left"/>
        <w:rPr>
          <w:rFonts w:ascii="微软雅黑" w:hAnsi="微软雅黑" w:cs="微软雅黑" w:eastAsia="微软雅黑"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月，经公司总裁办公会审议批准，公司以现金形式受让宁波梅山保税港区航翼投资管理合伙企业（有限 合伙）（以下简称</w:t>
      </w:r>
      <w:r>
        <w:rPr>
          <w:rFonts w:ascii="Times New Roman" w:hAnsi="Times New Roman" w:cs="Times New Roman" w:eastAsia="Times New Roman" w:hint="default"/>
        </w:rPr>
        <w:t>“</w:t>
      </w:r>
      <w:r>
        <w:rPr/>
        <w:t>航翼投资</w:t>
      </w:r>
      <w:r>
        <w:rPr>
          <w:rFonts w:ascii="Times New Roman" w:hAnsi="Times New Roman" w:cs="Times New Roman" w:eastAsia="Times New Roman" w:hint="default"/>
        </w:rPr>
        <w:t>”</w:t>
      </w:r>
      <w:r>
        <w:rPr/>
        <w:t>）所持上海季娱</w:t>
      </w:r>
      <w:r>
        <w:rPr>
          <w:rFonts w:ascii="Times New Roman" w:hAnsi="Times New Roman" w:cs="Times New Roman" w:eastAsia="Times New Roman" w:hint="default"/>
        </w:rPr>
        <w:t>49%</w:t>
      </w:r>
      <w:r>
        <w:rPr/>
        <w:t>股权，股权转让价款为人民币</w:t>
      </w:r>
      <w:r>
        <w:rPr>
          <w:rFonts w:ascii="Times New Roman" w:hAnsi="Times New Roman" w:cs="Times New Roman" w:eastAsia="Times New Roman" w:hint="default"/>
        </w:rPr>
        <w:t>1.11</w:t>
      </w:r>
      <w:r>
        <w:rPr/>
        <w:t>亿元。截止本报告披露日，已完成了工 商变更登记手续，并已支付全部股权转让价款</w:t>
      </w:r>
      <w:r>
        <w:rPr>
          <w:rFonts w:ascii="微软雅黑" w:hAnsi="微软雅黑" w:cs="微软雅黑" w:eastAsia="微软雅黑" w:hint="default"/>
        </w:rPr>
        <w:t>｡</w:t>
      </w:r>
    </w:p>
    <w:p>
      <w:pPr>
        <w:pStyle w:val="BodyText"/>
        <w:spacing w:line="300" w:lineRule="auto" w:before="9"/>
        <w:ind w:right="1248"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月，公司接到控股股东中驰惠程企业管理有限公司（以下简称</w:t>
      </w:r>
      <w:r>
        <w:rPr>
          <w:rFonts w:ascii="Times New Roman" w:hAnsi="Times New Roman" w:cs="Times New Roman" w:eastAsia="Times New Roman" w:hint="default"/>
        </w:rPr>
        <w:t>“</w:t>
      </w:r>
      <w:r>
        <w:rPr/>
        <w:t>中驰惠程</w:t>
      </w:r>
      <w:r>
        <w:rPr>
          <w:rFonts w:ascii="Times New Roman" w:hAnsi="Times New Roman" w:cs="Times New Roman" w:eastAsia="Times New Roman" w:hint="default"/>
        </w:rPr>
        <w:t>”</w:t>
      </w:r>
      <w:r>
        <w:rPr/>
        <w:t>）的一致行动人共青城信中利 宝信投资合伙企业（有限合伙）（以下简称</w:t>
      </w:r>
      <w:r>
        <w:rPr>
          <w:rFonts w:ascii="Times New Roman" w:hAnsi="Times New Roman" w:cs="Times New Roman" w:eastAsia="Times New Roman" w:hint="default"/>
        </w:rPr>
        <w:t>“</w:t>
      </w:r>
      <w:r>
        <w:rPr/>
        <w:t>信中利宝信</w:t>
      </w:r>
      <w:r>
        <w:rPr>
          <w:rFonts w:ascii="Times New Roman" w:hAnsi="Times New Roman" w:cs="Times New Roman" w:eastAsia="Times New Roman" w:hint="default"/>
        </w:rPr>
        <w:t>”</w:t>
      </w:r>
      <w:r>
        <w:rPr/>
        <w:t>）函告，获悉信中利宝信所持有公司全部</w:t>
      </w:r>
      <w:r>
        <w:rPr>
          <w:rFonts w:ascii="Times New Roman" w:hAnsi="Times New Roman" w:cs="Times New Roman" w:eastAsia="Times New Roman" w:hint="default"/>
        </w:rPr>
        <w:t>109,590,016</w:t>
      </w:r>
      <w:r>
        <w:rPr/>
        <w:t>股股份被质 押给华宝信托有限责任公司（以下简称</w:t>
      </w:r>
      <w:r>
        <w:rPr>
          <w:rFonts w:ascii="Times New Roman" w:hAnsi="Times New Roman" w:cs="Times New Roman" w:eastAsia="Times New Roman" w:hint="default"/>
        </w:rPr>
        <w:t>“</w:t>
      </w:r>
      <w:r>
        <w:rPr/>
        <w:t>华宝信托</w:t>
      </w:r>
      <w:r>
        <w:rPr>
          <w:rFonts w:ascii="Times New Roman" w:hAnsi="Times New Roman" w:cs="Times New Roman" w:eastAsia="Times New Roman" w:hint="default"/>
        </w:rPr>
        <w:t>”</w:t>
      </w:r>
      <w:r>
        <w:rPr/>
        <w:t>），用于对信中利宝信</w:t>
      </w:r>
      <w:r>
        <w:rPr>
          <w:rFonts w:ascii="Times New Roman" w:hAnsi="Times New Roman" w:cs="Times New Roman" w:eastAsia="Times New Roman" w:hint="default"/>
        </w:rPr>
        <w:t>LP</w:t>
      </w:r>
      <w:r>
        <w:rPr/>
        <w:t>持有人提供增信措施。</w:t>
      </w:r>
    </w:p>
    <w:p>
      <w:pPr>
        <w:pStyle w:val="BodyText"/>
        <w:spacing w:line="304" w:lineRule="auto" w:before="13"/>
        <w:ind w:right="119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月，公司收到中冀投资股份有限公司（以下简称</w:t>
      </w:r>
      <w:r>
        <w:rPr>
          <w:rFonts w:ascii="Times New Roman" w:hAnsi="Times New Roman" w:cs="Times New Roman" w:eastAsia="Times New Roman" w:hint="default"/>
        </w:rPr>
        <w:t>“</w:t>
      </w:r>
      <w:r>
        <w:rPr/>
        <w:t>中冀投资</w:t>
      </w:r>
      <w:r>
        <w:rPr>
          <w:rFonts w:ascii="Times New Roman" w:hAnsi="Times New Roman" w:cs="Times New Roman" w:eastAsia="Times New Roman" w:hint="default"/>
        </w:rPr>
        <w:t>”</w:t>
      </w:r>
      <w:r>
        <w:rPr/>
        <w:t>）的通知，中冀投资准备将其所持有的公司 控股子公司成都哆可梦网络科技有限公司（以下简称</w:t>
      </w:r>
      <w:r>
        <w:rPr>
          <w:rFonts w:ascii="Times New Roman" w:hAnsi="Times New Roman" w:cs="Times New Roman" w:eastAsia="Times New Roman" w:hint="default"/>
        </w:rPr>
        <w:t>“</w:t>
      </w:r>
      <w:r>
        <w:rPr/>
        <w:t>哆可梦</w:t>
      </w:r>
      <w:r>
        <w:rPr>
          <w:rFonts w:ascii="Times New Roman" w:hAnsi="Times New Roman" w:cs="Times New Roman" w:eastAsia="Times New Roman" w:hint="default"/>
        </w:rPr>
        <w:t>”</w:t>
      </w:r>
      <w:r>
        <w:rPr/>
        <w:t>）</w:t>
      </w:r>
      <w:r>
        <w:rPr>
          <w:rFonts w:ascii="Times New Roman" w:hAnsi="Times New Roman" w:cs="Times New Roman" w:eastAsia="Times New Roman" w:hint="default"/>
        </w:rPr>
        <w:t>5.25%</w:t>
      </w:r>
      <w:r>
        <w:rPr/>
        <w:t>股份以</w:t>
      </w:r>
      <w:r>
        <w:rPr>
          <w:rFonts w:ascii="Times New Roman" w:hAnsi="Times New Roman" w:cs="Times New Roman" w:eastAsia="Times New Roman" w:hint="default"/>
        </w:rPr>
        <w:t>19,438</w:t>
      </w:r>
      <w:r>
        <w:rPr/>
        <w:t>万元的价格转让给中航信托股份有限公 司（以下简称</w:t>
      </w:r>
      <w:r>
        <w:rPr>
          <w:rFonts w:ascii="Times New Roman" w:hAnsi="Times New Roman" w:cs="Times New Roman" w:eastAsia="Times New Roman" w:hint="default"/>
        </w:rPr>
        <w:t>“</w:t>
      </w:r>
      <w:r>
        <w:rPr/>
        <w:t>中航信托</w:t>
      </w:r>
      <w:r>
        <w:rPr>
          <w:rFonts w:ascii="Times New Roman" w:hAnsi="Times New Roman" w:cs="Times New Roman" w:eastAsia="Times New Roman" w:hint="default"/>
        </w:rPr>
        <w:t>”</w:t>
      </w:r>
      <w:r>
        <w:rPr/>
        <w:t>）。鉴于公司已持有哆可梦</w:t>
      </w:r>
      <w:r>
        <w:rPr>
          <w:rFonts w:ascii="Times New Roman" w:hAnsi="Times New Roman" w:cs="Times New Roman" w:eastAsia="Times New Roman" w:hint="default"/>
        </w:rPr>
        <w:t>77.57%</w:t>
      </w:r>
      <w:r>
        <w:rPr/>
        <w:t>股权，本次股权转让不会改变公司对哆可梦的实际控制权，公 司出于自身经营计划和资金安排考量，经公司总裁办公会审议批准，放弃了对上述控股子公司少数股权对外转让的优先购 买权。截止本报告披露日，上述事项已完成了工商变更登记。</w:t>
      </w:r>
    </w:p>
    <w:p>
      <w:pPr>
        <w:pStyle w:val="BodyText"/>
        <w:spacing w:line="300" w:lineRule="auto" w:before="28"/>
        <w:ind w:right="1182"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月，经哆可梦股东会审议，同意向全体股东派发现金分红人民币</w:t>
      </w:r>
      <w:r>
        <w:rPr>
          <w:rFonts w:ascii="Times New Roman" w:hAnsi="Times New Roman" w:cs="Times New Roman" w:eastAsia="Times New Roman" w:hint="default"/>
        </w:rPr>
        <w:t>160,341,197.19</w:t>
      </w:r>
      <w:r>
        <w:rPr/>
        <w:t>元，股东按出资比例享有 现金分红款，其中：向公司派发现金分红</w:t>
      </w:r>
      <w:r>
        <w:rPr>
          <w:rFonts w:ascii="Times New Roman" w:hAnsi="Times New Roman" w:cs="Times New Roman" w:eastAsia="Times New Roman" w:hint="default"/>
        </w:rPr>
        <w:t>124,376,666.66</w:t>
      </w:r>
      <w:r>
        <w:rPr/>
        <w:t>元，向中冀投资派发现金分红</w:t>
      </w:r>
      <w:r>
        <w:rPr>
          <w:rFonts w:ascii="Times New Roman" w:hAnsi="Times New Roman" w:cs="Times New Roman" w:eastAsia="Times New Roman" w:hint="default"/>
        </w:rPr>
        <w:t>35,964,530.53</w:t>
      </w:r>
      <w:r>
        <w:rPr/>
        <w:t>元。哆可梦应向公司派 发的分红款项冲抵了双方的借款，本次分红不涉及实际支付款项；本次应发放给中冀投资的现金股利直接冲抵</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日向中冀投资超额发放的现金分红</w:t>
      </w:r>
      <w:r>
        <w:rPr>
          <w:rFonts w:ascii="Times New Roman" w:hAnsi="Times New Roman" w:cs="Times New Roman" w:eastAsia="Times New Roman" w:hint="default"/>
        </w:rPr>
        <w:t>35,964,530.53</w:t>
      </w:r>
      <w:r>
        <w:rPr/>
        <w:t>元，本次分红不涉及实际支付款项。</w:t>
      </w:r>
    </w:p>
    <w:p>
      <w:pPr>
        <w:spacing w:after="0" w:line="300" w:lineRule="auto"/>
        <w:jc w:val="both"/>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4"/>
        <w:ind w:right="1124" w:firstLine="360"/>
        <w:jc w:val="left"/>
      </w:pPr>
      <w:r>
        <w:rPr/>
        <w:t>（</w:t>
      </w:r>
      <w:r>
        <w:rPr>
          <w:rFonts w:ascii="Times New Roman" w:hAnsi="Times New Roman" w:cs="Times New Roman" w:eastAsia="Times New Roman" w:hint="default"/>
        </w:rPr>
        <w:t>5</w:t>
      </w:r>
      <w:r>
        <w:rPr/>
        <w:t>）哆可梦</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年度累计实现扣非后净利润总和</w:t>
      </w:r>
      <w:r>
        <w:rPr>
          <w:rFonts w:ascii="Times New Roman" w:hAnsi="Times New Roman" w:cs="Times New Roman" w:eastAsia="Times New Roman" w:hint="default"/>
        </w:rPr>
        <w:t>72,509.68</w:t>
      </w:r>
      <w:r>
        <w:rPr/>
        <w:t>万元，大于</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年度承诺净利润总和 </w:t>
      </w:r>
      <w:r>
        <w:rPr>
          <w:rFonts w:ascii="Times New Roman" w:hAnsi="Times New Roman" w:cs="Times New Roman" w:eastAsia="Times New Roman" w:hint="default"/>
        </w:rPr>
        <w:t>57,800</w:t>
      </w:r>
      <w:r>
        <w:rPr/>
        <w:t>万元，根据</w:t>
      </w:r>
      <w:r>
        <w:rPr>
          <w:rFonts w:ascii="Times New Roman" w:hAnsi="Times New Roman" w:cs="Times New Roman" w:eastAsia="Times New Roman" w:hint="default"/>
        </w:rPr>
        <w:t>2017</w:t>
      </w:r>
      <w:r>
        <w:rPr/>
        <w:t>年重大资产重组方案相关承诺，公司应将该等超过部分净利润的</w:t>
      </w:r>
      <w:r>
        <w:rPr>
          <w:rFonts w:ascii="Times New Roman" w:hAnsi="Times New Roman" w:cs="Times New Roman" w:eastAsia="Times New Roman" w:hint="default"/>
        </w:rPr>
        <w:t>20%</w:t>
      </w:r>
      <w:r>
        <w:rPr/>
        <w:t>即</w:t>
      </w:r>
      <w:r>
        <w:rPr>
          <w:rFonts w:ascii="Times New Roman" w:hAnsi="Times New Roman" w:cs="Times New Roman" w:eastAsia="Times New Roman" w:hint="default"/>
        </w:rPr>
        <w:t>2,941.936</w:t>
      </w:r>
      <w:r>
        <w:rPr/>
        <w:t>万元作为哆可梦管 理团队、核心人员的业绩奖励，于哆可梦</w:t>
      </w:r>
      <w:r>
        <w:rPr>
          <w:rFonts w:ascii="Times New Roman" w:hAnsi="Times New Roman" w:cs="Times New Roman" w:eastAsia="Times New Roman" w:hint="default"/>
        </w:rPr>
        <w:t>2019</w:t>
      </w:r>
      <w:r>
        <w:rPr/>
        <w:t>年度《专项审核报告》公开披露之日起十个工作日内一次性以现金方式支 付。鉴于惠程科技将在互联网游戏领域持续进行战略布局，寇汉先生作为上市公司高管以及哆可梦的董事长、总经理，持 续看好上市公司及哆可梦未来的发展前景，为支持惠程科技的长远发展，分享上市公司未来发展的红利，经与哆可梦其他 核心人员沟通，寇汉先生代表哆可梦管理团队、核心人员已声明自愿放弃该笔超额业绩奖励。由于本事项涉及</w:t>
      </w:r>
      <w:r>
        <w:rPr>
          <w:rFonts w:ascii="Times New Roman" w:hAnsi="Times New Roman" w:cs="Times New Roman" w:eastAsia="Times New Roman" w:hint="default"/>
        </w:rPr>
        <w:t>2017</w:t>
      </w:r>
      <w:r>
        <w:rPr/>
        <w:t>年重大 资产重组事项，已经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日公司第六届董事会第四十六次会议、第六届监事会第二十一次会议审议，尚需提交</w:t>
      </w:r>
      <w:r>
        <w:rPr>
          <w:rFonts w:ascii="Times New Roman" w:hAnsi="Times New Roman" w:cs="Times New Roman" w:eastAsia="Times New Roman" w:hint="default"/>
        </w:rPr>
        <w:t>2019 </w:t>
      </w:r>
      <w:r>
        <w:rPr/>
        <w:t>年年度股东大会审议。</w:t>
      </w:r>
    </w:p>
    <w:p>
      <w:pPr>
        <w:pStyle w:val="BodyText"/>
        <w:spacing w:line="304" w:lineRule="auto" w:before="28"/>
        <w:ind w:right="1214" w:firstLine="36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日公司第六届董事会第四十五次会议审议通过《关于签署股权收购意向协议的议案》，同意公司与 中冀投资股份有限公司（以下简称</w:t>
      </w:r>
      <w:r>
        <w:rPr>
          <w:rFonts w:ascii="Times New Roman" w:hAnsi="Times New Roman" w:cs="Times New Roman" w:eastAsia="Times New Roman" w:hint="default"/>
        </w:rPr>
        <w:t>“</w:t>
      </w:r>
      <w:r>
        <w:rPr/>
        <w:t>中冀投资</w:t>
      </w:r>
      <w:r>
        <w:rPr>
          <w:rFonts w:ascii="Times New Roman" w:hAnsi="Times New Roman" w:cs="Times New Roman" w:eastAsia="Times New Roman" w:hint="default"/>
        </w:rPr>
        <w:t>”</w:t>
      </w:r>
      <w:r>
        <w:rPr/>
        <w:t>）签署《关于成都哆可梦网络科技有限公司之股权收购意向协议》，公司拟 以不超过人民币</w:t>
      </w:r>
      <w:r>
        <w:rPr>
          <w:rFonts w:ascii="Times New Roman" w:hAnsi="Times New Roman" w:cs="Times New Roman" w:eastAsia="Times New Roman" w:hint="default"/>
        </w:rPr>
        <w:t>4.32</w:t>
      </w:r>
      <w:r>
        <w:rPr/>
        <w:t>亿元的自有现金（含自筹）收购中冀投资持有的公司控股子公司哆可梦</w:t>
      </w:r>
      <w:r>
        <w:rPr>
          <w:rFonts w:ascii="Times New Roman" w:hAnsi="Times New Roman" w:cs="Times New Roman" w:eastAsia="Times New Roman" w:hint="default"/>
        </w:rPr>
        <w:t>12%</w:t>
      </w:r>
      <w:r>
        <w:rPr/>
        <w:t>股权。根据意向协议的约 定，公司将委派中介机构对哆可梦开展审计、评估等工作。本次交易价格将以评估机构出具的交易标的评估值为依据并经 交易各方协商确定，最终以各方签署的正式协议为准。</w:t>
      </w:r>
    </w:p>
    <w:p>
      <w:pPr>
        <w:spacing w:line="240" w:lineRule="auto" w:before="9"/>
        <w:rPr>
          <w:rFonts w:ascii="宋体" w:hAnsi="宋体" w:cs="宋体" w:eastAsia="宋体" w:hint="default"/>
          <w:sz w:val="15"/>
          <w:szCs w:val="15"/>
        </w:rPr>
      </w:pPr>
    </w:p>
    <w:p>
      <w:pPr>
        <w:pStyle w:val="Heading2"/>
        <w:spacing w:line="240" w:lineRule="auto"/>
        <w:ind w:right="0"/>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14" w:firstLine="288"/>
        <w:jc w:val="left"/>
      </w:pPr>
      <w:r>
        <w:rPr/>
        <w:t>根据本公司的内部组织结构、管理要求及内部报告制度，本公司的经营业务划分为两个经营分部，本公司的管理层定 期评价这些分部的经营成果，以决定向其分配资源及评价其业绩。在经营分部的基础上本公司确定了两个报告分部，分别 为电气业务分部、游戏业务分部。这些报告分部是以行业分部为基础确定的。</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游戏业务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308,070,898.94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784,250,543.63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1,092,321,442.57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206,169,887.88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138,001,705.35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344,171,593.23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2,955,160,611.79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1,000,584,250.30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429,124,471.01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3,526,620,391.08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1,398,549,759.05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309,924,394.13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259,394,791.66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1,449,079,361.52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十七、母公司财务报表主要项目注释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after="0" w:line="240" w:lineRule="auto"/>
        <w:jc w:val="left"/>
        <w:sectPr>
          <w:footerReference w:type="default" r:id="rId78"/>
          <w:pgSz w:w="11910" w:h="16840"/>
          <w:pgMar w:footer="980" w:header="0" w:top="1100" w:bottom="1160" w:left="980" w:right="0"/>
        </w:sectPr>
      </w:pPr>
    </w:p>
    <w:p>
      <w:pPr>
        <w:pStyle w:val="BodyText"/>
        <w:spacing w:line="240" w:lineRule="auto" w:before="15"/>
        <w:ind w:left="0" w:right="133"/>
        <w:jc w:val="right"/>
      </w:pPr>
      <w:r>
        <w:rPr/>
        <w:t>深圳市惠程信息科技股份有限公司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13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691"/>
        <w:gridCol w:w="1275"/>
        <w:gridCol w:w="710"/>
        <w:gridCol w:w="1133"/>
        <w:gridCol w:w="857"/>
        <w:gridCol w:w="1342"/>
        <w:gridCol w:w="1198"/>
        <w:gridCol w:w="1126"/>
        <w:gridCol w:w="1148"/>
        <w:gridCol w:w="1135"/>
        <w:gridCol w:w="1337"/>
      </w:tblGrid>
      <w:tr>
        <w:trPr>
          <w:trHeight w:val="398" w:hRule="exact"/>
        </w:trPr>
        <w:tc>
          <w:tcPr>
            <w:tcW w:w="2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4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0" w:hRule="exact"/>
        </w:trPr>
        <w:tc>
          <w:tcPr>
            <w:tcW w:w="2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37"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129,503,146.92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21,719,555.16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107,783,591.76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152,817,451.20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24,757,002.92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128,060,448.28</w:t>
            </w:r>
          </w:p>
        </w:tc>
      </w:tr>
      <w:tr>
        <w:trPr>
          <w:trHeight w:val="401" w:hRule="exact"/>
        </w:trPr>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129,503,146.92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21,719,555.16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107,783,591.76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152,817,451.20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24,757,002.92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128,060,448.28</w:t>
            </w:r>
          </w:p>
        </w:tc>
      </w:tr>
      <w:tr>
        <w:trPr>
          <w:trHeight w:val="401" w:hRule="exact"/>
        </w:trPr>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129,503,146.92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21,719,555.16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107,783,591.76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152,817,451.20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24,757,002.92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128,060,448.28</w:t>
            </w:r>
          </w:p>
        </w:tc>
      </w:tr>
    </w:tbl>
    <w:p>
      <w:pPr>
        <w:pStyle w:val="BodyText"/>
        <w:spacing w:line="240" w:lineRule="auto" w:before="49"/>
        <w:ind w:left="140" w:right="128"/>
        <w:jc w:val="left"/>
      </w:pPr>
      <w:r>
        <w:rPr/>
        <w:t>按组合计提坏账准备：</w:t>
      </w:r>
    </w:p>
    <w:p>
      <w:pPr>
        <w:pStyle w:val="BodyText"/>
        <w:spacing w:line="240" w:lineRule="auto" w:before="117"/>
        <w:ind w:left="0" w:right="137"/>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488"/>
        <w:gridCol w:w="3488"/>
        <w:gridCol w:w="3488"/>
        <w:gridCol w:w="3488"/>
      </w:tblGrid>
      <w:tr>
        <w:trPr>
          <w:trHeight w:val="403" w:hRule="exact"/>
        </w:trPr>
        <w:tc>
          <w:tcPr>
            <w:tcW w:w="3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04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488" w:type="dxa"/>
            <w:vMerge/>
            <w:tcBorders>
              <w:left w:val="single" w:sz="4" w:space="0" w:color="000000"/>
              <w:bottom w:val="single" w:sz="4" w:space="0" w:color="000000"/>
              <w:right w:val="single" w:sz="4" w:space="0" w:color="000000"/>
            </w:tcBorders>
            <w:shd w:val="clear" w:color="auto" w:fill="D2D2D2"/>
          </w:tcPr>
          <w:p>
            <w:pPr/>
          </w:p>
        </w:tc>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75,035,985.27</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2,926,403.43</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r>
      <w:tr>
        <w:trPr>
          <w:trHeight w:val="40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28,216,689.51</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4,658,575.44</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16.51%</w:t>
            </w:r>
          </w:p>
        </w:tc>
      </w:tr>
      <w:tr>
        <w:trPr>
          <w:trHeight w:val="40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12,208,488.90</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2,781,093.77</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22.78%</w:t>
            </w:r>
          </w:p>
        </w:tc>
      </w:tr>
      <w:tr>
        <w:trPr>
          <w:trHeight w:val="40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4,245,936.38</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1,889,441.69</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44.50%</w:t>
            </w:r>
          </w:p>
        </w:tc>
      </w:tr>
      <w:tr>
        <w:trPr>
          <w:trHeight w:val="40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1,070,641.84</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738,635.81</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68.99%</w:t>
            </w:r>
          </w:p>
        </w:tc>
      </w:tr>
      <w:tr>
        <w:trPr>
          <w:trHeight w:val="40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8,725,405.02</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8,725,405.02</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129,503,146.92</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21,719,555.16</w:t>
            </w:r>
          </w:p>
        </w:tc>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140" w:right="5078"/>
        <w:jc w:val="left"/>
      </w:pPr>
      <w:r>
        <w:rPr/>
        <w:t>确定该组合依据的说明：无。 如是按照预期信用损失一般模型计提应收账款坏账准备，请参照其他应收款的披露方式披露坏账准备的相关信息：</w:t>
      </w:r>
    </w:p>
    <w:p>
      <w:pPr>
        <w:pStyle w:val="BodyText"/>
        <w:spacing w:line="240" w:lineRule="auto" w:before="29"/>
        <w:ind w:left="140" w:right="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191</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27"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79"/>
          <w:footerReference w:type="default" r:id="rId80"/>
          <w:pgSz w:w="16840" w:h="11910" w:orient="landscape"/>
          <w:pgMar w:header="0" w:footer="0" w:top="800" w:bottom="0" w:left="1300" w:right="130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right="0"/>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75,035,985.27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28,216,689.51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12,208,488.90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14,041,983.24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4,245,936.38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1,070,641.84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8,725,405.02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129,503,146.92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552"/>
        <w:gridCol w:w="1702"/>
        <w:gridCol w:w="1277"/>
        <w:gridCol w:w="1133"/>
        <w:gridCol w:w="1136"/>
        <w:gridCol w:w="566"/>
        <w:gridCol w:w="1207"/>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按账龄组合计提坏账准备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24,757,002.92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3,674,556.89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6,326,542.51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385,462.14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21,719,555.16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24,757,002.92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3,674,556.89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6,326,542.51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385,462.14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21,719,555.16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385,462.14</w:t>
            </w:r>
          </w:p>
        </w:tc>
      </w:tr>
    </w:tbl>
    <w:p>
      <w:pPr>
        <w:pStyle w:val="BodyText"/>
        <w:spacing w:line="357" w:lineRule="auto" w:before="49"/>
        <w:ind w:right="3914"/>
        <w:jc w:val="left"/>
      </w:pPr>
      <w:r>
        <w:rPr/>
        <w:t>应收账款核销说明：无。 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日第六届董事会第四十四次会议、第六届监事会第二十次会议审议批准。</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871"/>
        <w:gridCol w:w="191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8"/>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第一名</w:t>
            </w:r>
            <w:r>
              <w:rPr>
                <w:rFonts w:ascii="Times New Roman" w:hAnsi="Times New Roman" w:cs="Times New Roman" w:eastAsia="Times New Roman" w:hint="default"/>
                <w:sz w:val="18"/>
                <w:szCs w:val="18"/>
              </w:rPr>
              <w:t>(</w:t>
            </w:r>
            <w:r>
              <w:rPr>
                <w:rFonts w:ascii="宋体" w:hAnsi="宋体" w:cs="宋体" w:eastAsia="宋体" w:hint="default"/>
                <w:sz w:val="18"/>
                <w:szCs w:val="18"/>
              </w:rPr>
              <w:t>非关联方</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19,405,518.94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3,129,220.07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第二名</w:t>
            </w:r>
            <w:r>
              <w:rPr>
                <w:rFonts w:ascii="Times New Roman" w:hAnsi="Times New Roman" w:cs="Times New Roman" w:eastAsia="Times New Roman" w:hint="default"/>
                <w:sz w:val="18"/>
                <w:szCs w:val="18"/>
              </w:rPr>
              <w:t>(</w:t>
            </w:r>
            <w:r>
              <w:rPr>
                <w:rFonts w:ascii="宋体" w:hAnsi="宋体" w:cs="宋体" w:eastAsia="宋体" w:hint="default"/>
                <w:sz w:val="18"/>
                <w:szCs w:val="18"/>
              </w:rPr>
              <w:t>非关联方</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8,594,582.00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990,597.48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第三名</w:t>
            </w:r>
            <w:r>
              <w:rPr>
                <w:rFonts w:ascii="Times New Roman" w:hAnsi="Times New Roman" w:cs="Times New Roman" w:eastAsia="Times New Roman" w:hint="default"/>
                <w:sz w:val="18"/>
                <w:szCs w:val="18"/>
              </w:rPr>
              <w:t>(</w:t>
            </w:r>
            <w:r>
              <w:rPr>
                <w:rFonts w:ascii="宋体" w:hAnsi="宋体" w:cs="宋体" w:eastAsia="宋体" w:hint="default"/>
                <w:sz w:val="18"/>
                <w:szCs w:val="18"/>
              </w:rPr>
              <w:t>非关联方</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6,329,256.70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246,841.01</w:t>
            </w:r>
          </w:p>
        </w:tc>
      </w:tr>
    </w:tbl>
    <w:p>
      <w:pPr>
        <w:spacing w:after="0" w:line="240" w:lineRule="auto"/>
        <w:jc w:val="right"/>
        <w:rPr>
          <w:rFonts w:ascii="Times New Roman" w:hAnsi="Times New Roman" w:cs="Times New Roman" w:eastAsia="Times New Roman" w:hint="default"/>
          <w:sz w:val="18"/>
          <w:szCs w:val="18"/>
        </w:rPr>
        <w:sectPr>
          <w:footerReference w:type="default" r:id="rId81"/>
          <w:pgSz w:w="11910" w:h="16840"/>
          <w:pgMar w:footer="980" w:header="0" w:top="1100" w:bottom="1160" w:left="980" w:right="0"/>
          <w:pgNumType w:start="2"/>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871"/>
        <w:gridCol w:w="191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第四名</w:t>
            </w:r>
            <w:r>
              <w:rPr>
                <w:rFonts w:ascii="Times New Roman" w:hAnsi="Times New Roman" w:cs="Times New Roman" w:eastAsia="Times New Roman" w:hint="default"/>
                <w:sz w:val="18"/>
                <w:szCs w:val="18"/>
              </w:rPr>
              <w:t>(</w:t>
            </w:r>
            <w:r>
              <w:rPr>
                <w:rFonts w:ascii="宋体" w:hAnsi="宋体" w:cs="宋体" w:eastAsia="宋体" w:hint="default"/>
                <w:sz w:val="18"/>
                <w:szCs w:val="18"/>
              </w:rPr>
              <w:t>非关联方</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5,263,440.00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205,274.16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第五名</w:t>
            </w:r>
            <w:r>
              <w:rPr>
                <w:rFonts w:ascii="Times New Roman" w:hAnsi="Times New Roman" w:cs="Times New Roman" w:eastAsia="Times New Roman" w:hint="default"/>
                <w:sz w:val="18"/>
                <w:szCs w:val="18"/>
              </w:rPr>
              <w:t>(</w:t>
            </w:r>
            <w:r>
              <w:rPr>
                <w:rFonts w:ascii="宋体" w:hAnsi="宋体" w:cs="宋体" w:eastAsia="宋体" w:hint="default"/>
                <w:sz w:val="18"/>
                <w:szCs w:val="18"/>
              </w:rPr>
              <w:t>非关联方</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4,605,151.03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473,207.84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44,197,948.67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34.13%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592,372.09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594,616,328.33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576,233,592.42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594,663,966.69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576,825,964.51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592,372.09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592,372.09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爱酷游诚意金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592,527,290.59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326,351,501.97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2,686,156.51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3,738,220.80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298,990.00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660,161.75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617,050.03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519,582.69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349,526.95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334,559.50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352,041.51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190,633.93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43,428.57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596,835,055.59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588,838,089.21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10"/>
        <w:gridCol w:w="1702"/>
        <w:gridCol w:w="1844"/>
        <w:gridCol w:w="1810"/>
        <w:gridCol w:w="1802"/>
      </w:tblGrid>
      <w:tr>
        <w:trPr>
          <w:trHeight w:val="403"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76" w:right="77" w:hanging="498"/>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6"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4" w:space="0" w:color="000000"/>
              <w:right w:val="single" w:sz="4" w:space="0" w:color="000000"/>
            </w:tcBorders>
            <w:shd w:val="clear" w:color="auto" w:fill="D2D2D2"/>
          </w:tcPr>
          <w:p>
            <w:pPr/>
          </w:p>
        </w:tc>
      </w:tr>
      <w:tr>
        <w:trPr>
          <w:trHeight w:val="362"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10" w:type="dxa"/>
            <w:vMerge/>
            <w:tcBorders>
              <w:left w:val="single" w:sz="4" w:space="0" w:color="000000"/>
              <w:bottom w:val="single" w:sz="4" w:space="0" w:color="000000"/>
              <w:right w:val="single" w:sz="4" w:space="0" w:color="000000"/>
            </w:tcBorders>
            <w:shd w:val="clear" w:color="auto" w:fill="D2D2D2"/>
          </w:tcPr>
          <w:p>
            <w:pPr/>
          </w:p>
        </w:tc>
        <w:tc>
          <w:tcPr>
            <w:tcW w:w="18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12,604,496.79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12,604,496.79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143,352.05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143,352.05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10,517,469.58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10,517,469.58</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2,218,727.26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2,218,727.26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594,019,180.53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663,484.18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141,679.52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2,010,711.36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22,796.00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12,251.98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1,975,663.38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596,835,055.59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94"/>
        <w:gridCol w:w="1277"/>
        <w:gridCol w:w="1133"/>
        <w:gridCol w:w="1277"/>
        <w:gridCol w:w="991"/>
        <w:gridCol w:w="625"/>
        <w:gridCol w:w="1574"/>
      </w:tblGrid>
      <w:tr>
        <w:trPr>
          <w:trHeight w:val="403"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0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第一阶段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12,604,496.79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143,352.05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10,517,469.58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2,218,727.26</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第二阶段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第三阶段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12,604,496.79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143,352.05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10,517,469.58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2,218,727.26</w:t>
            </w:r>
          </w:p>
        </w:tc>
      </w:tr>
    </w:tbl>
    <w:p>
      <w:pPr>
        <w:pStyle w:val="BodyText"/>
        <w:spacing w:line="240" w:lineRule="auto" w:before="49"/>
        <w:ind w:right="0"/>
        <w:jc w:val="left"/>
      </w:pPr>
      <w:r>
        <w:rPr/>
        <w:t>其中本期坏账准备转回或收回金额重要的：</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543"/>
        <w:gridCol w:w="2835"/>
        <w:gridCol w:w="3193"/>
      </w:tblGrid>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宁波梅山保税港区元俊投资管理有限公司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11,652.00</w:t>
            </w:r>
          </w:p>
        </w:tc>
      </w:tr>
    </w:tbl>
    <w:p>
      <w:pPr>
        <w:pStyle w:val="BodyText"/>
        <w:spacing w:line="357" w:lineRule="auto" w:before="49"/>
        <w:ind w:right="3914"/>
        <w:jc w:val="left"/>
      </w:pPr>
      <w:r>
        <w:rPr/>
        <w:t>其他应收款核销说明： 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日第六届董事会第四十四次会议、第六届监事会第二十次会议审议批准。</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5"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259,875,251.60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173,537,488.44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109,588,643.55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一零电力</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24,088,080.04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零玖电力</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23,085,132.96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590,174,596.59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85"/>
        <w:gridCol w:w="1877"/>
        <w:gridCol w:w="1274"/>
        <w:gridCol w:w="1419"/>
        <w:gridCol w:w="1416"/>
        <w:gridCol w:w="833"/>
        <w:gridCol w:w="1368"/>
      </w:tblGrid>
      <w:tr>
        <w:trPr>
          <w:trHeight w:val="403" w:hRule="exact"/>
        </w:trPr>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1,643,060,471.00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1,643,060,471.00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1,625,770,475.00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1,625,770,475.00</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9,228,777.71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9,228,777.71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9,805,283.49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9,805,283.49</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1,652,289,248.71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1,652,289,248.71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1,635,575,758.49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1,635,575,758.49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268"/>
        <w:gridCol w:w="1426"/>
        <w:gridCol w:w="1135"/>
        <w:gridCol w:w="936"/>
        <w:gridCol w:w="1167"/>
        <w:gridCol w:w="732"/>
        <w:gridCol w:w="1695"/>
        <w:gridCol w:w="1212"/>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588" w:right="46"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6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22" w:right="5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5"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1,383,460,950.00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1,383,460,950.00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1,709,525.00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1,709,525.00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上海季娱</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铁匣电力</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一零电力</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零玖电力</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链接世界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15,489,996.00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15,489,996.00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1,625,770,475.00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17,289,996.00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1,643,060,471.00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5"/>
        <w:gridCol w:w="1049"/>
        <w:gridCol w:w="566"/>
        <w:gridCol w:w="567"/>
        <w:gridCol w:w="1010"/>
        <w:gridCol w:w="797"/>
        <w:gridCol w:w="800"/>
        <w:gridCol w:w="797"/>
        <w:gridCol w:w="566"/>
        <w:gridCol w:w="425"/>
        <w:gridCol w:w="1405"/>
        <w:gridCol w:w="797"/>
      </w:tblGrid>
      <w:tr>
        <w:trPr>
          <w:trHeight w:val="402"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00" w:lineRule="auto"/>
              <w:ind w:left="220" w:right="3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52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00" w:lineRule="auto"/>
              <w:ind w:left="576" w:right="36" w:hanging="54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3,110,188.07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126,114.64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3,236,302.71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真机智能</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6,695,095.42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-702,620.42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5,992,475.00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9,805,283.49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-576,505.78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9,228,777.71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9,805,283.49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-576,505.78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9,228,777.71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279,877,006.52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196,728,573.24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323,568,620.60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222,108,357.09</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24,803,552.54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9,441,314.64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899,761.86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304,680,559.06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206,169,887.88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324,468,382.46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222,108,357.09</w:t>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-576,505.78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109,206,544.23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83,964,228.06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5,485.27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20,643,491.38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3,120,003.53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105,072,470.87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196,290,775.82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512"/>
        <w:gridCol w:w="1558"/>
        <w:gridCol w:w="4501"/>
      </w:tblGrid>
      <w:tr>
        <w:trPr>
          <w:trHeight w:val="404"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-311,125.50</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1027"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6"/>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6,229,569.68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5"/>
              <w:jc w:val="left"/>
              <w:rPr>
                <w:rFonts w:ascii="宋体" w:hAnsi="宋体" w:cs="宋体" w:eastAsia="宋体" w:hint="default"/>
                <w:sz w:val="18"/>
                <w:szCs w:val="18"/>
              </w:rPr>
            </w:pPr>
            <w:r>
              <w:rPr>
                <w:rFonts w:ascii="宋体" w:hAnsi="宋体" w:cs="宋体" w:eastAsia="宋体" w:hint="default"/>
                <w:sz w:val="18"/>
                <w:szCs w:val="18"/>
              </w:rPr>
              <w:t>主要系符合地方政府招商引资等地方性扶持政策而获得 的补助、增值税进项税加计扣除及个税返还所致</w:t>
            </w:r>
          </w:p>
        </w:tc>
      </w:tr>
      <w:tr>
        <w:trPr>
          <w:trHeight w:val="71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 地产公允价值变动产生的损益</w:t>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-11,571,380.61</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主要系报告期内公司所持投资性房地产估值降低所致</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73,885.42</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2,307,762.36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主要系冲回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年计提的企业所得税所致</w:t>
            </w:r>
          </w:p>
        </w:tc>
      </w:tr>
      <w:tr>
        <w:trPr>
          <w:trHeight w:val="404"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-3,101,862.45</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2,401,125.61</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-2,570,551.81</w:t>
            </w:r>
          </w:p>
        </w:tc>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3"/>
        <w:ind w:right="121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971"/>
        <w:gridCol w:w="1700"/>
        <w:gridCol w:w="3901"/>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惠程本部、惠程智能股权投资、理财产品收益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20,072,470.87</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6"/>
              <w:jc w:val="left"/>
              <w:rPr>
                <w:rFonts w:ascii="宋体" w:hAnsi="宋体" w:cs="宋体" w:eastAsia="宋体" w:hint="default"/>
                <w:sz w:val="18"/>
                <w:szCs w:val="18"/>
              </w:rPr>
            </w:pPr>
            <w:r>
              <w:rPr>
                <w:rFonts w:ascii="宋体" w:hAnsi="宋体" w:cs="宋体" w:eastAsia="宋体" w:hint="default"/>
                <w:sz w:val="18"/>
                <w:szCs w:val="18"/>
              </w:rPr>
              <w:t>公司理财业务属于经常性业务，未来将持续进 行，收益可持续且稳定；符合经常性损益与主营 业务相关且持续稳定的特性。</w:t>
            </w:r>
          </w:p>
        </w:tc>
      </w:tr>
      <w:tr>
        <w:trPr>
          <w:trHeight w:val="165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北京中汇联银、中汇联鑫、喀什中汇联银证券、 股权、理财投资收益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3,885,027.15</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北京中汇联银、中汇联鑫、喀什中汇联银作为公 司设立的专门投资业务平台，主要从事投资类业 务，证券、股权、理财投资系三家子公司经常性 发生的业务，具有持续性；符合经常性损益与主 营业务相关且持续稳定的特性。</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254"/>
        <w:gridCol w:w="1488"/>
        <w:gridCol w:w="1913"/>
        <w:gridCol w:w="1913"/>
      </w:tblGrid>
      <w:tr>
        <w:trPr>
          <w:trHeight w:val="206" w:hRule="exact"/>
        </w:trPr>
        <w:tc>
          <w:tcPr>
            <w:tcW w:w="4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70" w:right="106"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8"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4254" w:type="dxa"/>
            <w:vMerge/>
            <w:tcBorders>
              <w:left w:val="single" w:sz="4" w:space="0" w:color="000000"/>
              <w:bottom w:val="nil" w:sz="6" w:space="0" w:color="auto"/>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3285" w:right="0"/>
        <w:jc w:val="left"/>
        <w:rPr>
          <w:b w:val="0"/>
          <w:bCs w:val="0"/>
        </w:rPr>
      </w:pPr>
      <w:bookmarkStart w:name="_bookmark12" w:id="13"/>
      <w:bookmarkEnd w:id="13"/>
      <w:r>
        <w:rPr>
          <w:b w:val="0"/>
          <w:bCs w:val="0"/>
        </w:rPr>
      </w:r>
      <w:r>
        <w:rPr/>
        <w:t>第十三节 </w:t>
      </w:r>
      <w:r>
        <w:rPr>
          <w:spacing w:val="8"/>
        </w:rPr>
        <w:t> </w:t>
      </w:r>
      <w:r>
        <w:rPr/>
        <w:t>备查文件目录</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240" w:lineRule="auto"/>
        <w:ind w:right="0"/>
        <w:jc w:val="left"/>
      </w:pPr>
      <w:r>
        <w:rPr/>
        <w:t>（一）载有公司法定代表人、主管会计负责人、会计机构负责人（会计主管人员）签名并盖章的财务报表。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（三）报告期内在中国证监会指定报纸上公开披露过的所有公司文件的正本及公告的原稿。</w:t>
      </w:r>
    </w:p>
    <w:p>
      <w:pPr>
        <w:pStyle w:val="BodyText"/>
        <w:spacing w:line="240" w:lineRule="auto" w:before="76"/>
        <w:ind w:right="0"/>
        <w:jc w:val="left"/>
      </w:pPr>
      <w:r>
        <w:rPr/>
        <w:t>（四）载有董事长汪超涌先生签名的</w:t>
      </w:r>
      <w:r>
        <w:rPr>
          <w:rFonts w:ascii="Times New Roman" w:hAnsi="Times New Roman" w:cs="Times New Roman" w:eastAsia="Times New Roman" w:hint="default"/>
        </w:rPr>
        <w:t>2019</w:t>
      </w:r>
      <w:r>
        <w:rPr/>
        <w:t>年年度报告全文。</w:t>
      </w:r>
    </w:p>
    <w:p>
      <w:pPr>
        <w:pStyle w:val="BodyText"/>
        <w:spacing w:line="240" w:lineRule="auto" w:before="63"/>
        <w:ind w:right="0"/>
        <w:jc w:val="left"/>
      </w:pPr>
      <w:r>
        <w:rPr/>
        <w:t>（五）以上备查文件的置放地点：公司证券部办公室。</w:t>
      </w:r>
    </w:p>
    <w:p>
      <w:pPr>
        <w:pStyle w:val="BodyText"/>
        <w:spacing w:line="636" w:lineRule="auto" w:before="76"/>
        <w:ind w:left="6994" w:right="1114" w:hanging="442"/>
        <w:jc w:val="left"/>
      </w:pPr>
      <w:r>
        <w:rPr/>
        <w:t>深圳市惠程信息科技股份有限公司董事会 董事长：汪超涌 二零二零年四月二十八日</w:t>
      </w:r>
    </w:p>
    <w:sectPr>
      <w:pgSz w:w="11910" w:h="16840"/>
      <w:pgMar w:header="0"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376" type="#_x0000_t75" stroked="false">
          <v:imagedata r:id="rId1" o:title=""/>
        </v:shape>
      </w:pict>
    </w:r>
    <w:r>
      <w:rPr/>
      <w:pict>
        <v:shape style="position:absolute;margin-left:533.099976pt;margin-top:795.637939pt;width:6.5pt;height:11pt;mso-position-horizontal-relative:page;mso-position-vertical-relative:page;z-index:-11283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872" type="#_x0000_t75" stroked="false">
          <v:imagedata r:id="rId1" o:title=""/>
        </v:shape>
      </w:pict>
    </w:r>
    <w:r>
      <w:rPr/>
      <w:pict>
        <v:shape style="position:absolute;margin-left:528.659973pt;margin-top:781.933899pt;width:11.15pt;height:11pt;mso-position-horizontal-relative:page;mso-position-vertical-relative:page;z-index:-11278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824" type="#_x0000_t75" stroked="false">
          <v:imagedata r:id="rId1" o:title=""/>
        </v:shape>
      </w:pict>
    </w:r>
    <w:r>
      <w:rPr/>
      <w:pict>
        <v:shape style="position:absolute;margin-left:528.659973pt;margin-top:781.933899pt;width:12.15pt;height:11pt;mso-position-horizontal-relative:page;mso-position-vertical-relative:page;z-index:-11278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0.02002pt;margin-top:535.333923pt;width:12.15pt;height:11pt;mso-position-horizontal-relative:page;mso-position-vertical-relative:page;z-index:-11277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w:t>
                </w:r>
                <w:r>
                  <w:rPr/>
                  <w:fldChar w:fldCharType="begin"/>
                </w:r>
                <w:r>
                  <w:rPr>
                    <w:rFonts w:ascii="Times New Roman"/>
                  </w:rPr>
                  <w:instrText> PAGE </w:instrText>
                </w:r>
                <w:r>
                  <w:rPr/>
                  <w:fldChar w:fldCharType="separate"/>
                </w:r>
                <w:r>
                  <w:rPr/>
                  <w:t>3</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680" type="#_x0000_t75" stroked="false">
          <v:imagedata r:id="rId1" o:title=""/>
        </v:shape>
      </w:pict>
    </w:r>
    <w:r>
      <w:rPr/>
      <w:pict>
        <v:shape style="position:absolute;margin-left:528.659973pt;margin-top:781.933899pt;width:12.15pt;height:11pt;mso-position-horizontal-relative:page;mso-position-vertical-relative:page;z-index:-1127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w:t>
                </w:r>
                <w:r>
                  <w:rPr/>
                  <w:fldChar w:fldCharType="begin"/>
                </w:r>
                <w:r>
                  <w:rPr>
                    <w:rFonts w:ascii="Times New Roman"/>
                  </w:rPr>
                  <w:instrText> PAGE </w:instrText>
                </w:r>
                <w:r>
                  <w:rPr/>
                  <w:fldChar w:fldCharType="separate"/>
                </w:r>
                <w:r>
                  <w:rPr/>
                  <w:t>7</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632" type="#_x0000_t75" stroked="false">
          <v:imagedata r:id="rId1" o:title=""/>
        </v:shape>
      </w:pict>
    </w:r>
    <w:r>
      <w:rPr/>
      <w:pict>
        <v:shape style="position:absolute;margin-left:528.659973pt;margin-top:781.933899pt;width:11.15pt;height:11pt;mso-position-horizontal-relative:page;mso-position-vertical-relative:page;z-index:-11276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584" type="#_x0000_t75" stroked="false">
          <v:imagedata r:id="rId1" o:title=""/>
        </v:shape>
      </w:pict>
    </w:r>
    <w:r>
      <w:rPr/>
      <w:pict>
        <v:shape style="position:absolute;margin-left:528.659973pt;margin-top:781.933899pt;width:12.15pt;height:11pt;mso-position-horizontal-relative:page;mso-position-vertical-relative:page;z-index:-11275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27512" type="#_x0000_t75" stroked="false">
          <v:imagedata r:id="rId1" o:title=""/>
        </v:shape>
      </w:pict>
    </w:r>
    <w:r>
      <w:rPr/>
      <w:pict>
        <v:shape style="position:absolute;margin-left:760.02002pt;margin-top:535.333923pt;width:12.15pt;height:11pt;mso-position-horizontal-relative:page;mso-position-vertical-relative:page;z-index:-1127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w:t>
                </w:r>
                <w:r>
                  <w:rPr/>
                  <w:fldChar w:fldCharType="begin"/>
                </w:r>
                <w:r>
                  <w:rPr>
                    <w:rFonts w:ascii="Times New Roman"/>
                  </w:rPr>
                  <w:instrText> PAGE </w:instrText>
                </w:r>
                <w:r>
                  <w:rPr/>
                  <w:fldChar w:fldCharType="separate"/>
                </w:r>
                <w:r>
                  <w:rPr/>
                  <w:t>3</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416" type="#_x0000_t75" stroked="false">
          <v:imagedata r:id="rId1" o:title=""/>
        </v:shape>
      </w:pict>
    </w:r>
    <w:r>
      <w:rPr/>
      <w:pict>
        <v:shape style="position:absolute;margin-left:528.659973pt;margin-top:781.933899pt;width:12.15pt;height:11pt;mso-position-horizontal-relative:page;mso-position-vertical-relative:page;z-index:-11273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w:t>
                </w:r>
                <w:r>
                  <w:rPr/>
                  <w:fldChar w:fldCharType="begin"/>
                </w:r>
                <w:r>
                  <w:rPr>
                    <w:rFonts w:ascii="Times New Roman"/>
                  </w:rPr>
                  <w:instrText> PAGE </w:instrText>
                </w:r>
                <w:r>
                  <w:rPr/>
                  <w:fldChar w:fldCharType="separate"/>
                </w:r>
                <w:r>
                  <w:rPr/>
                  <w:t>5</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27344" type="#_x0000_t75" stroked="false">
          <v:imagedata r:id="rId1" o:title=""/>
        </v:shape>
      </w:pict>
    </w:r>
    <w:r>
      <w:rPr/>
      <w:pict>
        <v:shape style="position:absolute;margin-left:760.02002pt;margin-top:535.333923pt;width:12.15pt;height:11pt;mso-position-horizontal-relative:page;mso-position-vertical-relative:page;z-index:-1127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w:t>
                </w:r>
                <w:r>
                  <w:rPr/>
                  <w:fldChar w:fldCharType="begin"/>
                </w:r>
                <w:r>
                  <w:rPr>
                    <w:rFonts w:ascii="Times New Roman"/>
                  </w:rPr>
                  <w:instrText> PAGE </w:instrText>
                </w:r>
                <w:r>
                  <w:rPr/>
                  <w:fldChar w:fldCharType="separate"/>
                </w:r>
                <w:r>
                  <w:rPr/>
                  <w:t>7</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248" type="#_x0000_t75" stroked="false">
          <v:imagedata r:id="rId1" o:title=""/>
        </v:shape>
      </w:pict>
    </w:r>
    <w:r>
      <w:rPr/>
      <w:pict>
        <v:shape style="position:absolute;margin-left:527.659973pt;margin-top:781.933899pt;width:12.15pt;height:11pt;mso-position-horizontal-relative:page;mso-position-vertical-relative:page;z-index:-1127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w:t>
                </w:r>
                <w:r>
                  <w:rPr/>
                  <w:fldChar w:fldCharType="end"/>
                </w:r>
                <w:r>
                  <w:rPr>
                    <w:rFonts w:ascii="Times New Roman"/>
                  </w:rPr>
                  <w:t>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328" type="#_x0000_t75" stroked="false">
          <v:imagedata r:id="rId1" o:title=""/>
        </v:shape>
      </w:pict>
    </w:r>
    <w:r>
      <w:rPr/>
      <w:pict>
        <v:shape style="position:absolute;margin-left:532.099976pt;margin-top:781.933899pt;width:8.5pt;height:11pt;mso-position-horizontal-relative:page;mso-position-vertical-relative:page;z-index:-1128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200" type="#_x0000_t75" stroked="false">
          <v:imagedata r:id="rId1" o:title=""/>
        </v:shape>
      </w:pict>
    </w:r>
    <w:r>
      <w:rPr/>
      <w:pict>
        <v:shape style="position:absolute;margin-left:528.659973pt;margin-top:781.933899pt;width:12.15pt;height:11pt;mso-position-horizontal-relative:page;mso-position-vertical-relative:page;z-index:-1127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5</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152" type="#_x0000_t75" stroked="false">
          <v:imagedata r:id="rId1" o:title=""/>
        </v:shape>
      </w:pict>
    </w:r>
    <w:r>
      <w:rPr/>
      <w:pict>
        <v:shape style="position:absolute;margin-left:528.659973pt;margin-top:781.933899pt;width:11.15pt;height:11pt;mso-position-horizontal-relative:page;mso-position-vertical-relative:page;z-index:-1127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104" type="#_x0000_t75" stroked="false">
          <v:imagedata r:id="rId1" o:title=""/>
        </v:shape>
      </w:pict>
    </w:r>
    <w:r>
      <w:rPr/>
      <w:pict>
        <v:shape style="position:absolute;margin-left:528.659973pt;margin-top:781.933899pt;width:12.15pt;height:11pt;mso-position-horizontal-relative:page;mso-position-vertical-relative:page;z-index:-1127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056" type="#_x0000_t75" stroked="false">
          <v:imagedata r:id="rId1" o:title=""/>
        </v:shape>
      </w:pict>
    </w:r>
    <w:r>
      <w:rPr/>
      <w:pict>
        <v:shape style="position:absolute;margin-left:528.659973pt;margin-top:781.933899pt;width:11.15pt;height:11pt;mso-position-horizontal-relative:page;mso-position-vertical-relative:page;z-index:-1127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008" type="#_x0000_t75" stroked="false">
          <v:imagedata r:id="rId1" o:title=""/>
        </v:shape>
      </w:pict>
    </w:r>
    <w:r>
      <w:rPr/>
      <w:pict>
        <v:shape style="position:absolute;margin-left:528.659973pt;margin-top:781.933899pt;width:12.15pt;height:11pt;mso-position-horizontal-relative:page;mso-position-vertical-relative:page;z-index:-1126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960" type="#_x0000_t75" stroked="false">
          <v:imagedata r:id="rId1" o:title=""/>
        </v:shape>
      </w:pict>
    </w:r>
    <w:r>
      <w:rPr/>
      <w:pict>
        <v:shape style="position:absolute;margin-left:528.659973pt;margin-top:781.933899pt;width:11.15pt;height:11pt;mso-position-horizontal-relative:page;mso-position-vertical-relative:page;z-index:-1126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912" type="#_x0000_t75" stroked="false">
          <v:imagedata r:id="rId1" o:title=""/>
        </v:shape>
      </w:pict>
    </w:r>
    <w:r>
      <w:rPr/>
      <w:pict>
        <v:shape style="position:absolute;margin-left:528.659973pt;margin-top:781.933899pt;width:12.15pt;height:11pt;mso-position-horizontal-relative:page;mso-position-vertical-relative:page;z-index:-1126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864" type="#_x0000_t75" stroked="false">
          <v:imagedata r:id="rId1" o:title=""/>
        </v:shape>
      </w:pict>
    </w:r>
    <w:r>
      <w:rPr/>
      <w:pict>
        <v:shape style="position:absolute;margin-left:528.659973pt;margin-top:781.933899pt;width:11.15pt;height:11pt;mso-position-horizontal-relative:page;mso-position-vertical-relative:page;z-index:-11268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816" type="#_x0000_t75" stroked="false">
          <v:imagedata r:id="rId1" o:title=""/>
        </v:shape>
      </w:pict>
    </w:r>
    <w:r>
      <w:rPr/>
      <w:pict>
        <v:shape style="position:absolute;margin-left:528.659973pt;margin-top:781.933899pt;width:12.15pt;height:11pt;mso-position-horizontal-relative:page;mso-position-vertical-relative:page;z-index:-1126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26744" type="#_x0000_t75" stroked="false">
          <v:imagedata r:id="rId1" o:title=""/>
        </v:shape>
      </w:pict>
    </w:r>
    <w:r>
      <w:rPr/>
      <w:pict>
        <v:shape style="position:absolute;margin-left:760.02002pt;margin-top:535.333923pt;width:12.15pt;height:11pt;mso-position-horizontal-relative:page;mso-position-vertical-relative:page;z-index:-1126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w:t>
                </w:r>
                <w:r>
                  <w:rPr/>
                  <w:fldChar w:fldCharType="begin"/>
                </w:r>
                <w:r>
                  <w:rPr>
                    <w:rFonts w:ascii="Times New Roman"/>
                  </w:rPr>
                  <w:instrText> PAGE </w:instrText>
                </w:r>
                <w:r>
                  <w:rPr/>
                  <w:fldChar w:fldCharType="separate"/>
                </w:r>
                <w:r>
                  <w:rPr/>
                  <w:t>7</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280" type="#_x0000_t75" stroked="false">
          <v:imagedata r:id="rId1" o:title=""/>
        </v:shape>
      </w:pict>
    </w:r>
    <w:r>
      <w:rPr/>
      <w:pict>
        <v:shape style="position:absolute;margin-left:528.659973pt;margin-top:781.933899pt;width:11.15pt;height:11pt;mso-position-horizontal-relative:page;mso-position-vertical-relative:page;z-index:-11282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26696" type="#_x0000_t75" stroked="false">
          <v:imagedata r:id="rId1" o:title=""/>
        </v:shape>
      </w:pict>
    </w:r>
    <w:r>
      <w:rPr/>
      <w:pict>
        <v:shape style="position:absolute;margin-left:755.460022pt;margin-top:535.333923pt;width:15.7pt;height:11pt;mso-position-horizontal-relative:page;mso-position-vertical-relative:page;z-index:-1126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26648" type="#_x0000_t75" stroked="false">
          <v:imagedata r:id="rId1" o:title=""/>
        </v:shape>
      </w:pict>
    </w:r>
    <w:r>
      <w:rPr/>
      <w:pict>
        <v:shape style="position:absolute;margin-left:755.460022pt;margin-top:535.333923pt;width:16.7pt;height:11pt;mso-position-horizontal-relative:page;mso-position-vertical-relative:page;z-index:-1126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552" type="#_x0000_t75" stroked="false">
          <v:imagedata r:id="rId1" o:title=""/>
        </v:shape>
      </w:pict>
    </w:r>
    <w:r>
      <w:rPr/>
      <w:pict>
        <v:shape style="position:absolute;margin-left:524.099976pt;margin-top:781.933899pt;width:16.7pt;height:11pt;mso-position-horizontal-relative:page;mso-position-vertical-relative:page;z-index:-1126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r>
                  <w:rPr/>
                  <w:fldChar w:fldCharType="begin"/>
                </w:r>
                <w:r>
                  <w:rPr>
                    <w:rFonts w:ascii="Times New Roman"/>
                  </w:rPr>
                  <w:instrText> PAGE </w:instrText>
                </w:r>
                <w:r>
                  <w:rPr/>
                  <w:fldChar w:fldCharType="separate"/>
                </w:r>
                <w:r>
                  <w:rPr/>
                  <w:t>6</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504" type="#_x0000_t75" stroked="false">
          <v:imagedata r:id="rId1" o:title=""/>
        </v:shape>
      </w:pict>
    </w:r>
    <w:r>
      <w:rPr/>
      <w:pict>
        <v:shape style="position:absolute;margin-left:524.460022pt;margin-top:781.933899pt;width:15.3pt;height:11pt;mso-position-horizontal-relative:page;mso-position-vertical-relative:page;z-index:-1126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110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456" type="#_x0000_t75" stroked="false">
          <v:imagedata r:id="rId1" o:title=""/>
        </v:shape>
      </w:pict>
    </w:r>
    <w:r>
      <w:rPr/>
      <w:pict>
        <v:shape style="position:absolute;margin-left:524.820007pt;margin-top:781.933899pt;width:14.6pt;height:11pt;mso-position-horizontal-relative:page;mso-position-vertical-relative:page;z-index:-1126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spacing w:val="-6"/>
                  </w:rPr>
                  <w:t>111</w:t>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408" type="#_x0000_t75" stroked="false">
          <v:imagedata r:id="rId1" o:title=""/>
        </v:shape>
      </w:pict>
    </w:r>
    <w:r>
      <w:rPr/>
      <w:pict>
        <v:shape style="position:absolute;margin-left:524.460022pt;margin-top:781.933899pt;width:16.3pt;height:11pt;mso-position-horizontal-relative:page;mso-position-vertical-relative:page;z-index:-1126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11</w:t>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360" type="#_x0000_t75" stroked="false">
          <v:imagedata r:id="rId1" o:title=""/>
        </v:shape>
      </w:pict>
    </w:r>
    <w:r>
      <w:rPr/>
      <w:pict>
        <v:shape style="position:absolute;margin-left:524.099976pt;margin-top:781.933899pt;width:15.7pt;height:11pt;mso-position-horizontal-relative:page;mso-position-vertical-relative:page;z-index:-1126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120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312" type="#_x0000_t75" stroked="false">
          <v:imagedata r:id="rId1" o:title=""/>
        </v:shape>
      </w:pict>
    </w:r>
    <w:r>
      <w:rPr/>
      <w:pict>
        <v:shape style="position:absolute;margin-left:524.099976pt;margin-top:781.933899pt;width:16.7pt;height:11pt;mso-position-horizontal-relative:page;mso-position-vertical-relative:page;z-index:-1126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12</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264" type="#_x0000_t75" stroked="false">
          <v:imagedata r:id="rId1" o:title=""/>
        </v:shape>
      </w:pict>
    </w:r>
    <w:r>
      <w:rPr/>
      <w:pict>
        <v:shape style="position:absolute;margin-left:524.099976pt;margin-top:781.933899pt;width:15.7pt;height:11pt;mso-position-horizontal-relative:page;mso-position-vertical-relative:page;z-index:-11262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216" type="#_x0000_t75" stroked="false">
          <v:imagedata r:id="rId1" o:title=""/>
        </v:shape>
      </w:pict>
    </w:r>
    <w:r>
      <w:rPr/>
      <w:pict>
        <v:shape style="position:absolute;margin-left:524.099976pt;margin-top:781.933899pt;width:16.7pt;height:11pt;mso-position-horizontal-relative:page;mso-position-vertical-relative:page;z-index:-1126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232" type="#_x0000_t75" stroked="false">
          <v:imagedata r:id="rId1" o:title=""/>
        </v:shape>
      </w:pict>
    </w:r>
    <w:r>
      <w:rPr/>
      <w:pict>
        <v:shape style="position:absolute;margin-left:529.020020pt;margin-top:781.933899pt;width:10.4pt;height:11pt;mso-position-horizontal-relative:page;mso-position-vertical-relative:page;z-index:-1128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spacing w:val="-6"/>
                  </w:rPr>
                  <w:t>11</w:t>
                </w:r>
                <w:r>
                  <w:rPr>
                    <w:rFonts w:ascii="Times New Roman"/>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168" type="#_x0000_t75" stroked="false">
          <v:imagedata r:id="rId1" o:title=""/>
        </v:shape>
      </w:pict>
    </w:r>
    <w:r>
      <w:rPr/>
      <w:pict>
        <v:shape style="position:absolute;margin-left:524.099976pt;margin-top:781.933899pt;width:15.7pt;height:11pt;mso-position-horizontal-relative:page;mso-position-vertical-relative:page;z-index:-1126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140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120" type="#_x0000_t75" stroked="false">
          <v:imagedata r:id="rId1" o:title=""/>
        </v:shape>
      </w:pict>
    </w:r>
    <w:r>
      <w:rPr/>
      <w:pict>
        <v:shape style="position:absolute;margin-left:524.099976pt;margin-top:781.933899pt;width:16.7pt;height:11pt;mso-position-horizontal-relative:page;mso-position-vertical-relative:page;z-index:-1126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14</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072" type="#_x0000_t75" stroked="false">
          <v:imagedata r:id="rId1" o:title=""/>
        </v:shape>
      </w:pict>
    </w:r>
    <w:r>
      <w:rPr/>
      <w:pict>
        <v:shape style="position:absolute;margin-left:524.099976pt;margin-top:781.933899pt;width:15.7pt;height:11pt;mso-position-horizontal-relative:page;mso-position-vertical-relative:page;z-index:-1126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r>
                  <w:rPr/>
                  <w:fldChar w:fldCharType="begin"/>
                </w:r>
                <w:r>
                  <w:rPr>
                    <w:rFonts w:ascii="Times New Roman"/>
                  </w:rPr>
                  <w:instrText> PAGE </w:instrText>
                </w:r>
                <w:r>
                  <w:rPr/>
                  <w:fldChar w:fldCharType="separate"/>
                </w:r>
                <w:r>
                  <w:rPr/>
                  <w:t>4</w:t>
                </w:r>
                <w:r>
                  <w:rPr/>
                  <w:fldChar w:fldCharType="end"/>
                </w:r>
                <w:r>
                  <w:rPr>
                    <w:rFonts w:ascii="Times New Roman"/>
                  </w:rPr>
                  <w:t>9</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024" type="#_x0000_t75" stroked="false">
          <v:imagedata r:id="rId1" o:title=""/>
        </v:shape>
      </w:pict>
    </w:r>
    <w:r>
      <w:rPr/>
      <w:pict>
        <v:shape style="position:absolute;margin-left:524.099976pt;margin-top:781.933899pt;width:16.7pt;height:11pt;mso-position-horizontal-relative:page;mso-position-vertical-relative:page;z-index:-1126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15</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976" type="#_x0000_t75" stroked="false">
          <v:imagedata r:id="rId1" o:title=""/>
        </v:shape>
      </w:pict>
    </w:r>
    <w:r>
      <w:rPr/>
      <w:pict>
        <v:shape style="position:absolute;margin-left:524.099976pt;margin-top:781.933899pt;width:15.7pt;height:11pt;mso-position-horizontal-relative:page;mso-position-vertical-relative:page;z-index:-1125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160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928" type="#_x0000_t75" stroked="false">
          <v:imagedata r:id="rId1" o:title=""/>
        </v:shape>
      </w:pict>
    </w:r>
    <w:r>
      <w:rPr/>
      <w:pict>
        <v:shape style="position:absolute;margin-left:524.099976pt;margin-top:781.933899pt;width:16.7pt;height:11pt;mso-position-horizontal-relative:page;mso-position-vertical-relative:page;z-index:-1125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16</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880" type="#_x0000_t75" stroked="false">
          <v:imagedata r:id="rId1" o:title=""/>
        </v:shape>
      </w:pict>
    </w:r>
    <w:r>
      <w:rPr/>
      <w:pict>
        <v:shape style="position:absolute;margin-left:524.099976pt;margin-top:781.933899pt;width:15.7pt;height:11pt;mso-position-horizontal-relative:page;mso-position-vertical-relative:page;z-index:-1125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170</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832" type="#_x0000_t75" stroked="false">
          <v:imagedata r:id="rId1" o:title=""/>
        </v:shape>
      </w:pict>
    </w:r>
    <w:r>
      <w:rPr/>
      <w:pict>
        <v:shape style="position:absolute;margin-left:524.099976pt;margin-top:781.933899pt;width:16.7pt;height:11pt;mso-position-horizontal-relative:page;mso-position-vertical-relative:page;z-index:-1125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17</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184" type="#_x0000_t75" stroked="false">
          <v:imagedata r:id="rId1" o:title=""/>
        </v:shape>
      </w:pict>
    </w:r>
    <w:r>
      <w:rPr/>
      <w:pict>
        <v:shape style="position:absolute;margin-left:528.659973pt;margin-top:781.933899pt;width:12.15pt;height:11pt;mso-position-horizontal-relative:page;mso-position-vertical-relative:page;z-index:-1128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r>
                  <w:rPr/>
                  <w:fldChar w:fldCharType="begin"/>
                </w:r>
                <w:r>
                  <w:rPr>
                    <w:rFonts w:ascii="Times New Roman"/>
                  </w:rPr>
                  <w:instrText> PAGE </w:instrText>
                </w:r>
                <w:r>
                  <w:rPr/>
                  <w:fldChar w:fldCharType="separate"/>
                </w:r>
                <w:r>
                  <w:rPr/>
                  <w:t>2</w:t>
                </w:r>
                <w:r>
                  <w:rPr/>
                  <w:fldChar w:fldCharType="end"/>
                </w:r>
                <w:r>
                  <w:rPr>
                    <w:rFonts w:ascii="Times New Roman"/>
                    <w:spacing w:val="1"/>
                  </w:rPr>
                </w:r>
                <w:r>
                  <w:rPr>
                    <w:rFonts w:ascii="Times New Roman"/>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784" type="#_x0000_t75" stroked="false">
          <v:imagedata r:id="rId1" o:title=""/>
        </v:shape>
      </w:pict>
    </w:r>
    <w:r>
      <w:rPr/>
      <w:pict>
        <v:shape style="position:absolute;margin-left:524.099976pt;margin-top:781.933899pt;width:16.7pt;height:11pt;mso-position-horizontal-relative:page;mso-position-vertical-relative:page;z-index:-1125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18</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736" type="#_x0000_t75" stroked="false">
          <v:imagedata r:id="rId1" o:title=""/>
        </v:shape>
      </w:pict>
    </w:r>
    <w:r>
      <w:rPr/>
      <w:pict>
        <v:shape style="position:absolute;margin-left:524.099976pt;margin-top:781.933899pt;width:15.7pt;height:11pt;mso-position-horizontal-relative:page;mso-position-vertical-relative:page;z-index:-1125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190</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5688" type="#_x0000_t75" stroked="false">
          <v:imagedata r:id="rId1" o:title=""/>
        </v:shape>
      </w:pict>
    </w:r>
    <w:r>
      <w:rPr/>
      <w:pict>
        <v:shape style="position:absolute;margin-left:524.099976pt;margin-top:781.933899pt;width:16.7pt;height:11pt;mso-position-horizontal-relative:page;mso-position-vertical-relative:page;z-index:-11256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19</w:t>
                </w:r>
                <w:r>
                  <w:rPr/>
                  <w:fldChar w:fldCharType="begin"/>
                </w:r>
                <w:r>
                  <w:rPr>
                    <w:rFonts w:ascii="Times New Roman"/>
                  </w:rPr>
                  <w:instrText> PAGE </w:instrText>
                </w:r>
                <w:r>
                  <w:rPr/>
                  <w:fldChar w:fldCharType="separate"/>
                </w:r>
                <w:r>
                  <w:rPr/>
                  <w:t>2</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136" type="#_x0000_t75" stroked="false">
          <v:imagedata r:id="rId1" o:title=""/>
        </v:shape>
      </w:pict>
    </w:r>
    <w:r>
      <w:rPr/>
      <w:pict>
        <v:shape style="position:absolute;margin-left:528.659973pt;margin-top:781.933899pt;width:11.15pt;height:11pt;mso-position-horizontal-relative:page;mso-position-vertical-relative:page;z-index:-1128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8088" type="#_x0000_t75" stroked="false">
          <v:imagedata r:id="rId1" o:title=""/>
        </v:shape>
      </w:pict>
    </w:r>
    <w:r>
      <w:rPr/>
      <w:pict>
        <v:shape style="position:absolute;margin-left:528.659973pt;margin-top:781.933899pt;width:12.15pt;height:11pt;mso-position-horizontal-relative:page;mso-position-vertical-relative:page;z-index:-11280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28016" type="#_x0000_t75" stroked="false">
          <v:imagedata r:id="rId1" o:title=""/>
        </v:shape>
      </w:pict>
    </w:r>
    <w:r>
      <w:rPr/>
      <w:pict>
        <v:shape style="position:absolute;margin-left:760.02002pt;margin-top:535.333923pt;width:12.15pt;height:11pt;mso-position-horizontal-relative:page;mso-position-vertical-relative:page;z-index:-11279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w:t>
                </w:r>
                <w:r>
                  <w:rPr/>
                  <w:fldChar w:fldCharType="begin"/>
                </w:r>
                <w:r>
                  <w:rPr>
                    <w:rFonts w:ascii="Times New Roman"/>
                  </w:rPr>
                  <w:instrText> PAGE </w:instrText>
                </w:r>
                <w:r>
                  <w:rPr/>
                  <w:fldChar w:fldCharType="separate"/>
                </w:r>
                <w:r>
                  <w:rPr/>
                  <w:t>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7920" type="#_x0000_t75" stroked="false">
          <v:imagedata r:id="rId1" o:title=""/>
        </v:shape>
      </w:pict>
    </w:r>
    <w:r>
      <w:rPr/>
      <w:pict>
        <v:shape style="position:absolute;margin-left:528.659973pt;margin-top:781.933899pt;width:12.15pt;height:11pt;mso-position-horizontal-relative:page;mso-position-vertical-relative:page;z-index:-1127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w:t>
                </w:r>
                <w:r>
                  <w:rPr/>
                  <w:fldChar w:fldCharType="begin"/>
                </w:r>
                <w:r>
                  <w:rPr>
                    <w:rFonts w:ascii="Times New Roman"/>
                  </w:rPr>
                  <w:instrText> PAGE </w:instrText>
                </w:r>
                <w:r>
                  <w:rPr/>
                  <w:fldChar w:fldCharType="separate"/>
                </w:r>
                <w:r>
                  <w:rPr/>
                  <w:t>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6.829987pt;margin-top:36.265610pt;width:222.85pt;height:11.5pt;mso-position-horizontal-relative:page;mso-position-vertical-relative:page;z-index:-1128400"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26768"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266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6.829987pt;margin-top:42.865608pt;width:222.85pt;height:11.5pt;mso-position-horizontal-relative:page;mso-position-vertical-relative:page;z-index:-1126576"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190002pt;margin-top:42.865631pt;width:222.85pt;height:11.5pt;mso-position-horizontal-relative:page;mso-position-vertical-relative:page;z-index:-1128040"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27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6.829987pt;margin-top:42.865608pt;width:222.85pt;height:11.5pt;mso-position-horizontal-relative:page;mso-position-vertical-relative:page;z-index:-1127944"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190002pt;margin-top:42.865631pt;width:222.85pt;height:11.5pt;mso-position-horizontal-relative:page;mso-position-vertical-relative:page;z-index:-1127776"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277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6.829987pt;margin-top:42.865608pt;width:222.85pt;height:11.5pt;mso-position-horizontal-relative:page;mso-position-vertical-relative:page;z-index:-1127704"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190002pt;margin-top:42.865631pt;width:222.85pt;height:11.5pt;mso-position-horizontal-relative:page;mso-position-vertical-relative:page;z-index:-1127536"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27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6.829987pt;margin-top:42.865608pt;width:222.85pt;height:11.5pt;mso-position-horizontal-relative:page;mso-position-vertical-relative:page;z-index:-1127440"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27368" type="#_x0000_t202" filled="false" stroked="false">
          <v:textbox inset="0,0,0,0">
            <w:txbxContent>
              <w:p>
                <w:pPr>
                  <w:pStyle w:val="BodyText"/>
                  <w:spacing w:line="214" w:lineRule="exact"/>
                  <w:ind w:left="20" w:right="0"/>
                  <w:jc w:val="left"/>
                </w:pPr>
                <w:r>
                  <w:rPr/>
                  <w:t>深圳市惠程信息科技股份有限公司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272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6.829987pt;margin-top:42.865608pt;width:222.85pt;height:11.5pt;mso-position-horizontal-relative:page;mso-position-vertical-relative:page;z-index:-1127272" type="#_x0000_t202" filled="false" stroked="false">
          <v:textbox inset="0,0,0,0">
            <w:txbxContent>
              <w:p>
                <w:pPr>
                  <w:pStyle w:val="BodyText"/>
                  <w:spacing w:line="214" w:lineRule="exact"/>
                  <w:ind w:left="20" w:right="0"/>
                  <w:jc w:val="left"/>
                </w:pPr>
                <w:r>
                  <w:rPr/>
                  <w:t>深圳市惠程信息科技股份有限公司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5"/>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513"/>
      <w:outlineLvl w:val="4"/>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ifuture.com/" TargetMode="External"/><Relationship Id="rId10" Type="http://schemas.openxmlformats.org/officeDocument/2006/relationships/hyperlink" Target="mailto:szhc@hifuture.com" TargetMode="External"/><Relationship Id="rId11" Type="http://schemas.openxmlformats.org/officeDocument/2006/relationships/hyperlink" Target="mailto:furufeng@hifuture.com" TargetMode="External"/><Relationship Id="rId12" Type="http://schemas.openxmlformats.org/officeDocument/2006/relationships/hyperlink" Target="mailto:wenqiuping@hifuture.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2.xml"/><Relationship Id="rId20" Type="http://schemas.openxmlformats.org/officeDocument/2006/relationships/footer" Target="footer8.xml"/><Relationship Id="rId21" Type="http://schemas.openxmlformats.org/officeDocument/2006/relationships/header" Target="header3.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4.xml"/><Relationship Id="rId26" Type="http://schemas.openxmlformats.org/officeDocument/2006/relationships/footer" Target="footer12.xml"/><Relationship Id="rId27" Type="http://schemas.openxmlformats.org/officeDocument/2006/relationships/image" Target="media/image1.jpeg"/><Relationship Id="rId28" Type="http://schemas.openxmlformats.org/officeDocument/2006/relationships/header" Target="header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6.xml"/><Relationship Id="rId33" Type="http://schemas.openxmlformats.org/officeDocument/2006/relationships/footer" Target="footer16.xml"/><Relationship Id="rId34" Type="http://schemas.openxmlformats.org/officeDocument/2006/relationships/header" Target="header7.xml"/><Relationship Id="rId35" Type="http://schemas.openxmlformats.org/officeDocument/2006/relationships/footer" Target="footer17.xml"/><Relationship Id="rId36" Type="http://schemas.openxmlformats.org/officeDocument/2006/relationships/header" Target="header8.xml"/><Relationship Id="rId37" Type="http://schemas.openxmlformats.org/officeDocument/2006/relationships/footer" Target="footer18.xml"/><Relationship Id="rId38" Type="http://schemas.openxmlformats.org/officeDocument/2006/relationships/header" Target="header9.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image" Target="media/image3.jpeg"/><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header" Target="header10.xml"/><Relationship Id="rId51" Type="http://schemas.openxmlformats.org/officeDocument/2006/relationships/footer" Target="footer29.xml"/><Relationship Id="rId52" Type="http://schemas.openxmlformats.org/officeDocument/2006/relationships/footer" Target="footer30.xml"/><Relationship Id="rId53" Type="http://schemas.openxmlformats.org/officeDocument/2006/relationships/footer" Target="footer31.xml"/><Relationship Id="rId54" Type="http://schemas.openxmlformats.org/officeDocument/2006/relationships/header" Target="header1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footer" Target="footer39.xml"/><Relationship Id="rId63" Type="http://schemas.openxmlformats.org/officeDocument/2006/relationships/header" Target="header12.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header" Target="header13.xml"/><Relationship Id="rId68" Type="http://schemas.openxmlformats.org/officeDocument/2006/relationships/footer" Target="footer43.xml"/><Relationship Id="rId69" Type="http://schemas.openxmlformats.org/officeDocument/2006/relationships/footer" Target="footer44.xml"/><Relationship Id="rId70" Type="http://schemas.openxmlformats.org/officeDocument/2006/relationships/footer" Target="footer45.xml"/><Relationship Id="rId71" Type="http://schemas.openxmlformats.org/officeDocument/2006/relationships/footer" Target="footer46.xml"/><Relationship Id="rId72" Type="http://schemas.openxmlformats.org/officeDocument/2006/relationships/footer" Target="footer47.xml"/><Relationship Id="rId73" Type="http://schemas.openxmlformats.org/officeDocument/2006/relationships/footer" Target="footer48.xml"/><Relationship Id="rId74" Type="http://schemas.openxmlformats.org/officeDocument/2006/relationships/footer" Target="footer49.xml"/><Relationship Id="rId75" Type="http://schemas.openxmlformats.org/officeDocument/2006/relationships/header" Target="header14.xml"/><Relationship Id="rId76" Type="http://schemas.openxmlformats.org/officeDocument/2006/relationships/footer" Target="footer50.xml"/><Relationship Id="rId77" Type="http://schemas.openxmlformats.org/officeDocument/2006/relationships/footer" Target="footer51.xml"/><Relationship Id="rId78" Type="http://schemas.openxmlformats.org/officeDocument/2006/relationships/footer" Target="footer52.xml"/><Relationship Id="rId79" Type="http://schemas.openxmlformats.org/officeDocument/2006/relationships/header" Target="header15.xml"/><Relationship Id="rId80" Type="http://schemas.openxmlformats.org/officeDocument/2006/relationships/footer" Target="footer53.xml"/><Relationship Id="rId81" Type="http://schemas.openxmlformats.org/officeDocument/2006/relationships/footer" Target="footer5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39.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1.xml.rels><?xml version="1.0" encoding="UTF-8" standalone="yes"?>
<Relationships xmlns="http://schemas.openxmlformats.org/package/2006/relationships"><Relationship Id="rId1" Type="http://schemas.openxmlformats.org/officeDocument/2006/relationships/image" Target="media/image1.jpeg"/></Relationships>

</file>

<file path=word/_rels/footer42.xml.rels><?xml version="1.0" encoding="UTF-8" standalone="yes"?>
<Relationships xmlns="http://schemas.openxmlformats.org/package/2006/relationships"><Relationship Id="rId1" Type="http://schemas.openxmlformats.org/officeDocument/2006/relationships/image" Target="media/image1.jpeg"/></Relationships>

</file>

<file path=word/_rels/footer44.xml.rels><?xml version="1.0" encoding="UTF-8" standalone="yes"?>
<Relationships xmlns="http://schemas.openxmlformats.org/package/2006/relationships"><Relationship Id="rId1" Type="http://schemas.openxmlformats.org/officeDocument/2006/relationships/image" Target="media/image1.jpeg"/></Relationships>

</file>

<file path=word/_rels/footer45.xml.rels><?xml version="1.0" encoding="UTF-8" standalone="yes"?>
<Relationships xmlns="http://schemas.openxmlformats.org/package/2006/relationships"><Relationship Id="rId1" Type="http://schemas.openxmlformats.org/officeDocument/2006/relationships/image" Target="media/image1.jpeg"/></Relationships>

</file>

<file path=word/_rels/footer46.xml.rels><?xml version="1.0" encoding="UTF-8" standalone="yes"?>
<Relationships xmlns="http://schemas.openxmlformats.org/package/2006/relationships"><Relationship Id="rId1" Type="http://schemas.openxmlformats.org/officeDocument/2006/relationships/image" Target="media/image1.jpeg"/></Relationships>

</file>

<file path=word/_rels/footer47.xml.rels><?xml version="1.0" encoding="UTF-8" standalone="yes"?>
<Relationships xmlns="http://schemas.openxmlformats.org/package/2006/relationships"><Relationship Id="rId1" Type="http://schemas.openxmlformats.org/officeDocument/2006/relationships/image" Target="media/image1.jpeg"/></Relationships>

</file>

<file path=word/_rels/footer48.xml.rels><?xml version="1.0" encoding="UTF-8" standalone="yes"?>
<Relationships xmlns="http://schemas.openxmlformats.org/package/2006/relationships"><Relationship Id="rId1" Type="http://schemas.openxmlformats.org/officeDocument/2006/relationships/image" Target="media/image1.jpeg"/></Relationships>

</file>

<file path=word/_rels/footer49.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51.xml.rels><?xml version="1.0" encoding="UTF-8" standalone="yes"?>
<Relationships xmlns="http://schemas.openxmlformats.org/package/2006/relationships"><Relationship Id="rId1" Type="http://schemas.openxmlformats.org/officeDocument/2006/relationships/image" Target="media/image1.jpeg"/></Relationships>

</file>

<file path=word/_rels/footer52.xml.rels><?xml version="1.0" encoding="UTF-8" standalone="yes"?>
<Relationships xmlns="http://schemas.openxmlformats.org/package/2006/relationships"><Relationship Id="rId1" Type="http://schemas.openxmlformats.org/officeDocument/2006/relationships/image" Target="media/image1.jpeg"/></Relationships>

</file>

<file path=word/_rels/footer5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深圳市惠程信息科技股份有限公司</dc:creator>
  <dc:title>深圳市惠程信息科技股份有限公司2019年年度报告全文</dc:title>
  <dcterms:created xsi:type="dcterms:W3CDTF">2020-05-19T23:16:53Z</dcterms:created>
  <dcterms:modified xsi:type="dcterms:W3CDTF">2020-05-19T23:16:53Z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2016</vt:lpwstr>
  </property>
  <property fmtid="{D5CDD505-2E9C-101B-9397-08002B2CF9AE}" pid="4" name="LastSaved">
    <vt:filetime>2020-05-19T00:00:00Z</vt:filetime>
  </property>
</Properties>
</file>