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i/>
          <w:iCs/>
          <w:color w:val="45A8D5"/>
          <w:spacing w:val="0"/>
          <w:w w:val="100"/>
          <w:position w:val="0"/>
        </w:rPr>
        <w:t>u</w:t>
      </w:r>
      <w:r>
        <w:rPr>
          <w:color w:val="000000"/>
          <w:spacing w:val="0"/>
          <w:w w:val="100"/>
          <w:position w:val="0"/>
        </w:rPr>
        <w:t>惠程科技</w:t>
      </w:r>
      <w:bookmarkEnd w:id="0"/>
      <w:bookmarkEnd w:id="1"/>
      <w:bookmarkEnd w:id="2"/>
    </w:p>
    <w:p>
      <w:pPr>
        <w:pStyle w:val="Style5"/>
        <w:keepNext/>
        <w:keepLines/>
        <w:widowControl w:val="0"/>
        <w:shd w:val="clear" w:color="auto" w:fill="auto"/>
        <w:bidi w:val="0"/>
        <w:spacing w:before="0"/>
        <w:ind w:right="0" w:firstLine="0"/>
        <w:jc w:val="left"/>
      </w:pPr>
      <w:bookmarkStart w:id="3" w:name="bookmark3"/>
      <w:bookmarkStart w:id="4" w:name="bookmark4"/>
      <w:bookmarkStart w:id="5" w:name="bookmark5"/>
      <w:r>
        <w:rPr>
          <w:spacing w:val="0"/>
          <w:w w:val="100"/>
          <w:position w:val="0"/>
        </w:rPr>
        <w:t>Hl FUTURE</w:t>
      </w:r>
      <w:bookmarkEnd w:id="3"/>
      <w:bookmarkEnd w:id="4"/>
      <w:bookmarkEnd w:id="5"/>
    </w:p>
    <w:p>
      <w:pPr>
        <w:pStyle w:val="Style7"/>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深圳市惠程信息科技股份有限公司</w:t>
      </w:r>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953" w:right="975" w:bottom="2953"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公司负责人陈国庆、主管会计工作负责人鲁生选及会计机构负责人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张鹏声明：保证本年度报告中财务报告的真实、准确、完整。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大信会计师事务所（特殊普通合伙）为本公司出具了保留意见的审计报告， 本公司董事会、监事会对相关事项已有详细说明，请投资者注意阅读。</w:t>
      </w:r>
    </w:p>
    <w:p>
      <w:pPr>
        <w:pStyle w:val="Style17"/>
        <w:keepNext w:val="0"/>
        <w:keepLines w:val="0"/>
        <w:widowControl w:val="0"/>
        <w:shd w:val="clear" w:color="auto" w:fill="auto"/>
        <w:bidi w:val="0"/>
        <w:spacing w:before="0" w:line="614" w:lineRule="exact"/>
        <w:ind w:left="0" w:right="0"/>
        <w:jc w:val="both"/>
      </w:pPr>
      <w:r>
        <w:rPr>
          <w:color w:val="000000"/>
          <w:spacing w:val="0"/>
          <w:w w:val="100"/>
          <w:position w:val="0"/>
        </w:rPr>
        <w:t>本报告所涉及的未来计划等前瞻性陈述，不构成公司对投资者的实质承诺， 投资者及相关人士均应当对此保持足够的风险认识，并且应当理解计划、预测 与承诺之间的差异。</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中描述了公司未来经营中可能 面临的风险和应对措施，敬请广大投资者注意查阅。</w:t>
      </w:r>
    </w:p>
    <w:p>
      <w:pPr>
        <w:pStyle w:val="Style17"/>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975"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val="0"/>
        <w:keepLines w:val="0"/>
        <w:widowControl w:val="0"/>
        <w:shd w:val="clear" w:color="auto" w:fill="auto"/>
        <w:bidi w:val="0"/>
        <w:spacing w:before="0" w:after="158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8"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231"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29</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419"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51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435"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53</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589"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70</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57"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77</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61"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78</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65"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79</w:t>
        </w:r>
      </w:hyperlink>
      <w:r>
        <w:fldChar w:fldCharType="end"/>
      </w:r>
    </w:p>
    <w:p>
      <w:pPr>
        <w:pStyle w:val="Style15"/>
        <w:keepNext/>
        <w:keepLines/>
        <w:widowControl w:val="0"/>
        <w:shd w:val="clear" w:color="auto" w:fill="auto"/>
        <w:bidi w:val="0"/>
        <w:spacing w:before="640" w:after="88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一）</w:t>
        <w:tab/>
        <w:t>载有公司负责人、主管会计工作负责人、会计机构负责人（会计主管人员）签名并盖章的财务报表。</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531" w:val="left"/>
        </w:tabs>
        <w:bidi w:val="0"/>
        <w:spacing w:before="0" w:after="0" w:line="240" w:lineRule="auto"/>
        <w:ind w:left="0" w:right="0" w:firstLine="0"/>
        <w:jc w:val="left"/>
      </w:pPr>
      <w:bookmarkStart w:id="15" w:name="bookmark15"/>
      <w:r>
        <w:rPr>
          <w:color w:val="000000"/>
          <w:spacing w:val="0"/>
          <w:w w:val="100"/>
          <w:position w:val="0"/>
        </w:rPr>
        <w:t>（</w:t>
      </w:r>
      <w:bookmarkEnd w:id="15"/>
      <w:r>
        <w:rPr>
          <w:color w:val="000000"/>
          <w:spacing w:val="0"/>
          <w:w w:val="100"/>
          <w:position w:val="0"/>
        </w:rPr>
        <w:t>三）</w:t>
        <w:tab/>
        <w:t>报告期内公开披露过的所有公司文件的正本及公告的原稿。</w:t>
      </w:r>
      <w:r>
        <w:br w:type="page"/>
      </w:r>
    </w:p>
    <w:p>
      <w:pPr>
        <w:pStyle w:val="Style15"/>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1992"/>
        <w:gridCol w:w="566"/>
        <w:gridCol w:w="702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公司、本公司、上市公司、 惠程科技、深圳惠程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深圳市惠程信息科技股份有限公司，原名</w:t>
            </w:r>
            <w:r>
              <w:rPr>
                <w:color w:val="000000"/>
                <w:spacing w:val="0"/>
                <w:w w:val="100"/>
                <w:position w:val="0"/>
              </w:rPr>
              <w:t>"</w:t>
            </w:r>
            <w:r>
              <w:rPr>
                <w:rFonts w:ascii="SimSun" w:eastAsia="SimSun" w:hAnsi="SimSun" w:cs="SimSun"/>
                <w:color w:val="000000"/>
                <w:spacing w:val="0"/>
                <w:w w:val="100"/>
                <w:position w:val="0"/>
              </w:rPr>
              <w:t>深圳市惠程电气股份有限公司</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重庆绿发资产经营管理有限公司，绿发城建的母公司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绿发城建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日起为本公司控股股东</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中驰惠程企业管理有限公司，原名中驰极速体育文化发展有限公司，截止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1 </w:t>
            </w:r>
            <w:r>
              <w:rPr>
                <w:rFonts w:ascii="SimSun" w:eastAsia="SimSun" w:hAnsi="SimSun" w:cs="SimSun"/>
                <w:color w:val="000000"/>
                <w:spacing w:val="0"/>
                <w:w w:val="100"/>
                <w:position w:val="0"/>
              </w:rPr>
              <w:t>日为本公司控股股东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中源信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共青城中源信投资管理合伙企业（有限合伙），中驰惠程一致行动人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北京信中利投资股份有限公司，中驰惠程原控股股东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重庆信发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重庆信发企业管理咨询有限公司，中驰惠程现控股股东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深圳市惠程信息科技股份有限公司董事会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深圳市惠程信息科技股份有限公司监事会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重庆惠程未来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重庆惠程未来智能电气有限公司，本公司全资子公司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惠程智能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深圳市惠程智能电力设备有限公司，原名深圳市惠程高能能源科技有限公司，本公司全资 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北京中汇联银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中汇联银投资管理（北京）有限公司，本公司全资子公司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喀什中汇联银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喀什中汇联银创业投资有限公司，本公司全资子公司</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链接世界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链接世界株式会社，本公司在日本所设的全资子公司，截至报告期末已不再纳入公司合并 报表范围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中汇联鑫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中汇联鑫股权投资管理（深圳）合伙企业（有限合伙），本公司与子公司喀什中汇联银共 同投资设立的合伙企业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成都哆可梦网络科技有限公司，本公司持股</w:t>
            </w:r>
            <w:r>
              <w:rPr>
                <w:color w:val="000000"/>
                <w:spacing w:val="0"/>
                <w:w w:val="100"/>
                <w:position w:val="0"/>
              </w:rPr>
              <w:t>77.57%</w:t>
            </w:r>
            <w:r>
              <w:rPr>
                <w:rFonts w:ascii="SimSun" w:eastAsia="SimSun" w:hAnsi="SimSun" w:cs="SimSun"/>
                <w:color w:val="000000"/>
                <w:spacing w:val="0"/>
                <w:w w:val="100"/>
                <w:position w:val="0"/>
              </w:rPr>
              <w:t>的控股子公司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中汇同盈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北京中汇同盈咨询服务有限公司，曾用名北京思泰德酒店管理有限公司、北京鼎同源科技 有限公司，北京中汇联银全资子公司，本公司间接控股子公司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吉乾科技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成都吉乾科技有限公司，哆可梦全资子公司，本公司间接控股子公司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上海旭梅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上海旭梅网络科技有限公司，哆可梦全资子公司，本公司间接控股子公司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重庆合盛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重庆合盛网络科技有限公司，哆可梦全资子公司，本公司间接控股子公司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938" w:val="left"/>
                <w:tab w:pos="5098" w:val="left"/>
              </w:tabs>
              <w:bidi w:val="0"/>
              <w:spacing w:before="0" w:after="0" w:line="240" w:lineRule="auto"/>
              <w:ind w:left="0" w:right="0" w:firstLine="0"/>
              <w:jc w:val="left"/>
            </w:pPr>
            <w:r>
              <w:rPr>
                <w:rFonts w:ascii="SimSun" w:eastAsia="SimSun" w:hAnsi="SimSun" w:cs="SimSun"/>
                <w:color w:val="000000"/>
                <w:spacing w:val="0"/>
                <w:w w:val="100"/>
                <w:position w:val="0"/>
              </w:rPr>
              <w:t>惠程科技</w:t>
              <w:tab/>
              <w:t>股票代码</w:t>
              <w:tab/>
            </w:r>
            <w:r>
              <w:rPr>
                <w:color w:val="000000"/>
                <w:spacing w:val="0"/>
                <w:w w:val="100"/>
                <w:position w:val="0"/>
              </w:rPr>
              <w:t>002168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深圳市惠程信息科技股份有限公司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惠程科技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Hifuture Information Technology Co., 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Hifuture Technology</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深圳市坪山新区大工业区兰景路以东、锦绣路以南惠程科技工业厂区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518118</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日，公司注册地址由</w:t>
            </w:r>
            <w:r>
              <w:rPr>
                <w:color w:val="000000"/>
                <w:spacing w:val="0"/>
                <w:w w:val="100"/>
                <w:position w:val="0"/>
              </w:rPr>
              <w:t>“</w:t>
            </w:r>
            <w:r>
              <w:rPr>
                <w:rFonts w:ascii="SimSun" w:eastAsia="SimSun" w:hAnsi="SimSun" w:cs="SimSun"/>
                <w:color w:val="000000"/>
                <w:spacing w:val="0"/>
                <w:w w:val="100"/>
                <w:position w:val="0"/>
              </w:rPr>
              <w:t>深圳市南山区南油工业区</w:t>
            </w:r>
            <w:r>
              <w:rPr>
                <w:color w:val="000000"/>
                <w:spacing w:val="0"/>
                <w:w w:val="100"/>
                <w:position w:val="0"/>
              </w:rPr>
              <w:t>110</w:t>
            </w:r>
            <w:r>
              <w:rPr>
                <w:rFonts w:ascii="SimSun" w:eastAsia="SimSun" w:hAnsi="SimSun" w:cs="SimSun"/>
                <w:color w:val="000000"/>
                <w:spacing w:val="0"/>
                <w:w w:val="100"/>
                <w:position w:val="0"/>
              </w:rPr>
              <w:t>栋</w:t>
            </w:r>
            <w:r>
              <w:rPr>
                <w:color w:val="000000"/>
                <w:spacing w:val="0"/>
                <w:w w:val="100"/>
                <w:position w:val="0"/>
              </w:rPr>
              <w:t>A</w:t>
            </w:r>
            <w:r>
              <w:rPr>
                <w:rFonts w:ascii="SimSun" w:eastAsia="SimSun" w:hAnsi="SimSun" w:cs="SimSun"/>
                <w:color w:val="000000"/>
                <w:spacing w:val="0"/>
                <w:w w:val="100"/>
                <w:position w:val="0"/>
              </w:rPr>
              <w:t>座首层</w:t>
            </w:r>
            <w:r>
              <w:rPr>
                <w:color w:val="000000"/>
                <w:spacing w:val="0"/>
                <w:w w:val="100"/>
                <w:position w:val="0"/>
              </w:rPr>
              <w:t>”</w:t>
            </w:r>
            <w:r>
              <w:rPr>
                <w:rFonts w:ascii="SimSun" w:eastAsia="SimSun" w:hAnsi="SimSun" w:cs="SimSun"/>
                <w:color w:val="000000"/>
                <w:spacing w:val="0"/>
                <w:w w:val="100"/>
                <w:position w:val="0"/>
              </w:rPr>
              <w:t>变更为</w:t>
            </w:r>
            <w:r>
              <w:rPr>
                <w:color w:val="000000"/>
                <w:spacing w:val="0"/>
                <w:w w:val="100"/>
                <w:position w:val="0"/>
              </w:rPr>
              <w:t>“</w:t>
            </w:r>
            <w:r>
              <w:rPr>
                <w:rFonts w:ascii="SimSun" w:eastAsia="SimSun" w:hAnsi="SimSun" w:cs="SimSun"/>
                <w:color w:val="000000"/>
                <w:spacing w:val="0"/>
                <w:w w:val="100"/>
                <w:position w:val="0"/>
              </w:rPr>
              <w:t>深 圳市龙岗区大工业区兰景路以东、锦绣路以南惠程科技工业厂区</w:t>
            </w:r>
            <w:r>
              <w:rPr>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日，公司注册地址由</w:t>
            </w:r>
            <w:r>
              <w:rPr>
                <w:color w:val="000000"/>
                <w:spacing w:val="0"/>
                <w:w w:val="100"/>
                <w:position w:val="0"/>
              </w:rPr>
              <w:t>“</w:t>
            </w:r>
            <w:r>
              <w:rPr>
                <w:rFonts w:ascii="SimSun" w:eastAsia="SimSun" w:hAnsi="SimSun" w:cs="SimSun"/>
                <w:color w:val="000000"/>
                <w:spacing w:val="0"/>
                <w:w w:val="100"/>
                <w:position w:val="0"/>
              </w:rPr>
              <w:t>深圳市龙岗区大工业区兰景路以东、锦绣路以南惠程科 技工业厂区</w:t>
            </w:r>
            <w:r>
              <w:rPr>
                <w:color w:val="000000"/>
                <w:spacing w:val="0"/>
                <w:w w:val="100"/>
                <w:position w:val="0"/>
              </w:rPr>
              <w:t>”</w:t>
            </w:r>
            <w:r>
              <w:rPr>
                <w:rFonts w:ascii="SimSun" w:eastAsia="SimSun" w:hAnsi="SimSun" w:cs="SimSun"/>
                <w:color w:val="000000"/>
                <w:spacing w:val="0"/>
                <w:w w:val="100"/>
                <w:position w:val="0"/>
              </w:rPr>
              <w:t>变更为</w:t>
            </w:r>
            <w:r>
              <w:rPr>
                <w:color w:val="000000"/>
                <w:spacing w:val="0"/>
                <w:w w:val="100"/>
                <w:position w:val="0"/>
              </w:rPr>
              <w:t>“</w:t>
            </w:r>
            <w:r>
              <w:rPr>
                <w:rFonts w:ascii="SimSun" w:eastAsia="SimSun" w:hAnsi="SimSun" w:cs="SimSun"/>
                <w:color w:val="000000"/>
                <w:spacing w:val="0"/>
                <w:w w:val="100"/>
                <w:position w:val="0"/>
              </w:rPr>
              <w:t>深圳市坪山新区大工业区兰景路以东、锦绣路以南惠程科技工业厂区</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深圳市坪山新区大工业区兰景路以东、锦绣路以南惠程科技工业厂区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"http://www.hifuture" </w:instrText>
            </w:r>
            <w:r>
              <w:fldChar w:fldCharType="separate"/>
            </w:r>
            <w:r>
              <w:rPr>
                <w:color w:val="000000"/>
                <w:spacing w:val="0"/>
                <w:w w:val="100"/>
                <w:position w:val="0"/>
              </w:rPr>
              <w:t>www.hifuture</w:t>
            </w:r>
            <w:r>
              <w:fldChar w:fldCharType="end"/>
            </w:r>
            <w:r>
              <w:rPr>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szhc @hifuture .com</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刘维</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深圳市坪山新区大工业区兰景路以东、 锦绣路以南惠程科技工业厂区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深圳市坪山新区大工业区兰景路以东、 锦绣路以南惠程科技工业厂区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0755-82767767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0755-82767767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0755-82760319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0755-82760319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furufeng @</w:t>
            </w:r>
            <w:r>
              <w:rPr>
                <w:color w:val="000000"/>
                <w:spacing w:val="0"/>
                <w:w w:val="100"/>
                <w:position w:val="0"/>
              </w:rPr>
              <w:t>hifuture.com</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liuwei@hifuture .com</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r>
              <w:rPr>
                <w:color w:val="000000"/>
                <w:spacing w:val="0"/>
                <w:w w:val="100"/>
                <w:position w:val="0"/>
              </w:rPr>
              <w:t>http://www.szse.cn</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《中国证券报》《证券时报》《上海证券报》《证券日报》、巨潮资讯网</w:t>
            </w:r>
          </w:p>
        </w:tc>
      </w:tr>
    </w:tbl>
    <w:p>
      <w:pPr>
        <w:spacing w:lineRule="exact" w:line="1"/>
        <w:rPr>
          <w:sz w:val="2"/>
          <w:szCs w:val="2"/>
        </w:rPr>
      </w:pPr>
      <w:r>
        <w:br w:type="page"/>
      </w:r>
    </w:p>
    <w:tbl>
      <w:tblPr>
        <w:tblOverlap w:val="never"/>
        <w:jc w:val="center"/>
        <w:tblLayout w:type="fixed"/>
      </w:tblPr>
      <w:tblGrid>
        <w:gridCol w:w="3998"/>
        <w:gridCol w:w="55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"http://www.cnicfo.com.cn" </w:instrText>
            </w:r>
            <w:r>
              <w:fldChar w:fldCharType="separate"/>
            </w:r>
            <w:r>
              <w:rPr>
                <w:color w:val="000000"/>
                <w:spacing w:val="0"/>
                <w:w w:val="100"/>
                <w:position w:val="0"/>
              </w:rPr>
              <w:t>http://www.cnicfo.com.cn</w:t>
            </w:r>
            <w:r>
              <w:fldChar w:fldCharType="end"/>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公司证券部办公室</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1709"/>
        <w:gridCol w:w="787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914403007152119019</w:t>
            </w:r>
          </w:p>
        </w:tc>
      </w:tr>
      <w:tr>
        <w:trPr>
          <w:trHeight w:val="66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公司上市以来主营业</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务的变化情况（如有）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19" w:lineRule="exact"/>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日，公司经营范围为</w:t>
            </w:r>
            <w:r>
              <w:rPr>
                <w:color w:val="000000"/>
                <w:spacing w:val="0"/>
                <w:w w:val="100"/>
                <w:position w:val="0"/>
              </w:rPr>
              <w:t>“</w:t>
            </w:r>
            <w:r>
              <w:rPr>
                <w:rFonts w:ascii="SimSun" w:eastAsia="SimSun" w:hAnsi="SimSun" w:cs="SimSun"/>
                <w:color w:val="000000"/>
                <w:spacing w:val="0"/>
                <w:w w:val="100"/>
                <w:position w:val="0"/>
              </w:rPr>
              <w:t>电缆分支箱、环网柜等相关电力配网设备、电力电缆附件等高 分子绝缘材料及相关制品的生产；高分子绝缘材料，电工器材的购销；经营进口业务；自有产品的 售后服务</w:t>
            </w:r>
            <w:r>
              <w:rPr>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100" w:line="319"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日，公司经营范围增加</w:t>
            </w:r>
            <w:r>
              <w:rPr>
                <w:color w:val="000000"/>
                <w:spacing w:val="0"/>
                <w:w w:val="100"/>
                <w:position w:val="0"/>
              </w:rPr>
              <w:t>“</w:t>
            </w:r>
            <w:r>
              <w:rPr>
                <w:rFonts w:ascii="SimSun" w:eastAsia="SimSun" w:hAnsi="SimSun" w:cs="SimSun"/>
                <w:color w:val="000000"/>
                <w:spacing w:val="0"/>
                <w:w w:val="100"/>
                <w:position w:val="0"/>
              </w:rPr>
              <w:t>高低压电器、高低压成套开关设备、箱式变电站、电力自动 化产品、跌落式熔断器、柱上开关、柱上断路器、管母线等相关电力配网设备的生产、销售及施工 服务；聚酰亚胺纤维、纳米纤维、薄膜、树脂及复合材料的综合研究开发及相关材料购销</w:t>
            </w:r>
            <w:r>
              <w:rPr>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40" w:line="254"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日，公司经营范围增加</w:t>
            </w:r>
            <w:r>
              <w:rPr>
                <w:color w:val="000000"/>
                <w:spacing w:val="0"/>
                <w:w w:val="100"/>
                <w:position w:val="0"/>
              </w:rPr>
              <w:t>“</w:t>
            </w:r>
            <w:r>
              <w:rPr>
                <w:rFonts w:ascii="SimSun" w:eastAsia="SimSun" w:hAnsi="SimSun" w:cs="SimSun"/>
                <w:color w:val="000000"/>
                <w:spacing w:val="0"/>
                <w:w w:val="100"/>
                <w:position w:val="0"/>
              </w:rPr>
              <w:t>股权投资、资产管理、投资咨询；物业投资、物业经营、物业 管理，，；</w:t>
            </w:r>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日，公司经营范围增加</w:t>
            </w:r>
            <w:r>
              <w:rPr>
                <w:color w:val="000000"/>
                <w:spacing w:val="0"/>
                <w:w w:val="100"/>
                <w:position w:val="0"/>
              </w:rPr>
              <w:t>“</w:t>
            </w:r>
            <w:r>
              <w:rPr>
                <w:rFonts w:ascii="SimSun" w:eastAsia="SimSun" w:hAnsi="SimSun" w:cs="SimSun"/>
                <w:color w:val="000000"/>
                <w:spacing w:val="0"/>
                <w:w w:val="100"/>
                <w:position w:val="0"/>
              </w:rPr>
              <w:t>智能配电、新能源汽车充电桩产业链、工业自动化及控制、 信息与安防监控系统、智能二次设备、电力网络信息安全系统技术开发、产品研制及工程集成；电 网与工控安全，'；</w:t>
            </w:r>
          </w:p>
          <w:p>
            <w:pPr>
              <w:pStyle w:val="Style25"/>
              <w:keepNext w:val="0"/>
              <w:keepLines w:val="0"/>
              <w:widowControl w:val="0"/>
              <w:shd w:val="clear" w:color="auto" w:fill="auto"/>
              <w:bidi w:val="0"/>
              <w:spacing w:before="0" w:after="40" w:line="319"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日，公司经营范围增加</w:t>
            </w:r>
            <w:r>
              <w:rPr>
                <w:color w:val="000000"/>
                <w:spacing w:val="0"/>
                <w:w w:val="100"/>
                <w:position w:val="0"/>
              </w:rPr>
              <w:t>“</w:t>
            </w:r>
            <w:r>
              <w:rPr>
                <w:rFonts w:ascii="SimSun" w:eastAsia="SimSun" w:hAnsi="SimSun" w:cs="SimSun"/>
                <w:color w:val="000000"/>
                <w:spacing w:val="0"/>
                <w:w w:val="100"/>
                <w:position w:val="0"/>
              </w:rPr>
              <w:t>电动汽车充电设备设计研发、生产、销售；新能源汽车充电 设施运营；新能源汽车充换电站规划设计、建设；离网、并网光伏电站的建设和运营；储能系统设 备研发制造及运营；动力电池回收；汽车租赁（不含金融租赁）；有形动产设备租赁服务，'；</w:t>
            </w:r>
          </w:p>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日，公司完成现金收购哆可梦</w:t>
            </w:r>
            <w:r>
              <w:rPr>
                <w:color w:val="000000"/>
                <w:spacing w:val="0"/>
                <w:w w:val="100"/>
                <w:position w:val="0"/>
              </w:rPr>
              <w:t>77.57%</w:t>
            </w:r>
            <w:r>
              <w:rPr>
                <w:rFonts w:ascii="SimSun" w:eastAsia="SimSun" w:hAnsi="SimSun" w:cs="SimSun"/>
                <w:color w:val="000000"/>
                <w:spacing w:val="0"/>
                <w:w w:val="100"/>
                <w:position w:val="0"/>
              </w:rPr>
              <w:t>股权，哆可梦成为公司控股子公司，哆可梦主 要从事基于大数据精细化营销的流量经营业务和移动游戏的研发、发行及游戏平台的运营业务，公 司增加互联网文化娱乐产业；</w:t>
            </w:r>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日，公司经营范围增加</w:t>
            </w:r>
            <w:r>
              <w:rPr>
                <w:color w:val="000000"/>
                <w:spacing w:val="0"/>
                <w:w w:val="100"/>
                <w:position w:val="0"/>
              </w:rPr>
              <w:t>“</w:t>
            </w:r>
            <w:r>
              <w:rPr>
                <w:rFonts w:ascii="SimSun" w:eastAsia="SimSun" w:hAnsi="SimSun" w:cs="SimSun"/>
                <w:color w:val="000000"/>
                <w:spacing w:val="0"/>
                <w:w w:val="100"/>
                <w:position w:val="0"/>
              </w:rPr>
              <w:t>智能设备及软件、机器人及零部件、机器人系统、机器人应 用技术、软件产品、无人驾驶物流车整体技术、中低速无人驾驶系统、无人驾驶物流车的研发、设 计、生产、销售、咨询及服务</w:t>
            </w:r>
            <w:r>
              <w:rPr>
                <w:color w:val="000000"/>
                <w:spacing w:val="0"/>
                <w:w w:val="100"/>
                <w:position w:val="0"/>
              </w:rPr>
              <w:t>”</w:t>
            </w:r>
            <w:r>
              <w:rPr>
                <w:rFonts w:ascii="SimSun" w:eastAsia="SimSun" w:hAnsi="SimSun" w:cs="SimSun"/>
                <w:color w:val="000000"/>
                <w:spacing w:val="0"/>
                <w:w w:val="100"/>
                <w:position w:val="0"/>
              </w:rPr>
              <w:t>。</w:t>
            </w:r>
          </w:p>
        </w:tc>
      </w:tr>
      <w:tr>
        <w:trPr>
          <w:trHeight w:val="181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历次控股股东的变更</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1999</w:t>
            </w:r>
            <w:r>
              <w:rPr>
                <w:rFonts w:ascii="SimSun" w:eastAsia="SimSun" w:hAnsi="SimSun" w:cs="SimSun"/>
                <w:color w:val="000000"/>
                <w:spacing w:val="0"/>
                <w:w w:val="100"/>
                <w:position w:val="0"/>
              </w:rPr>
              <w:t>年至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日，公司控股股东兼实际控制人为吕晓义、何平、任金生；</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日，公司控股股东兼实际控制人为何平、任金生；</w:t>
            </w:r>
          </w:p>
          <w:p>
            <w:pPr>
              <w:pStyle w:val="Style25"/>
              <w:keepNext w:val="0"/>
              <w:keepLines w:val="0"/>
              <w:widowControl w:val="0"/>
              <w:shd w:val="clear" w:color="auto" w:fill="auto"/>
              <w:bidi w:val="0"/>
              <w:spacing w:before="0" w:after="60" w:line="32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日，公司控股股东为中驰惠程，实际控制人为汪超涌、李亦非。</w:t>
            </w:r>
          </w:p>
          <w:p>
            <w:pPr>
              <w:pStyle w:val="Style25"/>
              <w:keepNext w:val="0"/>
              <w:keepLines w:val="0"/>
              <w:widowControl w:val="0"/>
              <w:shd w:val="clear" w:color="auto" w:fill="auto"/>
              <w:bidi w:val="0"/>
              <w:spacing w:before="0" w:after="4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日至今，公司控股股东为重庆绿发城市建设有限公司，实际控制人为重庆市璧山区财 政局。</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北京市海淀区知春路</w:t>
            </w:r>
            <w:r>
              <w:rPr>
                <w:color w:val="000000"/>
                <w:spacing w:val="0"/>
                <w:w w:val="100"/>
                <w:position w:val="0"/>
              </w:rPr>
              <w:t>1</w:t>
            </w:r>
            <w:r>
              <w:rPr>
                <w:rFonts w:ascii="SimSun" w:eastAsia="SimSun" w:hAnsi="SimSun" w:cs="SimSun"/>
                <w:color w:val="000000"/>
                <w:spacing w:val="0"/>
                <w:w w:val="100"/>
                <w:position w:val="0"/>
              </w:rPr>
              <w:t>号学院国际大厦</w:t>
            </w:r>
            <w:r>
              <w:rPr>
                <w:color w:val="000000"/>
                <w:spacing w:val="0"/>
                <w:w w:val="100"/>
                <w:position w:val="0"/>
              </w:rPr>
              <w:t>1504</w:t>
            </w:r>
            <w:r>
              <w:rPr>
                <w:rFonts w:ascii="SimSun" w:eastAsia="SimSun" w:hAnsi="SimSun" w:cs="SimSun"/>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蔡瑜、李敏</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追溯调整或重述原因</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会计差错更正</w:t>
      </w:r>
    </w:p>
    <w:tbl>
      <w:tblPr>
        <w:tblOverlap w:val="never"/>
        <w:jc w:val="center"/>
        <w:tblLayout w:type="fixed"/>
      </w:tblPr>
      <w:tblGrid>
        <w:gridCol w:w="1853"/>
        <w:gridCol w:w="1277"/>
        <w:gridCol w:w="1416"/>
        <w:gridCol w:w="1426"/>
        <w:gridCol w:w="701"/>
        <w:gridCol w:w="1416"/>
        <w:gridCol w:w="1498"/>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本年比</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上年增</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329,906,421.16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785,008,872.15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785,008,872.15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1,092,321,442.57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1,092,321,442.57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归属于上市公司股东 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-222,854,589.79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-960,414,682.28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-182,880,362.46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134,997,926.83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-1,185,053,360.29</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 的扣除非经常性损益 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-205,541,347.93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-961,738,214.48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-184,203,894.66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137,568,478.64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-1,182,482,808.48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经营活动产生的现金</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207,763,903.54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126,934,949.45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126,934,949.45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-378,042,882.90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-378,042,882.90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加权平均净资产收益 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本年末 比上年 末增减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955,708,227.70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2,005,449,774.32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1,475,202,934.42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3,661,620,391.08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2,335,802,682.93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 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103,276,477.86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829,526,471.31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355,404,100.34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1,923,429,539.99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576,942,849.20</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会计政策变更的原因及会计差错更正的情况</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参见本报告</w:t>
      </w:r>
      <w:r>
        <w:rPr>
          <w:rFonts w:ascii="Times New Roman" w:eastAsia="Times New Roman" w:hAnsi="Times New Roman" w:cs="Times New Roman"/>
          <w:color w:val="000000"/>
          <w:spacing w:val="0"/>
          <w:w w:val="100"/>
          <w:position w:val="0"/>
        </w:rPr>
        <w:t>“</w:t>
      </w:r>
      <w:r>
        <w:rPr>
          <w:color w:val="000000"/>
          <w:spacing w:val="0"/>
          <w:w w:val="100"/>
          <w:position w:val="0"/>
        </w:rPr>
        <w:t>第六节重要事项</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六与上年度财务报告相比，会计政策、会计估计变更或重大会计差错更正的情况说明</w:t>
      </w:r>
      <w:r>
        <w:rPr>
          <w:rFonts w:ascii="Times New Roman" w:eastAsia="Times New Roman" w:hAnsi="Times New Roman" w:cs="Times New Roman"/>
          <w:color w:val="000000"/>
          <w:spacing w:val="0"/>
          <w:w w:val="100"/>
          <w:position w:val="0"/>
        </w:rPr>
        <w:t xml:space="preserve">” </w:t>
      </w:r>
      <w:r>
        <w:rPr>
          <w:color w:val="000000"/>
          <w:spacing w:val="0"/>
          <w:w w:val="100"/>
          <w:position w:val="0"/>
        </w:rPr>
        <w:t>相关说明。</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r>
        <w:br w:type="page"/>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329,906,421.16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785,008,872.15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10,489,613.80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323,289,635.29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774,519,258.35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28"/>
        <w:keepNext/>
        <w:keepLines/>
        <w:widowControl w:val="0"/>
        <w:shd w:val="clear" w:color="auto" w:fill="auto"/>
        <w:tabs>
          <w:tab w:pos="522"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4"/>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421"/>
        <w:gridCol w:w="1416"/>
        <w:gridCol w:w="1277"/>
        <w:gridCol w:w="135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73,955,049.26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80,460,550.19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82,587,060.90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92,903,760.81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-33,250,076.10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-36,464,286.85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-59,416,744.80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-93,723,482.04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-34,009,264.41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-36,032,806.32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-61,156,634.57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-74,342,642.63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277,625,793.25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-103,340,245.93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-11,183,735.91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44,662,092.13</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272"/>
        <w:gridCol w:w="1277"/>
        <w:gridCol w:w="1416"/>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1,670,872.93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-155,172.32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-311,125.50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主要系报告期内处置部分 固定资产所致</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计入当期损益的政府补助（与公司正常经营 业务密切相关，符合国家政策规定、按照一 定标准定额或定量持续享受的政府补助除 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6,893,231.85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13,588,816.13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6,229,569.68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主要系符合地方政府招商 引资等地方性扶持政策而 获得的补助、增值税进项税 加计扣除及个税返还所致</w:t>
            </w:r>
          </w:p>
        </w:tc>
      </w:tr>
    </w:tbl>
    <w:p>
      <w:pPr>
        <w:spacing w:lineRule="exact" w:line="1"/>
        <w:rPr>
          <w:sz w:val="2"/>
          <w:szCs w:val="2"/>
        </w:rPr>
      </w:pPr>
      <w:r>
        <w:br w:type="page"/>
      </w:r>
    </w:p>
    <w:tbl>
      <w:tblPr>
        <w:tblOverlap w:val="never"/>
        <w:jc w:val="center"/>
        <w:tblLayout w:type="fixed"/>
      </w:tblPr>
      <w:tblGrid>
        <w:gridCol w:w="3413"/>
        <w:gridCol w:w="1272"/>
        <w:gridCol w:w="1277"/>
        <w:gridCol w:w="1416"/>
        <w:gridCol w:w="220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-26,083,600.00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-11,571,380.61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主要系报告期内公司所持 投资性房地产估值降低所 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-6,261,757.72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468,940.70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2,307,762.36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-6,359,495.76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-3,101,862.45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2,401,125.61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-17,313,241.86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1,323,532.20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-2,570,551.81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58"/>
        <w:gridCol w:w="1838"/>
        <w:gridCol w:w="51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北京中汇联银、中汇联鑫、喀什 中汇联银的股权投资收益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-2,021,259.42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北京中汇联银、中汇联鑫、喀什中汇联银作为公司设立的专门投 资业务平台，主要从事投资类业务，证券、股权、理财投资系三 家子公司经常性发生的业务，具有持续性；符合经常性损益与主 营业务相关且持续稳定的特性。</w:t>
            </w:r>
          </w:p>
        </w:tc>
      </w:tr>
    </w:tbl>
    <w:p>
      <w:pPr>
        <w:sectPr>
          <w:footnotePr>
            <w:pos w:val="pageBottom"/>
            <w:numFmt w:val="decimal"/>
            <w:numRestart w:val="continuous"/>
          </w:footnotePr>
          <w:pgSz w:w="11900" w:h="16840"/>
          <w:pgMar w:top="1441" w:right="1136" w:bottom="1451" w:left="1086" w:header="0" w:footer="3" w:gutter="0"/>
          <w:cols w:space="720"/>
          <w:noEndnote/>
          <w:rtlGutter w:val="0"/>
          <w:docGrid w:linePitch="360"/>
        </w:sectPr>
      </w:pPr>
    </w:p>
    <w:p>
      <w:pPr>
        <w:pStyle w:val="Style15"/>
        <w:keepNext/>
        <w:keepLines/>
        <w:widowControl w:val="0"/>
        <w:shd w:val="clear" w:color="auto" w:fill="auto"/>
        <w:bidi w:val="0"/>
        <w:spacing w:before="520" w:after="540" w:line="240" w:lineRule="auto"/>
        <w:ind w:left="0" w:right="0" w:firstLine="0"/>
        <w:jc w:val="center"/>
      </w:pPr>
      <w:bookmarkStart w:id="67" w:name="bookmark67"/>
      <w:bookmarkStart w:id="68" w:name="bookmark68"/>
      <w:bookmarkStart w:id="69" w:name="bookmark69"/>
      <w:r>
        <w:rPr>
          <w:color w:val="000000"/>
          <w:spacing w:val="0"/>
          <w:w w:val="100"/>
          <w:position w:val="0"/>
        </w:rPr>
        <w:t>第三节管理层讨论与分析</w:t>
      </w:r>
      <w:bookmarkEnd w:id="67"/>
      <w:bookmarkEnd w:id="68"/>
      <w:bookmarkEnd w:id="69"/>
    </w:p>
    <w:p>
      <w:pPr>
        <w:pStyle w:val="Style28"/>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、报告期内公司所处的行业情况</w:t>
      </w:r>
      <w:bookmarkEnd w:id="71"/>
      <w:bookmarkEnd w:id="72"/>
      <w:bookmarkEnd w:id="74"/>
      <w:bookmarkEnd w:id="70"/>
    </w:p>
    <w:p>
      <w:pPr>
        <w:pStyle w:val="Style23"/>
        <w:keepNext w:val="0"/>
        <w:keepLines w:val="0"/>
        <w:widowControl w:val="0"/>
        <w:shd w:val="clear" w:color="auto" w:fill="auto"/>
        <w:bidi w:val="0"/>
        <w:spacing w:before="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报告期内公司所属行业均不具有明显周期性特点。</w:t>
      </w:r>
    </w:p>
    <w:p>
      <w:pPr>
        <w:pStyle w:val="Style23"/>
        <w:keepNext w:val="0"/>
        <w:keepLines w:val="0"/>
        <w:widowControl w:val="0"/>
        <w:shd w:val="clear" w:color="auto" w:fill="auto"/>
        <w:bidi w:val="0"/>
        <w:spacing w:before="0" w:line="314" w:lineRule="exact"/>
        <w:ind w:left="0" w:right="0"/>
        <w:jc w:val="both"/>
      </w:pPr>
      <w:r>
        <w:rPr>
          <w:b/>
          <w:bCs/>
          <w:color w:val="000000"/>
          <w:spacing w:val="0"/>
          <w:w w:val="100"/>
          <w:position w:val="0"/>
        </w:rPr>
        <w:t>互联网游戏行业：</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报告期内，国内移动游戏行业正从高增速发展转向高质量发展阶段。首先，根据中国音数协游戏工委与中国游戏产业研 究院发布的《</w:t>
      </w:r>
      <w:r>
        <w:rPr>
          <w:rFonts w:ascii="Times New Roman" w:eastAsia="Times New Roman" w:hAnsi="Times New Roman" w:cs="Times New Roman"/>
          <w:color w:val="000000"/>
          <w:spacing w:val="0"/>
          <w:w w:val="100"/>
          <w:position w:val="0"/>
        </w:rPr>
        <w:t>2021</w:t>
      </w:r>
      <w:r>
        <w:rPr>
          <w:color w:val="000000"/>
          <w:spacing w:val="0"/>
          <w:w w:val="100"/>
          <w:position w:val="0"/>
        </w:rPr>
        <w:t>年中国游戏产业报告》显示，</w:t>
      </w:r>
      <w:r>
        <w:rPr>
          <w:rFonts w:ascii="Times New Roman" w:eastAsia="Times New Roman" w:hAnsi="Times New Roman" w:cs="Times New Roman"/>
          <w:color w:val="000000"/>
          <w:spacing w:val="0"/>
          <w:w w:val="100"/>
          <w:position w:val="0"/>
        </w:rPr>
        <w:t>2021</w:t>
      </w:r>
      <w:r>
        <w:rPr>
          <w:color w:val="000000"/>
          <w:spacing w:val="0"/>
          <w:w w:val="100"/>
          <w:position w:val="0"/>
        </w:rPr>
        <w:t>年中国移动游戏市场实际销售收入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,255.38</w:t>
      </w:r>
      <w:r>
        <w:rPr>
          <w:color w:val="000000"/>
          <w:spacing w:val="0"/>
          <w:w w:val="100"/>
          <w:position w:val="0"/>
        </w:rPr>
        <w:t>亿元，较去年增长</w:t>
      </w:r>
      <w:r>
        <w:rPr>
          <w:rFonts w:ascii="Times New Roman" w:eastAsia="Times New Roman" w:hAnsi="Times New Roman" w:cs="Times New Roman"/>
          <w:color w:val="000000"/>
          <w:spacing w:val="0"/>
          <w:w w:val="100"/>
          <w:position w:val="0"/>
        </w:rPr>
        <w:t>158.6</w:t>
      </w:r>
      <w:r>
        <w:rPr>
          <w:rFonts w:ascii="Times New Roman" w:eastAsia="Times New Roman" w:hAnsi="Times New Roman" w:cs="Times New Roman"/>
          <w:color w:val="000000"/>
          <w:spacing w:val="0"/>
          <w:w w:val="100"/>
          <w:position w:val="0"/>
        </w:rPr>
        <w:t>2</w:t>
      </w:r>
      <w:r>
        <w:rPr>
          <w:color w:val="000000"/>
          <w:spacing w:val="0"/>
          <w:w w:val="100"/>
          <w:position w:val="0"/>
        </w:rPr>
        <w:t>亿 元，同比增长</w:t>
      </w:r>
      <w:r>
        <w:rPr>
          <w:rFonts w:ascii="Times New Roman" w:eastAsia="Times New Roman" w:hAnsi="Times New Roman" w:cs="Times New Roman"/>
          <w:color w:val="000000"/>
          <w:spacing w:val="0"/>
          <w:w w:val="100"/>
          <w:position w:val="0"/>
        </w:rPr>
        <w:t>7.57%</w:t>
      </w:r>
      <w:r>
        <w:rPr>
          <w:color w:val="000000"/>
          <w:spacing w:val="0"/>
          <w:w w:val="100"/>
          <w:position w:val="0"/>
        </w:rPr>
        <w:t>，相比前几年的火爆已经呈现出明显</w:t>
      </w:r>
      <w:r>
        <w:rPr>
          <w:rFonts w:ascii="Times New Roman" w:eastAsia="Times New Roman" w:hAnsi="Times New Roman" w:cs="Times New Roman"/>
          <w:color w:val="000000"/>
          <w:spacing w:val="0"/>
          <w:w w:val="100"/>
          <w:position w:val="0"/>
        </w:rPr>
        <w:t>“</w:t>
      </w:r>
      <w:r>
        <w:rPr>
          <w:color w:val="000000"/>
          <w:spacing w:val="0"/>
          <w:w w:val="100"/>
          <w:position w:val="0"/>
        </w:rPr>
        <w:t>降温</w:t>
      </w:r>
      <w:r>
        <w:rPr>
          <w:rFonts w:ascii="Times New Roman" w:eastAsia="Times New Roman" w:hAnsi="Times New Roman" w:cs="Times New Roman"/>
          <w:color w:val="000000"/>
          <w:spacing w:val="0"/>
          <w:w w:val="100"/>
          <w:position w:val="0"/>
        </w:rPr>
        <w:t>”</w:t>
      </w:r>
      <w:r>
        <w:rPr>
          <w:color w:val="000000"/>
          <w:spacing w:val="0"/>
          <w:w w:val="100"/>
          <w:position w:val="0"/>
        </w:rPr>
        <w:t>态势。其次，游戏行业的持续性有效监管对企业健康发展提 出了更高的要求，国家级实名认证平台的正式启用以及行业标准体系的日趋完善，推动了未成年保护手段的持续升级，</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年获批游戏版号共</w:t>
      </w:r>
      <w:r>
        <w:rPr>
          <w:rFonts w:ascii="Times New Roman" w:eastAsia="Times New Roman" w:hAnsi="Times New Roman" w:cs="Times New Roman"/>
          <w:color w:val="000000"/>
          <w:spacing w:val="0"/>
          <w:w w:val="100"/>
          <w:position w:val="0"/>
        </w:rPr>
        <w:t>755</w:t>
      </w:r>
      <w:r>
        <w:rPr>
          <w:color w:val="000000"/>
          <w:spacing w:val="0"/>
          <w:w w:val="100"/>
          <w:position w:val="0"/>
        </w:rPr>
        <w:t>个，同比下降</w:t>
      </w:r>
      <w:r>
        <w:rPr>
          <w:rFonts w:ascii="Times New Roman" w:eastAsia="Times New Roman" w:hAnsi="Times New Roman" w:cs="Times New Roman"/>
          <w:color w:val="000000"/>
          <w:spacing w:val="0"/>
          <w:w w:val="100"/>
          <w:position w:val="0"/>
        </w:rPr>
        <w:t>46.2%</w:t>
      </w:r>
      <w:r>
        <w:rPr>
          <w:color w:val="000000"/>
          <w:spacing w:val="0"/>
          <w:w w:val="100"/>
          <w:position w:val="0"/>
        </w:rPr>
        <w:t>，中小游戏企业由于缺乏精品游戏，随着老游戏产品周期拉长，存在较大的经营 压力。从企业自身来看，游戏企业更加注重内部思想文化建设和社会形象塑造，守法合规意识和履行社会责任的意愿在持续 提升。自主原创游戏产品创新能力普遍增强，游戏产品类型将面向多元拓展，精品力作着眼于长线开发。此外，各地方文化 产业扶持政策也相继出台实施，为高品质游戏产品的研发推广拓宽了渠道。</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报告期内，公司游戏业务持续加强对未成年保护系统的升级，在游戏内树立正确的世界观、价值观，这些都将有助于在 行业竞争中占据优势。同时，鉴于买量成本逐年上升且暂无新爆款游戏上线，公司游戏业务结合实际情况减少了广告投放， 报告期内的收入主要来自于已上线的游戏。哆可梦未来会继续提升游戏自研实力以及积极开展与优秀外部研发商的合作，精 细打磨自身产品，向精品化、差异化转型升级。</w:t>
      </w:r>
    </w:p>
    <w:p>
      <w:pPr>
        <w:pStyle w:val="Style23"/>
        <w:keepNext w:val="0"/>
        <w:keepLines w:val="0"/>
        <w:widowControl w:val="0"/>
        <w:shd w:val="clear" w:color="auto" w:fill="auto"/>
        <w:bidi w:val="0"/>
        <w:spacing w:before="0" w:after="140" w:line="314" w:lineRule="exact"/>
        <w:ind w:left="0" w:right="0"/>
        <w:jc w:val="both"/>
      </w:pPr>
      <w:r>
        <w:rPr>
          <w:b/>
          <w:bCs/>
          <w:color w:val="000000"/>
          <w:spacing w:val="0"/>
          <w:w w:val="100"/>
          <w:position w:val="0"/>
        </w:rPr>
        <w:t>高端智能制造行业：</w:t>
      </w:r>
    </w:p>
    <w:p>
      <w:pPr>
        <w:pStyle w:val="Style23"/>
        <w:keepNext w:val="0"/>
        <w:keepLines w:val="0"/>
        <w:widowControl w:val="0"/>
        <w:numPr>
          <w:ilvl w:val="0"/>
          <w:numId w:val="1"/>
        </w:numPr>
        <w:shd w:val="clear" w:color="auto" w:fill="auto"/>
        <w:tabs>
          <w:tab w:pos="626" w:val="left"/>
        </w:tabs>
        <w:bidi w:val="0"/>
        <w:spacing w:before="0" w:after="0"/>
        <w:ind w:left="0" w:right="0"/>
        <w:jc w:val="both"/>
      </w:pPr>
      <w:bookmarkStart w:id="75" w:name="bookmark75"/>
      <w:bookmarkEnd w:id="75"/>
      <w:r>
        <w:rPr>
          <w:b/>
          <w:bCs/>
          <w:color w:val="000000"/>
          <w:spacing w:val="0"/>
          <w:w w:val="100"/>
          <w:position w:val="0"/>
        </w:rPr>
        <w:t>电气业务</w:t>
      </w:r>
    </w:p>
    <w:p>
      <w:pPr>
        <w:pStyle w:val="Style23"/>
        <w:keepNext w:val="0"/>
        <w:keepLines w:val="0"/>
        <w:widowControl w:val="0"/>
        <w:shd w:val="clear" w:color="auto" w:fill="auto"/>
        <w:bidi w:val="0"/>
        <w:spacing w:before="0" w:after="14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月国务院相继发布《关于完整准确全面贯彻新发展理念做好碳达峰碳中和工作的意见》和《</w:t>
      </w:r>
      <w:r>
        <w:rPr>
          <w:rFonts w:ascii="Times New Roman" w:eastAsia="Times New Roman" w:hAnsi="Times New Roman" w:cs="Times New Roman"/>
          <w:color w:val="000000"/>
          <w:spacing w:val="0"/>
          <w:w w:val="100"/>
          <w:position w:val="0"/>
        </w:rPr>
        <w:t>2030</w:t>
      </w:r>
      <w:r>
        <w:rPr>
          <w:color w:val="000000"/>
          <w:spacing w:val="0"/>
          <w:w w:val="100"/>
          <w:position w:val="0"/>
        </w:rPr>
        <w:t>年前碳 达峰行动方案》，明确提出加快建设以新能源为主体的新型电力系统，大力发展绿色低碳产业。推进电网体制改革，明确以 消纳可再生能源为主的增量配电网、微电网和分布式电源的市场主体地位。公司高端智能制造业务以电气业务为基础，加大 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智能成套产品的研发力度，继续借助</w:t>
      </w:r>
      <w:r>
        <w:rPr>
          <w:rFonts w:ascii="Times New Roman" w:eastAsia="Times New Roman" w:hAnsi="Times New Roman" w:cs="Times New Roman"/>
          <w:color w:val="000000"/>
          <w:spacing w:val="0"/>
          <w:w w:val="100"/>
          <w:position w:val="0"/>
        </w:rPr>
        <w:t>20</w:t>
      </w:r>
      <w:r>
        <w:rPr>
          <w:color w:val="000000"/>
          <w:spacing w:val="0"/>
          <w:w w:val="100"/>
          <w:position w:val="0"/>
        </w:rPr>
        <w:t>多年电气行业的深厚技术和客户资源，抓住电气设备智能化 和信息化的电力物联网创新发展机遇。在进一步丰富公司的核心产品类型的同时，提高公司产品的技术含量；并持续完善公 司的产品结构，实现市场竞争力的提升。</w:t>
      </w:r>
    </w:p>
    <w:p>
      <w:pPr>
        <w:pStyle w:val="Style23"/>
        <w:keepNext w:val="0"/>
        <w:keepLines w:val="0"/>
        <w:widowControl w:val="0"/>
        <w:numPr>
          <w:ilvl w:val="0"/>
          <w:numId w:val="1"/>
        </w:numPr>
        <w:shd w:val="clear" w:color="auto" w:fill="auto"/>
        <w:tabs>
          <w:tab w:pos="640" w:val="left"/>
        </w:tabs>
        <w:bidi w:val="0"/>
        <w:spacing w:before="0" w:after="0"/>
        <w:ind w:left="0" w:right="0"/>
        <w:jc w:val="both"/>
      </w:pPr>
      <w:bookmarkStart w:id="76" w:name="bookmark76"/>
      <w:bookmarkEnd w:id="76"/>
      <w:r>
        <w:rPr>
          <w:b/>
          <w:bCs/>
          <w:color w:val="000000"/>
          <w:spacing w:val="0"/>
          <w:w w:val="100"/>
          <w:position w:val="0"/>
        </w:rPr>
        <w:t>充电桩业务</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CPCA</w:t>
      </w:r>
      <w:r>
        <w:rPr>
          <w:color w:val="000000"/>
          <w:spacing w:val="0"/>
          <w:w w:val="100"/>
          <w:position w:val="0"/>
        </w:rPr>
        <w:t>乘联会（乘用车市场信息联席会）的数据显示，</w:t>
      </w:r>
      <w:r>
        <w:rPr>
          <w:rFonts w:ascii="Times New Roman" w:eastAsia="Times New Roman" w:hAnsi="Times New Roman" w:cs="Times New Roman"/>
          <w:color w:val="000000"/>
          <w:spacing w:val="0"/>
          <w:w w:val="100"/>
          <w:position w:val="0"/>
        </w:rPr>
        <w:t>2021</w:t>
      </w:r>
      <w:r>
        <w:rPr>
          <w:color w:val="000000"/>
          <w:spacing w:val="0"/>
          <w:w w:val="100"/>
          <w:position w:val="0"/>
        </w:rPr>
        <w:t>年，国内新能源乘用车零售量为</w:t>
      </w:r>
      <w:r>
        <w:rPr>
          <w:rFonts w:ascii="Times New Roman" w:eastAsia="Times New Roman" w:hAnsi="Times New Roman" w:cs="Times New Roman"/>
          <w:color w:val="000000"/>
          <w:spacing w:val="0"/>
          <w:w w:val="100"/>
          <w:position w:val="0"/>
        </w:rPr>
        <w:t>298.9</w:t>
      </w:r>
      <w:r>
        <w:rPr>
          <w:color w:val="000000"/>
          <w:spacing w:val="0"/>
          <w:w w:val="100"/>
          <w:position w:val="0"/>
        </w:rPr>
        <w:t xml:space="preserve">万辆，同比增长 </w:t>
      </w:r>
      <w:r>
        <w:rPr>
          <w:rFonts w:ascii="Times New Roman" w:eastAsia="Times New Roman" w:hAnsi="Times New Roman" w:cs="Times New Roman"/>
          <w:color w:val="000000"/>
          <w:spacing w:val="0"/>
          <w:w w:val="100"/>
          <w:position w:val="0"/>
        </w:rPr>
        <w:t>169.1%</w:t>
      </w:r>
      <w:r>
        <w:rPr>
          <w:color w:val="000000"/>
          <w:spacing w:val="0"/>
          <w:w w:val="100"/>
          <w:position w:val="0"/>
        </w:rPr>
        <w:t>，市场渗透率为</w:t>
      </w:r>
      <w:r>
        <w:rPr>
          <w:rFonts w:ascii="Times New Roman" w:eastAsia="Times New Roman" w:hAnsi="Times New Roman" w:cs="Times New Roman"/>
          <w:color w:val="000000"/>
          <w:spacing w:val="0"/>
          <w:w w:val="100"/>
          <w:position w:val="0"/>
        </w:rPr>
        <w:t>14.8%</w:t>
      </w:r>
      <w:r>
        <w:rPr>
          <w:color w:val="000000"/>
          <w:spacing w:val="0"/>
          <w:w w:val="100"/>
          <w:position w:val="0"/>
        </w:rPr>
        <w:t>，相比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5.8%</w:t>
      </w:r>
      <w:r>
        <w:rPr>
          <w:color w:val="000000"/>
          <w:spacing w:val="0"/>
          <w:w w:val="100"/>
          <w:position w:val="0"/>
        </w:rPr>
        <w:t>的渗透率提升明显。用户市场化选择证明了消费需求的变化，拉动车市加速 向新能源化转型。报告期内，随着国内新能源汽车销量的高速增长，国内电动充电基础设施建设也保持高速发展。根据中国 电动汽车充电基础设施促进联盟的统计数据，</w:t>
      </w:r>
      <w:r>
        <w:rPr>
          <w:rFonts w:ascii="Times New Roman" w:eastAsia="Times New Roman" w:hAnsi="Times New Roman" w:cs="Times New Roman"/>
          <w:color w:val="000000"/>
          <w:spacing w:val="0"/>
          <w:w w:val="100"/>
          <w:position w:val="0"/>
        </w:rPr>
        <w:t>2021</w:t>
      </w:r>
      <w:r>
        <w:rPr>
          <w:color w:val="000000"/>
          <w:spacing w:val="0"/>
          <w:w w:val="100"/>
          <w:position w:val="0"/>
        </w:rPr>
        <w:t>年，我国充电基础设施增量达</w:t>
      </w:r>
      <w:r>
        <w:rPr>
          <w:rFonts w:ascii="Times New Roman" w:eastAsia="Times New Roman" w:hAnsi="Times New Roman" w:cs="Times New Roman"/>
          <w:color w:val="000000"/>
          <w:spacing w:val="0"/>
          <w:w w:val="100"/>
          <w:position w:val="0"/>
        </w:rPr>
        <w:t>93.6</w:t>
      </w:r>
      <w:r>
        <w:rPr>
          <w:color w:val="000000"/>
          <w:spacing w:val="0"/>
          <w:w w:val="100"/>
          <w:position w:val="0"/>
        </w:rPr>
        <w:t>万台，同比增长</w:t>
      </w:r>
      <w:r>
        <w:rPr>
          <w:rFonts w:ascii="Times New Roman" w:eastAsia="Times New Roman" w:hAnsi="Times New Roman" w:cs="Times New Roman"/>
          <w:color w:val="000000"/>
          <w:spacing w:val="0"/>
          <w:w w:val="100"/>
          <w:position w:val="0"/>
        </w:rPr>
        <w:t>193</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其中公共充电桩 增量</w:t>
      </w:r>
      <w:r>
        <w:rPr>
          <w:rFonts w:ascii="Times New Roman" w:eastAsia="Times New Roman" w:hAnsi="Times New Roman" w:cs="Times New Roman"/>
          <w:color w:val="000000"/>
          <w:spacing w:val="0"/>
          <w:w w:val="100"/>
          <w:position w:val="0"/>
        </w:rPr>
        <w:t>34.</w:t>
      </w:r>
      <w:r>
        <w:rPr>
          <w:rFonts w:ascii="Times New Roman" w:eastAsia="Times New Roman" w:hAnsi="Times New Roman" w:cs="Times New Roman"/>
          <w:color w:val="000000"/>
          <w:spacing w:val="0"/>
          <w:w w:val="100"/>
          <w:position w:val="0"/>
        </w:rPr>
        <w:t>0</w:t>
      </w:r>
      <w:r>
        <w:rPr>
          <w:color w:val="000000"/>
          <w:spacing w:val="0"/>
          <w:w w:val="100"/>
          <w:position w:val="0"/>
        </w:rPr>
        <w:t>万台，同比上涨</w:t>
      </w:r>
      <w:r>
        <w:rPr>
          <w:rFonts w:ascii="Times New Roman" w:eastAsia="Times New Roman" w:hAnsi="Times New Roman" w:cs="Times New Roman"/>
          <w:color w:val="000000"/>
          <w:spacing w:val="0"/>
          <w:w w:val="100"/>
          <w:position w:val="0"/>
        </w:rPr>
        <w:t>89.9%</w:t>
      </w:r>
      <w:r>
        <w:rPr>
          <w:color w:val="000000"/>
          <w:spacing w:val="0"/>
          <w:w w:val="100"/>
          <w:position w:val="0"/>
        </w:rPr>
        <w:t>；随车配建充电桩激增，增量达</w:t>
      </w:r>
      <w:r>
        <w:rPr>
          <w:rFonts w:ascii="Times New Roman" w:eastAsia="Times New Roman" w:hAnsi="Times New Roman" w:cs="Times New Roman"/>
          <w:color w:val="000000"/>
          <w:spacing w:val="0"/>
          <w:w w:val="100"/>
          <w:position w:val="0"/>
        </w:rPr>
        <w:t>59.</w:t>
      </w:r>
      <w:r>
        <w:rPr>
          <w:rFonts w:ascii="Times New Roman" w:eastAsia="Times New Roman" w:hAnsi="Times New Roman" w:cs="Times New Roman"/>
          <w:color w:val="000000"/>
          <w:spacing w:val="0"/>
          <w:w w:val="100"/>
          <w:position w:val="0"/>
        </w:rPr>
        <w:t>7</w:t>
      </w:r>
      <w:r>
        <w:rPr>
          <w:color w:val="000000"/>
          <w:spacing w:val="0"/>
          <w:w w:val="100"/>
          <w:position w:val="0"/>
        </w:rPr>
        <w:t>万台，同比上升</w:t>
      </w:r>
      <w:r>
        <w:rPr>
          <w:rFonts w:ascii="Times New Roman" w:eastAsia="Times New Roman" w:hAnsi="Times New Roman" w:cs="Times New Roman"/>
          <w:color w:val="000000"/>
          <w:spacing w:val="0"/>
          <w:w w:val="100"/>
          <w:position w:val="0"/>
        </w:rPr>
        <w:t>323.9%</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年底，全国充电基础 设施保有量达</w:t>
      </w:r>
      <w:r>
        <w:rPr>
          <w:rFonts w:ascii="Times New Roman" w:eastAsia="Times New Roman" w:hAnsi="Times New Roman" w:cs="Times New Roman"/>
          <w:color w:val="000000"/>
          <w:spacing w:val="0"/>
          <w:w w:val="100"/>
          <w:position w:val="0"/>
        </w:rPr>
        <w:t>261.7</w:t>
      </w:r>
      <w:r>
        <w:rPr>
          <w:color w:val="000000"/>
          <w:spacing w:val="0"/>
          <w:w w:val="100"/>
          <w:position w:val="0"/>
        </w:rPr>
        <w:t>万台，同比增加</w:t>
      </w:r>
      <w:r>
        <w:rPr>
          <w:rFonts w:ascii="Times New Roman" w:eastAsia="Times New Roman" w:hAnsi="Times New Roman" w:cs="Times New Roman"/>
          <w:color w:val="000000"/>
          <w:spacing w:val="0"/>
          <w:w w:val="100"/>
          <w:position w:val="0"/>
        </w:rPr>
        <w:t>70.1%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年充电总电量达</w:t>
      </w:r>
      <w:r>
        <w:rPr>
          <w:rFonts w:ascii="Times New Roman" w:eastAsia="Times New Roman" w:hAnsi="Times New Roman" w:cs="Times New Roman"/>
          <w:color w:val="000000"/>
          <w:spacing w:val="0"/>
          <w:w w:val="100"/>
          <w:position w:val="0"/>
        </w:rPr>
        <w:t>111.5</w:t>
      </w:r>
      <w:r>
        <w:rPr>
          <w:color w:val="000000"/>
          <w:spacing w:val="0"/>
          <w:w w:val="100"/>
          <w:position w:val="0"/>
        </w:rPr>
        <w:t>亿</w:t>
      </w:r>
      <w:r>
        <w:rPr>
          <w:rFonts w:ascii="Times New Roman" w:eastAsia="Times New Roman" w:hAnsi="Times New Roman" w:cs="Times New Roman"/>
          <w:color w:val="000000"/>
          <w:spacing w:val="0"/>
          <w:w w:val="100"/>
          <w:position w:val="0"/>
        </w:rPr>
        <w:t>kWh</w:t>
      </w:r>
      <w:r>
        <w:rPr>
          <w:color w:val="000000"/>
          <w:spacing w:val="0"/>
          <w:w w:val="100"/>
          <w:position w:val="0"/>
        </w:rPr>
        <w:t>，</w:t>
      </w:r>
      <w:r>
        <w:rPr>
          <w:color w:val="000000"/>
          <w:spacing w:val="0"/>
          <w:w w:val="100"/>
          <w:position w:val="0"/>
        </w:rPr>
        <w:t>同比增加</w:t>
      </w:r>
      <w:r>
        <w:rPr>
          <w:rFonts w:ascii="Times New Roman" w:eastAsia="Times New Roman" w:hAnsi="Times New Roman" w:cs="Times New Roman"/>
          <w:color w:val="000000"/>
          <w:spacing w:val="0"/>
          <w:w w:val="100"/>
          <w:position w:val="0"/>
        </w:rPr>
        <w:t>58.0%</w:t>
      </w:r>
      <w:r>
        <w:rPr>
          <w:color w:val="000000"/>
          <w:spacing w:val="0"/>
          <w:w w:val="100"/>
          <w:position w:val="0"/>
        </w:rPr>
        <w:t>，电动汽车充电需求持续快速 增长。</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政策支持方面，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月，国务院政府工作报告中继续提出要增加充电桩、换电站等基础设施建设。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 发改委、国家能源局发布的《关于进一步提升充换电基础设施服务保障能力的实施意见（征求意见稿）》（已于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起正式实施）提出，推进既有居住社区充电设施建设，具备安装条件的，居住社区要配建一定比例的公共充电车位，建立充 电车位分时共享机制，为用户充电创造条件；新建居住社区要落实</w:t>
      </w:r>
      <w:r>
        <w:rPr>
          <w:rFonts w:ascii="Times New Roman" w:eastAsia="Times New Roman" w:hAnsi="Times New Roman" w:cs="Times New Roman"/>
          <w:color w:val="000000"/>
          <w:spacing w:val="0"/>
          <w:w w:val="100"/>
          <w:position w:val="0"/>
        </w:rPr>
        <w:t>100%</w:t>
      </w:r>
      <w:r>
        <w:rPr>
          <w:color w:val="000000"/>
          <w:spacing w:val="0"/>
          <w:w w:val="100"/>
          <w:position w:val="0"/>
        </w:rPr>
        <w:t>固定车位预留充电桩建设安装条件，需将管线和桥 架等供电设施建设到车位，以满足直接装表接电需要；按照全面推进乡村振兴有关要求，结合推进以县城为重要载体的城镇 化建设，加快补齐县城、乡镇充电基础设施建设短板，加快实现电动汽车充电站</w:t>
      </w:r>
      <w:r>
        <w:rPr>
          <w:rFonts w:ascii="Times New Roman" w:eastAsia="Times New Roman" w:hAnsi="Times New Roman" w:cs="Times New Roman"/>
          <w:color w:val="000000"/>
          <w:spacing w:val="0"/>
          <w:w w:val="100"/>
          <w:position w:val="0"/>
        </w:rPr>
        <w:t>“</w:t>
      </w:r>
      <w:r>
        <w:rPr>
          <w:color w:val="000000"/>
          <w:spacing w:val="0"/>
          <w:w w:val="100"/>
          <w:position w:val="0"/>
        </w:rPr>
        <w:t>县县全覆盖</w:t>
      </w:r>
      <w:r>
        <w:rPr>
          <w:rFonts w:ascii="Times New Roman" w:eastAsia="Times New Roman" w:hAnsi="Times New Roman" w:cs="Times New Roman"/>
          <w:color w:val="000000"/>
          <w:spacing w:val="0"/>
          <w:w w:val="100"/>
          <w:position w:val="0"/>
        </w:rPr>
        <w:t>”</w:t>
      </w:r>
      <w:r>
        <w:rPr>
          <w:color w:val="000000"/>
          <w:spacing w:val="0"/>
          <w:w w:val="100"/>
          <w:position w:val="0"/>
        </w:rPr>
        <w:t>、充电桩</w:t>
      </w:r>
      <w:r>
        <w:rPr>
          <w:rFonts w:ascii="Times New Roman" w:eastAsia="Times New Roman" w:hAnsi="Times New Roman" w:cs="Times New Roman"/>
          <w:color w:val="000000"/>
          <w:spacing w:val="0"/>
          <w:w w:val="100"/>
          <w:position w:val="0"/>
        </w:rPr>
        <w:t>“</w:t>
      </w:r>
      <w:r>
        <w:rPr>
          <w:color w:val="000000"/>
          <w:spacing w:val="0"/>
          <w:w w:val="100"/>
          <w:position w:val="0"/>
        </w:rPr>
        <w:t>乡乡全覆盖</w:t>
      </w:r>
      <w:r>
        <w:rPr>
          <w:rFonts w:ascii="Times New Roman" w:eastAsia="Times New Roman" w:hAnsi="Times New Roman" w:cs="Times New Roman"/>
          <w:color w:val="000000"/>
          <w:spacing w:val="0"/>
          <w:w w:val="100"/>
          <w:position w:val="0"/>
        </w:rPr>
        <w:t>”</w:t>
      </w:r>
      <w:r>
        <w:rPr>
          <w:color w:val="000000"/>
          <w:spacing w:val="0"/>
          <w:w w:val="100"/>
          <w:position w:val="0"/>
        </w:rPr>
        <w:t xml:space="preserve">。从以 </w:t>
      </w:r>
      <w:r>
        <w:rPr>
          <w:color w:val="000000"/>
          <w:spacing w:val="0"/>
          <w:w w:val="100"/>
          <w:position w:val="0"/>
        </w:rPr>
        <w:t>上政策支持的覆盖区域可见，我国充电基础设施建设正处于抢占市场的高速发展期，市场前景广阔。同时，各地方政府为响 应国家对于新能源汽车充电基础设施建设的支持，陆续出台了多项区域性质的财政补贴政策，为充电基础设施建设提供有力 的关键配套保障。在多项利好政策的积极推动下，充电设施建设将有望迎来持续快速发展。</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在充电桩领域，公司发布了以</w:t>
      </w:r>
      <w:r>
        <w:rPr>
          <w:rFonts w:ascii="Times New Roman" w:eastAsia="Times New Roman" w:hAnsi="Times New Roman" w:cs="Times New Roman"/>
          <w:color w:val="000000"/>
          <w:spacing w:val="0"/>
          <w:w w:val="100"/>
          <w:position w:val="0"/>
        </w:rPr>
        <w:t>“</w:t>
      </w:r>
      <w:r>
        <w:rPr>
          <w:color w:val="000000"/>
          <w:spacing w:val="0"/>
          <w:w w:val="100"/>
          <w:position w:val="0"/>
        </w:rPr>
        <w:t>超级直流智能充电桩</w:t>
      </w:r>
      <w:r>
        <w:rPr>
          <w:rFonts w:ascii="Times New Roman" w:eastAsia="Times New Roman" w:hAnsi="Times New Roman" w:cs="Times New Roman"/>
          <w:color w:val="000000"/>
          <w:spacing w:val="0"/>
          <w:w w:val="100"/>
          <w:position w:val="0"/>
        </w:rPr>
        <w:t>”</w:t>
      </w:r>
      <w:r>
        <w:rPr>
          <w:color w:val="000000"/>
          <w:spacing w:val="0"/>
          <w:w w:val="100"/>
          <w:position w:val="0"/>
        </w:rPr>
        <w:t>为主打产品的场站级</w:t>
      </w:r>
      <w:r>
        <w:rPr>
          <w:rFonts w:ascii="Times New Roman" w:eastAsia="Times New Roman" w:hAnsi="Times New Roman" w:cs="Times New Roman"/>
          <w:color w:val="000000"/>
          <w:spacing w:val="0"/>
          <w:w w:val="100"/>
          <w:position w:val="0"/>
        </w:rPr>
        <w:t>“</w:t>
      </w:r>
      <w:r>
        <w:rPr>
          <w:color w:val="000000"/>
          <w:spacing w:val="0"/>
          <w:w w:val="100"/>
          <w:position w:val="0"/>
        </w:rPr>
        <w:t>智慧商业高速快充解决方案</w:t>
      </w:r>
      <w:r>
        <w:rPr>
          <w:rFonts w:ascii="Times New Roman" w:eastAsia="Times New Roman" w:hAnsi="Times New Roman" w:cs="Times New Roman"/>
          <w:color w:val="000000"/>
          <w:spacing w:val="0"/>
          <w:w w:val="100"/>
          <w:position w:val="0"/>
        </w:rPr>
        <w:t>”</w:t>
      </w:r>
      <w:r>
        <w:rPr>
          <w:color w:val="000000"/>
          <w:spacing w:val="0"/>
          <w:w w:val="100"/>
          <w:position w:val="0"/>
        </w:rPr>
        <w:t>，瞄准城市社区 公共配套设施、绿色物流快充领域等进行战略布局，目前公司全资子公司重庆惠程未来已在重庆市璧山区投建高速智能充电 桩项目，根据到手订单情况开始爬坡生产销售。鉴于重庆惠程未来起步时间较晚，因此在报告期内对公司业绩影响较小。报 告期内，公司还与重庆绿发及其控股子公司中新合富（重庆）股权投资基金管理有限公司（以下简称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中新合富</w:t>
      </w:r>
      <w:r>
        <w:rPr>
          <w:rFonts w:ascii="Times New Roman" w:eastAsia="Times New Roman" w:hAnsi="Times New Roman" w:cs="Times New Roman"/>
          <w:color w:val="000000"/>
          <w:spacing w:val="0"/>
          <w:w w:val="100"/>
          <w:position w:val="0"/>
        </w:rPr>
        <w:t>”</w:t>
      </w:r>
      <w:r>
        <w:rPr>
          <w:color w:val="000000"/>
          <w:spacing w:val="0"/>
          <w:w w:val="100"/>
          <w:position w:val="0"/>
        </w:rPr>
        <w:t>）、重庆思 极星能科技有限公司就充电桩生产及安装建设等事项达成战略合作，获取更多充电桩供货意向订单。此外，公司还与中国石 化销售股份有限公司、重庆绿发等在重庆市璧山区开展</w:t>
      </w:r>
      <w:r>
        <w:rPr>
          <w:rFonts w:ascii="Times New Roman" w:eastAsia="Times New Roman" w:hAnsi="Times New Roman" w:cs="Times New Roman"/>
          <w:color w:val="000000"/>
          <w:spacing w:val="0"/>
          <w:w w:val="100"/>
          <w:position w:val="0"/>
        </w:rPr>
        <w:t>“</w:t>
      </w:r>
      <w:r>
        <w:rPr>
          <w:color w:val="000000"/>
          <w:spacing w:val="0"/>
          <w:w w:val="100"/>
          <w:position w:val="0"/>
        </w:rPr>
        <w:t>油气电氢服</w:t>
      </w:r>
      <w:r>
        <w:rPr>
          <w:rFonts w:ascii="Times New Roman" w:eastAsia="Times New Roman" w:hAnsi="Times New Roman" w:cs="Times New Roman"/>
          <w:color w:val="000000"/>
          <w:spacing w:val="0"/>
          <w:w w:val="100"/>
          <w:position w:val="0"/>
        </w:rPr>
        <w:t>”</w:t>
      </w:r>
      <w:r>
        <w:rPr>
          <w:color w:val="000000"/>
          <w:spacing w:val="0"/>
          <w:w w:val="100"/>
          <w:position w:val="0"/>
        </w:rPr>
        <w:t>综合能源站项目等形式的合作，各方拟共同投资设立合 资公司，并于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月完成设立登记程序，公司名称为重庆绿发中惠能源有限公司。根据重庆市璧山区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能源规划， 明确合资公司在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期间在璧山区域内新建加油（气）站项目不少于</w:t>
      </w:r>
      <w:r>
        <w:rPr>
          <w:rFonts w:ascii="Times New Roman" w:eastAsia="Times New Roman" w:hAnsi="Times New Roman" w:cs="Times New Roman"/>
          <w:color w:val="000000"/>
          <w:spacing w:val="0"/>
          <w:w w:val="100"/>
          <w:position w:val="0"/>
        </w:rPr>
        <w:t>5</w:t>
      </w:r>
      <w:r>
        <w:rPr>
          <w:color w:val="000000"/>
          <w:spacing w:val="0"/>
          <w:w w:val="100"/>
          <w:position w:val="0"/>
        </w:rPr>
        <w:t>座、新建综合能源站暂定</w:t>
      </w:r>
      <w:r>
        <w:rPr>
          <w:rFonts w:ascii="Times New Roman" w:eastAsia="Times New Roman" w:hAnsi="Times New Roman" w:cs="Times New Roman"/>
          <w:color w:val="000000"/>
          <w:spacing w:val="0"/>
          <w:w w:val="100"/>
          <w:position w:val="0"/>
        </w:rPr>
        <w:t>1</w:t>
      </w:r>
      <w:r>
        <w:rPr>
          <w:color w:val="000000"/>
          <w:spacing w:val="0"/>
          <w:w w:val="100"/>
          <w:position w:val="0"/>
        </w:rPr>
        <w:t>座，通过本次投资，合 资公司新建的场站，需要采购电力和充电桩相关设施设备时，在符合物资采购相关规定的前提下，由合资公司向公司及子公 司进行采购。因此如本次对外投资顺利实施，将对公司未来财务状况和经营成果具有积极意义。</w:t>
      </w:r>
    </w:p>
    <w:p>
      <w:pPr>
        <w:pStyle w:val="Style23"/>
        <w:keepNext w:val="0"/>
        <w:keepLines w:val="0"/>
        <w:widowControl w:val="0"/>
        <w:numPr>
          <w:ilvl w:val="0"/>
          <w:numId w:val="1"/>
        </w:numPr>
        <w:shd w:val="clear" w:color="auto" w:fill="auto"/>
        <w:bidi w:val="0"/>
        <w:spacing w:before="0" w:after="0"/>
        <w:ind w:left="0" w:right="0"/>
        <w:jc w:val="both"/>
      </w:pPr>
      <w:bookmarkStart w:id="77" w:name="bookmark77"/>
      <w:bookmarkEnd w:id="77"/>
      <w:r>
        <w:rPr>
          <w:b/>
          <w:bCs/>
          <w:color w:val="000000"/>
          <w:spacing w:val="0"/>
          <w:w w:val="100"/>
          <w:position w:val="0"/>
        </w:rPr>
        <w:t>投资业务</w:t>
      </w:r>
    </w:p>
    <w:p>
      <w:pPr>
        <w:pStyle w:val="Style23"/>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年，中国经济增长的主要制约因素正逐渐从供给侧向需求侧转移，市场对稳增长的预期仍然较强。从</w:t>
      </w:r>
      <w:r>
        <w:rPr>
          <w:rFonts w:ascii="Times New Roman" w:eastAsia="Times New Roman" w:hAnsi="Times New Roman" w:cs="Times New Roman"/>
          <w:color w:val="000000"/>
          <w:spacing w:val="0"/>
          <w:w w:val="100"/>
          <w:position w:val="0"/>
        </w:rPr>
        <w:t>2021</w:t>
      </w:r>
      <w:r>
        <w:rPr>
          <w:color w:val="000000"/>
          <w:spacing w:val="0"/>
          <w:w w:val="100"/>
          <w:position w:val="0"/>
        </w:rPr>
        <w:t>年经济数 据来看，本轮稳增长的抓手或从房地产、传统基建转向绿色、数字基建。而在</w:t>
      </w:r>
      <w:r>
        <w:rPr>
          <w:rFonts w:ascii="Times New Roman" w:eastAsia="Times New Roman" w:hAnsi="Times New Roman" w:cs="Times New Roman"/>
          <w:color w:val="000000"/>
          <w:spacing w:val="0"/>
          <w:w w:val="100"/>
          <w:position w:val="0"/>
        </w:rPr>
        <w:t>“</w:t>
      </w:r>
      <w:r>
        <w:rPr>
          <w:color w:val="000000"/>
          <w:spacing w:val="0"/>
          <w:w w:val="100"/>
          <w:position w:val="0"/>
        </w:rPr>
        <w:t>双碳政策</w:t>
      </w:r>
      <w:r>
        <w:rPr>
          <w:rFonts w:ascii="Times New Roman" w:eastAsia="Times New Roman" w:hAnsi="Times New Roman" w:cs="Times New Roman"/>
          <w:color w:val="000000"/>
          <w:spacing w:val="0"/>
          <w:w w:val="100"/>
          <w:position w:val="0"/>
        </w:rPr>
        <w:t>”</w:t>
      </w:r>
      <w:r>
        <w:rPr>
          <w:color w:val="000000"/>
          <w:spacing w:val="0"/>
          <w:w w:val="100"/>
          <w:position w:val="0"/>
        </w:rPr>
        <w:t>背景下，新能源汽车及其配套产业 成为</w:t>
      </w:r>
      <w:r>
        <w:rPr>
          <w:rFonts w:ascii="Times New Roman" w:eastAsia="Times New Roman" w:hAnsi="Times New Roman" w:cs="Times New Roman"/>
          <w:color w:val="000000"/>
          <w:spacing w:val="0"/>
          <w:w w:val="100"/>
          <w:position w:val="0"/>
        </w:rPr>
        <w:t>2021</w:t>
      </w:r>
      <w:r>
        <w:rPr>
          <w:color w:val="000000"/>
          <w:spacing w:val="0"/>
          <w:w w:val="100"/>
          <w:position w:val="0"/>
        </w:rPr>
        <w:t>年拉动消费的重要支点。</w:t>
      </w:r>
    </w:p>
    <w:p>
      <w:pPr>
        <w:pStyle w:val="Style23"/>
        <w:keepNext w:val="0"/>
        <w:keepLines w:val="0"/>
        <w:widowControl w:val="0"/>
        <w:shd w:val="clear" w:color="auto" w:fill="auto"/>
        <w:bidi w:val="0"/>
        <w:spacing w:before="0" w:after="380" w:line="311" w:lineRule="exact"/>
        <w:ind w:left="0" w:right="0"/>
        <w:jc w:val="both"/>
      </w:pPr>
      <w:r>
        <w:rPr>
          <w:color w:val="000000"/>
          <w:spacing w:val="0"/>
          <w:w w:val="100"/>
          <w:position w:val="0"/>
        </w:rPr>
        <w:t>面对投资业务相关行情变化，报告期内公司重点加强投资业务的风险管控，主要围绕公司重点发展的充电桩业务进行投 资，谋求投资业务的持续稳定发展及满足公司生产经营需要。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5-6</w:t>
      </w:r>
      <w:r>
        <w:rPr>
          <w:color w:val="000000"/>
          <w:spacing w:val="0"/>
          <w:w w:val="100"/>
          <w:position w:val="0"/>
        </w:rPr>
        <w:t>月，经公司董事会、股东大会审议批准，公司及全 资子公司喀什中汇联银与中新合富、重庆绿发共同投资设立产业基金一重庆绿能启航私募股权投资基金合伙企业（有限合 伙）（以下简称</w:t>
      </w:r>
      <w:r>
        <w:rPr>
          <w:rFonts w:ascii="Times New Roman" w:eastAsia="Times New Roman" w:hAnsi="Times New Roman" w:cs="Times New Roman"/>
          <w:color w:val="000000"/>
          <w:spacing w:val="0"/>
          <w:w w:val="100"/>
          <w:position w:val="0"/>
        </w:rPr>
        <w:t>“</w:t>
      </w:r>
      <w:r>
        <w:rPr>
          <w:color w:val="000000"/>
          <w:spacing w:val="0"/>
          <w:w w:val="100"/>
          <w:position w:val="0"/>
        </w:rPr>
        <w:t>绿能启航基金</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产业基金</w:t>
      </w:r>
      <w:r>
        <w:rPr>
          <w:rFonts w:ascii="Times New Roman" w:eastAsia="Times New Roman" w:hAnsi="Times New Roman" w:cs="Times New Roman"/>
          <w:color w:val="000000"/>
          <w:spacing w:val="0"/>
          <w:w w:val="100"/>
          <w:position w:val="0"/>
        </w:rPr>
        <w:t>”</w:t>
      </w:r>
      <w:r>
        <w:rPr>
          <w:color w:val="000000"/>
          <w:spacing w:val="0"/>
          <w:w w:val="100"/>
          <w:position w:val="0"/>
        </w:rPr>
        <w:t>），主要投资方向为重庆市范围内电动汽车充电场站资产建设及运营。在保证 公司主营业务稳健发展的前提下，投资公司主业领域有助于加快公司发展战略的实施，有利于充分发挥和利用各方合伙人的 优势和资源，可利用产业基金平台对电动汽车充电场站进行投资布局，有利于公司分享潜在的投资回报。产业基金目前已部 分实缴且投资了重庆市内十几个新能源充电场站，公司向其销售了充电桩及提供配套服务，后续随着场站的增加也将会对公 司业绩产生积极影响。</w:t>
      </w:r>
    </w:p>
    <w:p>
      <w:pPr>
        <w:pStyle w:val="Style28"/>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、报告期内公司从事的主要业务</w:t>
      </w:r>
      <w:bookmarkEnd w:id="78"/>
      <w:bookmarkEnd w:id="79"/>
      <w:bookmarkEnd w:id="81"/>
    </w:p>
    <w:p>
      <w:pPr>
        <w:pStyle w:val="Style23"/>
        <w:keepNext w:val="0"/>
        <w:keepLines w:val="0"/>
        <w:widowControl w:val="0"/>
        <w:shd w:val="clear" w:color="auto" w:fill="auto"/>
        <w:tabs>
          <w:tab w:pos="861" w:val="left"/>
        </w:tabs>
        <w:bidi w:val="0"/>
        <w:spacing w:before="0" w:line="311"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一）</w:t>
        <w:tab/>
        <w:t>经营情况</w:t>
      </w:r>
    </w:p>
    <w:p>
      <w:pPr>
        <w:pStyle w:val="Style23"/>
        <w:keepNext w:val="0"/>
        <w:keepLines w:val="0"/>
        <w:widowControl w:val="0"/>
        <w:shd w:val="clear" w:color="auto" w:fill="auto"/>
        <w:bidi w:val="0"/>
        <w:spacing w:before="0" w:line="310" w:lineRule="exact"/>
        <w:ind w:left="0" w:right="0" w:firstLine="300"/>
        <w:jc w:val="both"/>
      </w:pPr>
      <w:r>
        <w:rPr>
          <w:color w:val="000000"/>
          <w:spacing w:val="0"/>
          <w:w w:val="100"/>
          <w:position w:val="0"/>
        </w:rPr>
        <w:t>报告期内公司注重高端智能制造和互联网游戏两大主营业务板块的进一步深化发展，积极探索借助投资业务助力两大业 务板块延伸发展并完善产业链条的发展道路，夯实双轮业绩驱动的产业基础。</w:t>
      </w: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32,990.64</w:t>
      </w:r>
      <w:r>
        <w:rPr>
          <w:color w:val="000000"/>
          <w:spacing w:val="0"/>
          <w:w w:val="100"/>
          <w:position w:val="0"/>
        </w:rPr>
        <w:t>万元，其中 报告期内新增的充电桩业务实现了营收</w:t>
      </w:r>
      <w:r>
        <w:rPr>
          <w:rFonts w:ascii="Times New Roman" w:eastAsia="Times New Roman" w:hAnsi="Times New Roman" w:cs="Times New Roman"/>
          <w:color w:val="000000"/>
          <w:spacing w:val="0"/>
          <w:w w:val="100"/>
          <w:position w:val="0"/>
        </w:rPr>
        <w:t>3,523.42</w:t>
      </w:r>
      <w:r>
        <w:rPr>
          <w:color w:val="000000"/>
          <w:spacing w:val="0"/>
          <w:w w:val="100"/>
          <w:position w:val="0"/>
        </w:rPr>
        <w:t>万元，为公司贡献了新的业绩增长点。报告期内，随着游戏行业竞争加剧， 公司控股子公司哆可梦主力游戏在产品周期内的流水有所下降，导致游戏业务收入同比下降</w:t>
      </w:r>
      <w:r>
        <w:rPr>
          <w:rFonts w:ascii="Times New Roman" w:eastAsia="Times New Roman" w:hAnsi="Times New Roman" w:cs="Times New Roman"/>
          <w:color w:val="000000"/>
          <w:spacing w:val="0"/>
          <w:w w:val="100"/>
          <w:position w:val="0"/>
        </w:rPr>
        <w:t>75.28%</w:t>
      </w:r>
      <w:r>
        <w:rPr>
          <w:color w:val="000000"/>
          <w:spacing w:val="0"/>
          <w:w w:val="100"/>
          <w:position w:val="0"/>
        </w:rPr>
        <w:t xml:space="preserve">。受市场供求因素影响， </w:t>
      </w:r>
      <w:r>
        <w:rPr>
          <w:rFonts w:ascii="Times New Roman" w:eastAsia="Times New Roman" w:hAnsi="Times New Roman" w:cs="Times New Roman"/>
          <w:color w:val="000000"/>
          <w:spacing w:val="0"/>
          <w:w w:val="100"/>
          <w:position w:val="0"/>
        </w:rPr>
        <w:t>2021</w:t>
      </w:r>
      <w:r>
        <w:rPr>
          <w:color w:val="000000"/>
          <w:spacing w:val="0"/>
          <w:w w:val="100"/>
          <w:position w:val="0"/>
        </w:rPr>
        <w:t>年公司电气业务执行的订单有所减少</w:t>
      </w:r>
      <w:r>
        <w:rPr>
          <w:color w:val="000000"/>
          <w:spacing w:val="0"/>
          <w:w w:val="100"/>
          <w:position w:val="0"/>
        </w:rPr>
        <w:t>，</w:t>
      </w:r>
      <w:r>
        <w:rPr>
          <w:color w:val="000000"/>
          <w:spacing w:val="0"/>
          <w:w w:val="100"/>
          <w:position w:val="0"/>
        </w:rPr>
        <w:t>营业收入同比下降</w:t>
      </w:r>
      <w:r>
        <w:rPr>
          <w:rFonts w:ascii="Times New Roman" w:eastAsia="Times New Roman" w:hAnsi="Times New Roman" w:cs="Times New Roman"/>
          <w:color w:val="000000"/>
          <w:spacing w:val="0"/>
          <w:w w:val="100"/>
          <w:position w:val="0"/>
        </w:rPr>
        <w:t>32.47%</w:t>
      </w:r>
      <w:r>
        <w:rPr>
          <w:color w:val="000000"/>
          <w:spacing w:val="0"/>
          <w:w w:val="100"/>
          <w:position w:val="0"/>
        </w:rPr>
        <w:t xml:space="preserve">。受上述因素影响，报告期内公司归母净利润为 </w:t>
      </w:r>
      <w:r>
        <w:rPr>
          <w:rFonts w:ascii="Times New Roman" w:eastAsia="Times New Roman" w:hAnsi="Times New Roman" w:cs="Times New Roman"/>
          <w:color w:val="000000"/>
          <w:spacing w:val="0"/>
          <w:w w:val="100"/>
          <w:position w:val="0"/>
        </w:rPr>
        <w:t>-22,285.46</w:t>
      </w:r>
      <w:r>
        <w:rPr>
          <w:color w:val="000000"/>
          <w:spacing w:val="0"/>
          <w:w w:val="100"/>
          <w:position w:val="0"/>
        </w:rPr>
        <w:t>万元。</w:t>
      </w:r>
    </w:p>
    <w:p>
      <w:pPr>
        <w:pStyle w:val="Style23"/>
        <w:keepNext w:val="0"/>
        <w:keepLines w:val="0"/>
        <w:widowControl w:val="0"/>
        <w:shd w:val="clear" w:color="auto" w:fill="auto"/>
        <w:tabs>
          <w:tab w:pos="861" w:val="left"/>
        </w:tabs>
        <w:bidi w:val="0"/>
        <w:spacing w:before="0" w:line="311"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二）</w:t>
        <w:tab/>
        <w:t>报告期内公司所从事的主要业务情况</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报告期内，公司继续坚持产业经营与资本运营协同发展的经营发展方向，形成</w:t>
      </w:r>
      <w:r>
        <w:rPr>
          <w:rFonts w:ascii="Times New Roman" w:eastAsia="Times New Roman" w:hAnsi="Times New Roman" w:cs="Times New Roman"/>
          <w:color w:val="000000"/>
          <w:spacing w:val="0"/>
          <w:w w:val="100"/>
          <w:position w:val="0"/>
        </w:rPr>
        <w:t>“</w:t>
      </w:r>
      <w:r>
        <w:rPr>
          <w:color w:val="000000"/>
          <w:spacing w:val="0"/>
          <w:w w:val="100"/>
          <w:position w:val="0"/>
        </w:rPr>
        <w:t>互联网游戏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高端智能制造</w:t>
      </w:r>
      <w:r>
        <w:rPr>
          <w:rFonts w:ascii="Times New Roman" w:eastAsia="Times New Roman" w:hAnsi="Times New Roman" w:cs="Times New Roman"/>
          <w:color w:val="000000"/>
          <w:spacing w:val="0"/>
          <w:w w:val="100"/>
          <w:position w:val="0"/>
        </w:rPr>
        <w:t>”</w:t>
      </w:r>
      <w:r>
        <w:rPr>
          <w:color w:val="000000"/>
          <w:spacing w:val="0"/>
          <w:w w:val="100"/>
          <w:position w:val="0"/>
        </w:rPr>
        <w:t>并参与</w:t>
      </w:r>
      <w:r>
        <w:rPr>
          <w:rFonts w:ascii="Times New Roman" w:eastAsia="Times New Roman" w:hAnsi="Times New Roman" w:cs="Times New Roman"/>
          <w:color w:val="000000"/>
          <w:spacing w:val="0"/>
          <w:w w:val="100"/>
          <w:position w:val="0"/>
        </w:rPr>
        <w:t>“</w:t>
      </w:r>
      <w:r>
        <w:rPr>
          <w:color w:val="000000"/>
          <w:spacing w:val="0"/>
          <w:w w:val="100"/>
          <w:position w:val="0"/>
        </w:rPr>
        <w:t>投 资</w:t>
      </w:r>
      <w:r>
        <w:rPr>
          <w:rFonts w:ascii="Times New Roman" w:eastAsia="Times New Roman" w:hAnsi="Times New Roman" w:cs="Times New Roman"/>
          <w:color w:val="000000"/>
          <w:spacing w:val="0"/>
          <w:w w:val="100"/>
          <w:position w:val="0"/>
        </w:rPr>
        <w:t>”</w:t>
      </w:r>
      <w:r>
        <w:rPr>
          <w:color w:val="000000"/>
          <w:spacing w:val="0"/>
          <w:w w:val="100"/>
          <w:position w:val="0"/>
        </w:rPr>
        <w:t>的多业务板块支撑格局。</w:t>
      </w:r>
    </w:p>
    <w:p>
      <w:pPr>
        <w:pStyle w:val="Style23"/>
        <w:keepNext w:val="0"/>
        <w:keepLines w:val="0"/>
        <w:widowControl w:val="0"/>
        <w:shd w:val="clear" w:color="auto" w:fill="auto"/>
        <w:bidi w:val="0"/>
        <w:spacing w:before="0" w:line="310" w:lineRule="exact"/>
        <w:ind w:left="0" w:right="0"/>
        <w:jc w:val="both"/>
      </w:pPr>
      <w:r>
        <w:rPr>
          <w:color w:val="000000"/>
          <w:spacing w:val="0"/>
          <w:w w:val="100"/>
          <w:position w:val="0"/>
        </w:rPr>
        <w:t>公司互联网游戏业务以控股子公司哆可梦为核心载体，从事基于大数据精细化营销的流量经营业务和移动游戏的研发、 发行及游戏平台的运营等业务。哆可梦拥有完善的网络游戏发行渠道，坚持精细营销策略，自建移动互联网流量平台提供手 机娱乐资讯、产品下载、客户服务。哆可梦坚持</w:t>
      </w:r>
      <w:r>
        <w:rPr>
          <w:rFonts w:ascii="Times New Roman" w:eastAsia="Times New Roman" w:hAnsi="Times New Roman" w:cs="Times New Roman"/>
          <w:color w:val="000000"/>
          <w:spacing w:val="0"/>
          <w:w w:val="100"/>
          <w:position w:val="0"/>
        </w:rPr>
        <w:t>“</w:t>
      </w:r>
      <w:r>
        <w:rPr>
          <w:color w:val="000000"/>
          <w:spacing w:val="0"/>
          <w:w w:val="100"/>
          <w:position w:val="0"/>
        </w:rPr>
        <w:t>研运一体</w:t>
      </w:r>
      <w:r>
        <w:rPr>
          <w:rFonts w:ascii="Times New Roman" w:eastAsia="Times New Roman" w:hAnsi="Times New Roman" w:cs="Times New Roman"/>
          <w:color w:val="000000"/>
          <w:spacing w:val="0"/>
          <w:w w:val="100"/>
          <w:position w:val="0"/>
        </w:rPr>
        <w:t>”</w:t>
      </w:r>
      <w:r>
        <w:rPr>
          <w:color w:val="000000"/>
          <w:spacing w:val="0"/>
          <w:w w:val="100"/>
          <w:position w:val="0"/>
        </w:rPr>
        <w:t>和原创精品战略，旗下拥有优秀的游戏研发和数字创意团队，成 功开发和运营《浩天奇缘</w:t>
      </w:r>
      <w:r>
        <w:rPr>
          <w:rFonts w:ascii="Times New Roman" w:eastAsia="Times New Roman" w:hAnsi="Times New Roman" w:cs="Times New Roman"/>
          <w:color w:val="000000"/>
          <w:spacing w:val="0"/>
          <w:w w:val="100"/>
          <w:position w:val="0"/>
        </w:rPr>
        <w:t>II</w:t>
      </w:r>
      <w:r>
        <w:rPr>
          <w:color w:val="000000"/>
          <w:spacing w:val="0"/>
          <w:w w:val="100"/>
          <w:position w:val="0"/>
        </w:rPr>
        <w:t>》《文明曙光》《天使圣域》《斗罗大陆神界传说》《神话大陆》《爆破三国》等数十款数字娱 乐产品，产品类型覆盖</w:t>
      </w:r>
      <w:r>
        <w:rPr>
          <w:rFonts w:ascii="Times New Roman" w:eastAsia="Times New Roman" w:hAnsi="Times New Roman" w:cs="Times New Roman"/>
          <w:color w:val="000000"/>
          <w:spacing w:val="0"/>
          <w:w w:val="100"/>
          <w:position w:val="0"/>
        </w:rPr>
        <w:t>MMORPG</w:t>
      </w:r>
      <w:r>
        <w:rPr>
          <w:color w:val="000000"/>
          <w:spacing w:val="0"/>
          <w:w w:val="100"/>
          <w:position w:val="0"/>
        </w:rPr>
        <w:t>、</w:t>
      </w:r>
      <w:r>
        <w:rPr>
          <w:rFonts w:ascii="Times New Roman" w:eastAsia="Times New Roman" w:hAnsi="Times New Roman" w:cs="Times New Roman"/>
          <w:color w:val="000000"/>
          <w:spacing w:val="0"/>
          <w:w w:val="100"/>
          <w:position w:val="0"/>
        </w:rPr>
        <w:t>2D</w:t>
      </w:r>
      <w:r>
        <w:rPr>
          <w:color w:val="000000"/>
          <w:spacing w:val="0"/>
          <w:w w:val="100"/>
          <w:position w:val="0"/>
        </w:rPr>
        <w:t>卡牌、</w:t>
      </w:r>
      <w:r>
        <w:rPr>
          <w:rFonts w:ascii="Times New Roman" w:eastAsia="Times New Roman" w:hAnsi="Times New Roman" w:cs="Times New Roman"/>
          <w:color w:val="000000"/>
          <w:spacing w:val="0"/>
          <w:w w:val="100"/>
          <w:position w:val="0"/>
        </w:rPr>
        <w:t>3D</w:t>
      </w:r>
      <w:r>
        <w:rPr>
          <w:color w:val="000000"/>
          <w:spacing w:val="0"/>
          <w:w w:val="100"/>
          <w:position w:val="0"/>
        </w:rPr>
        <w:t>动作</w:t>
      </w:r>
      <w:r>
        <w:rPr>
          <w:rFonts w:ascii="Times New Roman" w:eastAsia="Times New Roman" w:hAnsi="Times New Roman" w:cs="Times New Roman"/>
          <w:color w:val="000000"/>
          <w:spacing w:val="0"/>
          <w:w w:val="100"/>
          <w:position w:val="0"/>
        </w:rPr>
        <w:t>RPG</w:t>
      </w:r>
      <w:r>
        <w:rPr>
          <w:color w:val="000000"/>
          <w:spacing w:val="0"/>
          <w:w w:val="100"/>
          <w:position w:val="0"/>
        </w:rPr>
        <w:t>、</w:t>
      </w:r>
      <w:r>
        <w:rPr>
          <w:rFonts w:ascii="Times New Roman" w:eastAsia="Times New Roman" w:hAnsi="Times New Roman" w:cs="Times New Roman"/>
          <w:color w:val="000000"/>
          <w:spacing w:val="0"/>
          <w:w w:val="100"/>
          <w:position w:val="0"/>
        </w:rPr>
        <w:t>SLG</w:t>
      </w:r>
      <w:r>
        <w:rPr>
          <w:color w:val="000000"/>
          <w:spacing w:val="0"/>
          <w:w w:val="100"/>
          <w:position w:val="0"/>
        </w:rPr>
        <w:t>等，产品内容涉及东方玄幻、西方魔幻以及异次元文化等。</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公司高端智能制造业务以电气设备业务为基础，全力推进传统制造业务向网络化、数字化、智能化方向转型升级，涉足 新能源汽车智慧快充解决方案等高新技术领域。报告期内，公司延续</w:t>
      </w:r>
      <w:r>
        <w:rPr>
          <w:rFonts w:ascii="Times New Roman" w:eastAsia="Times New Roman" w:hAnsi="Times New Roman" w:cs="Times New Roman"/>
          <w:color w:val="000000"/>
          <w:spacing w:val="0"/>
          <w:w w:val="100"/>
          <w:position w:val="0"/>
        </w:rPr>
        <w:t>2020</w:t>
      </w:r>
      <w:r>
        <w:rPr>
          <w:color w:val="000000"/>
          <w:spacing w:val="0"/>
          <w:w w:val="100"/>
          <w:position w:val="0"/>
        </w:rPr>
        <w:t>年下半年确定的高速智能充电桩及电气智能化方向， 在保持基础电气业务稳定增长的同时，在新领域扎实布局，培育新的利润增长点。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月，公司成立全资子公司重庆惠 程未来，全面负责公司在重庆市璧山区建设充电桩项目的具体事宜。重庆惠程未来致力于为用户提供包括充电系统，配电系 统，测控系统及安防系统在内的新能源电动车充电场站一体化解决方案。</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公司投资业务主要涵盖以资金管理和运用为主的理财产品投资、证券投资和股权投资。为提升公司盈利能力，积极探索 和尝试以自身或参与的产业并购基金等为主体、以公司发展战略为导向、围绕公司高端智能制造和互联网游戏开展的外延式 发展，以投资推动公司产业转型与升级并助力被投企业的发展，实现公司与被投企业的双赢。</w:t>
      </w:r>
    </w:p>
    <w:p>
      <w:pPr>
        <w:pStyle w:val="Style28"/>
        <w:keepNext/>
        <w:keepLines/>
        <w:widowControl w:val="0"/>
        <w:shd w:val="clear" w:color="auto" w:fill="auto"/>
        <w:tabs>
          <w:tab w:pos="475" w:val="left"/>
        </w:tabs>
        <w:bidi w:val="0"/>
        <w:spacing w:before="0" w:after="24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w:t>
        <w:tab/>
        <w:t>核心竞争力分析</w:t>
      </w:r>
      <w:bookmarkEnd w:id="84"/>
      <w:bookmarkEnd w:id="85"/>
      <w:bookmarkEnd w:id="87"/>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公司电气业务的核心竞争力在于拥有配电设备行业</w:t>
      </w:r>
      <w:r>
        <w:rPr>
          <w:rFonts w:ascii="Times New Roman" w:eastAsia="Times New Roman" w:hAnsi="Times New Roman" w:cs="Times New Roman"/>
          <w:color w:val="000000"/>
          <w:spacing w:val="0"/>
          <w:w w:val="100"/>
          <w:position w:val="0"/>
        </w:rPr>
        <w:t>20</w:t>
      </w:r>
      <w:r>
        <w:rPr>
          <w:color w:val="000000"/>
          <w:spacing w:val="0"/>
          <w:w w:val="100"/>
          <w:position w:val="0"/>
        </w:rPr>
        <w:t>多年的产品、技术及市场沉淀，具备配网全套产品制造能力，具备 金融、供应商、渠道商等转型所需的平台整合能力，具备营销、制造、研发、客户、管理团队等完整的人才体系。在聚焦公 司传统电力业务的同时，不断提升自身持续创新能力，主动向智能电网和高端智能技术、产品和制造领域拓展和转型。</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公司新能源业务主要由全资子公司重庆惠程未来承担，重庆惠程未来以</w:t>
      </w:r>
      <w:r>
        <w:rPr>
          <w:rFonts w:ascii="Times New Roman" w:eastAsia="Times New Roman" w:hAnsi="Times New Roman" w:cs="Times New Roman"/>
          <w:color w:val="000000"/>
          <w:spacing w:val="0"/>
          <w:w w:val="100"/>
          <w:position w:val="0"/>
        </w:rPr>
        <w:t>“</w:t>
      </w:r>
      <w:r>
        <w:rPr>
          <w:color w:val="000000"/>
          <w:spacing w:val="0"/>
          <w:w w:val="100"/>
          <w:position w:val="0"/>
        </w:rPr>
        <w:t>能源互联网</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维度延伸，打造新能源全 场景融合生态，充分融入现代化经济体系发展大格局，优化绿色经济能源结构，立足创新高点发展动能，深耕与创新智能电 气设施设备制造、充电桩生产运营等，并持续专注提供稳定可靠、高性价比的产品和技术。</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公司互联网游戏业务的核心竞争力在于拥有经验丰富、勇于创新的互联网游戏行业团队和用户认知度高、活跃度高的自 有平台。控股子公司哆可梦下属研发团队的大部分专业人员曾任职于腾讯、盛大、完美世界、巨人等行业知名游戏制作公司， 核心负责人员从事游戏行业近</w:t>
      </w:r>
      <w:r>
        <w:rPr>
          <w:rFonts w:ascii="Times New Roman" w:eastAsia="Times New Roman" w:hAnsi="Times New Roman" w:cs="Times New Roman"/>
          <w:color w:val="000000"/>
          <w:spacing w:val="0"/>
          <w:w w:val="100"/>
          <w:position w:val="0"/>
        </w:rPr>
        <w:t>10</w:t>
      </w:r>
      <w:r>
        <w:rPr>
          <w:color w:val="000000"/>
          <w:spacing w:val="0"/>
          <w:w w:val="100"/>
          <w:position w:val="0"/>
        </w:rPr>
        <w:t>年，均有完整从事端游、页游和手机游戏制作的成功经验；发行团队专业人员曾任职于腾讯、 网易等知名游戏公司，核心负责人员具有</w:t>
      </w:r>
      <w:r>
        <w:rPr>
          <w:rFonts w:ascii="Times New Roman" w:eastAsia="Times New Roman" w:hAnsi="Times New Roman" w:cs="Times New Roman"/>
          <w:color w:val="000000"/>
          <w:spacing w:val="0"/>
          <w:w w:val="100"/>
          <w:position w:val="0"/>
        </w:rPr>
        <w:t>10</w:t>
      </w:r>
      <w:r>
        <w:rPr>
          <w:color w:val="000000"/>
          <w:spacing w:val="0"/>
          <w:w w:val="100"/>
          <w:position w:val="0"/>
        </w:rPr>
        <w:t>年以上游戏行业从业经验，均有完整从事端游、页游和手机游戏发行的成功经验。 优秀的行业团队和自有平台结合哆可梦自主开发的可对所运营游戏进行实时数据监控的游戏数据分析平台</w:t>
      </w:r>
      <w:r>
        <w:rPr>
          <w:rFonts w:ascii="Times New Roman" w:eastAsia="Times New Roman" w:hAnsi="Times New Roman" w:cs="Times New Roman"/>
          <w:color w:val="000000"/>
          <w:spacing w:val="0"/>
          <w:w w:val="100"/>
          <w:position w:val="0"/>
        </w:rPr>
        <w:t>GM Tool</w:t>
      </w:r>
      <w:r>
        <w:rPr>
          <w:color w:val="000000"/>
          <w:spacing w:val="0"/>
          <w:w w:val="100"/>
          <w:position w:val="0"/>
        </w:rPr>
        <w:t>，</w:t>
      </w:r>
      <w:r>
        <w:rPr>
          <w:color w:val="000000"/>
          <w:spacing w:val="0"/>
          <w:w w:val="100"/>
          <w:position w:val="0"/>
        </w:rPr>
        <w:t>通过优 秀的数据分析能力实现精准市场投放，建立了以数据为基础、以用户行为为导向的精细化运营体系，从而成功打造</w:t>
      </w:r>
      <w:r>
        <w:rPr>
          <w:rFonts w:ascii="Times New Roman" w:eastAsia="Times New Roman" w:hAnsi="Times New Roman" w:cs="Times New Roman"/>
          <w:color w:val="000000"/>
          <w:spacing w:val="0"/>
          <w:w w:val="100"/>
          <w:position w:val="0"/>
        </w:rPr>
        <w:t>“</w:t>
      </w:r>
      <w:r>
        <w:rPr>
          <w:color w:val="000000"/>
          <w:spacing w:val="0"/>
          <w:w w:val="100"/>
          <w:position w:val="0"/>
        </w:rPr>
        <w:t>自研为 主、精品代理、精准流量运营</w:t>
      </w:r>
      <w:r>
        <w:rPr>
          <w:rFonts w:ascii="Times New Roman" w:eastAsia="Times New Roman" w:hAnsi="Times New Roman" w:cs="Times New Roman"/>
          <w:color w:val="000000"/>
          <w:spacing w:val="0"/>
          <w:w w:val="100"/>
          <w:position w:val="0"/>
        </w:rPr>
        <w:t>”</w:t>
      </w:r>
      <w:r>
        <w:rPr>
          <w:color w:val="000000"/>
          <w:spacing w:val="0"/>
          <w:w w:val="100"/>
          <w:position w:val="0"/>
        </w:rPr>
        <w:t>的立体发行模式。</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此外，公司拥有完善的管理体系和专业的管理团队。公司以精益生产为目标不断完善内部管理体系，提升内部运营效率、 减少浪费并严格控制经营费用；公司专业管理团队在把握行业发展趋势、严控产品质量、提高精细化管理水平、形成企业凝 聚力方面积累了丰富的经验和较高的管理能力，有力地推动了公司产品和服务的升级及业务领域的拓展。</w:t>
      </w:r>
    </w:p>
    <w:p>
      <w:pPr>
        <w:pStyle w:val="Style28"/>
        <w:keepNext/>
        <w:keepLines/>
        <w:widowControl w:val="0"/>
        <w:shd w:val="clear" w:color="auto" w:fill="auto"/>
        <w:tabs>
          <w:tab w:pos="475" w:val="left"/>
        </w:tabs>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四</w:t>
      </w:r>
      <w:bookmarkEnd w:id="90"/>
      <w:r>
        <w:rPr>
          <w:color w:val="000000"/>
          <w:spacing w:val="0"/>
          <w:w w:val="100"/>
          <w:position w:val="0"/>
          <w:sz w:val="24"/>
          <w:szCs w:val="24"/>
        </w:rPr>
        <w:t>、</w:t>
        <w:tab/>
        <w:t>主营业务分析</w:t>
      </w:r>
      <w:bookmarkEnd w:id="88"/>
      <w:bookmarkEnd w:id="89"/>
      <w:bookmarkEnd w:id="91"/>
    </w:p>
    <w:p>
      <w:pPr>
        <w:pStyle w:val="Style34"/>
        <w:keepNext/>
        <w:keepLines/>
        <w:widowControl w:val="0"/>
        <w:shd w:val="clear" w:color="auto" w:fill="auto"/>
        <w:tabs>
          <w:tab w:pos="321" w:val="left"/>
        </w:tabs>
        <w:bidi w:val="0"/>
        <w:spacing w:before="0" w:after="24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2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4"/>
        <w:keepNext/>
        <w:keepLines/>
        <w:widowControl w:val="0"/>
        <w:shd w:val="clear" w:color="auto" w:fill="auto"/>
        <w:tabs>
          <w:tab w:pos="331"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34"/>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96" w:name="bookmark96"/>
      <w:bookmarkStart w:id="97" w:name="bookmark97"/>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96"/>
      <w:bookmarkEnd w:id="9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843"/>
        <w:gridCol w:w="1560"/>
        <w:gridCol w:w="1416"/>
        <w:gridCol w:w="1560"/>
        <w:gridCol w:w="10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329,906,421.16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785,008,872.15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2136"/>
        <w:gridCol w:w="1843"/>
        <w:gridCol w:w="1560"/>
        <w:gridCol w:w="1416"/>
        <w:gridCol w:w="1560"/>
        <w:gridCol w:w="107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152,332,846.79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225,563,848.02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135,722,633.74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548,955,410.33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35,234,154.76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10,489,613.80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电气产品类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119,741,278.93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194,437,372.17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绝缘产品类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32,591,567.86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31,126,475.85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游戏发行类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129,706,570.01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544,313,496.86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游戏研发类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6,016,063.73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4,641,913.47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电动汽车充电桩类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35,234,154.76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10,489,613.80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321,621,452.00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787,463,585.28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8,284,969.16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-2,454,713.13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制造业务</w:t>
            </w:r>
            <w:r>
              <w:rPr>
                <w:color w:val="000000"/>
                <w:spacing w:val="0"/>
                <w:w w:val="100"/>
                <w:position w:val="0"/>
              </w:rPr>
              <w:t>-</w:t>
            </w:r>
            <w:r>
              <w:rPr>
                <w:rFonts w:ascii="SimSun" w:eastAsia="SimSun" w:hAnsi="SimSun" w:cs="SimSun"/>
                <w:color w:val="000000"/>
                <w:spacing w:val="0"/>
                <w:w w:val="100"/>
                <w:position w:val="0"/>
              </w:rPr>
              <w:t>直销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112,898,853.25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84,102,186.78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制造业务</w:t>
            </w:r>
            <w:r>
              <w:rPr>
                <w:color w:val="000000"/>
                <w:spacing w:val="0"/>
                <w:w w:val="100"/>
                <w:position w:val="0"/>
              </w:rPr>
              <w:t>-</w:t>
            </w:r>
            <w:r>
              <w:rPr>
                <w:rFonts w:ascii="SimSun" w:eastAsia="SimSun" w:hAnsi="SimSun" w:cs="SimSun"/>
                <w:color w:val="000000"/>
                <w:spacing w:val="0"/>
                <w:w w:val="100"/>
                <w:position w:val="0"/>
              </w:rPr>
              <w:t>经销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74,688,409.18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141,356,066.91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游戏业务</w:t>
            </w:r>
            <w:r>
              <w:rPr>
                <w:color w:val="000000"/>
                <w:spacing w:val="0"/>
                <w:w w:val="100"/>
                <w:position w:val="0"/>
              </w:rPr>
              <w:t>-</w:t>
            </w:r>
            <w:r>
              <w:rPr>
                <w:rFonts w:ascii="SimSun" w:eastAsia="SimSun" w:hAnsi="SimSun" w:cs="SimSun"/>
                <w:color w:val="000000"/>
                <w:spacing w:val="0"/>
                <w:w w:val="100"/>
                <w:position w:val="0"/>
              </w:rPr>
              <w:t>自营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115,795,118.91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469,681,871.39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游戏业务</w:t>
            </w:r>
            <w:r>
              <w:rPr>
                <w:color w:val="000000"/>
                <w:spacing w:val="0"/>
                <w:w w:val="100"/>
                <w:position w:val="0"/>
              </w:rPr>
              <w:t>-</w:t>
            </w:r>
            <w:r>
              <w:rPr>
                <w:rFonts w:ascii="SimSun" w:eastAsia="SimSun" w:hAnsi="SimSun" w:cs="SimSun"/>
                <w:color w:val="000000"/>
                <w:spacing w:val="0"/>
                <w:w w:val="100"/>
                <w:position w:val="0"/>
              </w:rPr>
              <w:t>联运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19,927,514.83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79,119,850.40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6,596,524.99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10,748,896.67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年公司实现境外营业收入</w:t>
      </w:r>
      <w:r>
        <w:rPr>
          <w:rFonts w:ascii="Times New Roman" w:eastAsia="Times New Roman" w:hAnsi="Times New Roman" w:cs="Times New Roman"/>
          <w:color w:val="000000"/>
          <w:spacing w:val="0"/>
          <w:w w:val="100"/>
          <w:position w:val="0"/>
        </w:rPr>
        <w:t>584.56</w:t>
      </w:r>
      <w:r>
        <w:rPr>
          <w:color w:val="000000"/>
          <w:spacing w:val="0"/>
          <w:w w:val="100"/>
          <w:position w:val="0"/>
        </w:rPr>
        <w:t>万元，因公司对控股子公司成都吉乾的前期会计差错采取未来适用法进行处理， 故公司在</w:t>
      </w:r>
      <w:r>
        <w:rPr>
          <w:rFonts w:ascii="Times New Roman" w:eastAsia="Times New Roman" w:hAnsi="Times New Roman" w:cs="Times New Roman"/>
          <w:color w:val="000000"/>
          <w:spacing w:val="0"/>
          <w:w w:val="100"/>
          <w:position w:val="0"/>
        </w:rPr>
        <w:t>2020</w:t>
      </w:r>
      <w:r>
        <w:rPr>
          <w:color w:val="000000"/>
          <w:spacing w:val="0"/>
          <w:w w:val="100"/>
          <w:position w:val="0"/>
        </w:rPr>
        <w:t>年调减境外营业收入</w:t>
      </w:r>
      <w:r>
        <w:rPr>
          <w:rFonts w:ascii="Times New Roman" w:eastAsia="Times New Roman" w:hAnsi="Times New Roman" w:cs="Times New Roman"/>
          <w:color w:val="000000"/>
          <w:spacing w:val="0"/>
          <w:w w:val="100"/>
          <w:position w:val="0"/>
        </w:rPr>
        <w:t>830.03</w:t>
      </w:r>
      <w:r>
        <w:rPr>
          <w:color w:val="000000"/>
          <w:spacing w:val="0"/>
          <w:w w:val="100"/>
          <w:position w:val="0"/>
        </w:rPr>
        <w:t>万元，导致上述境外营业收入为</w:t>
      </w:r>
      <w:r>
        <w:rPr>
          <w:rFonts w:ascii="Times New Roman" w:eastAsia="Times New Roman" w:hAnsi="Times New Roman" w:cs="Times New Roman"/>
          <w:color w:val="000000"/>
          <w:spacing w:val="0"/>
          <w:w w:val="100"/>
          <w:position w:val="0"/>
        </w:rPr>
        <w:t>-245.47</w:t>
      </w:r>
      <w:r>
        <w:rPr>
          <w:color w:val="000000"/>
          <w:spacing w:val="0"/>
          <w:w w:val="100"/>
          <w:position w:val="0"/>
        </w:rPr>
        <w:t>万元。</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1267"/>
        <w:gridCol w:w="1142"/>
        <w:gridCol w:w="88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73,955,049.26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80,460,550.19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82,587,060.90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92,903,760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334,529,594.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178,919,258.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162,777,940.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108,782,079.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-33,250,076.10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-36,464,286.85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-59,416,744.8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-93,723,48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27,693,225.0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5,269,976.19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-7,256,557.5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-208,587,00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bl>
    <w:p>
      <w:pPr>
        <w:pStyle w:val="Style2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说明经营季节性（或周期性）发生的原因及波动风险 不适用</w:t>
      </w:r>
    </w:p>
    <w:p>
      <w:pPr>
        <w:pStyle w:val="Style34"/>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2"/>
      <w:bookmarkEnd w:id="103"/>
      <w:bookmarkEnd w:id="105"/>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br w:type="page"/>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1416"/>
        <w:gridCol w:w="931"/>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152,332,846.79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108,203,538.92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135,722,633.74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80,140,345.25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35,234,154.76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27,387,746.35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43,501.06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电气产品类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119,741,278.93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87,550,838.29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绝缘产品类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32,591,567.86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20,652,700.63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游戏发行类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129,706,570.01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79,421,209.90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游戏研发类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6,016,063.73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719,135.35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电动汽车充电桩类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35,234,154.76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27,387,746.35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43,501.06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321,621,452.00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210,989,639.43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8,284,969.16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4,785,492.15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272.39%</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6"/>
      <w:bookmarkEnd w:id="107"/>
      <w:bookmarkEnd w:id="109"/>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r>
              <w:rPr>
                <w:color w:val="000000"/>
                <w:spacing w:val="0"/>
                <w:w w:val="100"/>
                <w:position w:val="0"/>
              </w:rPr>
              <w:t>/</w:t>
            </w:r>
            <w:r>
              <w:rPr>
                <w:rFonts w:ascii="SimSun" w:eastAsia="SimSun" w:hAnsi="SimSun" w:cs="SimSun"/>
                <w:color w:val="000000"/>
                <w:spacing w:val="0"/>
                <w:w w:val="100"/>
                <w:position w:val="0"/>
              </w:rPr>
              <w:t>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r>
              <w:rPr>
                <w:color w:val="000000"/>
                <w:spacing w:val="0"/>
                <w:w w:val="100"/>
                <w:position w:val="0"/>
              </w:rPr>
              <w:t>/</w:t>
            </w:r>
            <w:r>
              <w:rPr>
                <w:rFonts w:ascii="SimSun" w:eastAsia="SimSun" w:hAnsi="SimSun" w:cs="SimSun"/>
                <w:color w:val="000000"/>
                <w:spacing w:val="0"/>
                <w:w w:val="100"/>
                <w:position w:val="0"/>
              </w:rPr>
              <w:t>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r>
              <w:rPr>
                <w:color w:val="000000"/>
                <w:spacing w:val="0"/>
                <w:w w:val="100"/>
                <w:position w:val="0"/>
              </w:rPr>
              <w:t>/</w:t>
            </w:r>
            <w:r>
              <w:rPr>
                <w:rFonts w:ascii="SimSun" w:eastAsia="SimSun" w:hAnsi="SimSun" w:cs="SimSun"/>
                <w:color w:val="000000"/>
                <w:spacing w:val="0"/>
                <w:w w:val="100"/>
                <w:position w:val="0"/>
              </w:rPr>
              <w:t>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numPr>
          <w:ilvl w:val="0"/>
          <w:numId w:val="3"/>
        </w:numPr>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公司已签订的重大销售合同、重大采购合同截至本报告期的履行情况</w:t>
      </w:r>
      <w:bookmarkEnd w:id="110"/>
      <w:bookmarkEnd w:id="111"/>
      <w:bookmarkEnd w:id="11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3"/>
        </w:numPr>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营业成本构成</w:t>
      </w:r>
      <w:bookmarkEnd w:id="114"/>
      <w:bookmarkEnd w:id="115"/>
      <w:bookmarkEnd w:id="117"/>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108,203,538.92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164,924,899.04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-34.39%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80,140,345.25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115,718,835.36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27,387,746.35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43,501.06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1,524,518.19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-97.15%</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电气产品类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87,550,838.29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145,683,827.17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绝缘产品类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20,652,700.63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19,241,071.87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游戏发行类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79,421,209.90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114,791,627.87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游戏研发类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719,135.35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927,207.49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电动汽车充电桩类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27,387,746.35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43,501.06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1,524,518.19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-97.15%</w:t>
            </w:r>
          </w:p>
        </w:tc>
      </w:tr>
    </w:tbl>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报告期内，公司产品新增服务于新能源汽车等绿色出行领域的新能源汽车充换电设备及服务。</w:t>
      </w:r>
    </w:p>
    <w:p>
      <w:pPr>
        <w:pStyle w:val="Style23"/>
        <w:keepNext w:val="0"/>
        <w:keepLines w:val="0"/>
        <w:widowControl w:val="0"/>
        <w:shd w:val="clear" w:color="auto" w:fill="auto"/>
        <w:bidi w:val="0"/>
        <w:spacing w:before="0" w:after="100" w:line="36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 主营业务成本构成</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12,031,832.21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11,409,423.58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83,692,461.58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140,461,029.98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12,479,245.13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13,054,445.48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游戏分成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21,437,579.19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97,720,501.28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2,320,304.73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3,567,196.48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版权金摊销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55,482,957.08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9,357,958.88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899,504.25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5,073,178.72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9,732,868.84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17,004,548.54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650,328.97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1,524,518.19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8"/>
      <w:bookmarkEnd w:id="119"/>
      <w:bookmarkEnd w:id="12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年合并报表范围相比上年，新设重庆惠程未来、重庆合盛等</w:t>
      </w:r>
      <w:r>
        <w:rPr>
          <w:rFonts w:ascii="Times New Roman" w:eastAsia="Times New Roman" w:hAnsi="Times New Roman" w:cs="Times New Roman"/>
          <w:color w:val="000000"/>
          <w:spacing w:val="0"/>
          <w:w w:val="100"/>
          <w:position w:val="0"/>
        </w:rPr>
        <w:t>2</w:t>
      </w:r>
      <w:r>
        <w:rPr>
          <w:color w:val="000000"/>
          <w:spacing w:val="0"/>
          <w:w w:val="100"/>
          <w:position w:val="0"/>
        </w:rPr>
        <w:t>家公司，对外处置全资子公司链接世界。</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2"/>
      <w:bookmarkEnd w:id="123"/>
      <w:bookmarkEnd w:id="12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6"/>
      <w:bookmarkEnd w:id="127"/>
      <w:bookmarkEnd w:id="129"/>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91,106,602.69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重庆绿发及其子公司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33,101,319.08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25,461,800.74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广东电网有限责任公司广州供电局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17,203,539.73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山东众易电气有限公司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8,064,194.71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国网湖北省电力有限公司物资公司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7,275,748.43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91,106,602.69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第一大客户中，公司间接控股股东重庆绿发控制的主体一连盛同辉报告期内向公司采购充电桩及配套服务总计</w:t>
      </w:r>
    </w:p>
    <w:p>
      <w:pPr>
        <w:pStyle w:val="Style23"/>
        <w:keepNext w:val="0"/>
        <w:keepLines w:val="0"/>
        <w:widowControl w:val="0"/>
        <w:shd w:val="clear" w:color="auto" w:fill="auto"/>
        <w:bidi w:val="0"/>
        <w:spacing w:before="0" w:after="220" w:line="322" w:lineRule="exact"/>
        <w:ind w:left="0" w:right="0" w:firstLine="0"/>
        <w:jc w:val="left"/>
      </w:pPr>
      <w:r>
        <w:rPr>
          <w:rFonts w:ascii="Times New Roman" w:eastAsia="Times New Roman" w:hAnsi="Times New Roman" w:cs="Times New Roman"/>
          <w:color w:val="000000"/>
          <w:spacing w:val="0"/>
          <w:w w:val="100"/>
          <w:position w:val="0"/>
        </w:rPr>
        <w:t>3,282.38</w:t>
      </w:r>
      <w:r>
        <w:rPr>
          <w:color w:val="000000"/>
          <w:spacing w:val="0"/>
          <w:w w:val="100"/>
          <w:position w:val="0"/>
        </w:rPr>
        <w:t>万元，相关关联交易已经公司董事会、股东大会审议并披露，详见公司在巨潮资讯网披露的相关公告。其他前五大 客户与公司不存在关联关系。</w:t>
      </w: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138,828,560.43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杭州乔月网络科技有限公司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83,568,014.44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成都上游数字娱乐有限公司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22,792,424.94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上海加鸿网络科技有限公司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14,208,382.21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四川华泰丰源建设工程有限公司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9,311,722.58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上海玉苍网络科技有限公司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8,948,016.26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138,828,560.43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、费用</w:t>
      </w:r>
      <w:bookmarkEnd w:id="130"/>
      <w:bookmarkEnd w:id="131"/>
      <w:bookmarkEnd w:id="13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416"/>
        <w:gridCol w:w="1560"/>
        <w:gridCol w:w="1272"/>
        <w:gridCol w:w="43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132,618,192.54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447,753,943.47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主要系报告期内游戏业务推广费减少所致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117,299,265.33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104,971,742.08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29,609,898.85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63,410,783.99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主要系报告期内公司利息支出减少所致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40,525,353.33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57,050,211.71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主要系报告期内控股子公司哆可梦优化研发结构所致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、研发投入</w:t>
      </w:r>
      <w:bookmarkEnd w:id="134"/>
      <w:bookmarkEnd w:id="135"/>
      <w:bookmarkEnd w:id="137"/>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主要研发项目名称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根据国网制定的标准化 文件，开发为开关柜的 侧面连接起着绝缘防护 和电流输送的作用的产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使公司电气设备产品不断满 足市场需求，提升公司利润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有利于增强公司技术实力、 提高公司产品技术含量、拓 宽公司产品利润空间</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YF-20009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对直流充电桩产品进行 技术升级，扩展产品线， 拓宽商业化应用场景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取得型式实验报告，达到量 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有利于增强公司技术实力、 提高公司产品技术含量、拓 宽公司产品利润空间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YF-21013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填补厂内电力系统在线 监测的技术空缺；扩展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完成试验验证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使公司电气设备产品不断满 足市场需求，提升公司利润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有利于增强公司技术实力、 提高公司产品技术含量、拓</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产品类型；为将来电力 系统运维与检修趋势做 产品及技术储备。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宽公司产品利润空间</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惠程充电平台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自建惠程充电用户端、 管理端、数据端，填补 软件侧空白。除满足充 电和管理需求外，以自 研充电平台为抓手，整 合运营商、场站、桩、 用户、车辆等资源和数 据，具备切入新能源相 关领域和市场的条件。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完成一期建设和一 期优化，以</w:t>
            </w:r>
            <w:r>
              <w:rPr>
                <w:color w:val="000000"/>
                <w:spacing w:val="0"/>
                <w:w w:val="100"/>
                <w:position w:val="0"/>
              </w:rPr>
              <w:t>SaaS</w:t>
            </w:r>
            <w:r>
              <w:rPr>
                <w:rFonts w:ascii="SimSun" w:eastAsia="SimSun" w:hAnsi="SimSun" w:cs="SimSun"/>
                <w:color w:val="000000"/>
                <w:spacing w:val="0"/>
                <w:w w:val="100"/>
                <w:position w:val="0"/>
              </w:rPr>
              <w:t>模 式搭建，微信小程序 和</w:t>
            </w:r>
            <w:r>
              <w:rPr>
                <w:color w:val="000000"/>
                <w:spacing w:val="0"/>
                <w:w w:val="100"/>
                <w:position w:val="0"/>
              </w:rPr>
              <w:t>WEB</w:t>
            </w:r>
            <w:r>
              <w:rPr>
                <w:rFonts w:ascii="SimSun" w:eastAsia="SimSun" w:hAnsi="SimSun" w:cs="SimSun"/>
                <w:color w:val="000000"/>
                <w:spacing w:val="0"/>
                <w:w w:val="100"/>
                <w:position w:val="0"/>
              </w:rPr>
              <w:t>管理端为 主，可满足充电和基 础管理需要，具备基 础运营能力。平台已 上线接入部分交流 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具备灵活部署和应用的能</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力，丰富接入范围和渠道， 支持多样的管理、运营和资 金流向等需求。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45" w:val="left"/>
              </w:tabs>
              <w:bidi w:val="0"/>
              <w:spacing w:before="0" w:after="0" w:line="31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先解决有无，使得公司销 售充电桩时具备多个选项。</w:t>
            </w:r>
          </w:p>
          <w:p>
            <w:pPr>
              <w:pStyle w:val="Style25"/>
              <w:keepNext w:val="0"/>
              <w:keepLines w:val="0"/>
              <w:widowControl w:val="0"/>
              <w:shd w:val="clear" w:color="auto" w:fill="auto"/>
              <w:tabs>
                <w:tab w:pos="254" w:val="left"/>
              </w:tabs>
              <w:bidi w:val="0"/>
              <w:spacing w:before="0" w:after="0" w:line="31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再通过灵活架构，使得平 台（软件）瞄准中小运营商 市场，具备一定的生存空间。</w:t>
            </w:r>
          </w:p>
          <w:p>
            <w:pPr>
              <w:pStyle w:val="Style25"/>
              <w:keepNext w:val="0"/>
              <w:keepLines w:val="0"/>
              <w:widowControl w:val="0"/>
              <w:shd w:val="clear" w:color="auto" w:fill="auto"/>
              <w:tabs>
                <w:tab w:pos="245" w:val="left"/>
              </w:tabs>
              <w:bidi w:val="0"/>
              <w:spacing w:before="0" w:after="0" w:line="31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通过积累客户和用户，并 尝试和推动增值业务，使得 公司能够切入新能源相关领 域和市场。</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w:t>
            </w:r>
            <w:r>
              <w:rPr>
                <w:color w:val="000000"/>
                <w:spacing w:val="0"/>
                <w:w w:val="100"/>
                <w:position w:val="0"/>
              </w:rPr>
              <w:t>A9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测试数据达标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可持续进行多版本开发，加 大营收能力，提供后续产品 数值基础和参考</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w:t>
            </w:r>
            <w:r>
              <w:rPr>
                <w:color w:val="000000"/>
                <w:spacing w:val="0"/>
                <w:w w:val="100"/>
                <w:position w:val="0"/>
              </w:rPr>
              <w:t>A10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业务需求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测试数据达标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可持续进行多版本开发，加 大营收能力，提供后续产品 数值基础和参考</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19"/>
        <w:gridCol w:w="2371"/>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专科及以下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岁以上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986"/>
        <w:gridCol w:w="2126"/>
        <w:gridCol w:w="2266"/>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40,720,515.52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57,050,211.71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9" w:lineRule="exact"/>
        <w:ind w:left="0" w:right="0"/>
        <w:jc w:val="left"/>
      </w:pPr>
      <w:r>
        <w:rPr>
          <w:color w:val="000000"/>
          <w:spacing w:val="0"/>
          <w:w w:val="100"/>
          <w:position w:val="0"/>
        </w:rPr>
        <w:t>报告期末，公司研发人数量同比下降</w:t>
      </w:r>
      <w:r>
        <w:rPr>
          <w:rFonts w:ascii="Times New Roman" w:eastAsia="Times New Roman" w:hAnsi="Times New Roman" w:cs="Times New Roman"/>
          <w:color w:val="000000"/>
          <w:spacing w:val="0"/>
          <w:w w:val="100"/>
          <w:position w:val="0"/>
        </w:rPr>
        <w:t>42.64%</w:t>
      </w:r>
      <w:r>
        <w:rPr>
          <w:color w:val="000000"/>
          <w:spacing w:val="0"/>
          <w:w w:val="100"/>
          <w:position w:val="0"/>
        </w:rPr>
        <w:t>，主要系公司控股子公司哆可梦结合行业情况及产品收入表现，进行了部 分业务优化，关停了部分盈利不佳项目的推广及运营。公司其他主营业务研发情况未发生重大变化，报告期内公司加大对充 电桩及自有充电服务平台的研发力度，预计对公司未来发展有积极影响。</w:t>
      </w:r>
    </w:p>
    <w:p>
      <w:pPr>
        <w:pStyle w:val="Style2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主要系报告期内公司游戏业务营业收入同比下降幅度较大所致。</w:t>
      </w:r>
    </w:p>
    <w:p>
      <w:pPr>
        <w:pStyle w:val="Style2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、现金流</w:t>
      </w:r>
      <w:bookmarkEnd w:id="138"/>
      <w:bookmarkEnd w:id="139"/>
      <w:bookmarkEnd w:id="14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70"/>
        <w:gridCol w:w="2549"/>
        <w:gridCol w:w="20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725,825,374.86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1,228,476,586.34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518,061,471.32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1,101,541,636.89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207,763,903.54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126,934,949.45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15,868,514.57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448,663,154.90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75,927,768.87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223,251,286.25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-60,059,254.30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225,411,868.65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140,597,000.00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190,100,000.00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278,060,854.13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703,959,427.60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-60.50%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-137,463,854.13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-513,859,427.60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9,095,559.93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-161,326,932.35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901" w:val="left"/>
        </w:tabs>
        <w:bidi w:val="0"/>
        <w:spacing w:before="0" w:after="0" w:line="317" w:lineRule="exact"/>
        <w:ind w:left="0" w:right="0"/>
        <w:jc w:val="left"/>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1</w:t>
      </w:r>
      <w:r>
        <w:rPr>
          <w:color w:val="000000"/>
          <w:spacing w:val="0"/>
          <w:w w:val="100"/>
          <w:position w:val="0"/>
        </w:rPr>
        <w:t>）</w:t>
        <w:tab/>
        <w:t>公司本报告期内经营活动现金流流入、流出分别同比下降</w:t>
      </w:r>
      <w:r>
        <w:rPr>
          <w:rFonts w:ascii="Times New Roman" w:eastAsia="Times New Roman" w:hAnsi="Times New Roman" w:cs="Times New Roman"/>
          <w:color w:val="000000"/>
          <w:spacing w:val="0"/>
          <w:w w:val="100"/>
          <w:position w:val="0"/>
        </w:rPr>
        <w:t>40.92%</w:t>
      </w:r>
      <w:r>
        <w:rPr>
          <w:color w:val="000000"/>
          <w:spacing w:val="0"/>
          <w:w w:val="100"/>
          <w:position w:val="0"/>
        </w:rPr>
        <w:t>、</w:t>
      </w:r>
      <w:r>
        <w:rPr>
          <w:rFonts w:ascii="Times New Roman" w:eastAsia="Times New Roman" w:hAnsi="Times New Roman" w:cs="Times New Roman"/>
          <w:color w:val="000000"/>
          <w:spacing w:val="0"/>
          <w:w w:val="100"/>
          <w:position w:val="0"/>
        </w:rPr>
        <w:t>52.97%</w:t>
      </w:r>
      <w:r>
        <w:rPr>
          <w:color w:val="000000"/>
          <w:spacing w:val="0"/>
          <w:w w:val="100"/>
          <w:position w:val="0"/>
        </w:rPr>
        <w:t>，主要系报告期公司控股子公司哆可梦 业务规模下降，推广费用减少所致。经营活动产生的现金流量净额同比上升</w:t>
      </w:r>
      <w:r>
        <w:rPr>
          <w:rFonts w:ascii="Times New Roman" w:eastAsia="Times New Roman" w:hAnsi="Times New Roman" w:cs="Times New Roman"/>
          <w:color w:val="000000"/>
          <w:spacing w:val="0"/>
          <w:w w:val="100"/>
          <w:position w:val="0"/>
        </w:rPr>
        <w:t>63.68%</w:t>
      </w:r>
      <w:r>
        <w:rPr>
          <w:color w:val="000000"/>
          <w:spacing w:val="0"/>
          <w:w w:val="100"/>
          <w:position w:val="0"/>
        </w:rPr>
        <w:t>，主要系报告期内收到公司时任控股股 东及其关联方归还的资金占用款所致。</w:t>
      </w:r>
    </w:p>
    <w:p>
      <w:pPr>
        <w:pStyle w:val="Style23"/>
        <w:keepNext w:val="0"/>
        <w:keepLines w:val="0"/>
        <w:widowControl w:val="0"/>
        <w:shd w:val="clear" w:color="auto" w:fill="auto"/>
        <w:tabs>
          <w:tab w:pos="896" w:val="left"/>
        </w:tabs>
        <w:bidi w:val="0"/>
        <w:spacing w:before="0" w:after="0" w:line="317" w:lineRule="exact"/>
        <w:ind w:left="0" w:right="0"/>
        <w:jc w:val="left"/>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rPr>
        <w:t>2</w:t>
      </w:r>
      <w:r>
        <w:rPr>
          <w:color w:val="000000"/>
          <w:spacing w:val="0"/>
          <w:w w:val="100"/>
          <w:position w:val="0"/>
        </w:rPr>
        <w:t>）</w:t>
        <w:tab/>
        <w:t>公司本报告期内投资活动现金流入同比下降</w:t>
      </w:r>
      <w:r>
        <w:rPr>
          <w:rFonts w:ascii="Times New Roman" w:eastAsia="Times New Roman" w:hAnsi="Times New Roman" w:cs="Times New Roman"/>
          <w:color w:val="000000"/>
          <w:spacing w:val="0"/>
          <w:w w:val="100"/>
          <w:position w:val="0"/>
        </w:rPr>
        <w:t>96.46%</w:t>
      </w:r>
      <w:r>
        <w:rPr>
          <w:color w:val="000000"/>
          <w:spacing w:val="0"/>
          <w:w w:val="100"/>
          <w:position w:val="0"/>
        </w:rPr>
        <w:t>，主要系公司上年度转让中航信托理财产品收益，导致上年度 收回投资收到的现金大幅增加所致；投资活动现金流出同比下降</w:t>
      </w:r>
      <w:r>
        <w:rPr>
          <w:rFonts w:ascii="Times New Roman" w:eastAsia="Times New Roman" w:hAnsi="Times New Roman" w:cs="Times New Roman"/>
          <w:color w:val="000000"/>
          <w:spacing w:val="0"/>
          <w:w w:val="100"/>
          <w:position w:val="0"/>
        </w:rPr>
        <w:t>65.99%</w:t>
      </w:r>
      <w:r>
        <w:rPr>
          <w:color w:val="000000"/>
          <w:spacing w:val="0"/>
          <w:w w:val="100"/>
          <w:position w:val="0"/>
        </w:rPr>
        <w:t>，主要系公司报告期内减少对外投资所致。</w:t>
      </w:r>
    </w:p>
    <w:p>
      <w:pPr>
        <w:pStyle w:val="Style23"/>
        <w:keepNext w:val="0"/>
        <w:keepLines w:val="0"/>
        <w:widowControl w:val="0"/>
        <w:shd w:val="clear" w:color="auto" w:fill="auto"/>
        <w:tabs>
          <w:tab w:pos="825" w:val="left"/>
        </w:tabs>
        <w:bidi w:val="0"/>
        <w:spacing w:before="0" w:after="0" w:line="317" w:lineRule="exact"/>
        <w:ind w:left="0" w:right="0"/>
        <w:jc w:val="left"/>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w:t>
        <w:tab/>
        <w:t>公司本报告期内筹资活动现金流出同比下降</w:t>
      </w:r>
      <w:r>
        <w:rPr>
          <w:rFonts w:ascii="Times New Roman" w:eastAsia="Times New Roman" w:hAnsi="Times New Roman" w:cs="Times New Roman"/>
          <w:color w:val="000000"/>
          <w:spacing w:val="0"/>
          <w:w w:val="100"/>
          <w:position w:val="0"/>
        </w:rPr>
        <w:t>60.50%</w:t>
      </w:r>
      <w:r>
        <w:rPr>
          <w:color w:val="000000"/>
          <w:spacing w:val="0"/>
          <w:w w:val="100"/>
          <w:position w:val="0"/>
        </w:rPr>
        <w:t>，主要系公司报告期内偿还的贷款同比减少所致。</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380" w:line="317" w:lineRule="exact"/>
        <w:ind w:left="0" w:right="0"/>
        <w:jc w:val="left"/>
      </w:pPr>
      <w:r>
        <w:rPr>
          <w:color w:val="000000"/>
          <w:spacing w:val="0"/>
          <w:w w:val="100"/>
          <w:position w:val="0"/>
        </w:rPr>
        <w:t>报告期内，公司收到时任控股股东及其关联方归还的资金占用款，故经营活动产生的现金流量净额与净利润方向不一致。</w:t>
      </w:r>
    </w:p>
    <w:p>
      <w:pPr>
        <w:pStyle w:val="Style28"/>
        <w:keepNext/>
        <w:keepLines/>
        <w:widowControl w:val="0"/>
        <w:shd w:val="clear" w:color="auto" w:fill="auto"/>
        <w:bidi w:val="0"/>
        <w:spacing w:before="0" w:after="2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五</w:t>
      </w:r>
      <w:bookmarkEnd w:id="147"/>
      <w:r>
        <w:rPr>
          <w:color w:val="000000"/>
          <w:spacing w:val="0"/>
          <w:w w:val="100"/>
          <w:position w:val="0"/>
          <w:sz w:val="24"/>
          <w:szCs w:val="24"/>
        </w:rPr>
        <w:t>、非主营业务分析</w:t>
      </w:r>
      <w:bookmarkEnd w:id="145"/>
      <w:bookmarkEnd w:id="146"/>
      <w:bookmarkEnd w:id="148"/>
    </w:p>
    <w:p>
      <w:pPr>
        <w:pStyle w:val="Style23"/>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六</w:t>
      </w:r>
      <w:bookmarkEnd w:id="151"/>
      <w:r>
        <w:rPr>
          <w:color w:val="000000"/>
          <w:spacing w:val="0"/>
          <w:w w:val="100"/>
          <w:position w:val="0"/>
          <w:sz w:val="24"/>
          <w:szCs w:val="24"/>
        </w:rPr>
        <w:t>、资产及负债状况分析</w:t>
      </w:r>
      <w:bookmarkEnd w:id="149"/>
      <w:bookmarkEnd w:id="150"/>
      <w:bookmarkEnd w:id="152"/>
    </w:p>
    <w:p>
      <w:pPr>
        <w:pStyle w:val="Style34"/>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416"/>
        <w:gridCol w:w="710"/>
        <w:gridCol w:w="1272"/>
        <w:gridCol w:w="854"/>
        <w:gridCol w:w="850"/>
        <w:gridCol w:w="31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占总资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80,778,317.71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115,070,299.38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109,279,127.95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114,716,678.77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主要系报告期内总资产减少所致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1,113,772.50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35,498,549.78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29,082,550.02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主要系报告期内公司正常经营所致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126,429,000.00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151,726,800.00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主要系报告期内总资产减少所致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23,138,609.24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20,708,042.24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153,962,121.33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162,023,924.68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主要系报告期内总资产减少所致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10,285,428.69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14,575,980.47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142,277,974.80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主要系报告期内偿还贷款所致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4,152,865.67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2,556,713.55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196,417,520.86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459,221,163.50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主要系报告期内偿还部分银行借款及将 部分银行长期借款调整到一年内到期的 非流动负债所致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4,278,334.95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9,439,773.96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4,096,944.78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99,282,529.76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主要系报告期内消耗预付款，转入成本 或销售费用所致</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144,526,660.75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439,358,362.41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主要系报告期内收回时任控股股东及关</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联方占用资金所致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29,211,530.71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11,775,156.02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主要系报告期内待抵扣进项税增加所致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其他权益工具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113,538,291.68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143,508,291.68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主要系报告期内总资产减少所致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359,972.58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36,782,401.53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83,331,192.93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主要系报告期内版权金摊销所致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递延所得税资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61,054,593.33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57,086,287.25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主要系报告期内确认未弥补亏损导致递 延所得税资产增加所致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186,573,932.32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233,312,639.21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主要系报告期内总资产减少所致</w:t>
            </w:r>
          </w:p>
        </w:tc>
      </w:tr>
      <w:tr>
        <w:trPr>
          <w:trHeight w:val="61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172,386,903.08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45,273,860.74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主要系报告期内控股股东借款所致</w:t>
            </w:r>
          </w:p>
        </w:tc>
      </w:tr>
    </w:tbl>
    <w:p>
      <w:pPr>
        <w:spacing w:lineRule="exact" w:line="1"/>
        <w:rPr>
          <w:sz w:val="2"/>
          <w:szCs w:val="2"/>
        </w:rPr>
      </w:pPr>
      <w:r>
        <w:br w:type="page"/>
      </w:r>
    </w:p>
    <w:tbl>
      <w:tblPr>
        <w:tblOverlap w:val="never"/>
        <w:jc w:val="center"/>
        <w:tblLayout w:type="fixed"/>
      </w:tblPr>
      <w:tblGrid>
        <w:gridCol w:w="1286"/>
        <w:gridCol w:w="1416"/>
        <w:gridCol w:w="710"/>
        <w:gridCol w:w="1272"/>
        <w:gridCol w:w="854"/>
        <w:gridCol w:w="850"/>
        <w:gridCol w:w="319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222,925,945.86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105,759,211.98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主要系报告期内将部分银行长期借款调 整到一年内到期的非流动负债所致</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318,012,651.54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352,782,651.54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主要系报告期内进行股权激励计划所致</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315"/>
        <w:gridCol w:w="1277"/>
        <w:gridCol w:w="1416"/>
        <w:gridCol w:w="850"/>
        <w:gridCol w:w="710"/>
        <w:gridCol w:w="706"/>
        <w:gridCol w:w="994"/>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本期购</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本期出</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售金额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143,508,291.68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113,538,291.68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金融资产小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143,508,291.68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113,538,291.68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投资性房地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151,726,800.00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-26,083,600.00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785,800.00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126,429,000.00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295,235,091.68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785,800.00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239,967,291.68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32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tbl>
      <w:tblPr>
        <w:tblOverlap w:val="never"/>
        <w:jc w:val="center"/>
        <w:tblLayout w:type="fixed"/>
      </w:tblPr>
      <w:tblGrid>
        <w:gridCol w:w="1694"/>
        <w:gridCol w:w="2976"/>
        <w:gridCol w:w="5006"/>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18,218,956.84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保函、银承、贷款保证金、诉讼冻结资金</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126,005,424.99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抵押贷款</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114,037,000.00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抵押贷款</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抵押贷款</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258,261,381.83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注：所有权受限制的长期股权投资系公司对哆可梦的投资，投资成本为</w:t>
      </w:r>
      <w:r>
        <w:rPr>
          <w:rFonts w:ascii="Times New Roman" w:eastAsia="Times New Roman" w:hAnsi="Times New Roman" w:cs="Times New Roman"/>
          <w:color w:val="000000"/>
          <w:spacing w:val="0"/>
          <w:w w:val="100"/>
          <w:position w:val="0"/>
        </w:rPr>
        <w:t>1,383,460,950.00</w:t>
      </w:r>
      <w:r>
        <w:rPr>
          <w:color w:val="000000"/>
          <w:spacing w:val="0"/>
          <w:w w:val="100"/>
          <w:position w:val="0"/>
        </w:rPr>
        <w:t>元，公司前期计提了长期股权投资</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减值准备</w:t>
      </w:r>
      <w:r>
        <w:rPr>
          <w:rFonts w:ascii="Times New Roman" w:eastAsia="Times New Roman" w:hAnsi="Times New Roman" w:cs="Times New Roman"/>
          <w:color w:val="000000"/>
          <w:spacing w:val="0"/>
          <w:w w:val="100"/>
          <w:position w:val="0"/>
        </w:rPr>
        <w:t>1,383,460,950.00</w:t>
      </w:r>
      <w:r>
        <w:rPr>
          <w:color w:val="000000"/>
          <w:spacing w:val="0"/>
          <w:w w:val="100"/>
          <w:position w:val="0"/>
        </w:rPr>
        <w:t>元，故账面价值为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七</w:t>
      </w:r>
      <w:bookmarkEnd w:id="167"/>
      <w:r>
        <w:rPr>
          <w:color w:val="000000"/>
          <w:spacing w:val="0"/>
          <w:w w:val="100"/>
          <w:position w:val="0"/>
          <w:sz w:val="24"/>
          <w:szCs w:val="24"/>
        </w:rPr>
        <w:t>、投资状况分析</w:t>
      </w:r>
      <w:bookmarkEnd w:id="165"/>
      <w:bookmarkEnd w:id="166"/>
      <w:bookmarkEnd w:id="168"/>
    </w:p>
    <w:p>
      <w:pPr>
        <w:pStyle w:val="Style34"/>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、总体情况</w:t>
      </w:r>
      <w:bookmarkEnd w:id="169"/>
      <w:bookmarkEnd w:id="170"/>
      <w:bookmarkEnd w:id="172"/>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608,278,970.85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566"/>
        <w:gridCol w:w="427"/>
        <w:gridCol w:w="850"/>
        <w:gridCol w:w="1133"/>
        <w:gridCol w:w="1133"/>
        <w:gridCol w:w="566"/>
        <w:gridCol w:w="643"/>
        <w:gridCol w:w="494"/>
        <w:gridCol w:w="706"/>
        <w:gridCol w:w="710"/>
        <w:gridCol w:w="710"/>
        <w:gridCol w:w="1066"/>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是否 为固 定资 产投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投资项目 涉及行业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资金</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预计</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截止报</w:t>
            </w:r>
          </w:p>
          <w:p>
            <w:pPr>
              <w:pStyle w:val="Style2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告期末</w:t>
            </w:r>
          </w:p>
          <w:p>
            <w:pPr>
              <w:pStyle w:val="Style2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累计实</w:t>
            </w:r>
          </w:p>
          <w:p>
            <w:pPr>
              <w:pStyle w:val="Style2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现的收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期（如</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披露索引（如</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重庆 璧山 区高 速智 能充 电桩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智能制造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自有 及自 筹资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r>
              <w:rPr>
                <w:color w:val="000000"/>
                <w:spacing w:val="0"/>
                <w:w w:val="100"/>
                <w:position w:val="0"/>
              </w:rPr>
              <w:t>4</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15 </w:t>
            </w:r>
            <w:r>
              <w:rPr>
                <w:rFonts w:ascii="SimSun" w:eastAsia="SimSun" w:hAnsi="SimSun" w:cs="SimSun"/>
                <w:color w:val="000000"/>
                <w:spacing w:val="0"/>
                <w:w w:val="100"/>
                <w:position w:val="0"/>
              </w:rPr>
              <w:t>日、</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详见巨潮资 讯网的相关 公告（公告编 号索引：</w:t>
            </w:r>
            <w:r>
              <w:rPr>
                <w:color w:val="000000"/>
                <w:spacing w:val="0"/>
                <w:w w:val="100"/>
                <w:position w:val="0"/>
              </w:rPr>
              <w:t xml:space="preserve">2021 </w:t>
            </w:r>
            <w:r>
              <w:rPr>
                <w:rFonts w:ascii="SimSun" w:eastAsia="SimSun" w:hAnsi="SimSun" w:cs="SimSun"/>
                <w:color w:val="000000"/>
                <w:spacing w:val="0"/>
                <w:w w:val="100"/>
                <w:position w:val="0"/>
              </w:rPr>
              <w:t>—</w:t>
            </w:r>
            <w:r>
              <w:rPr>
                <w:color w:val="000000"/>
                <w:spacing w:val="0"/>
                <w:w w:val="100"/>
                <w:position w:val="0"/>
              </w:rPr>
              <w:t>012</w:t>
            </w:r>
            <w:r>
              <w:rPr>
                <w:rFonts w:ascii="SimSun" w:eastAsia="SimSun" w:hAnsi="SimSun" w:cs="SimSun"/>
                <w:color w:val="000000"/>
                <w:spacing w:val="0"/>
                <w:w w:val="100"/>
                <w:position w:val="0"/>
              </w:rPr>
              <w:t>、</w:t>
            </w:r>
            <w:r>
              <w:rPr>
                <w:color w:val="000000"/>
                <w:spacing w:val="0"/>
                <w:w w:val="100"/>
                <w:position w:val="0"/>
              </w:rPr>
              <w:t>044</w:t>
            </w:r>
            <w:r>
              <w:rPr>
                <w:rFonts w:ascii="SimSun" w:eastAsia="SimSun" w:hAnsi="SimSun" w:cs="SimSun"/>
                <w:color w:val="000000"/>
                <w:spacing w:val="0"/>
                <w:w w:val="100"/>
                <w:position w:val="0"/>
              </w:rPr>
              <w:t xml:space="preserve">、 </w:t>
            </w:r>
            <w:r>
              <w:rPr>
                <w:color w:val="000000"/>
                <w:spacing w:val="0"/>
                <w:w w:val="100"/>
                <w:position w:val="0"/>
              </w:rPr>
              <w:t>093</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、金融资产投资</w:t>
      </w:r>
      <w:bookmarkEnd w:id="181"/>
      <w:bookmarkEnd w:id="182"/>
      <w:bookmarkEnd w:id="184"/>
    </w:p>
    <w:p>
      <w:pPr>
        <w:pStyle w:val="Style34"/>
        <w:keepNext/>
        <w:keepLines/>
        <w:widowControl w:val="0"/>
        <w:shd w:val="clear" w:color="auto" w:fill="auto"/>
        <w:tabs>
          <w:tab w:pos="493" w:val="left"/>
        </w:tabs>
        <w:bidi w:val="0"/>
        <w:spacing w:before="0" w:line="240" w:lineRule="auto"/>
        <w:ind w:left="0" w:right="0" w:firstLine="0"/>
        <w:jc w:val="left"/>
      </w:pPr>
      <w:bookmarkStart w:id="181" w:name="bookmark181"/>
      <w:bookmarkStart w:id="182" w:name="bookmark182"/>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1"/>
      <w:bookmarkEnd w:id="182"/>
      <w:bookmarkEnd w:id="186"/>
    </w:p>
    <w:p>
      <w:pPr>
        <w:pStyle w:val="Style23"/>
        <w:keepNext w:val="0"/>
        <w:keepLines w:val="0"/>
        <w:widowControl w:val="0"/>
        <w:numPr>
          <w:ilvl w:val="0"/>
          <w:numId w:val="5"/>
        </w:numPr>
        <w:shd w:val="clear" w:color="auto" w:fill="auto"/>
        <w:tabs>
          <w:tab w:pos="309" w:val="left"/>
        </w:tabs>
        <w:bidi w:val="0"/>
        <w:spacing w:before="0" w:after="140" w:line="240" w:lineRule="auto"/>
        <w:ind w:left="0" w:right="0" w:firstLine="0"/>
        <w:jc w:val="left"/>
      </w:pPr>
      <w:bookmarkStart w:id="187" w:name="bookmark187"/>
      <w:bookmarkEnd w:id="1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93"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8"/>
      <w:bookmarkEnd w:id="189"/>
      <w:bookmarkEnd w:id="191"/>
    </w:p>
    <w:p>
      <w:pPr>
        <w:pStyle w:val="Style23"/>
        <w:keepNext w:val="0"/>
        <w:keepLines w:val="0"/>
        <w:widowControl w:val="0"/>
        <w:numPr>
          <w:ilvl w:val="0"/>
          <w:numId w:val="5"/>
        </w:numPr>
        <w:shd w:val="clear" w:color="auto" w:fill="auto"/>
        <w:tabs>
          <w:tab w:pos="309" w:val="left"/>
        </w:tabs>
        <w:bidi w:val="0"/>
        <w:spacing w:before="0" w:after="140" w:line="240" w:lineRule="auto"/>
        <w:ind w:left="0" w:right="0" w:firstLine="0"/>
        <w:jc w:val="left"/>
      </w:pPr>
      <w:bookmarkStart w:id="192" w:name="bookmark192"/>
      <w:bookmarkEnd w:id="19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r>
        <w:br w:type="page"/>
      </w:r>
    </w:p>
    <w:p>
      <w:pPr>
        <w:pStyle w:val="Style34"/>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、募集资金使用情况</w:t>
      </w:r>
      <w:bookmarkEnd w:id="193"/>
      <w:bookmarkEnd w:id="194"/>
      <w:bookmarkEnd w:id="19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八</w:t>
      </w:r>
      <w:bookmarkEnd w:id="199"/>
      <w:r>
        <w:rPr>
          <w:color w:val="000000"/>
          <w:spacing w:val="0"/>
          <w:w w:val="100"/>
          <w:position w:val="0"/>
          <w:sz w:val="24"/>
          <w:szCs w:val="24"/>
        </w:rPr>
        <w:t>、重大资产和股权出售</w:t>
      </w:r>
      <w:bookmarkEnd w:id="197"/>
      <w:bookmarkEnd w:id="198"/>
      <w:bookmarkEnd w:id="200"/>
    </w:p>
    <w:p>
      <w:pPr>
        <w:pStyle w:val="Style3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、出售重大资产情况</w:t>
      </w:r>
      <w:bookmarkEnd w:id="201"/>
      <w:bookmarkEnd w:id="202"/>
      <w:bookmarkEnd w:id="20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7"/>
        <w:gridCol w:w="706"/>
        <w:gridCol w:w="710"/>
        <w:gridCol w:w="566"/>
        <w:gridCol w:w="778"/>
        <w:gridCol w:w="634"/>
        <w:gridCol w:w="638"/>
        <w:gridCol w:w="643"/>
        <w:gridCol w:w="566"/>
        <w:gridCol w:w="710"/>
        <w:gridCol w:w="638"/>
        <w:gridCol w:w="638"/>
        <w:gridCol w:w="638"/>
        <w:gridCol w:w="638"/>
        <w:gridCol w:w="648"/>
      </w:tblGrid>
      <w:tr>
        <w:trPr>
          <w:trHeight w:val="38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被出售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价格</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（万</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本期初起 至出售日 该资产为 上市公司 贡献的净 利润（万</w:t>
            </w:r>
          </w:p>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出售对</w:t>
            </w:r>
          </w:p>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公司的 影响 （注</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资产出 售为上 市公司 贡献的 净利润 占净利 润总额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资产出</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售定价</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 为关 联交 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与交易 对方的 关联关 系（适用 关联交 易情形）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220" w:right="0" w:hanging="220"/>
              <w:jc w:val="left"/>
            </w:pPr>
            <w:r>
              <w:rPr>
                <w:rFonts w:ascii="SimSun" w:eastAsia="SimSun" w:hAnsi="SimSun" w:cs="SimSun"/>
                <w:color w:val="000000"/>
                <w:spacing w:val="0"/>
                <w:w w:val="100"/>
                <w:position w:val="0"/>
              </w:rPr>
              <w:t>披露索 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讯网上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的《关</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于处置</w:t>
            </w:r>
          </w:p>
        </w:tc>
      </w:tr>
      <w:tr>
        <w:trPr>
          <w:trHeight w:val="39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南宁自</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136.32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评估</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公司房</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产的公</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有房产</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r>
              <w:rPr>
                <w:rFonts w:ascii="SimSun" w:eastAsia="SimSun" w:hAnsi="SimSun" w:cs="SimSun"/>
                <w:color w:val="000000"/>
                <w:spacing w:val="0"/>
                <w:w w:val="100"/>
                <w:position w:val="0"/>
              </w:rPr>
              <w:t>月</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告》（公</w:t>
            </w:r>
          </w:p>
        </w:tc>
      </w:tr>
      <w:tr>
        <w:trPr>
          <w:trHeight w:val="23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告编</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w:t>
            </w:r>
          </w:p>
        </w:tc>
      </w:tr>
      <w:tr>
        <w:trPr>
          <w:trHeight w:val="3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r>
              <w:rPr>
                <w:rFonts w:ascii="SimSun" w:eastAsia="SimSun" w:hAnsi="SimSun" w:cs="SimSun"/>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、出售重大股权情况</w:t>
      </w:r>
      <w:bookmarkEnd w:id="205"/>
      <w:bookmarkEnd w:id="206"/>
      <w:bookmarkEnd w:id="208"/>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九</w:t>
      </w:r>
      <w:bookmarkEnd w:id="211"/>
      <w:r>
        <w:rPr>
          <w:color w:val="000000"/>
          <w:spacing w:val="0"/>
          <w:w w:val="100"/>
          <w:position w:val="0"/>
          <w:sz w:val="24"/>
          <w:szCs w:val="24"/>
        </w:rPr>
        <w:t>、主要控股参股公司分析</w:t>
      </w:r>
      <w:bookmarkEnd w:id="209"/>
      <w:bookmarkEnd w:id="210"/>
      <w:bookmarkEnd w:id="21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37"/>
        <w:gridCol w:w="278"/>
        <w:gridCol w:w="2587"/>
        <w:gridCol w:w="1046"/>
        <w:gridCol w:w="1046"/>
        <w:gridCol w:w="1046"/>
        <w:gridCol w:w="1042"/>
        <w:gridCol w:w="1046"/>
        <w:gridCol w:w="1056"/>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 司 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哆可 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子 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网络技术服务；电脑游戏软件开 发。计算机、软件及辅助设备销 售；第二类增值电信业务中的信 息服务业务（不含固定网电话信 息服务和互联网信息服务）；互联 网游戏出版；手机游戏出版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306,658,038.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137,001,385.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135,203,177.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-126,091,327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-135,682,850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9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惠程</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子 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许可项目：输电、供电、受电电 力设施的安装、维修和试验；建 设工程施工；电线、电缆制造； 第二类增值电信业务；供电业务。</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（依法须经批准的项目，经相关 部门批准后方可开展经营活动， 具体经营项目以相关部门批准文 件或许可证件为准）一般项目： 电力设施器材制造；配电开关控 制设备研发；输配电及控制设备 制造；智能输配电及控制设备销 售；配电开关控制设备制造；配 电开关控制设备销售；机械电气 设备制造；电工器材制造；销售 代理；电气设备修理；光伏设备 及元器件制造;互联网数据服务； 软件开发；软件外包服务；数据 处理服务；数据处理和存储支持 服务；信息系统运行维护服务； 信息技术咨询服务；技术服务、 技术开发、技术咨询、技术交流、 技术转让、技术推广；国内货物 运输代理；国内贸易代理；装卸 搬运；普通货物仓储服务（不含 危险化学品等需许可审批的项 目）;对外承包工程;充电桩销售; 新兴能源技术研发；机动车充电 销售；建筑材料销售；电线、电 缆经营；电力设施器材销售；停 车场服务；广告发布。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46,303,849.7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18,979,230.4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37,051,341.8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-851,243.10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-1,020,769.6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36"/>
        <w:gridCol w:w="3115"/>
        <w:gridCol w:w="433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bl>
    <w:tbl>
      <w:tblPr>
        <w:tblOverlap w:val="never"/>
        <w:jc w:val="center"/>
        <w:tblLayout w:type="fixed"/>
      </w:tblPr>
      <w:tblGrid>
        <w:gridCol w:w="2136"/>
        <w:gridCol w:w="3115"/>
        <w:gridCol w:w="433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重庆惠程未来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公司新设子公司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对归属于上市公司净利润的影响为</w:t>
            </w:r>
            <w:r>
              <w:rPr>
                <w:color w:val="000000"/>
                <w:spacing w:val="0"/>
                <w:w w:val="100"/>
                <w:position w:val="0"/>
              </w:rPr>
              <w:t>-102.08</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重庆合盛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公司新设子公司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对归属于上市公司净利润的影响为</w:t>
            </w:r>
            <w:r>
              <w:rPr>
                <w:color w:val="000000"/>
                <w:spacing w:val="0"/>
                <w:w w:val="100"/>
                <w:position w:val="0"/>
              </w:rPr>
              <w:t>-1.31</w:t>
            </w:r>
            <w:r>
              <w:rPr>
                <w:rFonts w:ascii="SimSun" w:eastAsia="SimSun" w:hAnsi="SimSun" w:cs="SimSun"/>
                <w:color w:val="000000"/>
                <w:spacing w:val="0"/>
                <w:w w:val="100"/>
                <w:position w:val="0"/>
              </w:rPr>
              <w:t>万元</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链接世界株式会社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对归属于上市公司净利润的影响为</w:t>
            </w:r>
            <w:r>
              <w:rPr>
                <w:color w:val="000000"/>
                <w:spacing w:val="0"/>
                <w:w w:val="100"/>
                <w:position w:val="0"/>
              </w:rPr>
              <w:t>-133.77</w:t>
            </w:r>
            <w:r>
              <w:rPr>
                <w:rFonts w:ascii="SimSun" w:eastAsia="SimSun" w:hAnsi="SimSun" w:cs="SimSun"/>
                <w:color w:val="000000"/>
                <w:spacing w:val="0"/>
                <w:w w:val="100"/>
                <w:position w:val="0"/>
              </w:rPr>
              <w:t>万元</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1.2021</w:t>
      </w:r>
      <w:r>
        <w:rPr>
          <w:color w:val="000000"/>
          <w:spacing w:val="0"/>
          <w:w w:val="100"/>
          <w:position w:val="0"/>
        </w:rPr>
        <w:t>年游戏行业政策管控力度持续加大，行业头部效应显著，手游市场买量竞争加剧。同时报告期内，公司控股子公</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司哆可梦主力游戏在产品周期内的流水有所下降。</w:t>
      </w:r>
    </w:p>
    <w:p>
      <w:pPr>
        <w:pStyle w:val="Style23"/>
        <w:keepNext w:val="0"/>
        <w:keepLines w:val="0"/>
        <w:widowControl w:val="0"/>
        <w:numPr>
          <w:ilvl w:val="0"/>
          <w:numId w:val="7"/>
        </w:numPr>
        <w:shd w:val="clear" w:color="auto" w:fill="auto"/>
        <w:bidi w:val="0"/>
        <w:spacing w:before="0" w:after="360" w:line="313" w:lineRule="exact"/>
        <w:ind w:left="0" w:right="0"/>
        <w:jc w:val="both"/>
      </w:pPr>
      <w:bookmarkStart w:id="213" w:name="bookmark213"/>
      <w:bookmarkEnd w:id="213"/>
      <w:r>
        <w:rPr>
          <w:color w:val="000000"/>
          <w:spacing w:val="0"/>
          <w:w w:val="100"/>
          <w:position w:val="0"/>
        </w:rPr>
        <w:t>鉴于重庆惠程未来于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月成立，起步时间较晚，因此在报告期内对公司净利润影响较小。</w:t>
      </w:r>
    </w:p>
    <w:p>
      <w:pPr>
        <w:pStyle w:val="Style28"/>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r>
        <w:rPr>
          <w:color w:val="000000"/>
          <w:spacing w:val="0"/>
          <w:w w:val="100"/>
          <w:position w:val="0"/>
          <w:sz w:val="24"/>
          <w:szCs w:val="24"/>
        </w:rPr>
        <w:t>十、公司控制的结构化主体情况</w:t>
      </w:r>
      <w:bookmarkEnd w:id="214"/>
      <w:bookmarkEnd w:id="215"/>
      <w:bookmarkEnd w:id="216"/>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17" w:name="bookmark217"/>
      <w:bookmarkStart w:id="218" w:name="bookmark218"/>
      <w:bookmarkStart w:id="219" w:name="bookmark219"/>
      <w:r>
        <w:rPr>
          <w:color w:val="000000"/>
          <w:spacing w:val="0"/>
          <w:w w:val="100"/>
          <w:position w:val="0"/>
          <w:sz w:val="24"/>
          <w:szCs w:val="24"/>
        </w:rPr>
        <w:t>十一、公司未来发展的展望</w:t>
      </w:r>
      <w:bookmarkEnd w:id="217"/>
      <w:bookmarkEnd w:id="218"/>
      <w:bookmarkEnd w:id="219"/>
    </w:p>
    <w:p>
      <w:pPr>
        <w:pStyle w:val="Style23"/>
        <w:keepNext w:val="0"/>
        <w:keepLines w:val="0"/>
        <w:widowControl w:val="0"/>
        <w:shd w:val="clear" w:color="auto" w:fill="auto"/>
        <w:tabs>
          <w:tab w:pos="865" w:val="left"/>
        </w:tabs>
        <w:bidi w:val="0"/>
        <w:spacing w:before="0" w:after="0" w:line="313" w:lineRule="exact"/>
        <w:ind w:left="0" w:right="0"/>
        <w:jc w:val="both"/>
      </w:pPr>
      <w:bookmarkStart w:id="220" w:name="bookmark220"/>
      <w:r>
        <w:rPr>
          <w:b/>
          <w:bCs/>
          <w:color w:val="000000"/>
          <w:spacing w:val="0"/>
          <w:w w:val="100"/>
          <w:position w:val="0"/>
        </w:rPr>
        <w:t>（</w:t>
      </w:r>
      <w:bookmarkEnd w:id="220"/>
      <w:r>
        <w:rPr>
          <w:b/>
          <w:bCs/>
          <w:color w:val="000000"/>
          <w:spacing w:val="0"/>
          <w:w w:val="100"/>
          <w:position w:val="0"/>
        </w:rPr>
        <w:t>一）</w:t>
        <w:tab/>
        <w:t>行业情况</w:t>
      </w:r>
    </w:p>
    <w:p>
      <w:pPr>
        <w:pStyle w:val="Style23"/>
        <w:keepNext w:val="0"/>
        <w:keepLines w:val="0"/>
        <w:widowControl w:val="0"/>
        <w:shd w:val="clear" w:color="auto" w:fill="auto"/>
        <w:bidi w:val="0"/>
        <w:spacing w:before="0" w:after="0" w:line="313" w:lineRule="exact"/>
        <w:ind w:left="0" w:right="0"/>
        <w:jc w:val="both"/>
      </w:pPr>
      <w:r>
        <w:rPr>
          <w:b/>
          <w:bCs/>
          <w:color w:val="000000"/>
          <w:spacing w:val="0"/>
          <w:w w:val="100"/>
          <w:position w:val="0"/>
        </w:rPr>
        <w:t>互联网游戏行业：</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根据中国音数协游戏工委与中国游戏产业研究院发布的《</w:t>
      </w:r>
      <w:r>
        <w:rPr>
          <w:rFonts w:ascii="Times New Roman" w:eastAsia="Times New Roman" w:hAnsi="Times New Roman" w:cs="Times New Roman"/>
          <w:color w:val="000000"/>
          <w:spacing w:val="0"/>
          <w:w w:val="100"/>
          <w:position w:val="0"/>
        </w:rPr>
        <w:t>2021</w:t>
      </w:r>
      <w:r>
        <w:rPr>
          <w:color w:val="000000"/>
          <w:spacing w:val="0"/>
          <w:w w:val="100"/>
          <w:position w:val="0"/>
        </w:rPr>
        <w:t>年中国游戏产业报告》的数据，</w:t>
      </w:r>
      <w:r>
        <w:rPr>
          <w:rFonts w:ascii="Times New Roman" w:eastAsia="Times New Roman" w:hAnsi="Times New Roman" w:cs="Times New Roman"/>
          <w:color w:val="000000"/>
          <w:spacing w:val="0"/>
          <w:w w:val="100"/>
          <w:position w:val="0"/>
        </w:rPr>
        <w:t>2021</w:t>
      </w:r>
      <w:r>
        <w:rPr>
          <w:color w:val="000000"/>
          <w:spacing w:val="0"/>
          <w:w w:val="100"/>
          <w:position w:val="0"/>
        </w:rPr>
        <w:t>年，中国移动游戏 用户规模达</w:t>
      </w:r>
      <w:r>
        <w:rPr>
          <w:rFonts w:ascii="Times New Roman" w:eastAsia="Times New Roman" w:hAnsi="Times New Roman" w:cs="Times New Roman"/>
          <w:color w:val="000000"/>
          <w:spacing w:val="0"/>
          <w:w w:val="100"/>
          <w:position w:val="0"/>
        </w:rPr>
        <w:t>6.56</w:t>
      </w:r>
      <w:r>
        <w:rPr>
          <w:color w:val="000000"/>
          <w:spacing w:val="0"/>
          <w:w w:val="100"/>
          <w:position w:val="0"/>
        </w:rPr>
        <w:t>亿人，同比增长</w:t>
      </w:r>
      <w:r>
        <w:rPr>
          <w:rFonts w:ascii="Times New Roman" w:eastAsia="Times New Roman" w:hAnsi="Times New Roman" w:cs="Times New Roman"/>
          <w:color w:val="000000"/>
          <w:spacing w:val="0"/>
          <w:w w:val="100"/>
          <w:position w:val="0"/>
        </w:rPr>
        <w:t>0.23%</w:t>
      </w:r>
      <w:r>
        <w:rPr>
          <w:color w:val="000000"/>
          <w:spacing w:val="0"/>
          <w:w w:val="100"/>
          <w:position w:val="0"/>
        </w:rPr>
        <w:t>，继续维持存量用户市场竞争格局。</w:t>
      </w:r>
      <w:r>
        <w:rPr>
          <w:rFonts w:ascii="Times New Roman" w:eastAsia="Times New Roman" w:hAnsi="Times New Roman" w:cs="Times New Roman"/>
          <w:color w:val="000000"/>
          <w:spacing w:val="0"/>
          <w:w w:val="100"/>
          <w:position w:val="0"/>
        </w:rPr>
        <w:t>2021</w:t>
      </w:r>
      <w:r>
        <w:rPr>
          <w:color w:val="000000"/>
          <w:spacing w:val="0"/>
          <w:w w:val="100"/>
          <w:position w:val="0"/>
        </w:rPr>
        <w:t>年获批游戏版号共</w:t>
      </w:r>
      <w:r>
        <w:rPr>
          <w:rFonts w:ascii="Times New Roman" w:eastAsia="Times New Roman" w:hAnsi="Times New Roman" w:cs="Times New Roman"/>
          <w:color w:val="000000"/>
          <w:spacing w:val="0"/>
          <w:w w:val="100"/>
          <w:position w:val="0"/>
        </w:rPr>
        <w:t>755</w:t>
      </w:r>
      <w:r>
        <w:rPr>
          <w:color w:val="000000"/>
          <w:spacing w:val="0"/>
          <w:w w:val="100"/>
          <w:position w:val="0"/>
        </w:rPr>
        <w:t>个，同比下降</w:t>
      </w:r>
      <w:r>
        <w:rPr>
          <w:rFonts w:ascii="Times New Roman" w:eastAsia="Times New Roman" w:hAnsi="Times New Roman" w:cs="Times New Roman"/>
          <w:color w:val="000000"/>
          <w:spacing w:val="0"/>
          <w:w w:val="100"/>
          <w:position w:val="0"/>
        </w:rPr>
        <w:t>46.2%</w:t>
      </w:r>
      <w:r>
        <w:rPr>
          <w:color w:val="000000"/>
          <w:spacing w:val="0"/>
          <w:w w:val="100"/>
          <w:position w:val="0"/>
        </w:rPr>
        <w:t>。 在国内用户增长放缓及版号发放数量下降的背景下，中小游戏企业的产品市场竞争环境将更为严峻。同时由于开发资本、渠 道推广等手段受到限制，随着买量成本的逐步升高、渠道与研发成本的增长，将进一步拉大头部企业同中小企业之间的发展 差距。因此，公司游戏业务一方面将对在研产品进行精细化打磨测试，并积极寻找优质的定制独代产品；另一方面将结合市 场情况进行大数据画像精细化买量营销，控制运营成本，以维护全体股东利益。</w:t>
      </w:r>
    </w:p>
    <w:p>
      <w:pPr>
        <w:pStyle w:val="Style23"/>
        <w:keepNext w:val="0"/>
        <w:keepLines w:val="0"/>
        <w:widowControl w:val="0"/>
        <w:shd w:val="clear" w:color="auto" w:fill="auto"/>
        <w:bidi w:val="0"/>
        <w:spacing w:before="0" w:after="0" w:line="313" w:lineRule="exact"/>
        <w:ind w:left="0" w:right="0"/>
        <w:jc w:val="both"/>
      </w:pPr>
      <w:r>
        <w:rPr>
          <w:b/>
          <w:bCs/>
          <w:color w:val="000000"/>
          <w:spacing w:val="0"/>
          <w:w w:val="100"/>
          <w:position w:val="0"/>
        </w:rPr>
        <w:t>高端智能制造行业：</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从电气设备行业来看，第一，随着我国</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、新型基础设施建设等战略的推进实施，能源电力将逐步从高 碳向低碳、从以化石能源为主向以清洁能源为主转变，行业迎来新的发展契机；第二，工业和信息化部等多个部委推动变压 器产业链优化升级，加快电网企业变压器升级改造，加大高效节能变压器推广力度；第三，配网装备将向高端化、智能化、 绿色化方向发展，一体化、全绝缘、免维护、环保型配网设备将成为发展主流；第四，以</w:t>
      </w:r>
      <w:r>
        <w:rPr>
          <w:rFonts w:ascii="Times New Roman" w:eastAsia="Times New Roman" w:hAnsi="Times New Roman" w:cs="Times New Roman"/>
          <w:color w:val="000000"/>
          <w:spacing w:val="0"/>
          <w:w w:val="100"/>
          <w:position w:val="0"/>
        </w:rPr>
        <w:t>“</w:t>
      </w:r>
      <w:r>
        <w:rPr>
          <w:color w:val="000000"/>
          <w:spacing w:val="0"/>
          <w:w w:val="100"/>
          <w:position w:val="0"/>
        </w:rPr>
        <w:t>大云物移智</w:t>
      </w:r>
      <w:r>
        <w:rPr>
          <w:rFonts w:ascii="Times New Roman" w:eastAsia="Times New Roman" w:hAnsi="Times New Roman" w:cs="Times New Roman"/>
          <w:color w:val="000000"/>
          <w:spacing w:val="0"/>
          <w:w w:val="100"/>
          <w:position w:val="0"/>
        </w:rPr>
        <w:t>”</w:t>
      </w:r>
      <w:r>
        <w:rPr>
          <w:color w:val="000000"/>
          <w:spacing w:val="0"/>
          <w:w w:val="100"/>
          <w:position w:val="0"/>
        </w:rPr>
        <w:t>为代表的先进信息技 术加快迭代，将推动以提高能源利用效率、促进新能源发展为目标的综合能源服务加速发展。</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从新能源汽车充电桩基础设施建设来看，首先，政策导向清晰且支持力度巨大，新能源汽车充电行业发展空间广阔。</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月，国家发改委、国家能源局等十部门印发的《关于进一步提升电动汽车充电基础设施服务保障能力的实施意见》（以 下简称《实施意见》）明确新建居住社区要确保固定车位</w:t>
      </w:r>
      <w:r>
        <w:rPr>
          <w:rFonts w:ascii="Times New Roman" w:eastAsia="Times New Roman" w:hAnsi="Times New Roman" w:cs="Times New Roman"/>
          <w:color w:val="000000"/>
          <w:spacing w:val="0"/>
          <w:w w:val="100"/>
          <w:position w:val="0"/>
        </w:rPr>
        <w:t>100%</w:t>
      </w:r>
      <w:r>
        <w:rPr>
          <w:color w:val="000000"/>
          <w:spacing w:val="0"/>
          <w:w w:val="100"/>
          <w:position w:val="0"/>
        </w:rPr>
        <w:t>建设充电设施或预留安装条件根据，</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末我国电动汽 车充电保障能力进一步提升，形成适度超前、布局均衡、智能高效的充电基础设施体系，能够满足超过</w:t>
      </w:r>
      <w:r>
        <w:rPr>
          <w:rFonts w:ascii="Times New Roman" w:eastAsia="Times New Roman" w:hAnsi="Times New Roman" w:cs="Times New Roman"/>
          <w:color w:val="000000"/>
          <w:spacing w:val="0"/>
          <w:w w:val="100"/>
          <w:position w:val="0"/>
        </w:rPr>
        <w:t>2000</w:t>
      </w:r>
      <w:r>
        <w:rPr>
          <w:color w:val="000000"/>
          <w:spacing w:val="0"/>
          <w:w w:val="100"/>
          <w:position w:val="0"/>
        </w:rPr>
        <w:t>万辆电动汽车充 电需求。同时，各地方政府为响应国家对于新能源汽车充电基础设施建设的支持，陆续出台了多项区域性质的财政补贴政策， 为充电基础设施建设提供有力的关键配套保障。在多项利好政策的积极推动下，充电设施建设将有望迎来持续快速发展。其 次，新能源汽车行业发展持续向好也将为充电桩行业提供广阔的市场空间。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月国务院办公厅印发《新能源汽车产业 发展规划（</w:t>
      </w:r>
      <w:r>
        <w:rPr>
          <w:rFonts w:ascii="Times New Roman" w:eastAsia="Times New Roman" w:hAnsi="Times New Roman" w:cs="Times New Roman"/>
          <w:color w:val="000000"/>
          <w:spacing w:val="0"/>
          <w:w w:val="100"/>
          <w:position w:val="0"/>
        </w:rPr>
        <w:t>2021—2035</w:t>
      </w:r>
      <w:r>
        <w:rPr>
          <w:color w:val="000000"/>
          <w:spacing w:val="0"/>
          <w:w w:val="100"/>
          <w:position w:val="0"/>
        </w:rPr>
        <w:t>年）》，提出到</w:t>
      </w:r>
      <w:r>
        <w:rPr>
          <w:rFonts w:ascii="Times New Roman" w:eastAsia="Times New Roman" w:hAnsi="Times New Roman" w:cs="Times New Roman"/>
          <w:color w:val="000000"/>
          <w:spacing w:val="0"/>
          <w:w w:val="100"/>
          <w:position w:val="0"/>
        </w:rPr>
        <w:t>2025</w:t>
      </w:r>
      <w:r>
        <w:rPr>
          <w:color w:val="000000"/>
          <w:spacing w:val="0"/>
          <w:w w:val="100"/>
          <w:position w:val="0"/>
        </w:rPr>
        <w:t>年我国新能源汽车新车销售量达到汽车新车销售总量的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左右，充换电服务 便利性显著提高的发展愿景；明确</w:t>
      </w:r>
      <w:r>
        <w:rPr>
          <w:rFonts w:ascii="Times New Roman" w:eastAsia="Times New Roman" w:hAnsi="Times New Roman" w:cs="Times New Roman"/>
          <w:color w:val="000000"/>
          <w:spacing w:val="0"/>
          <w:w w:val="100"/>
          <w:position w:val="0"/>
        </w:rPr>
        <w:t>2021</w:t>
      </w:r>
      <w:r>
        <w:rPr>
          <w:color w:val="000000"/>
          <w:spacing w:val="0"/>
          <w:w w:val="100"/>
          <w:position w:val="0"/>
        </w:rPr>
        <w:t>年起，国家生态文明试验区、大气污染防治重点区域的公共领域新增或更新公交、出 租、物流配送等车辆中新能源汽车比例不低于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。随着新能源汽车的进一步普及推广，对充电基础设施的需求将更为旺盛， 而电动汽车充电基础设施建设的快速发展也将进一步促进新能源汽车市场的持续向好，形成双向良性互动。</w:t>
      </w:r>
    </w:p>
    <w:p>
      <w:pPr>
        <w:pStyle w:val="Style23"/>
        <w:keepNext w:val="0"/>
        <w:keepLines w:val="0"/>
        <w:widowControl w:val="0"/>
        <w:shd w:val="clear" w:color="auto" w:fill="auto"/>
        <w:tabs>
          <w:tab w:pos="865" w:val="left"/>
        </w:tabs>
        <w:bidi w:val="0"/>
        <w:spacing w:before="0" w:after="0" w:line="313" w:lineRule="exact"/>
        <w:ind w:left="0" w:right="0"/>
        <w:jc w:val="both"/>
      </w:pPr>
      <w:bookmarkStart w:id="221" w:name="bookmark221"/>
      <w:r>
        <w:rPr>
          <w:b/>
          <w:bCs/>
          <w:color w:val="000000"/>
          <w:spacing w:val="0"/>
          <w:w w:val="100"/>
          <w:position w:val="0"/>
        </w:rPr>
        <w:t>（</w:t>
      </w:r>
      <w:bookmarkEnd w:id="221"/>
      <w:r>
        <w:rPr>
          <w:b/>
          <w:bCs/>
          <w:color w:val="000000"/>
          <w:spacing w:val="0"/>
          <w:w w:val="100"/>
          <w:position w:val="0"/>
        </w:rPr>
        <w:t>二）</w:t>
        <w:tab/>
        <w:t>公司未来发展战略</w:t>
      </w:r>
    </w:p>
    <w:p>
      <w:pPr>
        <w:pStyle w:val="Style23"/>
        <w:keepNext w:val="0"/>
        <w:keepLines w:val="0"/>
        <w:widowControl w:val="0"/>
        <w:shd w:val="clear" w:color="auto" w:fill="auto"/>
        <w:bidi w:val="0"/>
        <w:spacing w:before="0" w:after="100" w:line="313" w:lineRule="exact"/>
        <w:ind w:left="0" w:right="0"/>
        <w:jc w:val="both"/>
      </w:pPr>
      <w:r>
        <w:rPr>
          <w:color w:val="000000"/>
          <w:spacing w:val="0"/>
          <w:w w:val="100"/>
          <w:position w:val="0"/>
        </w:rPr>
        <w:t>公司将在保持基础业务稳定发展的同时，在充电桩基础设施建设等新领域扎实布局，培育新的利润增长点。公司将通过 加强生产运营精细化管理、成本费用管控能力，争取逐步提升经营质量，同时针对不同的业务板块做相应的资源整合，开源 节流、降本提效，继续提升持续经营能力和上市公司整体质量。</w:t>
      </w:r>
    </w:p>
    <w:p>
      <w:pPr>
        <w:pStyle w:val="Style23"/>
        <w:keepNext w:val="0"/>
        <w:keepLines w:val="0"/>
        <w:widowControl w:val="0"/>
        <w:shd w:val="clear" w:color="auto" w:fill="auto"/>
        <w:tabs>
          <w:tab w:pos="861" w:val="left"/>
        </w:tabs>
        <w:bidi w:val="0"/>
        <w:spacing w:before="0" w:after="0" w:line="313" w:lineRule="exact"/>
        <w:ind w:left="0" w:right="0"/>
        <w:jc w:val="left"/>
      </w:pPr>
      <w:bookmarkStart w:id="222" w:name="bookmark222"/>
      <w:r>
        <w:rPr>
          <w:b/>
          <w:bCs/>
          <w:color w:val="000000"/>
          <w:spacing w:val="0"/>
          <w:w w:val="100"/>
          <w:position w:val="0"/>
        </w:rPr>
        <w:t>（</w:t>
      </w:r>
      <w:bookmarkEnd w:id="222"/>
      <w:r>
        <w:rPr>
          <w:b/>
          <w:bCs/>
          <w:color w:val="000000"/>
          <w:spacing w:val="0"/>
          <w:w w:val="100"/>
          <w:position w:val="0"/>
        </w:rPr>
        <w:t>三）</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年度经营计划</w:t>
      </w:r>
    </w:p>
    <w:p>
      <w:pPr>
        <w:pStyle w:val="Style23"/>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年公司将注重各业务板块优秀人才的引进及管理团队的长期激励机制，构建核心管理团队及技术团队，提高公司创 新能力，完善公司各项业务的规范运作，提升自身的运营效率和核心竞争力，认真分析发展方向并抓住机遇，充分利用资本 市场的积极政策，促进公司各业务板块进一步转型升级，提高自身品牌影响力，增强持续盈利能力和综合竞争力，保证公司 稳健发展。</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高端智能制造层面：公司将继续推进原有的电气设备业务发展，加大对配电设备一二次融合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 继续借助</w:t>
      </w:r>
      <w:r>
        <w:rPr>
          <w:rFonts w:ascii="Times New Roman" w:eastAsia="Times New Roman" w:hAnsi="Times New Roman" w:cs="Times New Roman"/>
          <w:color w:val="000000"/>
          <w:spacing w:val="0"/>
          <w:w w:val="100"/>
          <w:position w:val="0"/>
        </w:rPr>
        <w:t>20</w:t>
      </w:r>
      <w:r>
        <w:rPr>
          <w:color w:val="000000"/>
          <w:spacing w:val="0"/>
          <w:w w:val="100"/>
          <w:position w:val="0"/>
        </w:rPr>
        <w:t>多年电气行业的深厚技术和客户资源，抓住电气设备智能化和信息化的创新发展机遇，夯实电气业务基础并实现 向高端智能制造领域的战略转型；公司将围绕充电桩等高新技术领域深化传统业务的转型升级，提高技术附加值，为公司的 长远发展夯实基础；公司将重视制造板块人才引进工作，构建核心管理团队以及研发、销售团队，进一步增强公司的核心竞 争力。</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互联网游戏层面：公司将认真学习和领会各项监管政策及行业发展动态，保证产品内容的合法合规性，实现业务规范运 作。公司继续围绕</w:t>
      </w:r>
      <w:r>
        <w:rPr>
          <w:rFonts w:ascii="Times New Roman" w:eastAsia="Times New Roman" w:hAnsi="Times New Roman" w:cs="Times New Roman"/>
          <w:color w:val="000000"/>
          <w:spacing w:val="0"/>
          <w:w w:val="100"/>
          <w:position w:val="0"/>
        </w:rPr>
        <w:t>IP</w:t>
      </w:r>
      <w:r>
        <w:rPr>
          <w:color w:val="000000"/>
          <w:spacing w:val="0"/>
          <w:w w:val="100"/>
          <w:position w:val="0"/>
        </w:rPr>
        <w:t>化，坚持既定的</w:t>
      </w:r>
      <w:r>
        <w:rPr>
          <w:rFonts w:ascii="Times New Roman" w:eastAsia="Times New Roman" w:hAnsi="Times New Roman" w:cs="Times New Roman"/>
          <w:color w:val="000000"/>
          <w:spacing w:val="0"/>
          <w:w w:val="100"/>
          <w:position w:val="0"/>
        </w:rPr>
        <w:t>“</w:t>
      </w:r>
      <w:r>
        <w:rPr>
          <w:color w:val="000000"/>
          <w:spacing w:val="0"/>
          <w:w w:val="100"/>
          <w:position w:val="0"/>
        </w:rPr>
        <w:t>业务平台化、产品精细化、流量自主化、市场全球化</w:t>
      </w:r>
      <w:r>
        <w:rPr>
          <w:rFonts w:ascii="Times New Roman" w:eastAsia="Times New Roman" w:hAnsi="Times New Roman" w:cs="Times New Roman"/>
          <w:color w:val="000000"/>
          <w:spacing w:val="0"/>
          <w:w w:val="100"/>
          <w:position w:val="0"/>
        </w:rPr>
        <w:t>”</w:t>
      </w:r>
      <w:r>
        <w:rPr>
          <w:color w:val="000000"/>
          <w:spacing w:val="0"/>
          <w:w w:val="100"/>
          <w:position w:val="0"/>
        </w:rPr>
        <w:t>的发展战略，同时注重</w:t>
      </w:r>
      <w:r>
        <w:rPr>
          <w:rFonts w:ascii="Times New Roman" w:eastAsia="Times New Roman" w:hAnsi="Times New Roman" w:cs="Times New Roman"/>
          <w:color w:val="000000"/>
          <w:spacing w:val="0"/>
          <w:w w:val="100"/>
          <w:position w:val="0"/>
        </w:rPr>
        <w:t>“</w:t>
      </w:r>
      <w:r>
        <w:rPr>
          <w:color w:val="000000"/>
          <w:spacing w:val="0"/>
          <w:w w:val="100"/>
          <w:position w:val="0"/>
        </w:rPr>
        <w:t>研运一 体</w:t>
      </w:r>
      <w:r>
        <w:rPr>
          <w:rFonts w:ascii="Times New Roman" w:eastAsia="Times New Roman" w:hAnsi="Times New Roman" w:cs="Times New Roman"/>
          <w:color w:val="000000"/>
          <w:spacing w:val="0"/>
          <w:w w:val="100"/>
          <w:position w:val="0"/>
        </w:rPr>
        <w:t>”</w:t>
      </w:r>
      <w:r>
        <w:rPr>
          <w:color w:val="000000"/>
          <w:spacing w:val="0"/>
          <w:w w:val="100"/>
          <w:position w:val="0"/>
        </w:rPr>
        <w:t>，充分调研市场并利用大数据以敏锐把握用户需求变化，不断完善产品研发体系和产品类型，推出更多有质量、有内容、 具有智能化和创新性的精品游戏。</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投资层面：</w:t>
      </w:r>
      <w:r>
        <w:rPr>
          <w:rFonts w:ascii="Times New Roman" w:eastAsia="Times New Roman" w:hAnsi="Times New Roman" w:cs="Times New Roman"/>
          <w:color w:val="000000"/>
          <w:spacing w:val="0"/>
          <w:w w:val="100"/>
          <w:position w:val="0"/>
        </w:rPr>
        <w:t>2022</w:t>
      </w:r>
      <w:r>
        <w:rPr>
          <w:color w:val="000000"/>
          <w:spacing w:val="0"/>
          <w:w w:val="100"/>
          <w:position w:val="0"/>
        </w:rPr>
        <w:t>年度公司将重点加强投资业务的风险管控，谋求投资业务的持续稳定发展。未来，公司将继续重点加 强投资业务的风险管控，明确高端智能制造作为主要投资方向，坚持价值投资理念，谋求投资业务的持续稳定发展。公司将 时刻关注最新的政策导向，充分利用再融资政策支持智能制造业务的发展，充分发挥上市公司平台的投融资功效，让资本驱 动产业发展，通过内生式增长和外延式并购相结合的方式不断完善公司上下游产业链，谋求新的利润增长点。</w:t>
      </w:r>
    </w:p>
    <w:p>
      <w:pPr>
        <w:pStyle w:val="Style23"/>
        <w:keepNext w:val="0"/>
        <w:keepLines w:val="0"/>
        <w:widowControl w:val="0"/>
        <w:shd w:val="clear" w:color="auto" w:fill="auto"/>
        <w:tabs>
          <w:tab w:pos="861" w:val="left"/>
        </w:tabs>
        <w:bidi w:val="0"/>
        <w:spacing w:before="0" w:after="0" w:line="313" w:lineRule="exact"/>
        <w:ind w:left="0" w:right="0"/>
        <w:jc w:val="left"/>
      </w:pPr>
      <w:bookmarkStart w:id="223" w:name="bookmark223"/>
      <w:r>
        <w:rPr>
          <w:b/>
          <w:bCs/>
          <w:color w:val="000000"/>
          <w:spacing w:val="0"/>
          <w:w w:val="100"/>
          <w:position w:val="0"/>
        </w:rPr>
        <w:t>（</w:t>
      </w:r>
      <w:bookmarkEnd w:id="223"/>
      <w:r>
        <w:rPr>
          <w:b/>
          <w:bCs/>
          <w:color w:val="000000"/>
          <w:spacing w:val="0"/>
          <w:w w:val="100"/>
          <w:position w:val="0"/>
        </w:rPr>
        <w:t>四）</w:t>
        <w:tab/>
        <w:t>可能面对的风险及解决方案</w:t>
      </w:r>
    </w:p>
    <w:p>
      <w:pPr>
        <w:pStyle w:val="Style23"/>
        <w:keepNext w:val="0"/>
        <w:keepLines w:val="0"/>
        <w:widowControl w:val="0"/>
        <w:shd w:val="clear" w:color="auto" w:fill="auto"/>
        <w:tabs>
          <w:tab w:pos="659" w:val="left"/>
        </w:tabs>
        <w:bidi w:val="0"/>
        <w:spacing w:before="0" w:after="0" w:line="313" w:lineRule="exact"/>
        <w:ind w:left="0" w:right="0"/>
        <w:jc w:val="both"/>
      </w:pPr>
      <w:bookmarkStart w:id="224" w:name="bookmark224"/>
      <w:r>
        <w:rPr>
          <w:rFonts w:ascii="Times New Roman" w:eastAsia="Times New Roman" w:hAnsi="Times New Roman" w:cs="Times New Roman"/>
          <w:b/>
          <w:bCs/>
          <w:color w:val="000000"/>
          <w:spacing w:val="0"/>
          <w:w w:val="100"/>
          <w:position w:val="0"/>
        </w:rPr>
        <w:t>1</w:t>
      </w:r>
      <w:bookmarkEnd w:id="224"/>
      <w:r>
        <w:rPr>
          <w:b/>
          <w:bCs/>
          <w:color w:val="000000"/>
          <w:spacing w:val="0"/>
          <w:w w:val="100"/>
          <w:position w:val="0"/>
        </w:rPr>
        <w:t>、</w:t>
        <w:tab/>
        <w:t>行业政策变化风险</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互联网行业受国家新闻出版广播电影电视总局、工业信息等部门监管，尤其</w:t>
      </w:r>
      <w:r>
        <w:rPr>
          <w:rFonts w:ascii="Times New Roman" w:eastAsia="Times New Roman" w:hAnsi="Times New Roman" w:cs="Times New Roman"/>
          <w:color w:val="000000"/>
          <w:spacing w:val="0"/>
          <w:w w:val="100"/>
          <w:position w:val="0"/>
        </w:rPr>
        <w:t>2018</w:t>
      </w:r>
      <w:r>
        <w:rPr>
          <w:color w:val="000000"/>
          <w:spacing w:val="0"/>
          <w:w w:val="100"/>
          <w:position w:val="0"/>
        </w:rPr>
        <w:t>年以来国家加强对互联网游戏行业的监 管力度，控制游戏版号审批发放等政策对游戏行业影响较大，近年来行业监管严格化、规范化是大势所趋。哆可梦所运营游 戏产品不涉及棋牌类、主要玩家为成年人，在研发上注重推出对我国青少年儿童身心健康发展的有益产品及内容，在游戏内 树立正确的世界观、价值观，投放运营中对未成年人作出隔绝和限制，以符合</w:t>
      </w:r>
      <w:r>
        <w:rPr>
          <w:rFonts w:ascii="Times New Roman" w:eastAsia="Times New Roman" w:hAnsi="Times New Roman" w:cs="Times New Roman"/>
          <w:color w:val="000000"/>
          <w:spacing w:val="0"/>
          <w:w w:val="100"/>
          <w:position w:val="0"/>
        </w:rPr>
        <w:t>18</w:t>
      </w:r>
      <w:r>
        <w:rPr>
          <w:color w:val="000000"/>
          <w:spacing w:val="0"/>
          <w:w w:val="100"/>
          <w:position w:val="0"/>
        </w:rPr>
        <w:t>周岁为限制准入条件，这些都将有助于在行 业竞争中占据优势；公司将密切关注相关行业政策发展的动态，加强对行业政策变化的分析，并针对行业政策变化及时调整 公司的经营策略，在充分把握当前监管政策精神及行业发展趋势的前提下，加强对优质游戏产品内容的研发，提升市场竞争 实力。</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公司电气业务的主要客户为国家电网公司、南方电网公司及其各省级电力公司，如果国家调整电网投资规模，国家电网 公司和南方电网公司调整采购或招投标模式，将可能改变市场竞争格局，进而对公司的经营产生较大影响。针对此种情况， 公司将积极响应国家电网关于</w:t>
      </w:r>
      <w:r>
        <w:rPr>
          <w:rFonts w:ascii="Times New Roman" w:eastAsia="Times New Roman" w:hAnsi="Times New Roman" w:cs="Times New Roman"/>
          <w:color w:val="000000"/>
          <w:spacing w:val="0"/>
          <w:w w:val="100"/>
          <w:position w:val="0"/>
        </w:rPr>
        <w:t>“</w:t>
      </w:r>
      <w:r>
        <w:rPr>
          <w:color w:val="000000"/>
          <w:spacing w:val="0"/>
          <w:w w:val="100"/>
          <w:position w:val="0"/>
        </w:rPr>
        <w:t>电力物联网</w:t>
      </w:r>
      <w:r>
        <w:rPr>
          <w:rFonts w:ascii="Times New Roman" w:eastAsia="Times New Roman" w:hAnsi="Times New Roman" w:cs="Times New Roman"/>
          <w:color w:val="000000"/>
          <w:spacing w:val="0"/>
          <w:w w:val="100"/>
          <w:position w:val="0"/>
        </w:rPr>
        <w:t>”</w:t>
      </w:r>
      <w:r>
        <w:rPr>
          <w:color w:val="000000"/>
          <w:spacing w:val="0"/>
          <w:w w:val="100"/>
          <w:position w:val="0"/>
        </w:rPr>
        <w:t>规划建设，加大对配电设备一二次融合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智能成套产品的研发力度，抓住电气设 备智能化和信息化的电力物联网创新发展机遇，夯实电气业务基础并实现向高端智能制造领域的战略转型。</w:t>
      </w:r>
    </w:p>
    <w:p>
      <w:pPr>
        <w:pStyle w:val="Style23"/>
        <w:keepNext w:val="0"/>
        <w:keepLines w:val="0"/>
        <w:widowControl w:val="0"/>
        <w:shd w:val="clear" w:color="auto" w:fill="auto"/>
        <w:tabs>
          <w:tab w:pos="674" w:val="left"/>
        </w:tabs>
        <w:bidi w:val="0"/>
        <w:spacing w:before="0" w:after="0" w:line="313" w:lineRule="exact"/>
        <w:ind w:left="0" w:right="0"/>
        <w:jc w:val="both"/>
      </w:pPr>
      <w:bookmarkStart w:id="225" w:name="bookmark225"/>
      <w:r>
        <w:rPr>
          <w:rFonts w:ascii="Times New Roman" w:eastAsia="Times New Roman" w:hAnsi="Times New Roman" w:cs="Times New Roman"/>
          <w:b/>
          <w:bCs/>
          <w:color w:val="000000"/>
          <w:spacing w:val="0"/>
          <w:w w:val="100"/>
          <w:position w:val="0"/>
        </w:rPr>
        <w:t>2</w:t>
      </w:r>
      <w:bookmarkEnd w:id="225"/>
      <w:r>
        <w:rPr>
          <w:b/>
          <w:bCs/>
          <w:color w:val="000000"/>
          <w:spacing w:val="0"/>
          <w:w w:val="100"/>
          <w:position w:val="0"/>
        </w:rPr>
        <w:t>、</w:t>
        <w:tab/>
        <w:t>市场竞争风险</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随着游戏行业增量用户红利期的逐渐消失，进入存量时代，其他娱乐形式的出现及兴起，用户对产品的要求也日趋提高， 激烈的市场竞争，将会从产品和市场渠道等方面给公司互联网游戏业务的发展带来挑战。作为应对措施，在产品方面，公司 及哆可梦一方面将持续加大研发投入，积极进行精品游戏研发和创新，另一方面，公司及哆可梦将保持与优秀研发厂商的密 切合作并参与培育优秀的独立游戏工作室，保障优质产品的供给，用持续的精品游戏实现与用户的持续连接；在市场渠道方 面，哆可梦将进一步发挥流量经营的作用，深化立体营销、精准推送和长线服务的经营策略，持续提升市场核心竞争力，另 一方面，公司将顺应行业发展趋势保持公司长久持续的发展潜力。</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随着国家经济和电力设备行业的快速发展，输配电设备企业数量迅速增加，同时国外输配电企业纷纷进入我国市场，导 致供给增加、竞争加剧。公司将紧跟市场，采取差异化产品战略，加快产品结构调整，提高产品智能化水平，优化生产管理 流程，完善销售网络建设，切实提高公司竞争实力和抗风险能力。</w:t>
      </w:r>
    </w:p>
    <w:p>
      <w:pPr>
        <w:pStyle w:val="Style23"/>
        <w:keepNext w:val="0"/>
        <w:keepLines w:val="0"/>
        <w:widowControl w:val="0"/>
        <w:shd w:val="clear" w:color="auto" w:fill="auto"/>
        <w:tabs>
          <w:tab w:pos="674" w:val="left"/>
        </w:tabs>
        <w:bidi w:val="0"/>
        <w:spacing w:before="0" w:after="0" w:line="313" w:lineRule="exact"/>
        <w:ind w:left="0" w:right="0"/>
        <w:jc w:val="both"/>
      </w:pPr>
      <w:bookmarkStart w:id="226" w:name="bookmark226"/>
      <w:r>
        <w:rPr>
          <w:rFonts w:ascii="Times New Roman" w:eastAsia="Times New Roman" w:hAnsi="Times New Roman" w:cs="Times New Roman"/>
          <w:b/>
          <w:bCs/>
          <w:color w:val="000000"/>
          <w:spacing w:val="0"/>
          <w:w w:val="100"/>
          <w:position w:val="0"/>
        </w:rPr>
        <w:t>3</w:t>
      </w:r>
      <w:bookmarkEnd w:id="226"/>
      <w:r>
        <w:rPr>
          <w:b/>
          <w:bCs/>
          <w:color w:val="000000"/>
          <w:spacing w:val="0"/>
          <w:w w:val="100"/>
          <w:position w:val="0"/>
        </w:rPr>
        <w:t>、</w:t>
        <w:tab/>
        <w:t>人才流失风险</w:t>
      </w:r>
    </w:p>
    <w:p>
      <w:pPr>
        <w:pStyle w:val="Style23"/>
        <w:keepNext w:val="0"/>
        <w:keepLines w:val="0"/>
        <w:widowControl w:val="0"/>
        <w:shd w:val="clear" w:color="auto" w:fill="auto"/>
        <w:bidi w:val="0"/>
        <w:spacing w:before="0" w:line="313" w:lineRule="exact"/>
        <w:ind w:left="0" w:right="0"/>
        <w:jc w:val="both"/>
      </w:pPr>
      <w:r>
        <w:rPr>
          <w:color w:val="000000"/>
          <w:spacing w:val="0"/>
          <w:w w:val="100"/>
          <w:position w:val="0"/>
        </w:rPr>
        <w:t xml:space="preserve">优秀的管理团队和人才团队是公司的核心优势之一，公司高端智能制造行业需要具有高素质的专业人才，同样互联网综 合服务行业属于轻资产运营模式，人才的重要性尤为突出。如果公司不能有效保持核心人员的激励机制并根据环境变化而不 </w:t>
      </w:r>
      <w:r>
        <w:rPr>
          <w:color w:val="000000"/>
          <w:spacing w:val="0"/>
          <w:w w:val="100"/>
          <w:position w:val="0"/>
        </w:rPr>
        <w:t>断完善，将会影响到核心人员积极性、创造性的发挥，甚至造成核心人员的流失。</w:t>
      </w:r>
    </w:p>
    <w:p>
      <w:pPr>
        <w:pStyle w:val="Style2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公司将更加注重吸引人才、培养人才，向员工制定培训计划，为人员提供锻炼机会、业务发展及职务晋升空间，给予其 更大的创新空间；从外部引进并保留与业务发展所需密切相关的技术及运营人才，重视企业文化的建设，增强员工对公司的 归属感，提升员工的主人翁精神。</w:t>
      </w:r>
    </w:p>
    <w:p>
      <w:pPr>
        <w:pStyle w:val="Style28"/>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十二、报告期内接待调研、沟通、采访等活动</w:t>
      </w:r>
      <w:bookmarkEnd w:id="227"/>
      <w:bookmarkEnd w:id="228"/>
      <w:bookmarkEnd w:id="229"/>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27"/>
        <w:gridCol w:w="533"/>
        <w:gridCol w:w="706"/>
        <w:gridCol w:w="1138"/>
        <w:gridCol w:w="1838"/>
        <w:gridCol w:w="277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接待</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接待对</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中国证券网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全体投资者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年度业绩说明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r>
              <w:rPr>
                <w:color w:val="000000"/>
                <w:spacing w:val="0"/>
                <w:w w:val="100"/>
                <w:position w:val="0"/>
              </w:rPr>
              <w:t>www. cninfo. com. cn</w:t>
            </w:r>
            <w:r>
              <w:rPr>
                <w:rFonts w:ascii="SimSun" w:eastAsia="SimSun" w:hAnsi="SimSun" w:cs="SimSun"/>
                <w:color w:val="000000"/>
                <w:spacing w:val="0"/>
                <w:w w:val="100"/>
                <w:position w:val="0"/>
              </w:rPr>
              <w:t>)</w:t>
            </w:r>
          </w:p>
        </w:tc>
      </w:tr>
    </w:tbl>
    <w:p>
      <w:pPr>
        <w:sectPr>
          <w:footnotePr>
            <w:pos w:val="pageBottom"/>
            <w:numFmt w:val="decimal"/>
            <w:numRestart w:val="continuous"/>
          </w:footnotePr>
          <w:pgSz w:w="11900" w:h="16840"/>
          <w:pgMar w:top="1383" w:right="1060" w:bottom="1479" w:left="1062" w:header="0" w:footer="3" w:gutter="0"/>
          <w:cols w:space="720"/>
          <w:noEndnote/>
          <w:rtlGutter w:val="0"/>
          <w:docGrid w:linePitch="360"/>
        </w:sectPr>
      </w:pPr>
    </w:p>
    <w:p>
      <w:pPr>
        <w:pStyle w:val="Style15"/>
        <w:keepNext/>
        <w:keepLines/>
        <w:widowControl w:val="0"/>
        <w:shd w:val="clear" w:color="auto" w:fill="auto"/>
        <w:bidi w:val="0"/>
        <w:spacing w:before="520" w:after="560" w:line="240" w:lineRule="auto"/>
        <w:ind w:left="0" w:right="0" w:firstLine="0"/>
        <w:jc w:val="center"/>
      </w:pPr>
      <w:bookmarkStart w:id="230" w:name="bookmark230"/>
      <w:bookmarkStart w:id="231" w:name="bookmark231"/>
      <w:bookmarkStart w:id="232" w:name="bookmark232"/>
      <w:r>
        <w:rPr>
          <w:color w:val="000000"/>
          <w:spacing w:val="0"/>
          <w:w w:val="100"/>
          <w:position w:val="0"/>
        </w:rPr>
        <w:t>第四节公司治理</w:t>
      </w:r>
      <w:bookmarkEnd w:id="230"/>
      <w:bookmarkEnd w:id="231"/>
      <w:bookmarkEnd w:id="232"/>
    </w:p>
    <w:p>
      <w:pPr>
        <w:pStyle w:val="Style28"/>
        <w:keepNext/>
        <w:keepLines/>
        <w:widowControl w:val="0"/>
        <w:shd w:val="clear" w:color="auto" w:fill="auto"/>
        <w:bidi w:val="0"/>
        <w:spacing w:before="0" w:after="240" w:line="240" w:lineRule="auto"/>
        <w:ind w:left="0" w:right="0" w:firstLine="0"/>
        <w:jc w:val="left"/>
      </w:pPr>
      <w:bookmarkStart w:id="233" w:name="bookmark233"/>
      <w:bookmarkStart w:id="234" w:name="bookmark234"/>
      <w:bookmarkStart w:id="235" w:name="bookmark235"/>
      <w:bookmarkStart w:id="236" w:name="bookmark236"/>
      <w:bookmarkStart w:id="237" w:name="bookmark237"/>
      <w:r>
        <w:rPr>
          <w:color w:val="000000"/>
          <w:spacing w:val="0"/>
          <w:w w:val="100"/>
          <w:position w:val="0"/>
          <w:sz w:val="24"/>
          <w:szCs w:val="24"/>
        </w:rPr>
        <w:t>一</w:t>
      </w:r>
      <w:bookmarkEnd w:id="236"/>
      <w:r>
        <w:rPr>
          <w:color w:val="000000"/>
          <w:spacing w:val="0"/>
          <w:w w:val="100"/>
          <w:position w:val="0"/>
          <w:sz w:val="24"/>
          <w:szCs w:val="24"/>
        </w:rPr>
        <w:t>、公司治理的基本状况</w:t>
      </w:r>
      <w:bookmarkEnd w:id="234"/>
      <w:bookmarkEnd w:id="235"/>
      <w:bookmarkEnd w:id="237"/>
      <w:bookmarkEnd w:id="233"/>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公司严格按照《公司法》《证券法》《上市公司治理准则》《深圳证券交易所股票上市规则》和中国证监会及深交所颁 布的其他有关法律法规的要求，不断完善公司法人治理结构，建立健全内部控制制度，加强公司信息披露工作，积极开展投 资者关系管理，维护公司及全体股东的利益，确保公司规范运作、健康发展。</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截至报告期末，公司治理的实际状况符合《上市公司治理准则》《深圳证券交易所股票上市规则》等相关法律法规的要 求，具体情况如下：</w:t>
      </w:r>
    </w:p>
    <w:p>
      <w:pPr>
        <w:pStyle w:val="Style23"/>
        <w:keepNext w:val="0"/>
        <w:keepLines w:val="0"/>
        <w:widowControl w:val="0"/>
        <w:shd w:val="clear" w:color="auto" w:fill="auto"/>
        <w:bidi w:val="0"/>
        <w:spacing w:before="0" w:after="0" w:line="316" w:lineRule="exact"/>
        <w:ind w:left="0" w:right="0"/>
        <w:jc w:val="both"/>
      </w:pPr>
      <w:bookmarkStart w:id="238" w:name="bookmark238"/>
      <w:r>
        <w:rPr>
          <w:b/>
          <w:bCs/>
          <w:color w:val="000000"/>
          <w:spacing w:val="0"/>
          <w:w w:val="100"/>
          <w:position w:val="0"/>
        </w:rPr>
        <w:t>（</w:t>
      </w:r>
      <w:bookmarkEnd w:id="238"/>
      <w:r>
        <w:rPr>
          <w:b/>
          <w:bCs/>
          <w:color w:val="000000"/>
          <w:spacing w:val="0"/>
          <w:w w:val="100"/>
          <w:position w:val="0"/>
        </w:rPr>
        <w:t>一）公司治理结构</w:t>
      </w:r>
    </w:p>
    <w:p>
      <w:pPr>
        <w:pStyle w:val="Style23"/>
        <w:keepNext w:val="0"/>
        <w:keepLines w:val="0"/>
        <w:widowControl w:val="0"/>
        <w:shd w:val="clear" w:color="auto" w:fill="auto"/>
        <w:tabs>
          <w:tab w:pos="795" w:val="left"/>
        </w:tabs>
        <w:bidi w:val="0"/>
        <w:spacing w:before="0" w:after="0" w:line="316" w:lineRule="exact"/>
        <w:ind w:left="0" w:right="0"/>
        <w:jc w:val="both"/>
      </w:pPr>
      <w:bookmarkStart w:id="239" w:name="bookmark239"/>
      <w:r>
        <w:rPr>
          <w:b/>
          <w:bCs/>
          <w:color w:val="000000"/>
          <w:spacing w:val="0"/>
          <w:w w:val="100"/>
          <w:position w:val="0"/>
        </w:rPr>
        <w:t>（</w:t>
      </w:r>
      <w:bookmarkEnd w:id="23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股东与股东大会</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公司依据《公司法》《深圳证券交易所股票上市规则》《上市公司治理准则》等法律法规、规范性文件以及《公司章程》 要求制定了《股东大会议事规则》《控股股东、实际控制人行为规范》，对股东大会的权力、召开程序、提案、表决和控股 股东及实际控制人行为进行了规范，为维护中小股东权益提供制度保障。</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公司股东严格根据《上市公司治理准则》《深圳证券交易所股票上市规则》《公司章程》的要求规范自身行为，通过股 东大会行使股东权利，未发生超越股东大会及董事会而直接干预公司经营与决策的行为。</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公司依据《上市公司股东大会规则》的要求，报告期内召开股东大会均采取现场及网络投票相结合的表决方式，方便中 小投资者通过股东大会行使股东权利，提高中小投资者对公司决策的参与度。</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8</w:t>
      </w:r>
      <w:r>
        <w:rPr>
          <w:color w:val="000000"/>
          <w:spacing w:val="0"/>
          <w:w w:val="100"/>
          <w:position w:val="0"/>
        </w:rPr>
        <w:t>次股东大会，会议的召集与召开程序、出席会议人员的资格、会议表决程序、表决结果和决议 内容均符合法律法规和《公司章程》的规定。</w:t>
      </w:r>
    </w:p>
    <w:p>
      <w:pPr>
        <w:pStyle w:val="Style23"/>
        <w:keepNext w:val="0"/>
        <w:keepLines w:val="0"/>
        <w:widowControl w:val="0"/>
        <w:shd w:val="clear" w:color="auto" w:fill="auto"/>
        <w:tabs>
          <w:tab w:pos="795" w:val="left"/>
        </w:tabs>
        <w:bidi w:val="0"/>
        <w:spacing w:before="0" w:after="0" w:line="316" w:lineRule="exact"/>
        <w:ind w:left="0" w:right="0"/>
        <w:jc w:val="both"/>
      </w:pPr>
      <w:bookmarkStart w:id="240" w:name="bookmark240"/>
      <w:r>
        <w:rPr>
          <w:b/>
          <w:bCs/>
          <w:color w:val="000000"/>
          <w:spacing w:val="0"/>
          <w:w w:val="100"/>
          <w:position w:val="0"/>
        </w:rPr>
        <w:t>（</w:t>
      </w:r>
      <w:bookmarkEnd w:id="2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公司与控股股东、实际控制人</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报告期内存在时任控股股东及其关联方非经营性占用公司资金余额不为零的情况，公司及公司前控股股东已对此进行了 总结和分析，并提出了全面整改措施，报告期内，前控股股东及其关联方已全部归还占用的资金。</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除此之外，公司控股股东和实际控制人按照《上市公司治理准则》《深圳证券交易所股票上市规则》《公司章程》等的 规定和要求规范自己的行为，依法行使权利并承担相应义务，没有超越权限直接或间接干预公司的决策及生产经营活动，没 有损害公司及其他股东的利益。公司与控股股东、实际控制人在人员、资产、财务、机构、业务上均保持独立，公司拥有独 立完整的自主经营能力；公司董事会、监事会及其他内部机构均独立运作。</w:t>
      </w:r>
    </w:p>
    <w:p>
      <w:pPr>
        <w:pStyle w:val="Style23"/>
        <w:keepNext w:val="0"/>
        <w:keepLines w:val="0"/>
        <w:widowControl w:val="0"/>
        <w:shd w:val="clear" w:color="auto" w:fill="auto"/>
        <w:tabs>
          <w:tab w:pos="795" w:val="left"/>
        </w:tabs>
        <w:bidi w:val="0"/>
        <w:spacing w:before="0" w:after="0" w:line="316" w:lineRule="exact"/>
        <w:ind w:left="0" w:right="0"/>
        <w:jc w:val="both"/>
      </w:pPr>
      <w:bookmarkStart w:id="241" w:name="bookmark241"/>
      <w:r>
        <w:rPr>
          <w:b/>
          <w:bCs/>
          <w:color w:val="000000"/>
          <w:spacing w:val="0"/>
          <w:w w:val="100"/>
          <w:position w:val="0"/>
        </w:rPr>
        <w:t>（</w:t>
      </w:r>
      <w:bookmarkEnd w:id="2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董事与董事会</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公司依据《公司法》《上市公司治理准则》等法律法规、规范性文件以及《公司章程》的有关规定，制定了《董事会议 事规则》《总经理工作细则》《独立董事工作制度》《董事会秘书工作细则》等内部制度，公司董事会设董事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 立董事</w:t>
      </w:r>
      <w:r>
        <w:rPr>
          <w:rFonts w:ascii="Times New Roman" w:eastAsia="Times New Roman" w:hAnsi="Times New Roman" w:cs="Times New Roman"/>
          <w:color w:val="000000"/>
          <w:spacing w:val="0"/>
          <w:w w:val="100"/>
          <w:position w:val="0"/>
        </w:rPr>
        <w:t>3</w:t>
      </w:r>
      <w:r>
        <w:rPr>
          <w:color w:val="000000"/>
          <w:spacing w:val="0"/>
          <w:w w:val="100"/>
          <w:position w:val="0"/>
        </w:rPr>
        <w:t>名，公司董事选举程序、董事会人数及人员构成符合法律、法规的要求；公司董事勤勉尽责地履行职责，维护公司 和全体股东的合法权益；独立董事能够严格按照《公司章程》《独立董事工作制度》的要求独立履行职责，对公司生产经营、 关联交易、股权激励、人事任免等重要及重大事项发表独立意见，保证公司的规范运作。</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15</w:t>
      </w:r>
      <w:r>
        <w:rPr>
          <w:color w:val="000000"/>
          <w:spacing w:val="0"/>
          <w:w w:val="100"/>
          <w:position w:val="0"/>
        </w:rPr>
        <w:t>次董事会会议，会议的召集与召开程序、出席会议人员的资格、会议表决程序、表决结果和决 议内容均符合法律法规和《公司章程》的规定。</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公司董事会设立了审计、薪酬与考核、提名、战略四个专门委员会，建立并完善了议事规则，各委员会分工明确，报告 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次审计委员会会议、</w:t>
      </w:r>
      <w:r>
        <w:rPr>
          <w:rFonts w:ascii="Times New Roman" w:eastAsia="Times New Roman" w:hAnsi="Times New Roman" w:cs="Times New Roman"/>
          <w:color w:val="000000"/>
          <w:spacing w:val="0"/>
          <w:w w:val="100"/>
          <w:position w:val="0"/>
        </w:rPr>
        <w:t>2</w:t>
      </w:r>
      <w:r>
        <w:rPr>
          <w:color w:val="000000"/>
          <w:spacing w:val="0"/>
          <w:w w:val="100"/>
          <w:position w:val="0"/>
        </w:rPr>
        <w:t>次薪酬与考核委员会会议、</w:t>
      </w:r>
      <w:r>
        <w:rPr>
          <w:rFonts w:ascii="Times New Roman" w:eastAsia="Times New Roman" w:hAnsi="Times New Roman" w:cs="Times New Roman"/>
          <w:color w:val="000000"/>
          <w:spacing w:val="0"/>
          <w:w w:val="100"/>
          <w:position w:val="0"/>
        </w:rPr>
        <w:t>2</w:t>
      </w:r>
      <w:r>
        <w:rPr>
          <w:color w:val="000000"/>
          <w:spacing w:val="0"/>
          <w:w w:val="100"/>
          <w:position w:val="0"/>
        </w:rPr>
        <w:t>次提名委员会会议及</w:t>
      </w:r>
      <w:r>
        <w:rPr>
          <w:rFonts w:ascii="Times New Roman" w:eastAsia="Times New Roman" w:hAnsi="Times New Roman" w:cs="Times New Roman"/>
          <w:color w:val="000000"/>
          <w:spacing w:val="0"/>
          <w:w w:val="100"/>
          <w:position w:val="0"/>
        </w:rPr>
        <w:t>1</w:t>
      </w:r>
      <w:r>
        <w:rPr>
          <w:color w:val="000000"/>
          <w:spacing w:val="0"/>
          <w:w w:val="100"/>
          <w:position w:val="0"/>
        </w:rPr>
        <w:t>次战略委员会会议，为董事会的 决策提供科学和专业的意见，确保董事会对经营层的有效监督。</w:t>
      </w:r>
    </w:p>
    <w:p>
      <w:pPr>
        <w:pStyle w:val="Style23"/>
        <w:keepNext w:val="0"/>
        <w:keepLines w:val="0"/>
        <w:widowControl w:val="0"/>
        <w:shd w:val="clear" w:color="auto" w:fill="auto"/>
        <w:tabs>
          <w:tab w:pos="795" w:val="left"/>
        </w:tabs>
        <w:bidi w:val="0"/>
        <w:spacing w:before="0" w:after="0" w:line="316" w:lineRule="exact"/>
        <w:ind w:left="0" w:right="0"/>
        <w:jc w:val="both"/>
      </w:pPr>
      <w:bookmarkStart w:id="242" w:name="bookmark242"/>
      <w:r>
        <w:rPr>
          <w:b/>
          <w:bCs/>
          <w:color w:val="000000"/>
          <w:spacing w:val="0"/>
          <w:w w:val="100"/>
          <w:position w:val="0"/>
        </w:rPr>
        <w:t>（</w:t>
      </w:r>
      <w:bookmarkEnd w:id="24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监事与监事会</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公司依据《公司法》《上市公司治理准则》等法律法规、规范性文件以及《公司章程》的有关规定，制定了《监事会议 事规则》，公司监事会设监事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名，监事会的人数、构成及选举程序均符合相关法律法规的规定。公 司监事按规定出席监事会，认真履行职责，对公司重大事项、关联交易、财务状况等进行监督并发表意见，维护公司及股东 </w:t>
      </w:r>
      <w:r>
        <w:rPr>
          <w:color w:val="000000"/>
          <w:spacing w:val="0"/>
          <w:w w:val="100"/>
          <w:position w:val="0"/>
        </w:rPr>
        <w:t>的合法权益。</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9</w:t>
      </w:r>
      <w:r>
        <w:rPr>
          <w:color w:val="000000"/>
          <w:spacing w:val="0"/>
          <w:w w:val="100"/>
          <w:position w:val="0"/>
        </w:rPr>
        <w:t>次监事会会议，会议的召集与召开程序、出席会议人员的资格、会议表决程序、表决结果和决 议内容均符合法律法规和《公司章程》的规定。</w:t>
      </w:r>
    </w:p>
    <w:p>
      <w:pPr>
        <w:pStyle w:val="Style23"/>
        <w:keepNext w:val="0"/>
        <w:keepLines w:val="0"/>
        <w:widowControl w:val="0"/>
        <w:shd w:val="clear" w:color="auto" w:fill="auto"/>
        <w:tabs>
          <w:tab w:pos="770" w:val="left"/>
        </w:tabs>
        <w:bidi w:val="0"/>
        <w:spacing w:before="0" w:after="0" w:line="314" w:lineRule="exact"/>
        <w:ind w:left="0" w:right="0"/>
        <w:jc w:val="left"/>
      </w:pPr>
      <w:bookmarkStart w:id="243" w:name="bookmark243"/>
      <w:r>
        <w:rPr>
          <w:b/>
          <w:bCs/>
          <w:color w:val="000000"/>
          <w:spacing w:val="0"/>
          <w:w w:val="100"/>
          <w:position w:val="0"/>
        </w:rPr>
        <w:t>（</w:t>
      </w:r>
      <w:bookmarkEnd w:id="24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信息披露</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公司上市前就根据相关文件制度制定了《信息披露管理制度》和《投资者关系管理制度》，公司上市后按照中国证监会、 深圳证券交易所发布的相关法规修订或者制定了《信息披露管理制度》《年报信息披露重大差错责任追究制度》《推广和接 待制度》《重大信息内部报告制度》《董事会审计委员会年报工作规程》《独立董事年报工作制度》《内部信息保密制度》 《内幕信息知情人登记和报备制度》，指定公司董事会秘书负责信息披露工作，规范公司内部重大信息传递的程序，对年报 信息披露重大差错责任追究作出明确规定，切实履行信息披露义务。公司指定《证券时报》《中国证券报》《上海证券报》 《证券日报》和巨潮资讯网站为公司信息披露的报纸和网站，真实、准确、完整、及时地披露公司信息，确保公司所有股东 公平的获得公司相关信息。</w:t>
      </w:r>
    </w:p>
    <w:p>
      <w:pPr>
        <w:pStyle w:val="Style23"/>
        <w:keepNext w:val="0"/>
        <w:keepLines w:val="0"/>
        <w:widowControl w:val="0"/>
        <w:shd w:val="clear" w:color="auto" w:fill="auto"/>
        <w:tabs>
          <w:tab w:pos="770" w:val="left"/>
        </w:tabs>
        <w:bidi w:val="0"/>
        <w:spacing w:before="0" w:after="0" w:line="314" w:lineRule="exact"/>
        <w:ind w:left="0" w:right="0"/>
        <w:jc w:val="both"/>
      </w:pPr>
      <w:bookmarkStart w:id="244" w:name="bookmark244"/>
      <w:r>
        <w:rPr>
          <w:b/>
          <w:bCs/>
          <w:color w:val="000000"/>
          <w:spacing w:val="0"/>
          <w:w w:val="100"/>
          <w:position w:val="0"/>
        </w:rPr>
        <w:t>（</w:t>
      </w:r>
      <w:bookmarkEnd w:id="24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投资者关系管理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公司重视投资者关系管理工作，指定董事会秘书为投资者关系管理负责人，公司证券部作为投资者关系管理的具体实施 机构，协助实施投资者关系的日常管理工作，包括投资者来电和来访接待、股东大会的组织安排、投资者关系互动平台答疑 等，加强与投资者沟通和交流，充分保障广大投资者的知情权。</w:t>
      </w:r>
    </w:p>
    <w:p>
      <w:pPr>
        <w:pStyle w:val="Style23"/>
        <w:keepNext w:val="0"/>
        <w:keepLines w:val="0"/>
        <w:widowControl w:val="0"/>
        <w:shd w:val="clear" w:color="auto" w:fill="auto"/>
        <w:tabs>
          <w:tab w:pos="770" w:val="left"/>
        </w:tabs>
        <w:bidi w:val="0"/>
        <w:spacing w:before="0" w:after="0" w:line="314" w:lineRule="exact"/>
        <w:ind w:left="0" w:right="0"/>
        <w:jc w:val="both"/>
      </w:pPr>
      <w:bookmarkStart w:id="245" w:name="bookmark245"/>
      <w:r>
        <w:rPr>
          <w:b/>
          <w:bCs/>
          <w:color w:val="000000"/>
          <w:spacing w:val="0"/>
          <w:w w:val="100"/>
          <w:position w:val="0"/>
        </w:rPr>
        <w:t>（</w:t>
      </w:r>
      <w:bookmarkEnd w:id="245"/>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关于利益相关者</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公司充分尊重和维护利益相关者（债权人、员工、关联方等）的合法权益，重视公司的社会责任，努力实现股东、员工、 社会等各方利益的协调平衡，通过与利益相关者积极合作共同推动公司持续、健康发展。</w:t>
      </w:r>
    </w:p>
    <w:p>
      <w:pPr>
        <w:pStyle w:val="Style23"/>
        <w:keepNext w:val="0"/>
        <w:keepLines w:val="0"/>
        <w:widowControl w:val="0"/>
        <w:shd w:val="clear" w:color="auto" w:fill="auto"/>
        <w:tabs>
          <w:tab w:pos="861" w:val="left"/>
        </w:tabs>
        <w:bidi w:val="0"/>
        <w:spacing w:before="0" w:after="0" w:line="313" w:lineRule="exact"/>
        <w:ind w:left="0" w:right="0"/>
        <w:jc w:val="both"/>
      </w:pPr>
      <w:bookmarkStart w:id="246" w:name="bookmark246"/>
      <w:r>
        <w:rPr>
          <w:b/>
          <w:bCs/>
          <w:color w:val="000000"/>
          <w:spacing w:val="0"/>
          <w:w w:val="100"/>
          <w:position w:val="0"/>
        </w:rPr>
        <w:t>（</w:t>
      </w:r>
      <w:bookmarkEnd w:id="246"/>
      <w:r>
        <w:rPr>
          <w:b/>
          <w:bCs/>
          <w:color w:val="000000"/>
          <w:spacing w:val="0"/>
          <w:w w:val="100"/>
          <w:position w:val="0"/>
        </w:rPr>
        <w:t>二）</w:t>
        <w:tab/>
        <w:t>公司董事履行职责情况</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报告期内，公司董事长能够积极推动公司内部各项制度的制定和完善，报告期内推动公司修订了《公司章程》《内幕信 息知情人登记和报备制度》《关联交易管理制度》《投融资管理制度》《董事会审计委员会工作细则》《董事会提名委员会 工作细则》《董事会薪酬与考核委员会工作细则》《董事会战略委员会工作细则》《股东大会议事规则》等制度，加强三会 规范治理建设，确保董事会会议依法正常召集和召开。董事长未有从事超越其职权范围的行为，能够积极督促股东大会决议 和董事会决议的执行，及时将有关情况告知其他董事，能够保证独立董事和董事会秘书的知情权，为其行使职能和发挥作用 提供平台和保障。</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报告期内，公司全体董事能够依照《公司法》《公司章程》的规定出席公司召开的董事会会议并客观地发表意见，恪尽 职守、廉洁自律、忠实勤勉地履行职责，致力于保护公司和股东利益及合法权益，未出现违反有关法律法规、《公司章程》 等规定不能担任公司董事职责的行为。</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报告期内，公司独立董事能够定期了解公司经营情况，对公司的重大决策提供了专业性意见，对公司重大生产经营活动 进行有效监督，保证了公司决策的科学性。对关于公司补选董事、申请撤销公司股票其他风险警示、会计政策变更、调整股 份回购、</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年股票期权与限制性股票激励计划、关联方资金往来、关联交易、前期会计差错更正、</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年度审计报告保留 意见、聘任会计师事务所、拟变更公司名称、注册地址并修订《公司章程》等重大事项进行审核并发表了独立意见，为完善 公司监督机制、维护公司和全体股东的合法权益发挥了应有的作用。报告期内，独立董事没有对公司有关事项提出异议。</w:t>
      </w:r>
    </w:p>
    <w:p>
      <w:pPr>
        <w:pStyle w:val="Style23"/>
        <w:keepNext w:val="0"/>
        <w:keepLines w:val="0"/>
        <w:widowControl w:val="0"/>
        <w:shd w:val="clear" w:color="auto" w:fill="auto"/>
        <w:tabs>
          <w:tab w:pos="861" w:val="left"/>
        </w:tabs>
        <w:bidi w:val="0"/>
        <w:spacing w:before="0" w:after="0" w:line="313" w:lineRule="exact"/>
        <w:ind w:left="0" w:right="0"/>
        <w:jc w:val="both"/>
      </w:pPr>
      <w:bookmarkStart w:id="247" w:name="bookmark247"/>
      <w:r>
        <w:rPr>
          <w:b/>
          <w:bCs/>
          <w:color w:val="000000"/>
          <w:spacing w:val="0"/>
          <w:w w:val="100"/>
          <w:position w:val="0"/>
        </w:rPr>
        <w:t>（</w:t>
      </w:r>
      <w:bookmarkEnd w:id="247"/>
      <w:r>
        <w:rPr>
          <w:b/>
          <w:bCs/>
          <w:color w:val="000000"/>
          <w:spacing w:val="0"/>
          <w:w w:val="100"/>
          <w:position w:val="0"/>
        </w:rPr>
        <w:t>三）</w:t>
        <w:tab/>
        <w:t>公司内部审计制度的建立和执行</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公司根据《中华人民共和国审计法》《审计署关于内部审计工作的规定》等法律法规和《公司章程》的有关规定，结合 公司实际情况，制定了《内部审计制度》。</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根据《内部审计制度》，公司董事会设审计委员会，审计委员会下设审计室作为公司内部审计的执行机构，审计室负责 人由董事会审计委员会提名，董事会任免。内部审计机构对审计委员会负责，向审计委员会报告工作，对公司及所属的经营 管理活动进行审计监督。</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审计室负责组织实施公司内部审计制度，对公司财务成本计划或公司预算的执行和决算情况、财务收支及其有关的经济 活动，生产经营开发的经济效益和资产保值增值情况、建设项目预算和决算情况、经济合同的签订及履行情况、内部控制制 度等事项的合法性、合规性、真实性和完整性进行审计监督，负责监督检查公司董事会各项经营决策的贯彻执行情况，确定 反舞弊的重点领域、关键环节和主要内容，并在内部审计过程中合理关注和检查可能存在的舞弊行为。</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00" w:line="319"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522" w:val="left"/>
        </w:tabs>
        <w:bidi w:val="0"/>
        <w:spacing w:before="0" w:after="240" w:line="331" w:lineRule="exact"/>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二</w:t>
      </w:r>
      <w:bookmarkEnd w:id="250"/>
      <w:r>
        <w:rPr>
          <w:color w:val="000000"/>
          <w:spacing w:val="0"/>
          <w:w w:val="100"/>
          <w:position w:val="0"/>
          <w:sz w:val="24"/>
          <w:szCs w:val="24"/>
        </w:rPr>
        <w:t>、</w:t>
        <w:tab/>
        <w:t>公司相对于控股股东、实际控制人在保证公司资产、人员、财务、机构、业务等方面的 独立情况</w:t>
      </w:r>
      <w:bookmarkEnd w:id="248"/>
      <w:bookmarkEnd w:id="249"/>
      <w:bookmarkEnd w:id="251"/>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公司与控股股东在业务、人员、资产、机构、财务等方面完全分开，具有独立完整的业务及自主经营能力。</w:t>
      </w:r>
    </w:p>
    <w:p>
      <w:pPr>
        <w:pStyle w:val="Style23"/>
        <w:keepNext w:val="0"/>
        <w:keepLines w:val="0"/>
        <w:widowControl w:val="0"/>
        <w:numPr>
          <w:ilvl w:val="0"/>
          <w:numId w:val="9"/>
        </w:numPr>
        <w:shd w:val="clear" w:color="auto" w:fill="auto"/>
        <w:bidi w:val="0"/>
        <w:spacing w:before="0" w:after="0" w:line="312" w:lineRule="exact"/>
        <w:ind w:left="0" w:right="0"/>
        <w:jc w:val="both"/>
      </w:pPr>
      <w:bookmarkStart w:id="252" w:name="bookmark252"/>
      <w:bookmarkEnd w:id="252"/>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业务：</w:t>
      </w:r>
      <w:r>
        <w:rPr>
          <w:color w:val="000000"/>
          <w:spacing w:val="0"/>
          <w:w w:val="100"/>
          <w:position w:val="0"/>
        </w:rPr>
        <w:t>公司业务结构完整，自主独立经营，不依赖于控股股东或其他任何关联方，与控股股东、实际控制人及其控制 的其他企业间不存在同业竞争或者显失公平的关联交易，也不存在控股股东直接或间接干预公司经营运作的情形。</w:t>
      </w:r>
    </w:p>
    <w:p>
      <w:pPr>
        <w:pStyle w:val="Style23"/>
        <w:keepNext w:val="0"/>
        <w:keepLines w:val="0"/>
        <w:widowControl w:val="0"/>
        <w:numPr>
          <w:ilvl w:val="0"/>
          <w:numId w:val="9"/>
        </w:numPr>
        <w:shd w:val="clear" w:color="auto" w:fill="auto"/>
        <w:bidi w:val="0"/>
        <w:spacing w:before="0" w:after="0" w:line="322" w:lineRule="exact"/>
        <w:ind w:left="0" w:right="0"/>
        <w:jc w:val="both"/>
      </w:pPr>
      <w:bookmarkStart w:id="253" w:name="bookmark253"/>
      <w:bookmarkEnd w:id="253"/>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人员：</w:t>
      </w:r>
      <w:r>
        <w:rPr>
          <w:color w:val="000000"/>
          <w:spacing w:val="0"/>
          <w:w w:val="100"/>
          <w:position w:val="0"/>
        </w:rPr>
        <w:t>公司在劳动、人事及工资等方面均完全独立于控股股东。公司总裁、副总裁、董事会秘书、财务负责人等高级 管理人员均在公司领取薪酬，未在控股股东及其下属企业担任董事、监事以外的任何职务。</w:t>
      </w:r>
    </w:p>
    <w:p>
      <w:pPr>
        <w:pStyle w:val="Style23"/>
        <w:keepNext w:val="0"/>
        <w:keepLines w:val="0"/>
        <w:widowControl w:val="0"/>
        <w:numPr>
          <w:ilvl w:val="0"/>
          <w:numId w:val="9"/>
        </w:numPr>
        <w:shd w:val="clear" w:color="auto" w:fill="auto"/>
        <w:bidi w:val="0"/>
        <w:spacing w:before="0" w:after="0" w:line="317" w:lineRule="exact"/>
        <w:ind w:left="0" w:right="0"/>
        <w:jc w:val="both"/>
      </w:pPr>
      <w:bookmarkStart w:id="254" w:name="bookmark254"/>
      <w:bookmarkEnd w:id="25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资产：</w:t>
      </w:r>
      <w:r>
        <w:rPr>
          <w:color w:val="000000"/>
          <w:spacing w:val="0"/>
          <w:w w:val="100"/>
          <w:position w:val="0"/>
        </w:rPr>
        <w:t>公司拥有独立于控股股东的生产经营场所，拥有独立完整的资产结构，拥有独立的生产系统、辅助生产系统和 配套设施、土地使用权、房屋所有权等资产，拥有独立的采购和销售系统，对所有资产拥有完全的控制支配权，不存在资产、 资金被控股股东、实际控制人及其控制的其他企业违规占用而损害公司利益的情况。</w:t>
      </w:r>
    </w:p>
    <w:p>
      <w:pPr>
        <w:pStyle w:val="Style23"/>
        <w:keepNext w:val="0"/>
        <w:keepLines w:val="0"/>
        <w:widowControl w:val="0"/>
        <w:numPr>
          <w:ilvl w:val="0"/>
          <w:numId w:val="9"/>
        </w:numPr>
        <w:shd w:val="clear" w:color="auto" w:fill="auto"/>
        <w:bidi w:val="0"/>
        <w:spacing w:before="0" w:after="0" w:line="319" w:lineRule="exact"/>
        <w:ind w:left="0" w:right="0"/>
        <w:jc w:val="both"/>
      </w:pPr>
      <w:bookmarkStart w:id="255" w:name="bookmark255"/>
      <w:bookmarkEnd w:id="255"/>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机构：</w:t>
      </w:r>
      <w:r>
        <w:rPr>
          <w:color w:val="000000"/>
          <w:spacing w:val="0"/>
          <w:w w:val="100"/>
          <w:position w:val="0"/>
        </w:rPr>
        <w:t>公司设立了健全的组织机构体系，独立运作，不存在与控股股东或其职能部门之间的从属关系。</w:t>
      </w:r>
    </w:p>
    <w:p>
      <w:pPr>
        <w:pStyle w:val="Style23"/>
        <w:keepNext w:val="0"/>
        <w:keepLines w:val="0"/>
        <w:widowControl w:val="0"/>
        <w:numPr>
          <w:ilvl w:val="0"/>
          <w:numId w:val="9"/>
        </w:numPr>
        <w:shd w:val="clear" w:color="auto" w:fill="auto"/>
        <w:bidi w:val="0"/>
        <w:spacing w:before="0" w:after="300" w:line="322" w:lineRule="exact"/>
        <w:ind w:left="0" w:right="0"/>
        <w:jc w:val="both"/>
      </w:pPr>
      <w:bookmarkStart w:id="256" w:name="bookmark256"/>
      <w:bookmarkEnd w:id="256"/>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财务：</w:t>
      </w:r>
      <w:r>
        <w:rPr>
          <w:color w:val="000000"/>
          <w:spacing w:val="0"/>
          <w:w w:val="100"/>
          <w:position w:val="0"/>
        </w:rPr>
        <w:t>公司设有独立的财务会计部门，配备独立的财务会计人员，建立了独立的会计核算体系和财务管理制度，独立 进行财务决策；公司独立开设银行账户，独立纳税。</w:t>
      </w:r>
    </w:p>
    <w:p>
      <w:pPr>
        <w:pStyle w:val="Style28"/>
        <w:keepNext/>
        <w:keepLines/>
        <w:widowControl w:val="0"/>
        <w:shd w:val="clear" w:color="auto" w:fill="auto"/>
        <w:tabs>
          <w:tab w:pos="522" w:val="left"/>
        </w:tabs>
        <w:bidi w:val="0"/>
        <w:spacing w:before="0" w:after="240" w:line="331" w:lineRule="exact"/>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三</w:t>
      </w:r>
      <w:bookmarkEnd w:id="259"/>
      <w:r>
        <w:rPr>
          <w:color w:val="000000"/>
          <w:spacing w:val="0"/>
          <w:w w:val="100"/>
          <w:position w:val="0"/>
          <w:sz w:val="24"/>
          <w:szCs w:val="24"/>
        </w:rPr>
        <w:t>、</w:t>
        <w:tab/>
        <w:t>同业竞争情况</w:t>
      </w:r>
      <w:bookmarkEnd w:id="257"/>
      <w:bookmarkEnd w:id="258"/>
      <w:bookmarkEnd w:id="260"/>
    </w:p>
    <w:p>
      <w:pPr>
        <w:pStyle w:val="Style23"/>
        <w:keepNext w:val="0"/>
        <w:keepLines w:val="0"/>
        <w:widowControl w:val="0"/>
        <w:shd w:val="clear" w:color="auto" w:fill="auto"/>
        <w:bidi w:val="0"/>
        <w:spacing w:before="0" w:after="300" w:line="31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331" w:lineRule="exact"/>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四</w:t>
      </w:r>
      <w:bookmarkEnd w:id="263"/>
      <w:r>
        <w:rPr>
          <w:color w:val="000000"/>
          <w:spacing w:val="0"/>
          <w:w w:val="100"/>
          <w:position w:val="0"/>
          <w:sz w:val="24"/>
          <w:szCs w:val="24"/>
        </w:rPr>
        <w:t>、</w:t>
        <w:tab/>
        <w:t>报告期内召开的年度股东大会和临时股东大会的有关情况</w:t>
      </w:r>
      <w:bookmarkEnd w:id="261"/>
      <w:bookmarkEnd w:id="262"/>
      <w:bookmarkEnd w:id="264"/>
    </w:p>
    <w:p>
      <w:pPr>
        <w:pStyle w:val="Style34"/>
        <w:keepNext/>
        <w:keepLines/>
        <w:widowControl w:val="0"/>
        <w:shd w:val="clear" w:color="auto" w:fill="auto"/>
        <w:bidi w:val="0"/>
        <w:spacing w:before="0" w:after="300" w:line="240" w:lineRule="auto"/>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、本报告期股东大会情况</w:t>
      </w:r>
      <w:bookmarkEnd w:id="265"/>
      <w:bookmarkEnd w:id="266"/>
      <w:bookmarkEnd w:id="268"/>
    </w:p>
    <w:tbl>
      <w:tblPr>
        <w:tblOverlap w:val="never"/>
        <w:jc w:val="center"/>
        <w:tblLayout w:type="fixed"/>
      </w:tblPr>
      <w:tblGrid>
        <w:gridCol w:w="1286"/>
        <w:gridCol w:w="1272"/>
        <w:gridCol w:w="854"/>
        <w:gridCol w:w="1560"/>
        <w:gridCol w:w="1699"/>
        <w:gridCol w:w="291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www.cninfo.com.cn</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年第一次临时股东大会决议 公告》（公告编号：</w:t>
            </w:r>
            <w:r>
              <w:rPr>
                <w:color w:val="000000"/>
                <w:spacing w:val="0"/>
                <w:w w:val="100"/>
                <w:position w:val="0"/>
              </w:rPr>
              <w:t>2021-022</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巨潮资讯网《关于</w:t>
            </w:r>
            <w:r>
              <w:rPr>
                <w:color w:val="000000"/>
                <w:spacing w:val="0"/>
                <w:w w:val="100"/>
                <w:position w:val="0"/>
              </w:rPr>
              <w:t>2021</w:t>
            </w:r>
            <w:r>
              <w:rPr>
                <w:rFonts w:ascii="SimSun" w:eastAsia="SimSun" w:hAnsi="SimSun" w:cs="SimSun"/>
                <w:color w:val="000000"/>
                <w:spacing w:val="0"/>
                <w:w w:val="100"/>
                <w:position w:val="0"/>
              </w:rPr>
              <w:t xml:space="preserve">年第二次临 时股东大会决议公告》（公告编号： </w:t>
            </w:r>
            <w:r>
              <w:rPr>
                <w:color w:val="000000"/>
                <w:spacing w:val="0"/>
                <w:w w:val="100"/>
                <w:position w:val="0"/>
              </w:rPr>
              <w:t>2021-064</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2020</w:t>
            </w:r>
            <w:r>
              <w:rPr>
                <w:rFonts w:ascii="SimSun" w:eastAsia="SimSun" w:hAnsi="SimSun" w:cs="SimSun"/>
                <w:color w:val="000000"/>
                <w:spacing w:val="0"/>
                <w:w w:val="100"/>
                <w:position w:val="0"/>
              </w:rPr>
              <w:t>年年度股东大会决 议公告》（公告编号：</w:t>
            </w:r>
            <w:r>
              <w:rPr>
                <w:color w:val="000000"/>
                <w:spacing w:val="0"/>
                <w:w w:val="100"/>
                <w:position w:val="0"/>
              </w:rPr>
              <w:t>2021-074</w:t>
            </w:r>
            <w:r>
              <w:rPr>
                <w:rFonts w:ascii="SimSun" w:eastAsia="SimSun" w:hAnsi="SimSun" w:cs="SimSu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年第三次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322"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年第三次临时股东 大会决议公告》（公告编号：</w:t>
            </w:r>
          </w:p>
          <w:p>
            <w:pPr>
              <w:pStyle w:val="Style25"/>
              <w:keepNext w:val="0"/>
              <w:keepLines w:val="0"/>
              <w:widowControl w:val="0"/>
              <w:shd w:val="clear" w:color="auto" w:fill="auto"/>
              <w:bidi w:val="0"/>
              <w:spacing w:before="0" w:after="0" w:line="374" w:lineRule="auto"/>
              <w:ind w:left="0" w:right="0" w:firstLine="0"/>
              <w:jc w:val="left"/>
            </w:pPr>
            <w:r>
              <w:rPr>
                <w:color w:val="000000"/>
                <w:spacing w:val="0"/>
                <w:w w:val="100"/>
                <w:position w:val="0"/>
              </w:rPr>
              <w:t>2021-076</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年第四次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322"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年第四次临时股东 大会决议公告》（公告编号：</w:t>
            </w:r>
          </w:p>
          <w:p>
            <w:pPr>
              <w:pStyle w:val="Style25"/>
              <w:keepNext w:val="0"/>
              <w:keepLines w:val="0"/>
              <w:widowControl w:val="0"/>
              <w:shd w:val="clear" w:color="auto" w:fill="auto"/>
              <w:bidi w:val="0"/>
              <w:spacing w:before="0" w:after="0" w:line="374" w:lineRule="auto"/>
              <w:ind w:left="0" w:right="0" w:firstLine="0"/>
              <w:jc w:val="left"/>
            </w:pPr>
            <w:r>
              <w:rPr>
                <w:color w:val="000000"/>
                <w:spacing w:val="0"/>
                <w:w w:val="100"/>
                <w:position w:val="0"/>
              </w:rPr>
              <w:t>2021-101</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86"/>
        <w:gridCol w:w="1272"/>
        <w:gridCol w:w="854"/>
        <w:gridCol w:w="1560"/>
        <w:gridCol w:w="1699"/>
        <w:gridCol w:w="291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年第五次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326"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年第五次临时股东 大会决议公告》（公告编号：</w:t>
            </w:r>
          </w:p>
          <w:p>
            <w:pPr>
              <w:pStyle w:val="Style25"/>
              <w:keepNext w:val="0"/>
              <w:keepLines w:val="0"/>
              <w:widowControl w:val="0"/>
              <w:shd w:val="clear" w:color="auto" w:fill="auto"/>
              <w:bidi w:val="0"/>
              <w:spacing w:before="0" w:after="0" w:line="379" w:lineRule="auto"/>
              <w:ind w:left="0" w:right="0" w:firstLine="0"/>
              <w:jc w:val="left"/>
            </w:pPr>
            <w:r>
              <w:rPr>
                <w:color w:val="000000"/>
                <w:spacing w:val="0"/>
                <w:w w:val="100"/>
                <w:position w:val="0"/>
              </w:rPr>
              <w:t>2021-120</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年第六次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年第六次临时股东 大会决议公告》（公告编号：</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2021-137</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年第七次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326"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年第七次临时股东 大会决议公告》（公告编号：</w:t>
            </w:r>
          </w:p>
          <w:p>
            <w:pPr>
              <w:pStyle w:val="Style25"/>
              <w:keepNext w:val="0"/>
              <w:keepLines w:val="0"/>
              <w:widowControl w:val="0"/>
              <w:shd w:val="clear" w:color="auto" w:fill="auto"/>
              <w:bidi w:val="0"/>
              <w:spacing w:before="0" w:after="0" w:line="379" w:lineRule="auto"/>
              <w:ind w:left="0" w:right="0" w:firstLine="0"/>
              <w:jc w:val="left"/>
            </w:pPr>
            <w:r>
              <w:rPr>
                <w:color w:val="000000"/>
                <w:spacing w:val="0"/>
                <w:w w:val="100"/>
                <w:position w:val="0"/>
              </w:rPr>
              <w:t>2021-145</w:t>
            </w:r>
            <w:r>
              <w:rPr>
                <w:rFonts w:ascii="SimSun" w:eastAsia="SimSun" w:hAnsi="SimSun" w:cs="SimSu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、表决权恢复的优先股股东请求召开临时股东大会</w:t>
      </w:r>
      <w:bookmarkEnd w:id="269"/>
      <w:bookmarkEnd w:id="270"/>
      <w:bookmarkEnd w:id="272"/>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五</w:t>
      </w:r>
      <w:bookmarkEnd w:id="275"/>
      <w:r>
        <w:rPr>
          <w:color w:val="000000"/>
          <w:spacing w:val="0"/>
          <w:w w:val="100"/>
          <w:position w:val="0"/>
          <w:sz w:val="24"/>
          <w:szCs w:val="24"/>
        </w:rPr>
        <w:t>、董事、监事和高级管理人员情况</w:t>
      </w:r>
      <w:bookmarkEnd w:id="273"/>
      <w:bookmarkEnd w:id="274"/>
      <w:bookmarkEnd w:id="276"/>
    </w:p>
    <w:p>
      <w:pPr>
        <w:pStyle w:val="Style34"/>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、基本情况</w:t>
      </w:r>
      <w:bookmarkEnd w:id="277"/>
      <w:bookmarkEnd w:id="278"/>
      <w:bookmarkEnd w:id="280"/>
    </w:p>
    <w:tbl>
      <w:tblPr>
        <w:tblOverlap w:val="never"/>
        <w:jc w:val="center"/>
        <w:tblLayout w:type="fixed"/>
      </w:tblPr>
      <w:tblGrid>
        <w:gridCol w:w="739"/>
        <w:gridCol w:w="739"/>
        <w:gridCol w:w="514"/>
        <w:gridCol w:w="427"/>
        <w:gridCol w:w="422"/>
        <w:gridCol w:w="854"/>
        <w:gridCol w:w="850"/>
        <w:gridCol w:w="850"/>
        <w:gridCol w:w="850"/>
        <w:gridCol w:w="850"/>
        <w:gridCol w:w="854"/>
        <w:gridCol w:w="850"/>
        <w:gridCol w:w="78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任职</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本期增持</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股份数量</w:t>
            </w:r>
          </w:p>
          <w:p>
            <w:pPr>
              <w:pStyle w:val="Style25"/>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本期减持</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股份数量</w:t>
            </w:r>
          </w:p>
          <w:p>
            <w:pPr>
              <w:pStyle w:val="Style25"/>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其他增减</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期末持股</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董事长、</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董事兼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股权激 励</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董事兼</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Key Ke</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Liu </w:t>
            </w:r>
            <w:r>
              <w:rPr>
                <w:rFonts w:ascii="SimSun" w:eastAsia="SimSun" w:hAnsi="SimSun" w:cs="SimSun"/>
                <w:color w:val="000000"/>
                <w:spacing w:val="0"/>
                <w:w w:val="100"/>
                <w:position w:val="0"/>
              </w:rPr>
              <w:t>（中</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文名：刘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9"/>
        <w:gridCol w:w="739"/>
        <w:gridCol w:w="514"/>
        <w:gridCol w:w="427"/>
        <w:gridCol w:w="422"/>
        <w:gridCol w:w="854"/>
        <w:gridCol w:w="850"/>
        <w:gridCol w:w="850"/>
        <w:gridCol w:w="850"/>
        <w:gridCol w:w="850"/>
        <w:gridCol w:w="854"/>
        <w:gridCol w:w="850"/>
        <w:gridCol w:w="78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梅绍华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监事会</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职工代</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董事会</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秘书兼</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股权激 励</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鲁生选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财务总</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监兼副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减持</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潘林武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钟晓林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职工代</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赵红艳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财务总</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监兼副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贺庆华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5,762,500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pStyle w:val="Style2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numPr>
          <w:ilvl w:val="0"/>
          <w:numId w:val="11"/>
        </w:numPr>
        <w:shd w:val="clear" w:color="auto" w:fill="auto"/>
        <w:tabs>
          <w:tab w:pos="301" w:val="left"/>
        </w:tabs>
        <w:bidi w:val="0"/>
        <w:spacing w:before="0" w:after="0" w:line="331" w:lineRule="exact"/>
        <w:ind w:left="0" w:right="0" w:firstLine="0"/>
        <w:jc w:val="left"/>
      </w:pPr>
      <w:bookmarkStart w:id="281" w:name="bookmark281"/>
      <w:bookmarkEnd w:id="28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月，贺庆华先生因个人原因申请辞去公司副总裁职务，其辞职后不再担任公司任何职务。</w:t>
      </w:r>
    </w:p>
    <w:p>
      <w:pPr>
        <w:pStyle w:val="Style23"/>
        <w:keepNext w:val="0"/>
        <w:keepLines w:val="0"/>
        <w:widowControl w:val="0"/>
        <w:shd w:val="clear" w:color="auto" w:fill="auto"/>
        <w:bidi w:val="0"/>
        <w:spacing w:before="0" w:after="80" w:line="331" w:lineRule="exact"/>
        <w:ind w:left="0" w:right="0" w:firstLine="0"/>
        <w:jc w:val="left"/>
      </w:pPr>
      <w:bookmarkStart w:id="282" w:name="bookmark282"/>
      <w:r>
        <w:rPr>
          <w:rFonts w:ascii="Times New Roman" w:eastAsia="Times New Roman" w:hAnsi="Times New Roman" w:cs="Times New Roman"/>
          <w:color w:val="000000"/>
          <w:spacing w:val="0"/>
          <w:w w:val="100"/>
          <w:position w:val="0"/>
        </w:rPr>
        <w:t>2</w:t>
      </w:r>
      <w:bookmarkEnd w:id="282"/>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月，汪超涌先生因个人原因申请辞去公司第七届董事会董事长、董事、董事会提名委员会委员、薪酬与考核委员 会委员、战略委员会召集人职务。</w:t>
      </w:r>
    </w:p>
    <w:p>
      <w:pPr>
        <w:pStyle w:val="Style23"/>
        <w:keepNext w:val="0"/>
        <w:keepLines w:val="0"/>
        <w:widowControl w:val="0"/>
        <w:numPr>
          <w:ilvl w:val="0"/>
          <w:numId w:val="13"/>
        </w:numPr>
        <w:shd w:val="clear" w:color="auto" w:fill="auto"/>
        <w:tabs>
          <w:tab w:pos="310" w:val="left"/>
        </w:tabs>
        <w:bidi w:val="0"/>
        <w:spacing w:before="0" w:after="0" w:line="319" w:lineRule="exact"/>
        <w:ind w:left="0" w:right="0" w:firstLine="0"/>
        <w:jc w:val="left"/>
      </w:pPr>
      <w:bookmarkStart w:id="283" w:name="bookmark283"/>
      <w:bookmarkEnd w:id="28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月，潘林武先生因个人原因申请辞去公司第七届董事会董事职务，其辞职后不在公司担任任何职务。</w:t>
      </w:r>
    </w:p>
    <w:p>
      <w:pPr>
        <w:pStyle w:val="Style23"/>
        <w:keepNext w:val="0"/>
        <w:keepLines w:val="0"/>
        <w:widowControl w:val="0"/>
        <w:numPr>
          <w:ilvl w:val="0"/>
          <w:numId w:val="13"/>
        </w:numPr>
        <w:shd w:val="clear" w:color="auto" w:fill="auto"/>
        <w:tabs>
          <w:tab w:pos="320" w:val="left"/>
        </w:tabs>
        <w:bidi w:val="0"/>
        <w:spacing w:before="0" w:after="0" w:line="317" w:lineRule="exact"/>
        <w:ind w:left="0" w:right="0" w:firstLine="0"/>
        <w:jc w:val="left"/>
      </w:pPr>
      <w:bookmarkStart w:id="284" w:name="bookmark284"/>
      <w:bookmarkEnd w:id="28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月，谭清先生因个人原因申请辞去公司监事职务，其辞职后不再担任公司任何职务。因其辞职导致公司监事会成 员人数低于法定最低人数，其辞职报告自</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年第四次临时股东大会审议通过补选监事议案后生效。</w:t>
      </w:r>
    </w:p>
    <w:p>
      <w:pPr>
        <w:pStyle w:val="Style23"/>
        <w:keepNext w:val="0"/>
        <w:keepLines w:val="0"/>
        <w:widowControl w:val="0"/>
        <w:numPr>
          <w:ilvl w:val="0"/>
          <w:numId w:val="13"/>
        </w:numPr>
        <w:shd w:val="clear" w:color="auto" w:fill="auto"/>
        <w:tabs>
          <w:tab w:pos="320" w:val="left"/>
        </w:tabs>
        <w:bidi w:val="0"/>
        <w:spacing w:before="0" w:after="0" w:line="319" w:lineRule="exact"/>
        <w:ind w:left="0" w:right="0" w:firstLine="0"/>
        <w:jc w:val="left"/>
      </w:pPr>
      <w:bookmarkStart w:id="285" w:name="bookmark285"/>
      <w:bookmarkEnd w:id="28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月，钟燕女士因个人原因申请辞去公司职工代表监事的职务，其辞职后不再担任公司任何职务。</w:t>
      </w:r>
    </w:p>
    <w:p>
      <w:pPr>
        <w:pStyle w:val="Style23"/>
        <w:keepNext w:val="0"/>
        <w:keepLines w:val="0"/>
        <w:widowControl w:val="0"/>
        <w:numPr>
          <w:ilvl w:val="0"/>
          <w:numId w:val="13"/>
        </w:numPr>
        <w:shd w:val="clear" w:color="auto" w:fill="auto"/>
        <w:tabs>
          <w:tab w:pos="320" w:val="left"/>
        </w:tabs>
        <w:bidi w:val="0"/>
        <w:spacing w:before="0" w:after="0" w:line="319" w:lineRule="exact"/>
        <w:ind w:left="0" w:right="0" w:firstLine="0"/>
        <w:jc w:val="left"/>
      </w:pPr>
      <w:bookmarkStart w:id="286" w:name="bookmark286"/>
      <w:bookmarkEnd w:id="286"/>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月，赵红艳女士因个人原因申请辞去公司财务总监兼副总裁职务，其辞职后不再担任公司任何职务。</w:t>
      </w:r>
    </w:p>
    <w:p>
      <w:pPr>
        <w:pStyle w:val="Style23"/>
        <w:keepNext w:val="0"/>
        <w:keepLines w:val="0"/>
        <w:widowControl w:val="0"/>
        <w:numPr>
          <w:ilvl w:val="0"/>
          <w:numId w:val="13"/>
        </w:numPr>
        <w:shd w:val="clear" w:color="auto" w:fill="auto"/>
        <w:tabs>
          <w:tab w:pos="320" w:val="left"/>
        </w:tabs>
        <w:bidi w:val="0"/>
        <w:spacing w:before="0" w:after="0" w:line="319" w:lineRule="exact"/>
        <w:ind w:left="0" w:right="0" w:firstLine="0"/>
        <w:jc w:val="left"/>
      </w:pPr>
      <w:bookmarkStart w:id="287" w:name="bookmark287"/>
      <w:bookmarkEnd w:id="287"/>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月，沈晓超女士因个人原因申请辞去公司董事以及董事会审计委员会委员职务，其辞职后不再担任公司任何职务。</w:t>
      </w:r>
    </w:p>
    <w:p>
      <w:pPr>
        <w:pStyle w:val="Style23"/>
        <w:keepNext w:val="0"/>
        <w:keepLines w:val="0"/>
        <w:widowControl w:val="0"/>
        <w:numPr>
          <w:ilvl w:val="0"/>
          <w:numId w:val="13"/>
        </w:numPr>
        <w:shd w:val="clear" w:color="auto" w:fill="auto"/>
        <w:tabs>
          <w:tab w:pos="320" w:val="left"/>
        </w:tabs>
        <w:bidi w:val="0"/>
        <w:spacing w:before="0" w:after="0" w:line="319" w:lineRule="exact"/>
        <w:ind w:left="0" w:right="0" w:firstLine="0"/>
        <w:jc w:val="left"/>
      </w:pPr>
      <w:bookmarkStart w:id="288" w:name="bookmark288"/>
      <w:bookmarkEnd w:id="28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月，陈丹女士因个人原因申请辞去公司董事员职务，其辞职后不再担任公司任何职务。</w:t>
      </w:r>
    </w:p>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9.2021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月，钟晓林先生因个人原因申请辞去公司独立董事、审计委员会委员、提名委员会召集人、战略委员会委员职务， 其辞职后不在公司担任任何职务。因其辞职导致公司独立董事人数低于董事会总人数的三分之一，其辞职自公司</w:t>
      </w:r>
      <w:r>
        <w:rPr>
          <w:rFonts w:ascii="Times New Roman" w:eastAsia="Times New Roman" w:hAnsi="Times New Roman" w:cs="Times New Roman"/>
          <w:color w:val="000000"/>
          <w:spacing w:val="0"/>
          <w:w w:val="100"/>
          <w:position w:val="0"/>
        </w:rPr>
        <w:t>2022</w:t>
      </w:r>
      <w:r>
        <w:rPr>
          <w:color w:val="000000"/>
          <w:spacing w:val="0"/>
          <w:w w:val="100"/>
          <w:position w:val="0"/>
        </w:rPr>
        <w:t>年第二 次临时股东大会审议通过补选新任独立董事后生效。</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80" w:line="319"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277"/>
        <w:gridCol w:w="850"/>
        <w:gridCol w:w="1560"/>
        <w:gridCol w:w="504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经公司持股</w:t>
            </w:r>
            <w:r>
              <w:rPr>
                <w:color w:val="000000"/>
                <w:spacing w:val="0"/>
                <w:w w:val="100"/>
                <w:position w:val="0"/>
              </w:rPr>
              <w:t>5%</w:t>
            </w:r>
            <w:r>
              <w:rPr>
                <w:rFonts w:ascii="SimSun" w:eastAsia="SimSun" w:hAnsi="SimSun" w:cs="SimSun"/>
                <w:color w:val="000000"/>
                <w:spacing w:val="0"/>
                <w:w w:val="100"/>
                <w:position w:val="0"/>
              </w:rPr>
              <w:t>以上的股东绿发城建提名、董事会提名委员会审 查，董事会同意补选陈国庆先生为公司第七届董事会非独立董事 会候选人，并经公司</w:t>
            </w:r>
            <w:r>
              <w:rPr>
                <w:color w:val="000000"/>
                <w:spacing w:val="0"/>
                <w:w w:val="100"/>
                <w:position w:val="0"/>
              </w:rPr>
              <w:t>2021</w:t>
            </w:r>
            <w:r>
              <w:rPr>
                <w:rFonts w:ascii="SimSun" w:eastAsia="SimSun" w:hAnsi="SimSun" w:cs="SimSun"/>
                <w:color w:val="000000"/>
                <w:spacing w:val="0"/>
                <w:w w:val="100"/>
                <w:position w:val="0"/>
              </w:rPr>
              <w:t>年第四次临时股东大会审议通过。同 时，经公司第七届董事会第十一次会议审议，同意选举陈国庆先 生为第七届董事会董事长。</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经公司持股</w:t>
            </w:r>
            <w:r>
              <w:rPr>
                <w:color w:val="000000"/>
                <w:spacing w:val="0"/>
                <w:w w:val="100"/>
                <w:position w:val="0"/>
              </w:rPr>
              <w:t>5%</w:t>
            </w:r>
            <w:r>
              <w:rPr>
                <w:rFonts w:ascii="SimSun" w:eastAsia="SimSun" w:hAnsi="SimSun" w:cs="SimSun"/>
                <w:color w:val="000000"/>
                <w:spacing w:val="0"/>
                <w:w w:val="100"/>
                <w:position w:val="0"/>
              </w:rPr>
              <w:t>以上的股东绿发城建提名、董事会提名委员会审 查，董事会同意补选何金子先生为公司第七届董事会非独立董事 会候选人，并经公司</w:t>
            </w:r>
            <w:r>
              <w:rPr>
                <w:color w:val="000000"/>
                <w:spacing w:val="0"/>
                <w:w w:val="100"/>
                <w:position w:val="0"/>
              </w:rPr>
              <w:t>2021</w:t>
            </w:r>
            <w:r>
              <w:rPr>
                <w:rFonts w:ascii="SimSun" w:eastAsia="SimSun" w:hAnsi="SimSun" w:cs="SimSun"/>
                <w:color w:val="000000"/>
                <w:spacing w:val="0"/>
                <w:w w:val="100"/>
                <w:position w:val="0"/>
              </w:rPr>
              <w:t>年第四次临时股东大会审议通过。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经公司原控股股东中驰惠程提名、董事会提名委员会审查，董事 会同意补选周志达先生为公司第七届董事会非独立董事会候选 人，并经公司</w:t>
            </w:r>
            <w:r>
              <w:rPr>
                <w:color w:val="000000"/>
                <w:spacing w:val="0"/>
                <w:w w:val="100"/>
                <w:position w:val="0"/>
              </w:rPr>
              <w:t>2021</w:t>
            </w:r>
            <w:r>
              <w:rPr>
                <w:rFonts w:ascii="SimSun" w:eastAsia="SimSun" w:hAnsi="SimSun" w:cs="SimSun"/>
                <w:color w:val="000000"/>
                <w:spacing w:val="0"/>
                <w:w w:val="100"/>
                <w:position w:val="0"/>
              </w:rPr>
              <w:t>年第一次临时股东大会审议通过。</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经公司原控股股东中驰惠程提名、董事会提名委员会审查，董事 会同意补选黄伟先生为公司第七届董事会非独立董事会候选人， 并经公司</w:t>
            </w:r>
            <w:r>
              <w:rPr>
                <w:color w:val="000000"/>
                <w:spacing w:val="0"/>
                <w:w w:val="100"/>
                <w:position w:val="0"/>
              </w:rPr>
              <w:t>2021</w:t>
            </w:r>
            <w:r>
              <w:rPr>
                <w:rFonts w:ascii="SimSun" w:eastAsia="SimSun" w:hAnsi="SimSun" w:cs="SimSun"/>
                <w:color w:val="000000"/>
                <w:spacing w:val="0"/>
                <w:w w:val="100"/>
                <w:position w:val="0"/>
              </w:rPr>
              <w:t>年第一次临时股东大会审议通过。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经公司现任控股股东绿发城建提名、董事会提名委员会审查，董 事会同意补选龙勇先生为公司第七届董事会独立董事会候选人， 并经公司</w:t>
            </w:r>
            <w:r>
              <w:rPr>
                <w:color w:val="000000"/>
                <w:spacing w:val="0"/>
                <w:w w:val="100"/>
                <w:position w:val="0"/>
              </w:rPr>
              <w:t>2022</w:t>
            </w:r>
            <w:r>
              <w:rPr>
                <w:rFonts w:ascii="SimSun" w:eastAsia="SimSun" w:hAnsi="SimSun" w:cs="SimSun"/>
                <w:color w:val="000000"/>
                <w:spacing w:val="0"/>
                <w:w w:val="100"/>
                <w:position w:val="0"/>
              </w:rPr>
              <w:t>年第二次临时股东大会审议通过。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经公司持股</w:t>
            </w:r>
            <w:r>
              <w:rPr>
                <w:color w:val="000000"/>
                <w:spacing w:val="0"/>
                <w:w w:val="100"/>
                <w:position w:val="0"/>
              </w:rPr>
              <w:t>5%</w:t>
            </w:r>
            <w:r>
              <w:rPr>
                <w:rFonts w:ascii="SimSun" w:eastAsia="SimSun" w:hAnsi="SimSun" w:cs="SimSun"/>
                <w:color w:val="000000"/>
                <w:spacing w:val="0"/>
                <w:w w:val="100"/>
                <w:position w:val="0"/>
              </w:rPr>
              <w:t>以上的股东绿发城建提名、监事会审核，同意补 选邹胜勇先生为公司第七届监事会非职工代表监事候选人，并经 公司</w:t>
            </w:r>
            <w:r>
              <w:rPr>
                <w:color w:val="000000"/>
                <w:spacing w:val="0"/>
                <w:w w:val="100"/>
                <w:position w:val="0"/>
              </w:rPr>
              <w:t>2021</w:t>
            </w:r>
            <w:r>
              <w:rPr>
                <w:rFonts w:ascii="SimSun" w:eastAsia="SimSun" w:hAnsi="SimSun" w:cs="SimSun"/>
                <w:color w:val="000000"/>
                <w:spacing w:val="0"/>
                <w:w w:val="100"/>
                <w:position w:val="0"/>
              </w:rPr>
              <w:t>年第四次临时股东大会审议通过。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日在会议室召开职工代表大会，公司各部 门派出职工代表参加会议，经认真讨论和投票表决，选举马莉女 士为公司第七届监事会职工代表监事。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鲁生选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财务总监兼副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经公司总裁王蔚先生提名，董事会提名委员会审查，董事会同意 聘任鲁生选先生为公司财务总监兼副总裁。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贺庆华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钟晓林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bl>
    <w:tbl>
      <w:tblPr>
        <w:tblOverlap w:val="never"/>
        <w:jc w:val="center"/>
        <w:tblLayout w:type="fixed"/>
      </w:tblPr>
      <w:tblGrid>
        <w:gridCol w:w="859"/>
        <w:gridCol w:w="1277"/>
        <w:gridCol w:w="850"/>
        <w:gridCol w:w="1560"/>
        <w:gridCol w:w="504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潘林武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赵红艳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财务总监兼副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解聘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个人原因</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、任职情况</w:t>
      </w:r>
      <w:bookmarkEnd w:id="289"/>
      <w:bookmarkEnd w:id="290"/>
      <w:bookmarkEnd w:id="292"/>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numPr>
          <w:ilvl w:val="0"/>
          <w:numId w:val="15"/>
        </w:numPr>
        <w:shd w:val="clear" w:color="auto" w:fill="auto"/>
        <w:bidi w:val="0"/>
        <w:spacing w:before="0" w:line="310" w:lineRule="exact"/>
        <w:ind w:left="0" w:right="0"/>
        <w:jc w:val="left"/>
      </w:pPr>
      <w:bookmarkStart w:id="293" w:name="bookmark293"/>
      <w:bookmarkEnd w:id="293"/>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陈国庆先生：</w:t>
      </w:r>
      <w:r>
        <w:rPr>
          <w:rFonts w:ascii="Times New Roman" w:eastAsia="Times New Roman" w:hAnsi="Times New Roman" w:cs="Times New Roman"/>
          <w:color w:val="000000"/>
          <w:spacing w:val="0"/>
          <w:w w:val="100"/>
          <w:position w:val="0"/>
        </w:rPr>
        <w:t>1979</w:t>
      </w:r>
      <w:r>
        <w:rPr>
          <w:color w:val="000000"/>
          <w:spacing w:val="0"/>
          <w:w w:val="100"/>
          <w:position w:val="0"/>
        </w:rPr>
        <w:t>年出生，中国籍，中共党员，大学本科。现任重庆绿发资产经营管理有限公司董事长兼总经理，重 庆绿发城市建设有限公司执行董事兼经理，重庆量子信息安全技术研究院有限公司董事兼总经理，中新合富（重庆）股权投 资基金管理有限公司董事等职务。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月起担任公司董事长。</w:t>
      </w:r>
    </w:p>
    <w:p>
      <w:pPr>
        <w:pStyle w:val="Style23"/>
        <w:keepNext w:val="0"/>
        <w:keepLines w:val="0"/>
        <w:widowControl w:val="0"/>
        <w:numPr>
          <w:ilvl w:val="0"/>
          <w:numId w:val="15"/>
        </w:numPr>
        <w:shd w:val="clear" w:color="auto" w:fill="auto"/>
        <w:bidi w:val="0"/>
        <w:spacing w:before="0" w:line="314" w:lineRule="exact"/>
        <w:ind w:left="0" w:right="0"/>
        <w:jc w:val="left"/>
      </w:pPr>
      <w:bookmarkStart w:id="294" w:name="bookmark294"/>
      <w:bookmarkEnd w:id="29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王蔚先生：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年出生，中国籍，武汉大学计算机及应用专业学士。曾先后在中国四维测绘技术总公司、福建实达集 团股份有限公司、前沿数码科技有限公司、联想移动通信科技有限公司从事相关管理工作，</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月任职于北 京神州泰岳软件股份有限公司（</w:t>
      </w:r>
      <w:r>
        <w:rPr>
          <w:rFonts w:ascii="Times New Roman" w:eastAsia="Times New Roman" w:hAnsi="Times New Roman" w:cs="Times New Roman"/>
          <w:color w:val="000000"/>
          <w:spacing w:val="0"/>
          <w:w w:val="100"/>
          <w:position w:val="0"/>
        </w:rPr>
        <w:t>300002</w:t>
      </w:r>
      <w:r>
        <w:rPr>
          <w:color w:val="000000"/>
          <w:spacing w:val="0"/>
          <w:w w:val="100"/>
          <w:position w:val="0"/>
        </w:rPr>
        <w:t>），历任子公司</w:t>
      </w:r>
      <w:r>
        <w:rPr>
          <w:rFonts w:ascii="Times New Roman" w:eastAsia="Times New Roman" w:hAnsi="Times New Roman" w:cs="Times New Roman"/>
          <w:color w:val="000000"/>
          <w:spacing w:val="0"/>
          <w:w w:val="100"/>
          <w:position w:val="0"/>
        </w:rPr>
        <w:t>VP</w:t>
      </w:r>
      <w:r>
        <w:rPr>
          <w:color w:val="000000"/>
          <w:spacing w:val="0"/>
          <w:w w:val="100"/>
          <w:position w:val="0"/>
        </w:rPr>
        <w:t>、</w:t>
      </w:r>
      <w:r>
        <w:rPr>
          <w:color w:val="000000"/>
          <w:spacing w:val="0"/>
          <w:w w:val="100"/>
          <w:position w:val="0"/>
        </w:rPr>
        <w:t>总经理及总公司</w:t>
      </w:r>
      <w:r>
        <w:rPr>
          <w:rFonts w:ascii="Times New Roman" w:eastAsia="Times New Roman" w:hAnsi="Times New Roman" w:cs="Times New Roman"/>
          <w:color w:val="000000"/>
          <w:spacing w:val="0"/>
          <w:w w:val="100"/>
          <w:position w:val="0"/>
        </w:rPr>
        <w:t>VP</w:t>
      </w:r>
      <w:r>
        <w:rPr>
          <w:color w:val="000000"/>
          <w:spacing w:val="0"/>
          <w:w w:val="100"/>
          <w:position w:val="0"/>
        </w:rPr>
        <w:t>职务。现任全国高校创新业服务联盟联席理 事长、西安交通大学创新创业学院兼职教授；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月至今，担任深圳市前海梧桐并购投资基金管理有限公司高级合伙人；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月至今担任珠海梧桐高创投资管理有限公司总经理及董事职务。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 董事。</w:t>
      </w:r>
    </w:p>
    <w:p>
      <w:pPr>
        <w:pStyle w:val="Style23"/>
        <w:keepNext w:val="0"/>
        <w:keepLines w:val="0"/>
        <w:widowControl w:val="0"/>
        <w:numPr>
          <w:ilvl w:val="0"/>
          <w:numId w:val="15"/>
        </w:numPr>
        <w:shd w:val="clear" w:color="auto" w:fill="auto"/>
        <w:bidi w:val="0"/>
        <w:spacing w:before="0" w:line="310" w:lineRule="exact"/>
        <w:ind w:left="0" w:right="0"/>
        <w:jc w:val="left"/>
      </w:pPr>
      <w:bookmarkStart w:id="295" w:name="bookmark295"/>
      <w:bookmarkEnd w:id="295"/>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何金子先生</w:t>
      </w:r>
      <w:r>
        <w:rPr>
          <w:color w:val="000000"/>
          <w:spacing w:val="0"/>
          <w:w w:val="100"/>
          <w:position w:val="0"/>
        </w:rPr>
        <w:t>：</w:t>
      </w:r>
      <w:r>
        <w:rPr>
          <w:rFonts w:ascii="Times New Roman" w:eastAsia="Times New Roman" w:hAnsi="Times New Roman" w:cs="Times New Roman"/>
          <w:color w:val="000000"/>
          <w:spacing w:val="0"/>
          <w:w w:val="100"/>
          <w:position w:val="0"/>
        </w:rPr>
        <w:t>1985</w:t>
      </w:r>
      <w:r>
        <w:rPr>
          <w:color w:val="000000"/>
          <w:spacing w:val="0"/>
          <w:w w:val="100"/>
          <w:position w:val="0"/>
        </w:rPr>
        <w:t>年出生，中国籍，中共党员。吉林外国语大学国际经济与贸易专业学士、中国人民大学世界经济学 专业硕士。北京交通大学客座教授，</w:t>
      </w:r>
      <w:r>
        <w:rPr>
          <w:rFonts w:ascii="Times New Roman" w:eastAsia="Times New Roman" w:hAnsi="Times New Roman" w:cs="Times New Roman"/>
          <w:color w:val="000000"/>
          <w:spacing w:val="0"/>
          <w:w w:val="100"/>
          <w:position w:val="0"/>
        </w:rPr>
        <w:t>2012</w:t>
      </w:r>
      <w:r>
        <w:rPr>
          <w:color w:val="000000"/>
          <w:spacing w:val="0"/>
          <w:w w:val="100"/>
          <w:position w:val="0"/>
        </w:rPr>
        <w:t>年获得金融界</w:t>
      </w:r>
      <w:r>
        <w:rPr>
          <w:rFonts w:ascii="Times New Roman" w:eastAsia="Times New Roman" w:hAnsi="Times New Roman" w:cs="Times New Roman"/>
          <w:color w:val="000000"/>
          <w:spacing w:val="0"/>
          <w:w w:val="100"/>
          <w:position w:val="0"/>
        </w:rPr>
        <w:t>“</w:t>
      </w:r>
      <w:r>
        <w:rPr>
          <w:color w:val="000000"/>
          <w:spacing w:val="0"/>
          <w:w w:val="100"/>
          <w:position w:val="0"/>
        </w:rPr>
        <w:t>十大金牌博主</w:t>
      </w:r>
      <w:r>
        <w:rPr>
          <w:rFonts w:ascii="Times New Roman" w:eastAsia="Times New Roman" w:hAnsi="Times New Roman" w:cs="Times New Roman"/>
          <w:color w:val="000000"/>
          <w:spacing w:val="0"/>
          <w:w w:val="100"/>
          <w:position w:val="0"/>
        </w:rPr>
        <w:t>”</w:t>
      </w:r>
      <w:r>
        <w:rPr>
          <w:color w:val="000000"/>
          <w:spacing w:val="0"/>
          <w:w w:val="100"/>
          <w:position w:val="0"/>
        </w:rPr>
        <w:t>称号，《财富讲坛》授予</w:t>
      </w:r>
      <w:r>
        <w:rPr>
          <w:rFonts w:ascii="Times New Roman" w:eastAsia="Times New Roman" w:hAnsi="Times New Roman" w:cs="Times New Roman"/>
          <w:color w:val="000000"/>
          <w:spacing w:val="0"/>
          <w:w w:val="100"/>
          <w:position w:val="0"/>
        </w:rPr>
        <w:t>“</w:t>
      </w:r>
      <w:r>
        <w:rPr>
          <w:color w:val="000000"/>
          <w:spacing w:val="0"/>
          <w:w w:val="100"/>
          <w:position w:val="0"/>
        </w:rPr>
        <w:t>技术创新奖匚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至今担任公司副总裁，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月至今担任公司董事。</w:t>
      </w:r>
    </w:p>
    <w:p>
      <w:pPr>
        <w:pStyle w:val="Style23"/>
        <w:keepNext w:val="0"/>
        <w:keepLines w:val="0"/>
        <w:widowControl w:val="0"/>
        <w:numPr>
          <w:ilvl w:val="0"/>
          <w:numId w:val="15"/>
        </w:numPr>
        <w:shd w:val="clear" w:color="auto" w:fill="auto"/>
        <w:bidi w:val="0"/>
        <w:spacing w:before="0" w:line="314" w:lineRule="exact"/>
        <w:ind w:left="0" w:right="0"/>
        <w:jc w:val="left"/>
      </w:pPr>
      <w:bookmarkStart w:id="296" w:name="bookmark296"/>
      <w:bookmarkEnd w:id="296"/>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林嘉喜先生</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年出生，中国籍。</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年东南大学肄业创业，创办南京国金投资顾问有限公司并担任执行董事至今； </w:t>
      </w:r>
      <w:r>
        <w:rPr>
          <w:rFonts w:ascii="Times New Roman" w:eastAsia="Times New Roman" w:hAnsi="Times New Roman" w:cs="Times New Roman"/>
          <w:color w:val="000000"/>
          <w:spacing w:val="0"/>
          <w:w w:val="100"/>
          <w:position w:val="0"/>
        </w:rPr>
        <w:t>2004</w:t>
      </w:r>
      <w:r>
        <w:rPr>
          <w:color w:val="000000"/>
          <w:spacing w:val="0"/>
          <w:w w:val="100"/>
          <w:position w:val="0"/>
        </w:rPr>
        <w:t>年创办深圳国金投资顾问有限公司并担任执行董事兼总经理至今；</w:t>
      </w:r>
      <w:r>
        <w:rPr>
          <w:rFonts w:ascii="Times New Roman" w:eastAsia="Times New Roman" w:hAnsi="Times New Roman" w:cs="Times New Roman"/>
          <w:color w:val="000000"/>
          <w:spacing w:val="0"/>
          <w:w w:val="100"/>
          <w:position w:val="0"/>
        </w:rPr>
        <w:t>2013</w:t>
      </w:r>
      <w:r>
        <w:rPr>
          <w:color w:val="000000"/>
          <w:spacing w:val="0"/>
          <w:w w:val="100"/>
          <w:position w:val="0"/>
        </w:rPr>
        <w:t>年创办深圳国金纵横投资管理有限公司并担任执 行董事兼总经理至今；</w:t>
      </w:r>
      <w:r>
        <w:rPr>
          <w:rFonts w:ascii="Times New Roman" w:eastAsia="Times New Roman" w:hAnsi="Times New Roman" w:cs="Times New Roman"/>
          <w:color w:val="000000"/>
          <w:spacing w:val="0"/>
          <w:w w:val="100"/>
          <w:position w:val="0"/>
        </w:rPr>
        <w:t>2015</w:t>
      </w:r>
      <w:r>
        <w:rPr>
          <w:color w:val="000000"/>
          <w:spacing w:val="0"/>
          <w:w w:val="100"/>
          <w:position w:val="0"/>
        </w:rPr>
        <w:t>年创办北京国金纵横投资管理有限公司并担任执行董事兼经理至今；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月至今担任南京达 斯琪数字科技有限公司董事；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月至今担任浙江无端科技股份有限公司董事。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月起担任公司董事。</w:t>
      </w:r>
    </w:p>
    <w:p>
      <w:pPr>
        <w:pStyle w:val="Style23"/>
        <w:keepNext w:val="0"/>
        <w:keepLines w:val="0"/>
        <w:widowControl w:val="0"/>
        <w:numPr>
          <w:ilvl w:val="0"/>
          <w:numId w:val="15"/>
        </w:numPr>
        <w:shd w:val="clear" w:color="auto" w:fill="auto"/>
        <w:bidi w:val="0"/>
        <w:spacing w:before="0" w:line="314" w:lineRule="exact"/>
        <w:ind w:left="0" w:right="0"/>
        <w:jc w:val="left"/>
      </w:pPr>
      <w:bookmarkStart w:id="297" w:name="bookmark297"/>
      <w:bookmarkEnd w:id="297"/>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周志达先生</w:t>
      </w:r>
      <w:r>
        <w:rPr>
          <w:color w:val="000000"/>
          <w:spacing w:val="0"/>
          <w:w w:val="100"/>
          <w:position w:val="0"/>
        </w:rPr>
        <w:t>：</w:t>
      </w:r>
      <w:r>
        <w:rPr>
          <w:rFonts w:ascii="Times New Roman" w:eastAsia="Times New Roman" w:hAnsi="Times New Roman" w:cs="Times New Roman"/>
          <w:color w:val="000000"/>
          <w:spacing w:val="0"/>
          <w:w w:val="100"/>
          <w:position w:val="0"/>
        </w:rPr>
        <w:t>1989</w:t>
      </w:r>
      <w:r>
        <w:rPr>
          <w:color w:val="000000"/>
          <w:spacing w:val="0"/>
          <w:w w:val="100"/>
          <w:position w:val="0"/>
        </w:rPr>
        <w:t>年出生，中国籍，理学学士、应用经济学硕士。最近五年曾从事重庆安运科技股份有限公司证券事 务、光大永明人寿保险有限公司渠道管理、中合博芯（重庆）半导体有限公司行业研究工作。目前担任重庆绿发资产经营管 理有限公司高级投资经理职务，算筹信息科技有限公司技术顾问。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月起担任公司董事。</w:t>
      </w:r>
    </w:p>
    <w:p>
      <w:pPr>
        <w:pStyle w:val="Style23"/>
        <w:keepNext w:val="0"/>
        <w:keepLines w:val="0"/>
        <w:widowControl w:val="0"/>
        <w:numPr>
          <w:ilvl w:val="0"/>
          <w:numId w:val="15"/>
        </w:numPr>
        <w:shd w:val="clear" w:color="auto" w:fill="auto"/>
        <w:bidi w:val="0"/>
        <w:spacing w:before="0" w:line="312" w:lineRule="exact"/>
        <w:ind w:left="0" w:right="0"/>
        <w:jc w:val="left"/>
      </w:pPr>
      <w:bookmarkStart w:id="298" w:name="bookmark298"/>
      <w:bookmarkEnd w:id="298"/>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黄伟先生：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年出生，中国籍，无永久境外居留权，本科学历，经济学、理学双学士学位。曾任中国电子科技集团 公司第四十三研究所助理工程师，现任国科量子通信网络有限公司市场总监、监事，四川国科量子通信网络有限公司董事兼 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月起担任公司董事。</w:t>
      </w:r>
    </w:p>
    <w:p>
      <w:pPr>
        <w:pStyle w:val="Style23"/>
        <w:keepNext w:val="0"/>
        <w:keepLines w:val="0"/>
        <w:widowControl w:val="0"/>
        <w:numPr>
          <w:ilvl w:val="0"/>
          <w:numId w:val="15"/>
        </w:numPr>
        <w:shd w:val="clear" w:color="auto" w:fill="auto"/>
        <w:bidi w:val="0"/>
        <w:spacing w:before="0" w:line="312" w:lineRule="exact"/>
        <w:ind w:left="0" w:right="0"/>
        <w:jc w:val="left"/>
      </w:pPr>
      <w:bookmarkStart w:id="299" w:name="bookmark299"/>
      <w:bookmarkEnd w:id="299"/>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叶陈刚先生</w:t>
      </w:r>
      <w:r>
        <w:rPr>
          <w:color w:val="000000"/>
          <w:spacing w:val="0"/>
          <w:w w:val="100"/>
          <w:position w:val="0"/>
        </w:rPr>
        <w:t>：</w:t>
      </w:r>
      <w:r>
        <w:rPr>
          <w:rFonts w:ascii="Times New Roman" w:eastAsia="Times New Roman" w:hAnsi="Times New Roman" w:cs="Times New Roman"/>
          <w:color w:val="000000"/>
          <w:spacing w:val="0"/>
          <w:w w:val="100"/>
          <w:position w:val="0"/>
        </w:rPr>
        <w:t>1962</w:t>
      </w:r>
      <w:r>
        <w:rPr>
          <w:color w:val="000000"/>
          <w:spacing w:val="0"/>
          <w:w w:val="100"/>
          <w:position w:val="0"/>
        </w:rPr>
        <w:t>年出生，中国籍，中南财经政法大学会计学硕士，华中科技大学管理学博士，南开大学商学院工商 管理博士后。曾任中国地质大学（武汉）会计学与审计学教授兼硕士生导师、远大产业控股股份有限公司（证券简称：远大 控股，证券代码：</w:t>
      </w:r>
      <w:r>
        <w:rPr>
          <w:rFonts w:ascii="Times New Roman" w:eastAsia="Times New Roman" w:hAnsi="Times New Roman" w:cs="Times New Roman"/>
          <w:color w:val="000000"/>
          <w:spacing w:val="0"/>
          <w:w w:val="100"/>
          <w:position w:val="0"/>
        </w:rPr>
        <w:t>000626</w:t>
      </w:r>
      <w:r>
        <w:rPr>
          <w:color w:val="000000"/>
          <w:spacing w:val="0"/>
          <w:w w:val="100"/>
          <w:position w:val="0"/>
        </w:rPr>
        <w:t>）独立董事；</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月至今担任任对外经济贸易大学会计学与审计学教授和博士生导师；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月至今担任北京四达时代软件技术股份有限公司董事。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月起担任公司独立董事。</w:t>
      </w:r>
    </w:p>
    <w:p>
      <w:pPr>
        <w:pStyle w:val="Style23"/>
        <w:keepNext w:val="0"/>
        <w:keepLines w:val="0"/>
        <w:widowControl w:val="0"/>
        <w:numPr>
          <w:ilvl w:val="0"/>
          <w:numId w:val="15"/>
        </w:numPr>
        <w:shd w:val="clear" w:color="auto" w:fill="auto"/>
        <w:bidi w:val="0"/>
        <w:spacing w:before="0" w:after="0" w:line="310" w:lineRule="exact"/>
        <w:ind w:left="0" w:right="0"/>
        <w:jc w:val="left"/>
      </w:pPr>
      <w:bookmarkStart w:id="300" w:name="bookmark300"/>
      <w:bookmarkEnd w:id="300"/>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龙勇先生：</w:t>
      </w:r>
      <w:r>
        <w:rPr>
          <w:color w:val="000000"/>
          <w:spacing w:val="0"/>
          <w:w w:val="100"/>
          <w:position w:val="0"/>
        </w:rPr>
        <w:t>中国籍，博士学历。现任重庆大学经济与工商管理学院教授、博士生导师；重庆大学能源技术经济研究院 常务副院长；重庆大学工商管理专业教学团队首席教授。龙勇先生入选教育部</w:t>
      </w:r>
      <w:r>
        <w:rPr>
          <w:rFonts w:ascii="Times New Roman" w:eastAsia="Times New Roman" w:hAnsi="Times New Roman" w:cs="Times New Roman"/>
          <w:color w:val="000000"/>
          <w:spacing w:val="0"/>
          <w:w w:val="100"/>
          <w:position w:val="0"/>
        </w:rPr>
        <w:t>“</w:t>
      </w:r>
      <w:r>
        <w:rPr>
          <w:color w:val="000000"/>
          <w:spacing w:val="0"/>
          <w:w w:val="100"/>
          <w:position w:val="0"/>
        </w:rPr>
        <w:t>新世纪优秀人才支持计划</w:t>
      </w:r>
      <w:r>
        <w:rPr>
          <w:rFonts w:ascii="Times New Roman" w:eastAsia="Times New Roman" w:hAnsi="Times New Roman" w:cs="Times New Roman"/>
          <w:color w:val="000000"/>
          <w:spacing w:val="0"/>
          <w:w w:val="100"/>
          <w:position w:val="0"/>
        </w:rPr>
        <w:t>”</w:t>
      </w:r>
      <w:r>
        <w:rPr>
          <w:color w:val="000000"/>
          <w:spacing w:val="0"/>
          <w:w w:val="100"/>
          <w:position w:val="0"/>
        </w:rPr>
        <w:t>、重庆市学术技术 带头人、重庆市英才和教学名师，是国家社会科学基金重大项目首席专家。主持国家基金项目</w:t>
      </w:r>
      <w:r>
        <w:rPr>
          <w:rFonts w:ascii="Times New Roman" w:eastAsia="Times New Roman" w:hAnsi="Times New Roman" w:cs="Times New Roman"/>
          <w:color w:val="000000"/>
          <w:spacing w:val="0"/>
          <w:w w:val="100"/>
          <w:position w:val="0"/>
        </w:rPr>
        <w:t>5</w:t>
      </w:r>
      <w:r>
        <w:rPr>
          <w:color w:val="000000"/>
          <w:spacing w:val="0"/>
          <w:w w:val="100"/>
          <w:position w:val="0"/>
        </w:rPr>
        <w:t xml:space="preserve">项，在国内外经济管理重要 </w:t>
      </w:r>
      <w:r>
        <w:rPr>
          <w:color w:val="000000"/>
          <w:spacing w:val="0"/>
          <w:w w:val="100"/>
          <w:position w:val="0"/>
        </w:rPr>
        <w:t>专业期刊发表学术论文</w:t>
      </w:r>
      <w:r>
        <w:rPr>
          <w:rFonts w:ascii="Times New Roman" w:eastAsia="Times New Roman" w:hAnsi="Times New Roman" w:cs="Times New Roman"/>
          <w:color w:val="000000"/>
          <w:spacing w:val="0"/>
          <w:w w:val="100"/>
          <w:position w:val="0"/>
        </w:rPr>
        <w:t>200</w:t>
      </w:r>
      <w:r>
        <w:rPr>
          <w:color w:val="000000"/>
          <w:spacing w:val="0"/>
          <w:w w:val="100"/>
          <w:position w:val="0"/>
        </w:rPr>
        <w:t>余篇，获得省部级科研和教学成果奖励</w:t>
      </w:r>
      <w:r>
        <w:rPr>
          <w:rFonts w:ascii="Times New Roman" w:eastAsia="Times New Roman" w:hAnsi="Times New Roman" w:cs="Times New Roman"/>
          <w:color w:val="000000"/>
          <w:spacing w:val="0"/>
          <w:w w:val="100"/>
          <w:position w:val="0"/>
        </w:rPr>
        <w:t>11</w:t>
      </w:r>
      <w:r>
        <w:rPr>
          <w:color w:val="000000"/>
          <w:spacing w:val="0"/>
          <w:w w:val="100"/>
          <w:position w:val="0"/>
        </w:rPr>
        <w:t>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月至今担任公司独立董事。</w:t>
      </w:r>
    </w:p>
    <w:p>
      <w:pPr>
        <w:pStyle w:val="Style23"/>
        <w:keepNext w:val="0"/>
        <w:keepLines w:val="0"/>
        <w:widowControl w:val="0"/>
        <w:numPr>
          <w:ilvl w:val="0"/>
          <w:numId w:val="15"/>
        </w:numPr>
        <w:shd w:val="clear" w:color="auto" w:fill="auto"/>
        <w:tabs>
          <w:tab w:pos="610" w:val="left"/>
        </w:tabs>
        <w:bidi w:val="0"/>
        <w:spacing w:before="0" w:after="0" w:line="317" w:lineRule="exact"/>
        <w:ind w:left="0" w:right="0"/>
        <w:jc w:val="left"/>
      </w:pPr>
      <w:bookmarkStart w:id="301" w:name="bookmark301"/>
      <w:bookmarkEnd w:id="301"/>
      <w:r>
        <w:rPr>
          <w:rFonts w:ascii="Times New Roman" w:eastAsia="Times New Roman" w:hAnsi="Times New Roman" w:cs="Times New Roman"/>
          <w:b/>
          <w:bCs/>
          <w:color w:val="000000"/>
          <w:spacing w:val="0"/>
          <w:w w:val="100"/>
          <w:position w:val="0"/>
        </w:rPr>
        <w:t xml:space="preserve">Key Ke Liu </w:t>
      </w:r>
      <w:r>
        <w:rPr>
          <w:b/>
          <w:bCs/>
          <w:color w:val="000000"/>
          <w:spacing w:val="0"/>
          <w:w w:val="100"/>
          <w:position w:val="0"/>
        </w:rPr>
        <w:t>（中文名：刘科）先生</w:t>
      </w:r>
      <w:r>
        <w:rPr>
          <w:color w:val="000000"/>
          <w:spacing w:val="0"/>
          <w:w w:val="100"/>
          <w:position w:val="0"/>
        </w:rPr>
        <w:t>：</w:t>
      </w:r>
      <w:r>
        <w:rPr>
          <w:rFonts w:ascii="Times New Roman" w:eastAsia="Times New Roman" w:hAnsi="Times New Roman" w:cs="Times New Roman"/>
          <w:color w:val="000000"/>
          <w:spacing w:val="0"/>
          <w:w w:val="100"/>
          <w:position w:val="0"/>
        </w:rPr>
        <w:t>1964</w:t>
      </w:r>
      <w:r>
        <w:rPr>
          <w:color w:val="000000"/>
          <w:spacing w:val="0"/>
          <w:w w:val="100"/>
          <w:position w:val="0"/>
        </w:rPr>
        <w:t>年出生，美国籍，西北大学化学工程学士学位和硕士学位，美国纽约市立大 学博士学位，美国伦斯勒理工学院管理学硕士。曾任北京低碳能源研究所副总裁和</w:t>
      </w:r>
      <w:r>
        <w:rPr>
          <w:rFonts w:ascii="Times New Roman" w:eastAsia="Times New Roman" w:hAnsi="Times New Roman" w:cs="Times New Roman"/>
          <w:color w:val="000000"/>
          <w:spacing w:val="0"/>
          <w:w w:val="100"/>
          <w:position w:val="0"/>
        </w:rPr>
        <w:t xml:space="preserve">CTO </w:t>
      </w:r>
      <w:r>
        <w:rPr>
          <w:color w:val="000000"/>
          <w:spacing w:val="0"/>
          <w:w w:val="100"/>
          <w:position w:val="0"/>
        </w:rPr>
        <w:t>（现国家能源集团北京低碳清洁能源 研究院），现任南方科技大学清洁能源研究院院长、创新创业学院院长，和讲座教授，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月起担任公司独立董事。</w:t>
      </w:r>
    </w:p>
    <w:p>
      <w:pPr>
        <w:pStyle w:val="Style23"/>
        <w:keepNext w:val="0"/>
        <w:keepLines w:val="0"/>
        <w:widowControl w:val="0"/>
        <w:numPr>
          <w:ilvl w:val="0"/>
          <w:numId w:val="15"/>
        </w:numPr>
        <w:shd w:val="clear" w:color="auto" w:fill="auto"/>
        <w:bidi w:val="0"/>
        <w:spacing w:before="0" w:after="0" w:line="312" w:lineRule="exact"/>
        <w:ind w:left="0" w:right="0"/>
        <w:jc w:val="left"/>
      </w:pPr>
      <w:bookmarkStart w:id="302" w:name="bookmark302"/>
      <w:bookmarkEnd w:id="302"/>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梅绍华先生：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年出生，中国籍，华中科技大学毕业，工学硕士。曾任证券日报社副社长、《经济》杂志总编辑、 经济日报特刊部常务副主任和高级编辑、北京弘高创意建筑设计股份有限公司（证券简称：弘高创意，证券代码：</w:t>
      </w:r>
      <w:r>
        <w:rPr>
          <w:rFonts w:ascii="Times New Roman" w:eastAsia="Times New Roman" w:hAnsi="Times New Roman" w:cs="Times New Roman"/>
          <w:color w:val="000000"/>
          <w:spacing w:val="0"/>
          <w:w w:val="100"/>
          <w:position w:val="0"/>
        </w:rPr>
        <w:t>002504</w:t>
      </w:r>
      <w:r>
        <w:rPr>
          <w:color w:val="000000"/>
          <w:spacing w:val="0"/>
          <w:w w:val="100"/>
          <w:position w:val="0"/>
        </w:rPr>
        <w:t>） 监事会主席、中关村股权投资协会副会长、华中科技大学经济学院兼职教授，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月至今担任北京汉飞航空科技有限公 司董事兼经理，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月起担任公司监事会主席。</w:t>
      </w:r>
    </w:p>
    <w:p>
      <w:pPr>
        <w:pStyle w:val="Style23"/>
        <w:keepNext w:val="0"/>
        <w:keepLines w:val="0"/>
        <w:widowControl w:val="0"/>
        <w:numPr>
          <w:ilvl w:val="0"/>
          <w:numId w:val="15"/>
        </w:numPr>
        <w:shd w:val="clear" w:color="auto" w:fill="auto"/>
        <w:tabs>
          <w:tab w:pos="702" w:val="left"/>
        </w:tabs>
        <w:bidi w:val="0"/>
        <w:spacing w:before="0" w:after="0" w:line="310" w:lineRule="exact"/>
        <w:ind w:left="0" w:right="0"/>
        <w:jc w:val="left"/>
      </w:pPr>
      <w:bookmarkStart w:id="303" w:name="bookmark303"/>
      <w:bookmarkEnd w:id="303"/>
      <w:r>
        <w:rPr>
          <w:b/>
          <w:bCs/>
          <w:color w:val="000000"/>
          <w:spacing w:val="0"/>
          <w:w w:val="100"/>
          <w:position w:val="0"/>
        </w:rPr>
        <w:t>邹胜勇先生</w:t>
      </w:r>
      <w:r>
        <w:rPr>
          <w:color w:val="000000"/>
          <w:spacing w:val="0"/>
          <w:w w:val="100"/>
          <w:position w:val="0"/>
        </w:rPr>
        <w:t>：</w:t>
      </w:r>
      <w:r>
        <w:rPr>
          <w:rFonts w:ascii="Times New Roman" w:eastAsia="Times New Roman" w:hAnsi="Times New Roman" w:cs="Times New Roman"/>
          <w:color w:val="000000"/>
          <w:spacing w:val="0"/>
          <w:w w:val="100"/>
          <w:position w:val="0"/>
        </w:rPr>
        <w:t>1975</w:t>
      </w:r>
      <w:r>
        <w:rPr>
          <w:color w:val="000000"/>
          <w:spacing w:val="0"/>
          <w:w w:val="100"/>
          <w:position w:val="0"/>
        </w:rPr>
        <w:t>年出生，中国籍，大学本科。现任重庆绿发资产经营管理有限公司董事兼副总经理，重庆国科量 子通信网络有限公司董事，重庆渝诚供应链管理有限公司董事，重庆知天而作农业科技研究院有限公司董事等职务。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月至今担任公司监事。</w:t>
      </w:r>
    </w:p>
    <w:p>
      <w:pPr>
        <w:pStyle w:val="Style23"/>
        <w:keepNext w:val="0"/>
        <w:keepLines w:val="0"/>
        <w:widowControl w:val="0"/>
        <w:numPr>
          <w:ilvl w:val="0"/>
          <w:numId w:val="15"/>
        </w:numPr>
        <w:shd w:val="clear" w:color="auto" w:fill="auto"/>
        <w:bidi w:val="0"/>
        <w:spacing w:before="0" w:after="0" w:line="312" w:lineRule="exact"/>
        <w:ind w:left="0" w:right="0"/>
        <w:jc w:val="left"/>
      </w:pPr>
      <w:bookmarkStart w:id="304" w:name="bookmark304"/>
      <w:bookmarkEnd w:id="30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 xml:space="preserve">马莉女士： </w:t>
      </w:r>
      <w:r>
        <w:rPr>
          <w:rFonts w:ascii="Times New Roman" w:eastAsia="Times New Roman" w:hAnsi="Times New Roman" w:cs="Times New Roman"/>
          <w:color w:val="000000"/>
          <w:spacing w:val="0"/>
          <w:w w:val="100"/>
          <w:position w:val="0"/>
        </w:rPr>
        <w:t>1981</w:t>
      </w:r>
      <w:r>
        <w:rPr>
          <w:color w:val="000000"/>
          <w:spacing w:val="0"/>
          <w:w w:val="100"/>
          <w:position w:val="0"/>
        </w:rPr>
        <w:t>年出生，中国籍，北京矿业大学</w:t>
      </w:r>
      <w:r>
        <w:rPr>
          <w:rFonts w:ascii="Times New Roman" w:eastAsia="Times New Roman" w:hAnsi="Times New Roman" w:cs="Times New Roman"/>
          <w:color w:val="000000"/>
          <w:spacing w:val="0"/>
          <w:w w:val="100"/>
          <w:position w:val="0"/>
        </w:rPr>
        <w:t>EMBA</w:t>
      </w:r>
      <w:r>
        <w:rPr>
          <w:color w:val="000000"/>
          <w:spacing w:val="0"/>
          <w:w w:val="100"/>
          <w:position w:val="0"/>
        </w:rPr>
        <w:t>硕士，曾在神州泰岳（创业板上市公司）供职十余年，任职 用户体验及设计部总监，主导并服务</w:t>
      </w:r>
      <w:r>
        <w:rPr>
          <w:rFonts w:ascii="Times New Roman" w:eastAsia="Times New Roman" w:hAnsi="Times New Roman" w:cs="Times New Roman"/>
          <w:color w:val="000000"/>
          <w:spacing w:val="0"/>
          <w:w w:val="100"/>
          <w:position w:val="0"/>
        </w:rPr>
        <w:t>3</w:t>
      </w:r>
      <w:r>
        <w:rPr>
          <w:color w:val="000000"/>
          <w:spacing w:val="0"/>
          <w:w w:val="100"/>
          <w:position w:val="0"/>
        </w:rPr>
        <w:t>亿规模的</w:t>
      </w:r>
      <w:r>
        <w:rPr>
          <w:rFonts w:ascii="Times New Roman" w:eastAsia="Times New Roman" w:hAnsi="Times New Roman" w:cs="Times New Roman"/>
          <w:color w:val="000000"/>
          <w:spacing w:val="0"/>
          <w:w w:val="100"/>
          <w:position w:val="0"/>
        </w:rPr>
        <w:t>“</w:t>
      </w:r>
      <w:r>
        <w:rPr>
          <w:color w:val="000000"/>
          <w:spacing w:val="0"/>
          <w:w w:val="100"/>
          <w:position w:val="0"/>
        </w:rPr>
        <w:t>飞信</w:t>
      </w:r>
      <w:r>
        <w:rPr>
          <w:rFonts w:ascii="Times New Roman" w:eastAsia="Times New Roman" w:hAnsi="Times New Roman" w:cs="Times New Roman"/>
          <w:color w:val="000000"/>
          <w:spacing w:val="0"/>
          <w:w w:val="100"/>
          <w:position w:val="0"/>
        </w:rPr>
        <w:t>”</w:t>
      </w:r>
      <w:r>
        <w:rPr>
          <w:color w:val="000000"/>
          <w:spacing w:val="0"/>
          <w:w w:val="100"/>
          <w:position w:val="0"/>
        </w:rPr>
        <w:t>业务的交互和用户体验设计工作；后在神州泰岳教育板块任职</w:t>
      </w:r>
      <w:r>
        <w:rPr>
          <w:rFonts w:ascii="Times New Roman" w:eastAsia="Times New Roman" w:hAnsi="Times New Roman" w:cs="Times New Roman"/>
          <w:color w:val="000000"/>
          <w:spacing w:val="0"/>
          <w:w w:val="100"/>
          <w:position w:val="0"/>
        </w:rPr>
        <w:t>VP</w:t>
      </w:r>
      <w:r>
        <w:rPr>
          <w:color w:val="000000"/>
          <w:spacing w:val="0"/>
          <w:w w:val="100"/>
          <w:position w:val="0"/>
        </w:rPr>
        <w:t>，</w:t>
      </w:r>
      <w:r>
        <w:rPr>
          <w:color w:val="000000"/>
          <w:spacing w:val="0"/>
          <w:w w:val="100"/>
          <w:position w:val="0"/>
        </w:rPr>
        <w:t>负 责教育产品的研发及运营；</w:t>
      </w:r>
      <w:r>
        <w:rPr>
          <w:rFonts w:ascii="Times New Roman" w:eastAsia="Times New Roman" w:hAnsi="Times New Roman" w:cs="Times New Roman"/>
          <w:color w:val="000000"/>
          <w:spacing w:val="0"/>
          <w:w w:val="100"/>
          <w:position w:val="0"/>
        </w:rPr>
        <w:t>2016</w:t>
      </w:r>
      <w:r>
        <w:rPr>
          <w:color w:val="000000"/>
          <w:spacing w:val="0"/>
          <w:w w:val="100"/>
          <w:position w:val="0"/>
        </w:rPr>
        <w:t>年任执行董事助理，负责通信业务板块的经营管控和创新业务的孵化工作；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 公司担任运营管理部总监，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月至今担任公司职工代表监事。</w:t>
      </w:r>
    </w:p>
    <w:p>
      <w:pPr>
        <w:pStyle w:val="Style23"/>
        <w:keepNext w:val="0"/>
        <w:keepLines w:val="0"/>
        <w:widowControl w:val="0"/>
        <w:numPr>
          <w:ilvl w:val="0"/>
          <w:numId w:val="15"/>
        </w:numPr>
        <w:shd w:val="clear" w:color="auto" w:fill="auto"/>
        <w:bidi w:val="0"/>
        <w:spacing w:before="0" w:after="0" w:line="314" w:lineRule="exact"/>
        <w:ind w:left="0" w:right="0"/>
        <w:jc w:val="left"/>
      </w:pPr>
      <w:bookmarkStart w:id="305" w:name="bookmark305"/>
      <w:bookmarkEnd w:id="305"/>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寇汉先生</w:t>
      </w:r>
      <w:r>
        <w:rPr>
          <w:color w:val="000000"/>
          <w:spacing w:val="0"/>
          <w:w w:val="100"/>
          <w:position w:val="0"/>
        </w:rPr>
        <w:t>：</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年出生，中国国籍，无境外永久居住权，</w:t>
      </w:r>
      <w:r>
        <w:rPr>
          <w:rFonts w:ascii="Times New Roman" w:eastAsia="Times New Roman" w:hAnsi="Times New Roman" w:cs="Times New Roman"/>
          <w:color w:val="000000"/>
          <w:spacing w:val="0"/>
          <w:w w:val="100"/>
          <w:position w:val="0"/>
        </w:rPr>
        <w:t>1995</w:t>
      </w:r>
      <w:r>
        <w:rPr>
          <w:color w:val="000000"/>
          <w:spacing w:val="0"/>
          <w:w w:val="100"/>
          <w:position w:val="0"/>
        </w:rPr>
        <w:t>年毕业于西南财经大学；</w:t>
      </w:r>
      <w:r>
        <w:rPr>
          <w:rFonts w:ascii="Times New Roman" w:eastAsia="Times New Roman" w:hAnsi="Times New Roman" w:cs="Times New Roman"/>
          <w:color w:val="000000"/>
          <w:spacing w:val="0"/>
          <w:w w:val="100"/>
          <w:position w:val="0"/>
        </w:rPr>
        <w:t>2008</w:t>
      </w:r>
      <w:r>
        <w:rPr>
          <w:color w:val="000000"/>
          <w:spacing w:val="0"/>
          <w:w w:val="100"/>
          <w:position w:val="0"/>
        </w:rPr>
        <w:t>年毕业于清华大学经济 管理学院，研究生学历。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月，在重庆机场从事财务工作；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月，在中国联通达州分公 司工作，负责筹建及运营管理；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月，在中国联通四川分公司工作，负责移动电话业务的市场营销；</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月开始自主创业；</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月至今，担任成都哆可梦网络科技有限公司总经理；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月至今担任公司副总裁。</w:t>
      </w:r>
    </w:p>
    <w:p>
      <w:pPr>
        <w:pStyle w:val="Style23"/>
        <w:keepNext w:val="0"/>
        <w:keepLines w:val="0"/>
        <w:widowControl w:val="0"/>
        <w:numPr>
          <w:ilvl w:val="0"/>
          <w:numId w:val="15"/>
        </w:numPr>
        <w:shd w:val="clear" w:color="auto" w:fill="auto"/>
        <w:bidi w:val="0"/>
        <w:spacing w:before="0" w:after="0" w:line="315" w:lineRule="exact"/>
        <w:ind w:left="0" w:right="0"/>
        <w:jc w:val="left"/>
      </w:pPr>
      <w:bookmarkStart w:id="306" w:name="bookmark306"/>
      <w:bookmarkEnd w:id="306"/>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付汝峰先生</w:t>
      </w:r>
      <w:r>
        <w:rPr>
          <w:color w:val="000000"/>
          <w:spacing w:val="0"/>
          <w:w w:val="100"/>
          <w:position w:val="0"/>
        </w:rPr>
        <w:t>：</w:t>
      </w:r>
      <w:r>
        <w:rPr>
          <w:rFonts w:ascii="Times New Roman" w:eastAsia="Times New Roman" w:hAnsi="Times New Roman" w:cs="Times New Roman"/>
          <w:color w:val="000000"/>
          <w:spacing w:val="0"/>
          <w:w w:val="100"/>
          <w:position w:val="0"/>
        </w:rPr>
        <w:t>1989</w:t>
      </w:r>
      <w:r>
        <w:rPr>
          <w:color w:val="000000"/>
          <w:spacing w:val="0"/>
          <w:w w:val="100"/>
          <w:position w:val="0"/>
        </w:rPr>
        <w:t>年出生，中国籍，汉族，中共党员，中南财经政法大学会计学本科，中南民族大学经济法学硕士 研究生，持有中国注册会计师（非执业会员）、特许公认会计师</w:t>
      </w:r>
      <w:r>
        <w:rPr>
          <w:color w:val="000000"/>
          <w:spacing w:val="0"/>
          <w:w w:val="100"/>
          <w:position w:val="0"/>
        </w:rPr>
        <w:t>（</w:t>
      </w:r>
      <w:r>
        <w:rPr>
          <w:rFonts w:ascii="Times New Roman" w:eastAsia="Times New Roman" w:hAnsi="Times New Roman" w:cs="Times New Roman"/>
          <w:color w:val="000000"/>
          <w:spacing w:val="0"/>
          <w:w w:val="100"/>
          <w:position w:val="0"/>
        </w:rPr>
        <w:t>ACCA</w:t>
      </w:r>
      <w:r>
        <w:rPr>
          <w:color w:val="000000"/>
          <w:spacing w:val="0"/>
          <w:w w:val="100"/>
          <w:position w:val="0"/>
        </w:rPr>
        <w:t>）、</w:t>
      </w:r>
      <w:r>
        <w:rPr>
          <w:color w:val="000000"/>
          <w:spacing w:val="0"/>
          <w:w w:val="100"/>
          <w:position w:val="0"/>
        </w:rPr>
        <w:t>法律职业资格证书及深交所董事会秘书资格证 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月担任公司投资管理部副经理职务，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月至今担任公司董事会秘书 兼副总裁。</w:t>
      </w:r>
    </w:p>
    <w:p>
      <w:pPr>
        <w:pStyle w:val="Style23"/>
        <w:keepNext w:val="0"/>
        <w:keepLines w:val="0"/>
        <w:widowControl w:val="0"/>
        <w:numPr>
          <w:ilvl w:val="0"/>
          <w:numId w:val="15"/>
        </w:numPr>
        <w:shd w:val="clear" w:color="auto" w:fill="auto"/>
        <w:bidi w:val="0"/>
        <w:spacing w:before="0" w:after="0" w:line="314" w:lineRule="exact"/>
        <w:ind w:left="0" w:right="0"/>
        <w:jc w:val="left"/>
      </w:pPr>
      <w:bookmarkStart w:id="307" w:name="bookmark307"/>
      <w:bookmarkEnd w:id="307"/>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鲁生选先生：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年出生，中国籍，会计硕士学位，持有高级会计师、高级文秘、注册会计师、</w:t>
      </w:r>
      <w:r>
        <w:rPr>
          <w:rFonts w:ascii="Times New Roman" w:eastAsia="Times New Roman" w:hAnsi="Times New Roman" w:cs="Times New Roman"/>
          <w:color w:val="000000"/>
          <w:spacing w:val="0"/>
          <w:w w:val="100"/>
          <w:position w:val="0"/>
        </w:rPr>
        <w:t xml:space="preserve">CFA </w:t>
      </w:r>
      <w:r>
        <w:rPr>
          <w:color w:val="000000"/>
          <w:spacing w:val="0"/>
          <w:w w:val="100"/>
          <w:position w:val="0"/>
        </w:rPr>
        <w:t>（美国特许金 融分析师）等证书。曾任广西双英集团股份有限公司财务副总裁、咨询公司合伙人、中国西北电力集团公司财务经理及其子 公司财务总监等职务。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月至今担任公司财务总监兼副总裁。</w:t>
      </w:r>
    </w:p>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3686"/>
        <w:gridCol w:w="1560"/>
        <w:gridCol w:w="1560"/>
        <w:gridCol w:w="710"/>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任期终</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重庆渝诚供应链管理有限公司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西部（重庆）花卉苗木市场有限公司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重庆竞金商业管理有限公司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重庆市璧山区信华汇园林有限公司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重庆迈康商业管理有限公司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重庆创轩城市建设开发有限公司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重庆泓品城市建设开发有限公司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重庆必好行科技有限公司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686"/>
        <w:gridCol w:w="1560"/>
        <w:gridCol w:w="1560"/>
        <w:gridCol w:w="710"/>
        <w:gridCol w:w="135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重庆双龙科技创新小镇运营管理有限公司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中新合富（重庆）股权投资基金管理有限公司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周志达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公司高级投资经理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重庆市璧山区美态环保有限公司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重庆渝诚供应链管理有限公司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重庆枫香湖文化旅游发展有限公司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西部（重庆）花卉苗木市场有限公司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重庆竞金商业管理有限公司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重庆晨源环保工程有限公司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重庆市璧山区信华汇园林有限公司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重庆迈康商业管理有限公司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重庆创轩城市建设开发有限公司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中新合富（重庆）股权投资基金管理有限公司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重庆泓品城市建设开发有限公司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重庆智河科技有限公司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邹胜勇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重庆必好行科技有限公司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837"/>
        <w:gridCol w:w="1915"/>
        <w:gridCol w:w="1344"/>
        <w:gridCol w:w="1243"/>
        <w:gridCol w:w="138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40" w:right="0" w:hanging="140"/>
              <w:jc w:val="left"/>
            </w:pPr>
            <w:r>
              <w:rPr>
                <w:rFonts w:ascii="SimSun" w:eastAsia="SimSun" w:hAnsi="SimSun" w:cs="SimSun"/>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深圳国金投资顾问有限公司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深圳国金纵横投资管理有限公司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国科量子通信网络有限公司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市场总监、监事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对外经济贸易大学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会计学与审计学教授和</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远大产业控股股份有限公司（证券 简称：远大控股，证券代码：</w:t>
            </w:r>
            <w:r>
              <w:rPr>
                <w:color w:val="000000"/>
                <w:spacing w:val="0"/>
                <w:w w:val="100"/>
                <w:position w:val="0"/>
              </w:rPr>
              <w:t>000626</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北京四达时代软件技术股份有限公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重庆大学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经济与工商管理学院教 授、博士生导师；能源 技术经济研究院常务副 院长；工商管理专业教 学团队首席教授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tbl>
      <w:tblPr>
        <w:tblOverlap w:val="never"/>
        <w:jc w:val="center"/>
        <w:tblLayout w:type="fixed"/>
      </w:tblPr>
      <w:tblGrid>
        <w:gridCol w:w="859"/>
        <w:gridCol w:w="2837"/>
        <w:gridCol w:w="1915"/>
        <w:gridCol w:w="1344"/>
        <w:gridCol w:w="1243"/>
        <w:gridCol w:w="1387"/>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Key Ke</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Liu </w:t>
            </w:r>
            <w:r>
              <w:rPr>
                <w:rFonts w:ascii="SimSun" w:eastAsia="SimSun" w:hAnsi="SimSun" w:cs="SimSun"/>
                <w:color w:val="000000"/>
                <w:spacing w:val="0"/>
                <w:w w:val="100"/>
                <w:position w:val="0"/>
              </w:rPr>
              <w:t>（中文</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名：刘科）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南方科技大学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清洁能源研究院院长、 创新创业学院院长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梅绍华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中智慧合投资（北京）股份有限公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梅绍华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北京汉飞航空科技有限公司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位任职情</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月，因公司前控股股东关联方资金占用等事项，公司原董事长暨原实际控制人汪超涌先生收到深圳证监局出具警 示函的行政监管措施。</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月，因信中利未按规定披露重大诉讼和仲裁，公司原董事兼信中利时任信披负责人沈晓超女士收到北京证监局出 具警示函的行政监管措施；同月，汪超涌先生、沈晓超女士、公司原董事兼信中利总经理陈丹女士因上述事项收到深圳证券 交易所通报批评的纪律处分。</w:t>
      </w:r>
    </w:p>
    <w:p>
      <w:pPr>
        <w:pStyle w:val="Style23"/>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月，因信中利未能及时披露重大诉讼和股权冻结事项，汪超涌先生、沈晓超女士收到全国股转公司出具警示函的 自律监管措施。</w:t>
      </w:r>
    </w:p>
    <w:p>
      <w:pPr>
        <w:pStyle w:val="Style34"/>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2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numPr>
          <w:ilvl w:val="0"/>
          <w:numId w:val="17"/>
        </w:numPr>
        <w:shd w:val="clear" w:color="auto" w:fill="auto"/>
        <w:tabs>
          <w:tab w:pos="686" w:val="left"/>
        </w:tabs>
        <w:bidi w:val="0"/>
        <w:spacing w:before="0" w:after="0"/>
        <w:ind w:left="0" w:right="0"/>
        <w:jc w:val="both"/>
      </w:pPr>
      <w:bookmarkStart w:id="312" w:name="bookmark312"/>
      <w:bookmarkEnd w:id="312"/>
      <w:r>
        <w:rPr>
          <w:b/>
          <w:bCs/>
          <w:color w:val="000000"/>
          <w:spacing w:val="0"/>
          <w:w w:val="100"/>
          <w:position w:val="0"/>
        </w:rPr>
        <w:t>决策程序：</w:t>
      </w:r>
    </w:p>
    <w:p>
      <w:pPr>
        <w:pStyle w:val="Style23"/>
        <w:keepNext w:val="0"/>
        <w:keepLines w:val="0"/>
        <w:widowControl w:val="0"/>
        <w:shd w:val="clear" w:color="auto" w:fill="auto"/>
        <w:tabs>
          <w:tab w:pos="901" w:val="left"/>
        </w:tabs>
        <w:bidi w:val="0"/>
        <w:spacing w:before="0" w:after="0" w:line="319" w:lineRule="exact"/>
        <w:ind w:left="0" w:right="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rPr>
        <w:t>1</w:t>
      </w:r>
      <w:r>
        <w:rPr>
          <w:color w:val="000000"/>
          <w:spacing w:val="0"/>
          <w:w w:val="100"/>
          <w:position w:val="0"/>
        </w:rPr>
        <w:t>）</w:t>
        <w:tab/>
        <w:t>公司董事报酬经公司薪酬与考核委员会、董事会审议确定提交股东大会审核批准；监事薪酬经监事会审议确定、 股东大会审核批准。高级管理人员的薪酬方案，经董事会薪酬与考核委员会审议，报董事会审议通过后实施，同时应当向股 东大会说明，并予以充分披露。</w:t>
      </w:r>
    </w:p>
    <w:p>
      <w:pPr>
        <w:pStyle w:val="Style23"/>
        <w:keepNext w:val="0"/>
        <w:keepLines w:val="0"/>
        <w:widowControl w:val="0"/>
        <w:shd w:val="clear" w:color="auto" w:fill="auto"/>
        <w:tabs>
          <w:tab w:pos="896" w:val="left"/>
        </w:tabs>
        <w:bidi w:val="0"/>
        <w:spacing w:before="0" w:after="0" w:line="319" w:lineRule="exact"/>
        <w:ind w:left="0" w:right="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rPr>
        <w:t>2</w:t>
      </w:r>
      <w:r>
        <w:rPr>
          <w:color w:val="000000"/>
          <w:spacing w:val="0"/>
          <w:w w:val="100"/>
          <w:position w:val="0"/>
        </w:rPr>
        <w:t>）</w:t>
        <w:tab/>
        <w:t>董事会薪酬与考核委员会是确定公司高管人员薪酬方案、负责薪酬管理、考核和监督的专门机构。对于公司引进 高管人员或对公司有杰出贡献的人员，其个人报酬由董事会或总经理决定，公司独立董事应对该薪酬方案发表意见。</w:t>
      </w:r>
    </w:p>
    <w:p>
      <w:pPr>
        <w:pStyle w:val="Style23"/>
        <w:keepNext w:val="0"/>
        <w:keepLines w:val="0"/>
        <w:widowControl w:val="0"/>
        <w:numPr>
          <w:ilvl w:val="0"/>
          <w:numId w:val="17"/>
        </w:numPr>
        <w:shd w:val="clear" w:color="auto" w:fill="auto"/>
        <w:bidi w:val="0"/>
        <w:spacing w:before="0" w:after="140" w:line="319" w:lineRule="exact"/>
        <w:ind w:left="0" w:right="0"/>
        <w:jc w:val="left"/>
      </w:pPr>
      <w:bookmarkStart w:id="315" w:name="bookmark315"/>
      <w:bookmarkEnd w:id="315"/>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确定依据：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年第三次临时股东大会审议通过的《董事、监事、高级管理人员薪酬制度》。</w:t>
      </w:r>
    </w:p>
    <w:p>
      <w:pPr>
        <w:pStyle w:val="Style23"/>
        <w:keepNext w:val="0"/>
        <w:keepLines w:val="0"/>
        <w:widowControl w:val="0"/>
        <w:numPr>
          <w:ilvl w:val="0"/>
          <w:numId w:val="17"/>
        </w:numPr>
        <w:shd w:val="clear" w:color="auto" w:fill="auto"/>
        <w:tabs>
          <w:tab w:pos="700" w:val="left"/>
        </w:tabs>
        <w:bidi w:val="0"/>
        <w:spacing w:before="0" w:after="0"/>
        <w:ind w:left="0" w:right="0"/>
        <w:jc w:val="both"/>
      </w:pPr>
      <w:bookmarkStart w:id="316" w:name="bookmark316"/>
      <w:bookmarkEnd w:id="316"/>
      <w:r>
        <w:rPr>
          <w:b/>
          <w:bCs/>
          <w:color w:val="000000"/>
          <w:spacing w:val="0"/>
          <w:w w:val="100"/>
          <w:position w:val="0"/>
        </w:rPr>
        <w:t>实际支付情况：</w:t>
      </w:r>
    </w:p>
    <w:p>
      <w:pPr>
        <w:pStyle w:val="Style23"/>
        <w:keepNext w:val="0"/>
        <w:keepLines w:val="0"/>
        <w:widowControl w:val="0"/>
        <w:shd w:val="clear" w:color="auto" w:fill="auto"/>
        <w:tabs>
          <w:tab w:pos="901" w:val="left"/>
        </w:tabs>
        <w:bidi w:val="0"/>
        <w:spacing w:before="0" w:after="0" w:line="319" w:lineRule="exact"/>
        <w:ind w:left="0" w:right="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t>报告期内，第七届董事、监事的薪酬根据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年第三次临时股东大会审议通过的《董事、监事、高级管理人员薪 酬制度》按月发放。</w:t>
      </w:r>
    </w:p>
    <w:p>
      <w:pPr>
        <w:pStyle w:val="Style23"/>
        <w:keepNext w:val="0"/>
        <w:keepLines w:val="0"/>
        <w:widowControl w:val="0"/>
        <w:shd w:val="clear" w:color="auto" w:fill="auto"/>
        <w:tabs>
          <w:tab w:pos="896" w:val="left"/>
        </w:tabs>
        <w:bidi w:val="0"/>
        <w:spacing w:before="0" w:after="0" w:line="319" w:lineRule="exact"/>
        <w:ind w:left="0" w:right="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报告期内，公司第七届高级管理人员的基本工资根据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年第三次临时股东大会审议通过的《董事、监事、高级 管理人员薪酬制度》按月发放，绩效奖金根据相关制度在年度绩效考评结束后发放。</w:t>
      </w:r>
    </w:p>
    <w:p>
      <w:pPr>
        <w:pStyle w:val="Style2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136"/>
        <w:gridCol w:w="1699"/>
        <w:gridCol w:w="850"/>
        <w:gridCol w:w="994"/>
        <w:gridCol w:w="994"/>
        <w:gridCol w:w="1541"/>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从公司获得的税前 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136"/>
        <w:gridCol w:w="1699"/>
        <w:gridCol w:w="850"/>
        <w:gridCol w:w="994"/>
        <w:gridCol w:w="994"/>
        <w:gridCol w:w="1541"/>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钟晓林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Key Ke Liu（</w:t>
            </w:r>
            <w:r>
              <w:rPr>
                <w:rFonts w:ascii="SimSun" w:eastAsia="SimSun" w:hAnsi="SimSun" w:cs="SimSun"/>
                <w:color w:val="000000"/>
                <w:spacing w:val="0"/>
                <w:w w:val="100"/>
                <w:position w:val="0"/>
              </w:rPr>
              <w:t>中文名：刘科）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梅绍华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邹胜勇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董事会秘书兼副总裁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鲁生选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财务总监兼副总裁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潘林武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赵红艳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财务总监兼副总裁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贺庆华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六</w:t>
      </w:r>
      <w:bookmarkEnd w:id="321"/>
      <w:r>
        <w:rPr>
          <w:color w:val="000000"/>
          <w:spacing w:val="0"/>
          <w:w w:val="100"/>
          <w:position w:val="0"/>
          <w:sz w:val="24"/>
          <w:szCs w:val="24"/>
        </w:rPr>
        <w:t>、报告期内董事履行职责的情况</w:t>
      </w:r>
      <w:bookmarkEnd w:id="319"/>
      <w:bookmarkEnd w:id="320"/>
      <w:bookmarkEnd w:id="322"/>
    </w:p>
    <w:p>
      <w:pPr>
        <w:pStyle w:val="Style34"/>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、本报告期董事会情况</w:t>
      </w:r>
      <w:bookmarkEnd w:id="323"/>
      <w:bookmarkEnd w:id="324"/>
      <w:bookmarkEnd w:id="326"/>
    </w:p>
    <w:tbl>
      <w:tblPr>
        <w:tblOverlap w:val="never"/>
        <w:jc w:val="center"/>
        <w:tblLayout w:type="fixed"/>
      </w:tblPr>
      <w:tblGrid>
        <w:gridCol w:w="2275"/>
        <w:gridCol w:w="1138"/>
        <w:gridCol w:w="1272"/>
        <w:gridCol w:w="490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第七届董事会第二次会议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《关于全资子公司链接世界株式会社减资的议案》《关于〈提 高公司治理水平实现高质量发展的自查报告及整改计划＞的 议案》</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第七届董事会第三次会议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《关于对外投资高速智能充电桩项目的议案》《关于补选公司 董事的议案》《关于召开</w:t>
            </w:r>
            <w:r>
              <w:rPr>
                <w:color w:val="000000"/>
                <w:spacing w:val="0"/>
                <w:w w:val="100"/>
                <w:position w:val="0"/>
              </w:rPr>
              <w:t>2021</w:t>
            </w:r>
            <w:r>
              <w:rPr>
                <w:rFonts w:ascii="SimSun" w:eastAsia="SimSun" w:hAnsi="SimSun" w:cs="SimSun"/>
                <w:color w:val="000000"/>
                <w:spacing w:val="0"/>
                <w:w w:val="100"/>
                <w:position w:val="0"/>
              </w:rPr>
              <w:t>年第一次临时股东大会的议案》</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第七届董事会第四次会议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《关于向深圳证券交易所申请撤销公司股票其他风险警示的 议案》《关于会计政策变更的议案》《关于修订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内幕信息知情 人登记和报备制度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r>
    </w:tbl>
    <w:p>
      <w:pPr>
        <w:spacing w:lineRule="exact" w:line="1"/>
        <w:rPr>
          <w:sz w:val="2"/>
          <w:szCs w:val="2"/>
        </w:rPr>
      </w:pPr>
      <w:r>
        <w:br w:type="page"/>
      </w:r>
    </w:p>
    <w:tbl>
      <w:tblPr>
        <w:tblOverlap w:val="never"/>
        <w:jc w:val="center"/>
        <w:tblLayout w:type="fixed"/>
      </w:tblPr>
      <w:tblGrid>
        <w:gridCol w:w="2275"/>
        <w:gridCol w:w="1138"/>
        <w:gridCol w:w="1272"/>
        <w:gridCol w:w="4901"/>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第七届董事会第五次会议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《关于签订对外投资高速智能充电桩项目补充合同的议案》</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第七届董事会第六次会议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《关于调整股份回购事项的议案》《关于公司</w:t>
            </w:r>
            <w:r>
              <w:rPr>
                <w:color w:val="000000"/>
                <w:spacing w:val="0"/>
                <w:w w:val="100"/>
                <w:position w:val="0"/>
              </w:rPr>
              <w:t>＜2021</w:t>
            </w:r>
            <w:r>
              <w:rPr>
                <w:rFonts w:ascii="SimSun" w:eastAsia="SimSun" w:hAnsi="SimSun" w:cs="SimSun"/>
                <w:color w:val="000000"/>
                <w:spacing w:val="0"/>
                <w:w w:val="100"/>
                <w:position w:val="0"/>
              </w:rPr>
              <w:t>年股票期权 与限制性股票激励计划（草案）</w:t>
            </w:r>
            <w:r>
              <w:rPr>
                <w:color w:val="000000"/>
                <w:spacing w:val="0"/>
                <w:w w:val="100"/>
                <w:position w:val="0"/>
              </w:rPr>
              <w:t>＞</w:t>
            </w:r>
            <w:r>
              <w:rPr>
                <w:rFonts w:ascii="SimSun" w:eastAsia="SimSun" w:hAnsi="SimSun" w:cs="SimSun"/>
                <w:color w:val="000000"/>
                <w:spacing w:val="0"/>
                <w:w w:val="100"/>
                <w:position w:val="0"/>
              </w:rPr>
              <w:t>及其摘要的议案》《关于激励 对象王蔚先生参与公司</w:t>
            </w:r>
            <w:r>
              <w:rPr>
                <w:color w:val="000000"/>
                <w:spacing w:val="0"/>
                <w:w w:val="100"/>
                <w:position w:val="0"/>
              </w:rPr>
              <w:t>2021</w:t>
            </w:r>
            <w:r>
              <w:rPr>
                <w:rFonts w:ascii="SimSun" w:eastAsia="SimSun" w:hAnsi="SimSun" w:cs="SimSun"/>
                <w:color w:val="000000"/>
                <w:spacing w:val="0"/>
                <w:w w:val="100"/>
                <w:position w:val="0"/>
              </w:rPr>
              <w:t>年股权激励计划累计获授公司股 份数量超过公司总股本</w:t>
            </w:r>
            <w:r>
              <w:rPr>
                <w:color w:val="000000"/>
                <w:spacing w:val="0"/>
                <w:w w:val="100"/>
                <w:position w:val="0"/>
              </w:rPr>
              <w:t>1%</w:t>
            </w:r>
            <w:r>
              <w:rPr>
                <w:rFonts w:ascii="SimSun" w:eastAsia="SimSun" w:hAnsi="SimSun" w:cs="SimSun"/>
                <w:color w:val="000000"/>
                <w:spacing w:val="0"/>
                <w:w w:val="100"/>
                <w:position w:val="0"/>
              </w:rPr>
              <w:t>的议案》《关于公司</w:t>
            </w:r>
            <w:r>
              <w:rPr>
                <w:color w:val="000000"/>
                <w:spacing w:val="0"/>
                <w:w w:val="100"/>
                <w:position w:val="0"/>
              </w:rPr>
              <w:t>＜2021</w:t>
            </w:r>
            <w:r>
              <w:rPr>
                <w:rFonts w:ascii="SimSun" w:eastAsia="SimSun" w:hAnsi="SimSun" w:cs="SimSun"/>
                <w:color w:val="000000"/>
                <w:spacing w:val="0"/>
                <w:w w:val="100"/>
                <w:position w:val="0"/>
              </w:rPr>
              <w:t>年股票期 权与限制性股票激励计划实施考核管理办法</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的议案》《关于提 请公司股东大会授权董事会办理股权激励相关事项的议案》</w:t>
            </w:r>
          </w:p>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《关于补选第七届董事会审计委员会委员的议案》《关于召开 公司</w:t>
            </w:r>
            <w:r>
              <w:rPr>
                <w:color w:val="000000"/>
                <w:spacing w:val="0"/>
                <w:w w:val="100"/>
                <w:position w:val="0"/>
              </w:rPr>
              <w:t>2021</w:t>
            </w:r>
            <w:r>
              <w:rPr>
                <w:rFonts w:ascii="SimSun" w:eastAsia="SimSun" w:hAnsi="SimSun" w:cs="SimSun"/>
                <w:color w:val="000000"/>
                <w:spacing w:val="0"/>
                <w:w w:val="100"/>
                <w:position w:val="0"/>
              </w:rPr>
              <w:t>年第二次临时股东大会的议案》</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第七届董事会第七次会议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《关于〈惠程科技</w:t>
            </w:r>
            <w:r>
              <w:rPr>
                <w:color w:val="000000"/>
                <w:spacing w:val="0"/>
                <w:w w:val="100"/>
                <w:position w:val="0"/>
              </w:rPr>
              <w:t>2020</w:t>
            </w:r>
            <w:r>
              <w:rPr>
                <w:rFonts w:ascii="SimSun" w:eastAsia="SimSun" w:hAnsi="SimSun" w:cs="SimSun"/>
                <w:color w:val="000000"/>
                <w:spacing w:val="0"/>
                <w:w w:val="100"/>
                <w:position w:val="0"/>
              </w:rPr>
              <w:t>年年度报告〉及其摘要的议案》《关于 〈惠程科技</w:t>
            </w:r>
            <w:r>
              <w:rPr>
                <w:color w:val="000000"/>
                <w:spacing w:val="0"/>
                <w:w w:val="100"/>
                <w:position w:val="0"/>
              </w:rPr>
              <w:t>2020</w:t>
            </w:r>
            <w:r>
              <w:rPr>
                <w:rFonts w:ascii="SimSun" w:eastAsia="SimSun" w:hAnsi="SimSun" w:cs="SimSun"/>
                <w:color w:val="000000"/>
                <w:spacing w:val="0"/>
                <w:w w:val="100"/>
                <w:position w:val="0"/>
              </w:rPr>
              <w:t>年度董事会工作报告＞的议案》《关于〈惠程 科技</w:t>
            </w:r>
            <w:r>
              <w:rPr>
                <w:color w:val="000000"/>
                <w:spacing w:val="0"/>
                <w:w w:val="100"/>
                <w:position w:val="0"/>
              </w:rPr>
              <w:t>2020</w:t>
            </w:r>
            <w:r>
              <w:rPr>
                <w:rFonts w:ascii="SimSun" w:eastAsia="SimSun" w:hAnsi="SimSun" w:cs="SimSun"/>
                <w:color w:val="000000"/>
                <w:spacing w:val="0"/>
                <w:w w:val="100"/>
                <w:position w:val="0"/>
              </w:rPr>
              <w:t>年度总裁工作报告〉的议案》《关于</w:t>
            </w:r>
            <w:r>
              <w:rPr>
                <w:color w:val="000000"/>
                <w:spacing w:val="0"/>
                <w:w w:val="100"/>
                <w:position w:val="0"/>
              </w:rPr>
              <w:t>2020</w:t>
            </w:r>
            <w:r>
              <w:rPr>
                <w:rFonts w:ascii="SimSun" w:eastAsia="SimSun" w:hAnsi="SimSun" w:cs="SimSun"/>
                <w:color w:val="000000"/>
                <w:spacing w:val="0"/>
                <w:w w:val="100"/>
                <w:position w:val="0"/>
              </w:rPr>
              <w:t>年度计提 信用减值损失及资产减值损失的议案》《关于前期会计差错更 正的议案》《关于〈惠程科技</w:t>
            </w:r>
            <w:r>
              <w:rPr>
                <w:color w:val="000000"/>
                <w:spacing w:val="0"/>
                <w:w w:val="100"/>
                <w:position w:val="0"/>
              </w:rPr>
              <w:t>2020</w:t>
            </w:r>
            <w:r>
              <w:rPr>
                <w:rFonts w:ascii="SimSun" w:eastAsia="SimSun" w:hAnsi="SimSun" w:cs="SimSun"/>
                <w:color w:val="000000"/>
                <w:spacing w:val="0"/>
                <w:w w:val="100"/>
                <w:position w:val="0"/>
              </w:rPr>
              <w:t>年度财务决算报告〉的议案》 《关于〈惠程科技</w:t>
            </w:r>
            <w:r>
              <w:rPr>
                <w:color w:val="000000"/>
                <w:spacing w:val="0"/>
                <w:w w:val="100"/>
                <w:position w:val="0"/>
              </w:rPr>
              <w:t>2020</w:t>
            </w:r>
            <w:r>
              <w:rPr>
                <w:rFonts w:ascii="SimSun" w:eastAsia="SimSun" w:hAnsi="SimSun" w:cs="SimSun"/>
                <w:color w:val="000000"/>
                <w:spacing w:val="0"/>
                <w:w w:val="100"/>
                <w:position w:val="0"/>
              </w:rPr>
              <w:t>年度利润分配预案〉的议案》《关于＜ 惠程科技</w:t>
            </w:r>
            <w:r>
              <w:rPr>
                <w:color w:val="000000"/>
                <w:spacing w:val="0"/>
                <w:w w:val="100"/>
                <w:position w:val="0"/>
              </w:rPr>
              <w:t>2020</w:t>
            </w:r>
            <w:r>
              <w:rPr>
                <w:rFonts w:ascii="SimSun" w:eastAsia="SimSun" w:hAnsi="SimSun" w:cs="SimSun"/>
                <w:color w:val="000000"/>
                <w:spacing w:val="0"/>
                <w:w w:val="100"/>
                <w:position w:val="0"/>
              </w:rPr>
              <w:t>年度内部控制的自我评价报告＞的议案》《关于 〈惠程科技</w:t>
            </w:r>
            <w:r>
              <w:rPr>
                <w:color w:val="000000"/>
                <w:spacing w:val="0"/>
                <w:w w:val="100"/>
                <w:position w:val="0"/>
              </w:rPr>
              <w:t>2020</w:t>
            </w:r>
            <w:r>
              <w:rPr>
                <w:rFonts w:ascii="SimSun" w:eastAsia="SimSun" w:hAnsi="SimSun" w:cs="SimSun"/>
                <w:color w:val="000000"/>
                <w:spacing w:val="0"/>
                <w:w w:val="100"/>
                <w:position w:val="0"/>
              </w:rPr>
              <w:t>年度投资者保护工作自我评价报告＞的议案》 《关于〈惠程科技</w:t>
            </w:r>
            <w:r>
              <w:rPr>
                <w:color w:val="000000"/>
                <w:spacing w:val="0"/>
                <w:w w:val="100"/>
                <w:position w:val="0"/>
              </w:rPr>
              <w:t>2020</w:t>
            </w:r>
            <w:r>
              <w:rPr>
                <w:rFonts w:ascii="SimSun" w:eastAsia="SimSun" w:hAnsi="SimSun" w:cs="SimSun"/>
                <w:color w:val="000000"/>
                <w:spacing w:val="0"/>
                <w:w w:val="100"/>
                <w:position w:val="0"/>
              </w:rPr>
              <w:t>年度证券投资专项说明〉的议案》《关 于公司</w:t>
            </w:r>
            <w:r>
              <w:rPr>
                <w:color w:val="000000"/>
                <w:spacing w:val="0"/>
                <w:w w:val="100"/>
                <w:position w:val="0"/>
              </w:rPr>
              <w:t>2020</w:t>
            </w:r>
            <w:r>
              <w:rPr>
                <w:rFonts w:ascii="SimSun" w:eastAsia="SimSun" w:hAnsi="SimSun" w:cs="SimSun"/>
                <w:color w:val="000000"/>
                <w:spacing w:val="0"/>
                <w:w w:val="100"/>
                <w:position w:val="0"/>
              </w:rPr>
              <w:t xml:space="preserve">年度审计报告保留意见的说明《《关于〈惠程科技 </w:t>
            </w:r>
            <w:r>
              <w:rPr>
                <w:color w:val="000000"/>
                <w:spacing w:val="0"/>
                <w:w w:val="100"/>
                <w:position w:val="0"/>
              </w:rPr>
              <w:t>2021</w:t>
            </w:r>
            <w:r>
              <w:rPr>
                <w:rFonts w:ascii="SimSun" w:eastAsia="SimSun" w:hAnsi="SimSun" w:cs="SimSun"/>
                <w:color w:val="000000"/>
                <w:spacing w:val="0"/>
                <w:w w:val="100"/>
                <w:position w:val="0"/>
              </w:rPr>
              <w:t>年第一季度报告全文＞及其正文的议案》《关于〈关于召 开</w:t>
            </w:r>
            <w:r>
              <w:rPr>
                <w:color w:val="000000"/>
                <w:spacing w:val="0"/>
                <w:w w:val="100"/>
                <w:position w:val="0"/>
              </w:rPr>
              <w:t>2020</w:t>
            </w:r>
            <w:r>
              <w:rPr>
                <w:rFonts w:ascii="SimSun" w:eastAsia="SimSun" w:hAnsi="SimSun" w:cs="SimSun"/>
                <w:color w:val="000000"/>
                <w:spacing w:val="0"/>
                <w:w w:val="100"/>
                <w:position w:val="0"/>
              </w:rPr>
              <w:t>年年度股东大会的议案＞的议案》</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第七届董事会第八次会议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《关于向激励对象授予股票期权和限制性股票的议案》《关于 对外投资暨关联交易的议案》《关于与关联方共同投资设立产 业基金暨关联交易的议案《《关于召开</w:t>
            </w:r>
            <w:r>
              <w:rPr>
                <w:color w:val="000000"/>
                <w:spacing w:val="0"/>
                <w:w w:val="100"/>
                <w:position w:val="0"/>
              </w:rPr>
              <w:t>2021</w:t>
            </w:r>
            <w:r>
              <w:rPr>
                <w:rFonts w:ascii="SimSun" w:eastAsia="SimSun" w:hAnsi="SimSun" w:cs="SimSun"/>
                <w:color w:val="000000"/>
                <w:spacing w:val="0"/>
                <w:w w:val="100"/>
                <w:position w:val="0"/>
              </w:rPr>
              <w:t>年第三次临时股东 大会的通知》</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第七届董事会第九次会议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《关于签署战略合作三方协议的议案》《关于对外投资暨关联 交易的议案》</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《关于补选公司第七届董事会非独立董事的议案》《关于签署 对外投资高速智能充电桩项目补充合同暨关联交易的议案》</w:t>
            </w:r>
          </w:p>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《关于签署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充电场站建设</w:t>
            </w:r>
            <w:r>
              <w:rPr>
                <w:color w:val="000000"/>
                <w:spacing w:val="0"/>
                <w:w w:val="100"/>
                <w:position w:val="0"/>
              </w:rPr>
              <w:t>EPC</w:t>
            </w:r>
            <w:r>
              <w:rPr>
                <w:rFonts w:ascii="SimSun" w:eastAsia="SimSun" w:hAnsi="SimSun" w:cs="SimSun"/>
                <w:color w:val="000000"/>
                <w:spacing w:val="0"/>
                <w:w w:val="100"/>
                <w:position w:val="0"/>
              </w:rPr>
              <w:t>总承包合作框架协议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 交易的议案》《关于修订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关联 交易管理制度</w:t>
            </w:r>
            <w:r>
              <w:rPr>
                <w:color w:val="000000"/>
                <w:spacing w:val="0"/>
                <w:w w:val="100"/>
                <w:position w:val="0"/>
              </w:rPr>
              <w:t>＞</w:t>
            </w:r>
            <w:r>
              <w:rPr>
                <w:rFonts w:ascii="SimSun" w:eastAsia="SimSun" w:hAnsi="SimSun" w:cs="SimSun"/>
                <w:color w:val="000000"/>
                <w:spacing w:val="0"/>
                <w:w w:val="100"/>
                <w:position w:val="0"/>
              </w:rPr>
              <w:t>的议案》《关于召开</w:t>
            </w:r>
            <w:r>
              <w:rPr>
                <w:color w:val="000000"/>
                <w:spacing w:val="0"/>
                <w:w w:val="100"/>
                <w:position w:val="0"/>
              </w:rPr>
              <w:t>2021</w:t>
            </w:r>
            <w:r>
              <w:rPr>
                <w:rFonts w:ascii="SimSun" w:eastAsia="SimSun" w:hAnsi="SimSun" w:cs="SimSun"/>
                <w:color w:val="000000"/>
                <w:spacing w:val="0"/>
                <w:w w:val="100"/>
                <w:position w:val="0"/>
              </w:rPr>
              <w:t>年第四次临时股东大 会的通知》</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第七届董事会第十一次会议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《关于补选第七届董事会董事长的议案》《关于补选第七届董 事会专门委员会召集人及委员的议案》《关于修订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投融资管理 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第七届董事会第十二次会议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《关于终止</w:t>
            </w:r>
            <w:r>
              <w:rPr>
                <w:color w:val="000000"/>
                <w:spacing w:val="0"/>
                <w:w w:val="100"/>
                <w:position w:val="0"/>
              </w:rPr>
              <w:t>2020</w:t>
            </w:r>
            <w:r>
              <w:rPr>
                <w:rFonts w:ascii="SimSun" w:eastAsia="SimSun" w:hAnsi="SimSun" w:cs="SimSun"/>
                <w:color w:val="000000"/>
                <w:spacing w:val="0"/>
                <w:w w:val="100"/>
                <w:position w:val="0"/>
              </w:rPr>
              <w:t>年度非公开发行</w:t>
            </w:r>
            <w:r>
              <w:rPr>
                <w:color w:val="000000"/>
                <w:spacing w:val="0"/>
                <w:w w:val="100"/>
                <w:position w:val="0"/>
              </w:rPr>
              <w:t>A</w:t>
            </w:r>
            <w:r>
              <w:rPr>
                <w:rFonts w:ascii="SimSun" w:eastAsia="SimSun" w:hAnsi="SimSun" w:cs="SimSun"/>
                <w:color w:val="000000"/>
                <w:spacing w:val="0"/>
                <w:w w:val="100"/>
                <w:position w:val="0"/>
              </w:rPr>
              <w:t>股股票事项的议案》《关于 公司接受间接控股股东财务资助暨关联交易的议案》《关于召 开</w:t>
            </w:r>
            <w:r>
              <w:rPr>
                <w:color w:val="000000"/>
                <w:spacing w:val="0"/>
                <w:w w:val="100"/>
                <w:position w:val="0"/>
              </w:rPr>
              <w:t>2021</w:t>
            </w:r>
            <w:r>
              <w:rPr>
                <w:rFonts w:ascii="SimSun" w:eastAsia="SimSun" w:hAnsi="SimSun" w:cs="SimSun"/>
                <w:color w:val="000000"/>
                <w:spacing w:val="0"/>
                <w:w w:val="100"/>
                <w:position w:val="0"/>
              </w:rPr>
              <w:t>年第五次临时股东大会的议案》</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第七届董事会第十三次会议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《惠程科技</w:t>
            </w:r>
            <w:r>
              <w:rPr>
                <w:color w:val="000000"/>
                <w:spacing w:val="0"/>
                <w:w w:val="100"/>
                <w:position w:val="0"/>
              </w:rPr>
              <w:t>2021</w:t>
            </w:r>
            <w:r>
              <w:rPr>
                <w:rFonts w:ascii="SimSun" w:eastAsia="SimSun" w:hAnsi="SimSun" w:cs="SimSun"/>
                <w:color w:val="000000"/>
                <w:spacing w:val="0"/>
                <w:w w:val="100"/>
                <w:position w:val="0"/>
              </w:rPr>
              <w:t>年半年度报告》及其摘要</w:t>
            </w:r>
          </w:p>
        </w:tc>
      </w:tr>
    </w:tbl>
    <w:p>
      <w:pPr>
        <w:spacing w:lineRule="exact" w:line="1"/>
        <w:rPr>
          <w:sz w:val="2"/>
          <w:szCs w:val="2"/>
        </w:rPr>
      </w:pPr>
      <w:r>
        <w:br w:type="page"/>
      </w:r>
    </w:p>
    <w:tbl>
      <w:tblPr>
        <w:tblOverlap w:val="never"/>
        <w:jc w:val="center"/>
        <w:tblLayout w:type="fixed"/>
      </w:tblPr>
      <w:tblGrid>
        <w:gridCol w:w="2275"/>
        <w:gridCol w:w="1138"/>
        <w:gridCol w:w="1272"/>
        <w:gridCol w:w="4901"/>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第七届董事会第十四次会议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《关于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惠程科技</w:t>
            </w:r>
            <w:r>
              <w:rPr>
                <w:color w:val="000000"/>
                <w:spacing w:val="0"/>
                <w:w w:val="100"/>
                <w:position w:val="0"/>
              </w:rPr>
              <w:t>2021</w:t>
            </w:r>
            <w:r>
              <w:rPr>
                <w:rFonts w:ascii="SimSun" w:eastAsia="SimSun" w:hAnsi="SimSun" w:cs="SimSun"/>
                <w:color w:val="000000"/>
                <w:spacing w:val="0"/>
                <w:w w:val="100"/>
                <w:position w:val="0"/>
              </w:rPr>
              <w:t>年第三季度报告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的议案》《关于修订</w:t>
            </w:r>
            <w:r>
              <w:rPr>
                <w:color w:val="000000"/>
                <w:spacing w:val="0"/>
                <w:w w:val="100"/>
                <w:position w:val="0"/>
              </w:rPr>
              <w:t xml:space="preserve">＜ </w:t>
            </w:r>
            <w:r>
              <w:rPr>
                <w:rFonts w:ascii="SimSun" w:eastAsia="SimSun" w:hAnsi="SimSun" w:cs="SimSun"/>
                <w:color w:val="000000"/>
                <w:spacing w:val="0"/>
                <w:w w:val="100"/>
                <w:position w:val="0"/>
              </w:rPr>
              <w:t>董事会审计委员会工作细则</w:t>
            </w:r>
            <w:r>
              <w:rPr>
                <w:color w:val="000000"/>
                <w:spacing w:val="0"/>
                <w:w w:val="100"/>
                <w:position w:val="0"/>
              </w:rPr>
              <w:t>＞</w:t>
            </w:r>
            <w:r>
              <w:rPr>
                <w:rFonts w:ascii="SimSun" w:eastAsia="SimSun" w:hAnsi="SimSun" w:cs="SimSun"/>
                <w:color w:val="000000"/>
                <w:spacing w:val="0"/>
                <w:w w:val="100"/>
                <w:position w:val="0"/>
              </w:rPr>
              <w:t>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董事会提名 委员会工作细则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董事会薪酬与考核委员 会工作细则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董事会战略委员会工作细则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的议案》</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第七届董事会第十五次会议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投资合作协议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的议案》《关于调整对外投资暨关 联交易事项的议案》《关于拟聘任会计师事务所的议案》《关于 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股东大会议事规则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 案》《关于召开</w:t>
            </w:r>
            <w:r>
              <w:rPr>
                <w:color w:val="000000"/>
                <w:spacing w:val="0"/>
                <w:w w:val="100"/>
                <w:position w:val="0"/>
              </w:rPr>
              <w:t>2021</w:t>
            </w:r>
            <w:r>
              <w:rPr>
                <w:rFonts w:ascii="SimSun" w:eastAsia="SimSun" w:hAnsi="SimSun" w:cs="SimSun"/>
                <w:color w:val="000000"/>
                <w:spacing w:val="0"/>
                <w:w w:val="100"/>
                <w:position w:val="0"/>
              </w:rPr>
              <w:t>年第六次临时股东大会的议案》</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第七届董事会第十六次会议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《关于全资子公司签署中标项目合同暨关联交易的议案》《关 于拟变更公司名称、注册地址并修订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的议《关于召 开</w:t>
            </w:r>
            <w:r>
              <w:rPr>
                <w:color w:val="000000"/>
                <w:spacing w:val="0"/>
                <w:w w:val="100"/>
                <w:position w:val="0"/>
              </w:rPr>
              <w:t>2021</w:t>
            </w:r>
            <w:r>
              <w:rPr>
                <w:rFonts w:ascii="SimSun" w:eastAsia="SimSun" w:hAnsi="SimSun" w:cs="SimSun"/>
                <w:color w:val="000000"/>
                <w:spacing w:val="0"/>
                <w:w w:val="100"/>
                <w:position w:val="0"/>
              </w:rPr>
              <w:t>年第七次临时股东大会的议案》案》</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、董事出席董事会及股东大会的情况</w:t>
      </w:r>
      <w:bookmarkEnd w:id="327"/>
      <w:bookmarkEnd w:id="328"/>
      <w:bookmarkEnd w:id="330"/>
    </w:p>
    <w:tbl>
      <w:tblPr>
        <w:tblOverlap w:val="never"/>
        <w:jc w:val="center"/>
        <w:tblLayout w:type="fixed"/>
      </w:tblPr>
      <w:tblGrid>
        <w:gridCol w:w="1426"/>
        <w:gridCol w:w="117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以通讯方式参</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是否连续两次</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未亲自参加董</w:t>
            </w:r>
          </w:p>
          <w:p>
            <w:pPr>
              <w:pStyle w:val="Style25"/>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钟晓林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Key Ke Liu </w:t>
            </w:r>
            <w:r>
              <w:rPr>
                <w:rFonts w:ascii="SimSun" w:eastAsia="SimSun" w:hAnsi="SimSun" w:cs="SimSun"/>
                <w:color w:val="000000"/>
                <w:spacing w:val="0"/>
                <w:w w:val="100"/>
                <w:position w:val="0"/>
              </w:rPr>
              <w:t>（中文</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名：刘科）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潘林武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、董事对公司有关事项提出异议的情况</w:t>
      </w:r>
      <w:bookmarkEnd w:id="331"/>
      <w:bookmarkEnd w:id="332"/>
      <w:bookmarkEnd w:id="33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董事对公司有关事项是否提出异议 </w:t>
      </w:r>
      <w:r>
        <w:rPr>
          <w:color w:val="000000"/>
          <w:spacing w:val="0"/>
          <w:w w:val="100"/>
          <w:position w:val="0"/>
        </w:rPr>
        <w:t>报告期内董事对公司有关事项未提出异议。</w:t>
      </w:r>
    </w:p>
    <w:p>
      <w:pPr>
        <w:pStyle w:val="Style34"/>
        <w:keepNext/>
        <w:keepLines/>
        <w:widowControl w:val="0"/>
        <w:shd w:val="clear" w:color="auto" w:fill="auto"/>
        <w:bidi w:val="0"/>
        <w:spacing w:before="0" w:after="2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、董事履行职责的其他说明</w:t>
      </w:r>
      <w:bookmarkEnd w:id="335"/>
      <w:bookmarkEnd w:id="336"/>
      <w:bookmarkEnd w:id="338"/>
    </w:p>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董事对公司有关建议是否被采纳</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公司全体董事恪尽职守、勤勉尽责，能够主动关注公司经营管理信息、财务状况、关联交易、重要及重大事项等，对提 交董事会审议的各项议案，均能深入讨论，各抒已见，为公司的经营发展建言献策，作出决策时充分考虑中小股东的利益和 诉求，切实增强了董事会决策的科学性，推动公司经营各项工作的持续、稳定、健康发展。</w:t>
      </w:r>
    </w:p>
    <w:p>
      <w:pPr>
        <w:pStyle w:val="Style28"/>
        <w:keepNext/>
        <w:keepLines/>
        <w:widowControl w:val="0"/>
        <w:shd w:val="clear" w:color="auto" w:fill="auto"/>
        <w:bidi w:val="0"/>
        <w:spacing w:before="0" w:after="2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、董事会下设专门委员会在报告期内的情况</w:t>
      </w:r>
      <w:bookmarkEnd w:id="339"/>
      <w:bookmarkEnd w:id="340"/>
      <w:bookmarkEnd w:id="342"/>
    </w:p>
    <w:tbl>
      <w:tblPr>
        <w:tblOverlap w:val="never"/>
        <w:jc w:val="center"/>
        <w:tblLayout w:type="fixed"/>
      </w:tblPr>
      <w:tblGrid>
        <w:gridCol w:w="1003"/>
        <w:gridCol w:w="1133"/>
        <w:gridCol w:w="422"/>
        <w:gridCol w:w="1560"/>
        <w:gridCol w:w="2270"/>
        <w:gridCol w:w="1416"/>
        <w:gridCol w:w="994"/>
        <w:gridCol w:w="787"/>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召开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会议</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提出的重要意见 和建议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异议事项</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具体情况</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（如有）</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叶陈刚、钟晓 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审议</w:t>
            </w:r>
            <w:r>
              <w:rPr>
                <w:color w:val="000000"/>
                <w:spacing w:val="0"/>
                <w:w w:val="100"/>
                <w:position w:val="0"/>
              </w:rPr>
              <w:t>2020</w:t>
            </w:r>
            <w:r>
              <w:rPr>
                <w:rFonts w:ascii="SimSun" w:eastAsia="SimSun" w:hAnsi="SimSun" w:cs="SimSun"/>
                <w:color w:val="000000"/>
                <w:spacing w:val="0"/>
                <w:w w:val="100"/>
                <w:position w:val="0"/>
              </w:rPr>
              <w:t>年度内部控制的自 我评价报告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审计委员会严格 按照《公司法》《公 司章程》《董事会 审计委员会工作 规则》开展工作， 勤勉尽责，经过充 分沟通讨论，一致 通过所有议案。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指导、监督 落实公司</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年度的 内部控制情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叶陈刚、钟晓</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林、周志达</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审议</w:t>
            </w:r>
            <w:r>
              <w:rPr>
                <w:color w:val="000000"/>
                <w:spacing w:val="0"/>
                <w:w w:val="100"/>
                <w:position w:val="0"/>
              </w:rPr>
              <w:t>2020</w:t>
            </w:r>
            <w:r>
              <w:rPr>
                <w:rFonts w:ascii="SimSun" w:eastAsia="SimSun" w:hAnsi="SimSun" w:cs="SimSun"/>
                <w:color w:val="000000"/>
                <w:spacing w:val="0"/>
                <w:w w:val="100"/>
                <w:position w:val="0"/>
              </w:rPr>
              <w:t>年度报告及相关报 告、</w:t>
            </w:r>
            <w:r>
              <w:rPr>
                <w:color w:val="000000"/>
                <w:spacing w:val="0"/>
                <w:w w:val="100"/>
                <w:position w:val="0"/>
              </w:rPr>
              <w:t>2021</w:t>
            </w:r>
            <w:r>
              <w:rPr>
                <w:rFonts w:ascii="SimSun" w:eastAsia="SimSun" w:hAnsi="SimSun" w:cs="SimSun"/>
                <w:color w:val="000000"/>
                <w:spacing w:val="0"/>
                <w:w w:val="100"/>
                <w:position w:val="0"/>
              </w:rPr>
              <w:t>年一季度报告、哆 可梦</w:t>
            </w:r>
            <w:r>
              <w:rPr>
                <w:color w:val="000000"/>
                <w:spacing w:val="0"/>
                <w:w w:val="100"/>
                <w:position w:val="0"/>
              </w:rPr>
              <w:t>IT</w:t>
            </w:r>
            <w:r>
              <w:rPr>
                <w:rFonts w:ascii="SimSun" w:eastAsia="SimSun" w:hAnsi="SimSun" w:cs="SimSun"/>
                <w:color w:val="000000"/>
                <w:spacing w:val="0"/>
                <w:w w:val="100"/>
                <w:position w:val="0"/>
              </w:rPr>
              <w:t>内部审计专项检查报 告、公司</w:t>
            </w:r>
            <w:r>
              <w:rPr>
                <w:color w:val="000000"/>
                <w:spacing w:val="0"/>
                <w:w w:val="100"/>
                <w:position w:val="0"/>
              </w:rPr>
              <w:t>2020</w:t>
            </w:r>
            <w:r>
              <w:rPr>
                <w:rFonts w:ascii="SimSun" w:eastAsia="SimSun" w:hAnsi="SimSun" w:cs="SimSun"/>
                <w:color w:val="000000"/>
                <w:spacing w:val="0"/>
                <w:w w:val="100"/>
                <w:position w:val="0"/>
              </w:rPr>
              <w:t>年及</w:t>
            </w:r>
            <w:r>
              <w:rPr>
                <w:color w:val="000000"/>
                <w:spacing w:val="0"/>
                <w:w w:val="100"/>
                <w:position w:val="0"/>
              </w:rPr>
              <w:t>2021</w:t>
            </w:r>
            <w:r>
              <w:rPr>
                <w:rFonts w:ascii="SimSun" w:eastAsia="SimSun" w:hAnsi="SimSun" w:cs="SimSun"/>
                <w:color w:val="000000"/>
                <w:spacing w:val="0"/>
                <w:w w:val="100"/>
                <w:position w:val="0"/>
              </w:rPr>
              <w:t>年 一季度证券投资报告、公司 收购子公司上海季娱少数股 权事项的专项审计报告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审计委员会 委员将持续 关注和督促 公司董事会 及管理层落 实相应措施 的情况，消 除上述保留 事项对公司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审议对公司</w:t>
            </w:r>
            <w:r>
              <w:rPr>
                <w:color w:val="000000"/>
                <w:spacing w:val="0"/>
                <w:w w:val="100"/>
                <w:position w:val="0"/>
              </w:rPr>
              <w:t>2020</w:t>
            </w:r>
            <w:r>
              <w:rPr>
                <w:rFonts w:ascii="SimSun" w:eastAsia="SimSun" w:hAnsi="SimSun" w:cs="SimSun"/>
                <w:color w:val="000000"/>
                <w:spacing w:val="0"/>
                <w:w w:val="100"/>
                <w:position w:val="0"/>
              </w:rPr>
              <w:t>年及</w:t>
            </w:r>
            <w:r>
              <w:rPr>
                <w:color w:val="000000"/>
                <w:spacing w:val="0"/>
                <w:w w:val="100"/>
                <w:position w:val="0"/>
              </w:rPr>
              <w:t xml:space="preserve">2021 </w:t>
            </w:r>
            <w:r>
              <w:rPr>
                <w:rFonts w:ascii="SimSun" w:eastAsia="SimSun" w:hAnsi="SimSun" w:cs="SimSun"/>
                <w:color w:val="000000"/>
                <w:spacing w:val="0"/>
                <w:w w:val="100"/>
                <w:position w:val="0"/>
              </w:rPr>
              <w:t>年第一季度招投标业务流程 进行检查的专项报告、公司 关联方交易之租赁事项的检 查报告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审议</w:t>
            </w:r>
            <w:r>
              <w:rPr>
                <w:color w:val="000000"/>
                <w:spacing w:val="0"/>
                <w:w w:val="100"/>
                <w:position w:val="0"/>
              </w:rPr>
              <w:t>2021</w:t>
            </w:r>
            <w:r>
              <w:rPr>
                <w:rFonts w:ascii="SimSun" w:eastAsia="SimSun" w:hAnsi="SimSun" w:cs="SimSun"/>
                <w:color w:val="000000"/>
                <w:spacing w:val="0"/>
                <w:w w:val="100"/>
                <w:position w:val="0"/>
              </w:rPr>
              <w:t>年上半年控股股 东、实际控制人及其他关联 方占用公司资金情况的专项 审计报告、</w:t>
            </w:r>
            <w:r>
              <w:rPr>
                <w:color w:val="000000"/>
                <w:spacing w:val="0"/>
                <w:w w:val="100"/>
                <w:position w:val="0"/>
              </w:rPr>
              <w:t>2021</w:t>
            </w:r>
            <w:r>
              <w:rPr>
                <w:rFonts w:ascii="SimSun" w:eastAsia="SimSun" w:hAnsi="SimSun" w:cs="SimSun"/>
                <w:color w:val="000000"/>
                <w:spacing w:val="0"/>
                <w:w w:val="100"/>
                <w:position w:val="0"/>
              </w:rPr>
              <w:t>年半年报报 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审议拟聘任会计师事务所、</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133"/>
        <w:gridCol w:w="422"/>
        <w:gridCol w:w="1560"/>
        <w:gridCol w:w="2270"/>
        <w:gridCol w:w="1416"/>
        <w:gridCol w:w="994"/>
        <w:gridCol w:w="78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惠程科技审计部</w:t>
            </w:r>
            <w:r>
              <w:rPr>
                <w:color w:val="000000"/>
                <w:spacing w:val="0"/>
                <w:w w:val="100"/>
                <w:position w:val="0"/>
              </w:rPr>
              <w:t>2021</w:t>
            </w:r>
            <w:r>
              <w:rPr>
                <w:rFonts w:ascii="SimSun" w:eastAsia="SimSun" w:hAnsi="SimSun" w:cs="SimSun"/>
                <w:color w:val="000000"/>
                <w:spacing w:val="0"/>
                <w:w w:val="100"/>
                <w:position w:val="0"/>
              </w:rPr>
              <w:t>年第三 季度内部审计工作情况汇 报、</w:t>
            </w:r>
            <w:r>
              <w:rPr>
                <w:color w:val="000000"/>
                <w:spacing w:val="0"/>
                <w:w w:val="100"/>
                <w:position w:val="0"/>
              </w:rPr>
              <w:t>2021</w:t>
            </w:r>
            <w:r>
              <w:rPr>
                <w:rFonts w:ascii="SimSun" w:eastAsia="SimSun" w:hAnsi="SimSun" w:cs="SimSun"/>
                <w:color w:val="000000"/>
                <w:spacing w:val="0"/>
                <w:w w:val="100"/>
                <w:position w:val="0"/>
              </w:rPr>
              <w:t>年第三季度报告</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提名委员会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钟晓林、叶陈 刚、汪超涌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就公司第七届董事会非独立 董事候选人的情况进行了审 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提名委员会严格 按照《公司法》、</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《公司章程》、《董 事会提名委员会 工作规则》等相关 法律法规开展工 作，勤勉尽责，并 根据公司的实际 情况，提出了相关 的意见，经过充分 沟通讨论，一致通 过上述议案。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提名委员会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钟晓林、叶陈 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就公司第七届董事会非独立 董事候选人的情况进行了审 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薪酬与考核</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Key Ke Liu</w:t>
            </w:r>
          </w:p>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（中文名：刘 科）、叶陈刚、 汪超涌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就</w:t>
            </w:r>
            <w:r>
              <w:rPr>
                <w:color w:val="000000"/>
                <w:spacing w:val="0"/>
                <w:w w:val="100"/>
                <w:position w:val="0"/>
              </w:rPr>
              <w:t>2020</w:t>
            </w:r>
            <w:r>
              <w:rPr>
                <w:rFonts w:ascii="SimSun" w:eastAsia="SimSun" w:hAnsi="SimSun" w:cs="SimSun"/>
                <w:color w:val="000000"/>
                <w:spacing w:val="0"/>
                <w:w w:val="100"/>
                <w:position w:val="0"/>
              </w:rPr>
              <w:t>年度公司董事、监事 及高管人员薪酬情况进行了 审核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薪酬与考核委员 会严格按照《公司 法》、《公司章程》、 《董事会薪酬与 考核委员会工作 规则》等相关法律 法规开展工作，勤 勉尽责，并根据公 司的实际情况，提 出了相关的意见， 经过充分沟通讨 论，一致通过上述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对董事、高 级管理人员 工作绩效进 行评估和考 核、审核薪 酬</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年股票期权 与限制性股票激励计划（草 案）》及其摘要、《</w:t>
            </w:r>
            <w:r>
              <w:rPr>
                <w:color w:val="000000"/>
                <w:spacing w:val="0"/>
                <w:w w:val="100"/>
                <w:position w:val="0"/>
              </w:rPr>
              <w:t>2021</w:t>
            </w:r>
            <w:r>
              <w:rPr>
                <w:rFonts w:ascii="SimSun" w:eastAsia="SimSun" w:hAnsi="SimSun" w:cs="SimSun"/>
                <w:color w:val="000000"/>
                <w:spacing w:val="0"/>
                <w:w w:val="100"/>
                <w:position w:val="0"/>
              </w:rPr>
              <w:t>年股 票期权与限制性股票激励计 划实施考核管理办法》、</w:t>
            </w:r>
          </w:p>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年股票期权与限制性 股票激励计划首次授予激励 对象名单》</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林嘉喜、钟晓 林、汪超涌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年度发展战 略、对外投资高速智能充电 桩项目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战略委员会严格 按照《公司法》、</w:t>
            </w:r>
          </w:p>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《公司章程》、《董 事会战略委员会 工作规则》等相关 法律法规开展工 作，勤勉尽责，并 根据公司的实际 情况，提出了相关 的意见，经过充分 沟通讨论，一致通 过上述议案。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、监事会工作情况</w:t>
      </w:r>
      <w:bookmarkEnd w:id="343"/>
      <w:bookmarkEnd w:id="344"/>
      <w:bookmarkEnd w:id="346"/>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8"/>
        <w:keepNext/>
        <w:keepLines/>
        <w:widowControl w:val="0"/>
        <w:shd w:val="clear" w:color="auto" w:fill="auto"/>
        <w:bidi w:val="0"/>
        <w:spacing w:before="0" w:line="240" w:lineRule="auto"/>
        <w:ind w:left="0" w:right="0" w:firstLine="0"/>
        <w:jc w:val="both"/>
      </w:pPr>
      <w:bookmarkStart w:id="347" w:name="bookmark347"/>
      <w:bookmarkStart w:id="348" w:name="bookmark348"/>
      <w:bookmarkStart w:id="349" w:name="bookmark349"/>
      <w:bookmarkStart w:id="350" w:name="bookmark350"/>
      <w:r>
        <w:rPr>
          <w:color w:val="000000"/>
          <w:spacing w:val="0"/>
          <w:w w:val="100"/>
          <w:position w:val="0"/>
          <w:sz w:val="24"/>
          <w:szCs w:val="24"/>
        </w:rPr>
        <w:t>九</w:t>
      </w:r>
      <w:bookmarkEnd w:id="349"/>
      <w:r>
        <w:rPr>
          <w:color w:val="000000"/>
          <w:spacing w:val="0"/>
          <w:w w:val="100"/>
          <w:position w:val="0"/>
          <w:sz w:val="24"/>
          <w:szCs w:val="24"/>
        </w:rPr>
        <w:t>、公司员工情况</w:t>
      </w:r>
      <w:bookmarkEnd w:id="347"/>
      <w:bookmarkEnd w:id="348"/>
      <w:bookmarkEnd w:id="350"/>
    </w:p>
    <w:p>
      <w:pPr>
        <w:pStyle w:val="Style34"/>
        <w:keepNext/>
        <w:keepLines/>
        <w:widowControl w:val="0"/>
        <w:shd w:val="clear" w:color="auto" w:fill="auto"/>
        <w:bidi w:val="0"/>
        <w:spacing w:before="0" w:after="30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、员工数量、专业构成及教育程度</w:t>
      </w:r>
      <w:bookmarkEnd w:id="351"/>
      <w:bookmarkEnd w:id="352"/>
      <w:bookmarkEnd w:id="3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pP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pP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546</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546</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、薪酬政策</w:t>
      </w:r>
      <w:bookmarkEnd w:id="355"/>
      <w:bookmarkEnd w:id="356"/>
      <w:bookmarkEnd w:id="358"/>
    </w:p>
    <w:p>
      <w:pPr>
        <w:pStyle w:val="Style23"/>
        <w:keepNext w:val="0"/>
        <w:keepLines w:val="0"/>
        <w:widowControl w:val="0"/>
        <w:shd w:val="clear" w:color="auto" w:fill="auto"/>
        <w:bidi w:val="0"/>
        <w:spacing w:before="0" w:after="300" w:line="308" w:lineRule="exact"/>
        <w:ind w:left="0" w:right="0" w:firstLine="440"/>
        <w:jc w:val="both"/>
      </w:pPr>
      <w:r>
        <w:rPr>
          <w:color w:val="000000"/>
          <w:spacing w:val="0"/>
          <w:w w:val="100"/>
          <w:position w:val="0"/>
        </w:rPr>
        <w:t>公司的薪酬结构包括基本薪金及津贴、绩效工资，坚持公司与员工共同发展的原则，为员工提供公平的及有竞争力的 福利待遇，严格遵照劳动法及劳动合同法规定，实行对全体员工劳动合同制，并根据相关规定缴纳各类社会保险及住房公积 金，针对部分特殊岗位购买意外险。对于各类休假严格按照劳动法及相关法律法规规定执行。公司定期会根据员工上年度绩 效考核、工作结果对员工重新进行定薪定级。公司对工资核算及发放制定了严格的审批流程，确保员工工资发放的准确、及 时。</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3"/>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rPr>
        <w:t>11,062.07</w:t>
      </w:r>
      <w:r>
        <w:rPr>
          <w:color w:val="000000"/>
          <w:spacing w:val="0"/>
          <w:w w:val="100"/>
          <w:position w:val="0"/>
        </w:rPr>
        <w:t>万元，占公司成本总额</w:t>
      </w:r>
      <w:r>
        <w:rPr>
          <w:rFonts w:ascii="Times New Roman" w:eastAsia="Times New Roman" w:hAnsi="Times New Roman" w:cs="Times New Roman"/>
          <w:color w:val="000000"/>
          <w:spacing w:val="0"/>
          <w:w w:val="100"/>
          <w:position w:val="0"/>
        </w:rPr>
        <w:t>53,880.26</w:t>
      </w:r>
      <w:r>
        <w:rPr>
          <w:color w:val="000000"/>
          <w:spacing w:val="0"/>
          <w:w w:val="100"/>
          <w:position w:val="0"/>
        </w:rPr>
        <w:t>万元的</w:t>
      </w:r>
      <w:r>
        <w:rPr>
          <w:rFonts w:ascii="Times New Roman" w:eastAsia="Times New Roman" w:hAnsi="Times New Roman" w:cs="Times New Roman"/>
          <w:color w:val="000000"/>
          <w:spacing w:val="0"/>
          <w:w w:val="100"/>
          <w:position w:val="0"/>
        </w:rPr>
        <w:t>20.53%</w:t>
      </w:r>
      <w:r>
        <w:rPr>
          <w:color w:val="000000"/>
          <w:spacing w:val="0"/>
          <w:w w:val="100"/>
          <w:position w:val="0"/>
        </w:rPr>
        <w:t>。</w:t>
      </w:r>
    </w:p>
    <w:p>
      <w:pPr>
        <w:pStyle w:val="Style34"/>
        <w:keepNext/>
        <w:keepLines/>
        <w:widowControl w:val="0"/>
        <w:shd w:val="clear" w:color="auto" w:fill="auto"/>
        <w:tabs>
          <w:tab w:pos="378" w:val="left"/>
        </w:tabs>
        <w:bidi w:val="0"/>
        <w:spacing w:before="0" w:after="26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培训计划</w:t>
      </w:r>
      <w:bookmarkEnd w:id="359"/>
      <w:bookmarkEnd w:id="360"/>
      <w:bookmarkEnd w:id="362"/>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公司严格按照既定的培训计划进行开展相关培训</w:t>
      </w:r>
      <w:r>
        <w:rPr>
          <w:color w:val="000000"/>
          <w:spacing w:val="0"/>
          <w:w w:val="100"/>
          <w:position w:val="0"/>
        </w:rPr>
        <w:t>，</w:t>
      </w:r>
      <w:r>
        <w:rPr>
          <w:color w:val="000000"/>
          <w:spacing w:val="0"/>
          <w:w w:val="100"/>
          <w:position w:val="0"/>
        </w:rPr>
        <w:t>积极开拓多种学习资源，以技能培训为主，旨在提高公司在职员工的 职业素养，从而提高工作效率，为公司经营目标的实现奠定基础。</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劳务外包情况</w:t>
      </w:r>
      <w:bookmarkEnd w:id="363"/>
      <w:bookmarkEnd w:id="364"/>
      <w:bookmarkEnd w:id="366"/>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367" w:name="bookmark367"/>
      <w:bookmarkStart w:id="368" w:name="bookmark368"/>
      <w:bookmarkStart w:id="369" w:name="bookmark369"/>
      <w:r>
        <w:rPr>
          <w:color w:val="000000"/>
          <w:spacing w:val="0"/>
          <w:w w:val="100"/>
          <w:position w:val="0"/>
          <w:sz w:val="24"/>
          <w:szCs w:val="24"/>
        </w:rPr>
        <w:t>十、公司利润分配及资本公积金转增股本情况</w:t>
      </w:r>
      <w:bookmarkEnd w:id="367"/>
      <w:bookmarkEnd w:id="368"/>
      <w:bookmarkEnd w:id="369"/>
    </w:p>
    <w:p>
      <w:pPr>
        <w:pStyle w:val="Style2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根据中国证监会《关于进一步落实上市公司现金分红有关事项的通知》及深圳证监局有关文件等的规定和要求，</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日公司第六届董事会第四十九次会议、第六届监事会第二十二次会议审议通过并发布了《深圳市惠程信息科技股份 有限公司未来三年</w:t>
      </w:r>
      <w:r>
        <w:rPr>
          <w:color w:val="000000"/>
          <w:spacing w:val="0"/>
          <w:w w:val="100"/>
          <w:position w:val="0"/>
        </w:rPr>
        <w:t>（</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年）股东回报规划》，</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年第二次临时股东大会审议通过了该规 划。公司制定的股东回报规划，明确了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年期间公司的利润分配形式、利润分配周期、利润分配比例和利润分配 方案的制定和执行。</w:t>
      </w:r>
    </w:p>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经公司第七届董事会第十九次会议审议通过，根据《上市公司监管指引第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号——上市公司现金分红》及《公司章程》 等的相关规定，按照合并报表和母公司报表可供分配利润孰低原则，截止</w:t>
      </w:r>
      <w:r>
        <w:rPr>
          <w:rFonts w:ascii="Times New Roman" w:eastAsia="Times New Roman" w:hAnsi="Times New Roman" w:cs="Times New Roman"/>
          <w:color w:val="000000"/>
          <w:spacing w:val="0"/>
          <w:w w:val="100"/>
          <w:position w:val="0"/>
        </w:rPr>
        <w:t>2021</w:t>
      </w:r>
      <w:r>
        <w:rPr>
          <w:color w:val="000000"/>
          <w:spacing w:val="0"/>
          <w:w w:val="100"/>
          <w:position w:val="0"/>
        </w:rPr>
        <w:t>年末，合并资产负债表未分配利润</w:t>
      </w:r>
      <w:r>
        <w:rPr>
          <w:rFonts w:ascii="Times New Roman" w:eastAsia="Times New Roman" w:hAnsi="Times New Roman" w:cs="Times New Roman"/>
          <w:color w:val="000000"/>
          <w:spacing w:val="0"/>
          <w:w w:val="100"/>
          <w:position w:val="0"/>
        </w:rPr>
        <w:t xml:space="preserve">-97,872.06 </w:t>
      </w:r>
      <w:r>
        <w:rPr>
          <w:color w:val="000000"/>
          <w:spacing w:val="0"/>
          <w:w w:val="100"/>
          <w:position w:val="0"/>
        </w:rPr>
        <w:t>万元</w:t>
      </w:r>
      <w:r>
        <w:rPr>
          <w:color w:val="000000"/>
          <w:spacing w:val="0"/>
          <w:w w:val="100"/>
          <w:position w:val="0"/>
        </w:rPr>
        <w:t>，</w:t>
      </w:r>
      <w:r>
        <w:rPr>
          <w:color w:val="000000"/>
          <w:spacing w:val="0"/>
          <w:w w:val="100"/>
          <w:position w:val="0"/>
        </w:rPr>
        <w:t>母公司资产负债表未分配利润</w:t>
      </w:r>
      <w:r>
        <w:rPr>
          <w:rFonts w:ascii="Times New Roman" w:eastAsia="Times New Roman" w:hAnsi="Times New Roman" w:cs="Times New Roman"/>
          <w:color w:val="000000"/>
          <w:spacing w:val="0"/>
          <w:w w:val="100"/>
          <w:position w:val="0"/>
        </w:rPr>
        <w:t>-97,755.08</w:t>
      </w:r>
      <w:r>
        <w:rPr>
          <w:color w:val="000000"/>
          <w:spacing w:val="0"/>
          <w:w w:val="100"/>
          <w:position w:val="0"/>
        </w:rPr>
        <w:t>万元，故公司</w:t>
      </w:r>
      <w:r>
        <w:rPr>
          <w:rFonts w:ascii="Times New Roman" w:eastAsia="Times New Roman" w:hAnsi="Times New Roman" w:cs="Times New Roman"/>
          <w:color w:val="000000"/>
          <w:spacing w:val="0"/>
          <w:w w:val="100"/>
          <w:position w:val="0"/>
        </w:rPr>
        <w:t>2021</w:t>
      </w:r>
      <w:r>
        <w:rPr>
          <w:color w:val="000000"/>
          <w:spacing w:val="0"/>
          <w:w w:val="100"/>
          <w:position w:val="0"/>
        </w:rPr>
        <w:t>年度不派发现金红利，不送红股，不以公积金转增股本。</w:t>
      </w:r>
    </w:p>
    <w:tbl>
      <w:tblPr>
        <w:tblOverlap w:val="never"/>
        <w:jc w:val="center"/>
        <w:tblLayout w:type="fixed"/>
      </w:tblPr>
      <w:tblGrid>
        <w:gridCol w:w="6528"/>
        <w:gridCol w:w="3058"/>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80" w:line="240" w:lineRule="auto"/>
        <w:ind w:left="0" w:right="0" w:firstLine="0"/>
        <w:jc w:val="both"/>
      </w:pPr>
      <w:bookmarkStart w:id="370" w:name="bookmark370"/>
      <w:bookmarkStart w:id="371" w:name="bookmark371"/>
      <w:bookmarkStart w:id="372" w:name="bookmark372"/>
      <w:r>
        <w:rPr>
          <w:color w:val="000000"/>
          <w:spacing w:val="0"/>
          <w:w w:val="100"/>
          <w:position w:val="0"/>
          <w:sz w:val="24"/>
          <w:szCs w:val="24"/>
        </w:rPr>
        <w:t>十一、公司股权激励计划、员工持股计划或其他员工激励措施的实施情况</w:t>
      </w:r>
      <w:bookmarkEnd w:id="370"/>
      <w:bookmarkEnd w:id="371"/>
      <w:bookmarkEnd w:id="372"/>
    </w:p>
    <w:p>
      <w:pPr>
        <w:pStyle w:val="Style23"/>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、股权激励</w:t>
      </w:r>
      <w:bookmarkEnd w:id="373"/>
      <w:bookmarkEnd w:id="374"/>
      <w:bookmarkEnd w:id="376"/>
    </w:p>
    <w:p>
      <w:pPr>
        <w:pStyle w:val="Style23"/>
        <w:keepNext w:val="0"/>
        <w:keepLines w:val="0"/>
        <w:widowControl w:val="0"/>
        <w:shd w:val="clear" w:color="auto" w:fill="auto"/>
        <w:bidi w:val="0"/>
        <w:spacing w:before="0" w:line="313" w:lineRule="exact"/>
        <w:ind w:left="0" w:right="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日召开的第七届董事会第六次会议、第七届监事会第三次会议以及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及其摘要的议案》等有关议案， 同意公司向董事、高级管理人员、以及公司（含子公司）其他核心骨干员工共计</w:t>
      </w:r>
      <w:r>
        <w:rPr>
          <w:rFonts w:ascii="Times New Roman" w:eastAsia="Times New Roman" w:hAnsi="Times New Roman" w:cs="Times New Roman"/>
          <w:color w:val="000000"/>
          <w:spacing w:val="0"/>
          <w:w w:val="100"/>
          <w:position w:val="0"/>
        </w:rPr>
        <w:t>19</w:t>
      </w:r>
      <w:r>
        <w:rPr>
          <w:color w:val="000000"/>
          <w:spacing w:val="0"/>
          <w:w w:val="100"/>
          <w:position w:val="0"/>
        </w:rPr>
        <w:t>名激励对象授予权益总计</w:t>
      </w:r>
      <w:r>
        <w:rPr>
          <w:rFonts w:ascii="Times New Roman" w:eastAsia="Times New Roman" w:hAnsi="Times New Roman" w:cs="Times New Roman"/>
          <w:color w:val="000000"/>
          <w:spacing w:val="0"/>
          <w:w w:val="100"/>
          <w:position w:val="0"/>
        </w:rPr>
        <w:t>4,801.6</w:t>
      </w:r>
      <w:r>
        <w:rPr>
          <w:rFonts w:ascii="Times New Roman" w:eastAsia="Times New Roman" w:hAnsi="Times New Roman" w:cs="Times New Roman"/>
          <w:color w:val="000000"/>
          <w:spacing w:val="0"/>
          <w:w w:val="100"/>
          <w:position w:val="0"/>
        </w:rPr>
        <w:t>2</w:t>
      </w:r>
      <w:r>
        <w:rPr>
          <w:color w:val="000000"/>
          <w:spacing w:val="0"/>
          <w:w w:val="100"/>
          <w:position w:val="0"/>
        </w:rPr>
        <w:t>万份， 占公司总股本的</w:t>
      </w:r>
      <w:r>
        <w:rPr>
          <w:rFonts w:ascii="Times New Roman" w:eastAsia="Times New Roman" w:hAnsi="Times New Roman" w:cs="Times New Roman"/>
          <w:color w:val="000000"/>
          <w:spacing w:val="0"/>
          <w:w w:val="100"/>
          <w:position w:val="0"/>
        </w:rPr>
        <w:t>5.99%</w:t>
      </w:r>
      <w:r>
        <w:rPr>
          <w:color w:val="000000"/>
          <w:spacing w:val="0"/>
          <w:w w:val="100"/>
          <w:position w:val="0"/>
        </w:rPr>
        <w:t>。其中，向激励对象授予股票期权合计</w:t>
      </w:r>
      <w:r>
        <w:rPr>
          <w:rFonts w:ascii="Times New Roman" w:eastAsia="Times New Roman" w:hAnsi="Times New Roman" w:cs="Times New Roman"/>
          <w:color w:val="000000"/>
          <w:spacing w:val="0"/>
          <w:w w:val="100"/>
          <w:position w:val="0"/>
        </w:rPr>
        <w:t>3,025</w:t>
      </w:r>
      <w:r>
        <w:rPr>
          <w:color w:val="000000"/>
          <w:spacing w:val="0"/>
          <w:w w:val="100"/>
          <w:position w:val="0"/>
        </w:rPr>
        <w:t>万份，占公司总股本的</w:t>
      </w:r>
      <w:r>
        <w:rPr>
          <w:rFonts w:ascii="Times New Roman" w:eastAsia="Times New Roman" w:hAnsi="Times New Roman" w:cs="Times New Roman"/>
          <w:color w:val="000000"/>
          <w:spacing w:val="0"/>
          <w:w w:val="100"/>
          <w:position w:val="0"/>
        </w:rPr>
        <w:t>3.77%</w:t>
      </w:r>
      <w:r>
        <w:rPr>
          <w:color w:val="000000"/>
          <w:spacing w:val="0"/>
          <w:w w:val="100"/>
          <w:position w:val="0"/>
        </w:rPr>
        <w:t>；向激励对象授予限制性股 票合计</w:t>
      </w:r>
      <w:r>
        <w:rPr>
          <w:rFonts w:ascii="Times New Roman" w:eastAsia="Times New Roman" w:hAnsi="Times New Roman" w:cs="Times New Roman"/>
          <w:color w:val="000000"/>
          <w:spacing w:val="0"/>
          <w:w w:val="100"/>
          <w:position w:val="0"/>
        </w:rPr>
        <w:t>1,776.6</w:t>
      </w:r>
      <w:r>
        <w:rPr>
          <w:rFonts w:ascii="Times New Roman" w:eastAsia="Times New Roman" w:hAnsi="Times New Roman" w:cs="Times New Roman"/>
          <w:color w:val="000000"/>
          <w:spacing w:val="0"/>
          <w:w w:val="100"/>
          <w:position w:val="0"/>
        </w:rPr>
        <w:t>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2.22%</w:t>
      </w:r>
      <w:r>
        <w:rPr>
          <w:color w:val="000000"/>
          <w:spacing w:val="0"/>
          <w:w w:val="100"/>
          <w:position w:val="0"/>
        </w:rPr>
        <w:t>。本次激励计划首次授予的股票期权的行权价格为</w:t>
      </w:r>
      <w:r>
        <w:rPr>
          <w:rFonts w:ascii="Times New Roman" w:eastAsia="Times New Roman" w:hAnsi="Times New Roman" w:cs="Times New Roman"/>
          <w:color w:val="000000"/>
          <w:spacing w:val="0"/>
          <w:w w:val="100"/>
          <w:position w:val="0"/>
        </w:rPr>
        <w:t>4.41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股，首次授予的限制 性股票的授予价格为</w:t>
      </w:r>
      <w:r>
        <w:rPr>
          <w:rFonts w:ascii="Times New Roman" w:eastAsia="Times New Roman" w:hAnsi="Times New Roman" w:cs="Times New Roman"/>
          <w:color w:val="000000"/>
          <w:spacing w:val="0"/>
          <w:w w:val="100"/>
          <w:position w:val="0"/>
        </w:rPr>
        <w:t>2.21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日，公司召开第七届董事会第八次会议、第七届监事会第五次会议审议通过《关于向激励对象授予股票期 权和限制性股票的议案》，独立董事对上述事项发表了同意的独立意见，同意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日为本次股权激励计划的授权日</w:t>
      </w:r>
      <w:r>
        <w:rPr>
          <w:rFonts w:ascii="Times New Roman" w:eastAsia="Times New Roman" w:hAnsi="Times New Roman" w:cs="Times New Roman"/>
          <w:color w:val="000000"/>
          <w:spacing w:val="0"/>
          <w:w w:val="100"/>
          <w:position w:val="0"/>
        </w:rPr>
        <w:t xml:space="preserve">/ </w:t>
      </w:r>
      <w:r>
        <w:rPr>
          <w:color w:val="000000"/>
          <w:spacing w:val="0"/>
          <w:w w:val="100"/>
          <w:position w:val="0"/>
        </w:rPr>
        <w:t>授予日，同意向</w:t>
      </w:r>
      <w:r>
        <w:rPr>
          <w:rFonts w:ascii="Times New Roman" w:eastAsia="Times New Roman" w:hAnsi="Times New Roman" w:cs="Times New Roman"/>
          <w:color w:val="000000"/>
          <w:spacing w:val="0"/>
          <w:w w:val="100"/>
          <w:position w:val="0"/>
        </w:rPr>
        <w:t>19</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2,755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16</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1,665</w:t>
      </w:r>
      <w:r>
        <w:rPr>
          <w:color w:val="000000"/>
          <w:spacing w:val="0"/>
          <w:w w:val="100"/>
          <w:position w:val="0"/>
        </w:rPr>
        <w:t>万股限制 性股票。</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年股票期权与限制性股票激励计划之股票期权的首次登记工作，首次授予股票期权的 数量为</w:t>
      </w:r>
      <w:r>
        <w:rPr>
          <w:rFonts w:ascii="Times New Roman" w:eastAsia="Times New Roman" w:hAnsi="Times New Roman" w:cs="Times New Roman"/>
          <w:color w:val="000000"/>
          <w:spacing w:val="0"/>
          <w:w w:val="100"/>
          <w:position w:val="0"/>
        </w:rPr>
        <w:t>2,755</w:t>
      </w:r>
      <w:r>
        <w:rPr>
          <w:color w:val="000000"/>
          <w:spacing w:val="0"/>
          <w:w w:val="100"/>
          <w:position w:val="0"/>
        </w:rPr>
        <w:t>万份，占公司总股本的</w:t>
      </w:r>
      <w:r>
        <w:rPr>
          <w:rFonts w:ascii="Times New Roman" w:eastAsia="Times New Roman" w:hAnsi="Times New Roman" w:cs="Times New Roman"/>
          <w:color w:val="000000"/>
          <w:spacing w:val="0"/>
          <w:w w:val="100"/>
          <w:position w:val="0"/>
        </w:rPr>
        <w:t>3.44%</w:t>
      </w:r>
      <w:r>
        <w:rPr>
          <w:color w:val="000000"/>
          <w:spacing w:val="0"/>
          <w:w w:val="100"/>
          <w:position w:val="0"/>
        </w:rPr>
        <w:t>；股票期权代码为：</w:t>
      </w:r>
      <w:r>
        <w:rPr>
          <w:rFonts w:ascii="Times New Roman" w:eastAsia="Times New Roman" w:hAnsi="Times New Roman" w:cs="Times New Roman"/>
          <w:color w:val="000000"/>
          <w:spacing w:val="0"/>
          <w:w w:val="100"/>
          <w:position w:val="0"/>
        </w:rPr>
        <w:t>037149</w:t>
      </w:r>
      <w:r>
        <w:rPr>
          <w:color w:val="000000"/>
          <w:spacing w:val="0"/>
          <w:w w:val="100"/>
          <w:position w:val="0"/>
        </w:rPr>
        <w:t>；股票期权简称为：惠科</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股票来源于公司从二级 市场回购和</w:t>
      </w:r>
      <w:r>
        <w:rPr>
          <w:rFonts w:ascii="Times New Roman" w:eastAsia="Times New Roman" w:hAnsi="Times New Roman" w:cs="Times New Roman"/>
          <w:color w:val="000000"/>
          <w:spacing w:val="0"/>
          <w:w w:val="100"/>
          <w:position w:val="0"/>
        </w:rPr>
        <w:t>/</w:t>
      </w:r>
      <w:r>
        <w:rPr>
          <w:color w:val="000000"/>
          <w:spacing w:val="0"/>
          <w:w w:val="100"/>
          <w:position w:val="0"/>
        </w:rPr>
        <w:t>或定向增发的公司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年股票期权与限制性股票激励计划之限制性股票的首次授予登记工作，首次向</w:t>
      </w:r>
      <w:r>
        <w:rPr>
          <w:rFonts w:ascii="Times New Roman" w:eastAsia="Times New Roman" w:hAnsi="Times New Roman" w:cs="Times New Roman"/>
          <w:color w:val="000000"/>
          <w:spacing w:val="0"/>
          <w:w w:val="100"/>
          <w:position w:val="0"/>
        </w:rPr>
        <w:t>11</w:t>
      </w:r>
      <w:r>
        <w:rPr>
          <w:color w:val="000000"/>
          <w:spacing w:val="0"/>
          <w:w w:val="100"/>
          <w:position w:val="0"/>
        </w:rPr>
        <w:t>名激 励对象授予限制性股票</w:t>
      </w:r>
      <w:r>
        <w:rPr>
          <w:rFonts w:ascii="Times New Roman" w:eastAsia="Times New Roman" w:hAnsi="Times New Roman" w:cs="Times New Roman"/>
          <w:color w:val="000000"/>
          <w:spacing w:val="0"/>
          <w:w w:val="100"/>
          <w:position w:val="0"/>
        </w:rPr>
        <w:t>570</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rPr>
        <w:t>0.71%</w:t>
      </w:r>
      <w:r>
        <w:rPr>
          <w:color w:val="000000"/>
          <w:spacing w:val="0"/>
          <w:w w:val="100"/>
          <w:position w:val="0"/>
        </w:rPr>
        <w:t>，股票来源于公司从二级市场回购的</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23"/>
        <w:keepNext w:val="0"/>
        <w:keepLines w:val="0"/>
        <w:widowControl w:val="0"/>
        <w:shd w:val="clear" w:color="auto" w:fill="auto"/>
        <w:bidi w:val="0"/>
        <w:spacing w:before="0" w:line="313" w:lineRule="exact"/>
        <w:ind w:left="0" w:right="0" w:firstLine="3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日在巨潮资讯网披露的公告。</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公司董事、高级管理人员获得的股权激励情况</w:t>
      </w:r>
    </w:p>
    <w:p>
      <w:pPr>
        <w:pStyle w:val="Style23"/>
        <w:keepNext w:val="0"/>
        <w:keepLines w:val="0"/>
        <w:widowControl w:val="0"/>
        <w:shd w:val="clear" w:color="auto" w:fill="auto"/>
        <w:bidi w:val="0"/>
        <w:spacing w:before="0" w:after="12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475"/>
        <w:gridCol w:w="706"/>
        <w:gridCol w:w="571"/>
        <w:gridCol w:w="706"/>
        <w:gridCol w:w="850"/>
        <w:gridCol w:w="566"/>
        <w:gridCol w:w="710"/>
        <w:gridCol w:w="710"/>
        <w:gridCol w:w="566"/>
        <w:gridCol w:w="850"/>
        <w:gridCol w:w="802"/>
        <w:gridCol w:w="691"/>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年初 持有 股票 期权 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报告 期内 可行 权股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 内已行 权股数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期末 持有 股票 期权 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 末市价 （元</w:t>
            </w:r>
            <w:r>
              <w:rPr>
                <w:color w:val="000000"/>
                <w:spacing w:val="0"/>
                <w:w w:val="100"/>
                <w:position w:val="0"/>
              </w:rPr>
              <w:t>/</w:t>
            </w:r>
          </w:p>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 已解 锁股 份数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报告期新</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授予限制</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性股票数</w:t>
            </w:r>
          </w:p>
          <w:p>
            <w:pPr>
              <w:pStyle w:val="Style25"/>
              <w:keepNext w:val="0"/>
              <w:keepLines w:val="0"/>
              <w:widowControl w:val="0"/>
              <w:shd w:val="clear" w:color="auto" w:fill="auto"/>
              <w:bidi w:val="0"/>
              <w:spacing w:before="0" w:after="100" w:line="240" w:lineRule="auto"/>
              <w:ind w:left="0" w:right="320" w:firstLine="0"/>
              <w:jc w:val="righ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董事兼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董事兼</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秘书兼</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贺庆华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430"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5"/>
              <w:keepNext w:val="0"/>
              <w:keepLines w:val="0"/>
              <w:widowControl w:val="0"/>
              <w:numPr>
                <w:ilvl w:val="0"/>
                <w:numId w:val="19"/>
              </w:numPr>
              <w:shd w:val="clear" w:color="auto" w:fill="auto"/>
              <w:tabs>
                <w:tab w:pos="130" w:val="left"/>
              </w:tabs>
              <w:bidi w:val="0"/>
              <w:spacing w:before="0" w:after="60" w:line="317"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日，上述获授的股票期权尚未到期行权，上述</w:t>
            </w:r>
            <w:r>
              <w:rPr>
                <w:color w:val="000000"/>
                <w:spacing w:val="0"/>
                <w:w w:val="100"/>
                <w:position w:val="0"/>
              </w:rPr>
              <w:t>2021</w:t>
            </w:r>
            <w:r>
              <w:rPr>
                <w:rFonts w:ascii="SimSun" w:eastAsia="SimSun" w:hAnsi="SimSun" w:cs="SimSun"/>
                <w:color w:val="000000"/>
                <w:spacing w:val="0"/>
                <w:w w:val="100"/>
                <w:position w:val="0"/>
              </w:rPr>
              <w:t>年限制性股票尚未到期解限。</w:t>
            </w:r>
          </w:p>
          <w:p>
            <w:pPr>
              <w:pStyle w:val="Style25"/>
              <w:keepNext w:val="0"/>
              <w:keepLines w:val="0"/>
              <w:widowControl w:val="0"/>
              <w:numPr>
                <w:ilvl w:val="0"/>
                <w:numId w:val="19"/>
              </w:numPr>
              <w:shd w:val="clear" w:color="auto" w:fill="auto"/>
              <w:tabs>
                <w:tab w:pos="149" w:val="left"/>
              </w:tabs>
              <w:bidi w:val="0"/>
              <w:spacing w:before="0" w:after="0" w:line="317" w:lineRule="exact"/>
              <w:ind w:left="0" w:right="0" w:firstLine="0"/>
              <w:jc w:val="left"/>
            </w:pPr>
            <w:r>
              <w:rPr>
                <w:rFonts w:ascii="SimSun" w:eastAsia="SimSun" w:hAnsi="SimSun" w:cs="SimSun"/>
                <w:color w:val="000000"/>
                <w:spacing w:val="0"/>
                <w:w w:val="100"/>
                <w:position w:val="0"/>
              </w:rPr>
              <w:t>贺庆华先生已于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日因个人原因申请辞去副总裁职务，根据《上市公司股权激励管理办 法》《深圳市惠程信息科技股份有限公司</w:t>
            </w:r>
            <w:r>
              <w:rPr>
                <w:color w:val="000000"/>
                <w:spacing w:val="0"/>
                <w:w w:val="100"/>
                <w:position w:val="0"/>
              </w:rPr>
              <w:t>2021</w:t>
            </w:r>
            <w:r>
              <w:rPr>
                <w:rFonts w:ascii="SimSun" w:eastAsia="SimSun" w:hAnsi="SimSun" w:cs="SimSun"/>
                <w:color w:val="000000"/>
                <w:spacing w:val="0"/>
                <w:w w:val="100"/>
                <w:position w:val="0"/>
              </w:rPr>
              <w:t>年股票期权与限制性股票激励计划（草案）》等的有关规定， 贺庆华先生已不具备激励对象资格，公司将对其已获授但尚未行权的</w:t>
            </w:r>
            <w:r>
              <w:rPr>
                <w:color w:val="000000"/>
                <w:spacing w:val="0"/>
                <w:w w:val="100"/>
                <w:position w:val="0"/>
              </w:rPr>
              <w:t>213</w:t>
            </w:r>
            <w:r>
              <w:rPr>
                <w:rFonts w:ascii="SimSun" w:eastAsia="SimSun" w:hAnsi="SimSun" w:cs="SimSun"/>
                <w:color w:val="000000"/>
                <w:spacing w:val="0"/>
                <w:w w:val="100"/>
                <w:position w:val="0"/>
              </w:rPr>
              <w:t>万股股票期权进行注销。</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高级管理人员的考评机制及激励情况</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为保证公司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年股票期权与限制性股票激励计划（以下简称</w:t>
      </w:r>
      <w:r>
        <w:rPr>
          <w:rFonts w:ascii="Times New Roman" w:eastAsia="Times New Roman" w:hAnsi="Times New Roman" w:cs="Times New Roman"/>
          <w:color w:val="000000"/>
          <w:spacing w:val="0"/>
          <w:w w:val="100"/>
          <w:position w:val="0"/>
        </w:rPr>
        <w:t>“</w:t>
      </w:r>
      <w:r>
        <w:rPr>
          <w:color w:val="000000"/>
          <w:spacing w:val="0"/>
          <w:w w:val="100"/>
          <w:position w:val="0"/>
        </w:rPr>
        <w:t>本次激励计划</w:t>
      </w:r>
      <w:r>
        <w:rPr>
          <w:rFonts w:ascii="Times New Roman" w:eastAsia="Times New Roman" w:hAnsi="Times New Roman" w:cs="Times New Roman"/>
          <w:color w:val="000000"/>
          <w:spacing w:val="0"/>
          <w:w w:val="100"/>
          <w:position w:val="0"/>
        </w:rPr>
        <w:t>”</w:t>
      </w:r>
      <w:r>
        <w:rPr>
          <w:color w:val="000000"/>
          <w:spacing w:val="0"/>
          <w:w w:val="100"/>
          <w:position w:val="0"/>
        </w:rPr>
        <w:t>）的顺利实施，进一步完善公司法人治理 结构，建立、健全激励约束机制，形成良好均衡、长效的价值分配体系，经公司董事会、股东大会审议批准，公司根据《中 华人民共和国公司法》《中华人民共和国证券法》《上市公司股权激励管理办法》等有关法律、法规、规范性文件和《公司 章程》等的规定，结合公司实际情况，制订了《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年股票期权与限制性股票激励计划实施考核管理办法》（以下简称</w:t>
      </w:r>
      <w:r>
        <w:rPr>
          <w:rFonts w:ascii="Times New Roman" w:eastAsia="Times New Roman" w:hAnsi="Times New Roman" w:cs="Times New Roman"/>
          <w:color w:val="000000"/>
          <w:spacing w:val="0"/>
          <w:w w:val="100"/>
          <w:position w:val="0"/>
        </w:rPr>
        <w:t>“</w:t>
      </w:r>
      <w:r>
        <w:rPr>
          <w:color w:val="000000"/>
          <w:spacing w:val="0"/>
          <w:w w:val="100"/>
          <w:position w:val="0"/>
        </w:rPr>
        <w:t>本 办法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本办法适用于参与公司本次股权激励计划的所有激励对象，包括公司董事、高级管理人员和核心骨干人员，不包括独立 董事、监事及单独或合计持有公司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以上股份的股东或实际控制人及其配偶、父母、子女。激励对象获授的权益能否行权</w:t>
      </w:r>
      <w:r>
        <w:rPr>
          <w:rFonts w:ascii="Times New Roman" w:eastAsia="Times New Roman" w:hAnsi="Times New Roman" w:cs="Times New Roman"/>
          <w:color w:val="000000"/>
          <w:spacing w:val="0"/>
          <w:w w:val="100"/>
          <w:position w:val="0"/>
        </w:rPr>
        <w:t xml:space="preserve">/ </w:t>
      </w:r>
      <w:r>
        <w:rPr>
          <w:color w:val="000000"/>
          <w:spacing w:val="0"/>
          <w:w w:val="100"/>
          <w:position w:val="0"/>
        </w:rPr>
        <w:t>解除限售将根据公司、激励对象两个层面的考核结果共同确定。</w:t>
      </w:r>
    </w:p>
    <w:p>
      <w:pPr>
        <w:pStyle w:val="Style23"/>
        <w:keepNext w:val="0"/>
        <w:keepLines w:val="0"/>
        <w:widowControl w:val="0"/>
        <w:shd w:val="clear" w:color="auto" w:fill="auto"/>
        <w:bidi w:val="0"/>
        <w:spacing w:before="0" w:after="0" w:line="326" w:lineRule="exact"/>
        <w:ind w:left="0" w:right="0"/>
        <w:jc w:val="left"/>
      </w:pPr>
      <w:r>
        <w:rPr>
          <w:color w:val="000000"/>
          <w:spacing w:val="0"/>
          <w:w w:val="100"/>
          <w:position w:val="0"/>
        </w:rPr>
        <w:t>（一）公司层面业绩考核</w:t>
      </w:r>
    </w:p>
    <w:p>
      <w:pPr>
        <w:pStyle w:val="Style23"/>
        <w:keepNext w:val="0"/>
        <w:keepLines w:val="0"/>
        <w:widowControl w:val="0"/>
        <w:shd w:val="clear" w:color="auto" w:fill="auto"/>
        <w:bidi w:val="0"/>
        <w:spacing w:before="0" w:after="120" w:line="326" w:lineRule="exact"/>
        <w:ind w:left="0" w:right="0"/>
        <w:jc w:val="left"/>
      </w:pPr>
      <w:r>
        <w:rPr>
          <w:color w:val="000000"/>
          <w:spacing w:val="0"/>
          <w:w w:val="100"/>
          <w:position w:val="0"/>
        </w:rPr>
        <w:t>本激励计划在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年会计年度中，分年度对公司业绩指标进行考核，以达到业绩考核目标作为激励对象当年度 的行权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解除限售条件之一。</w:t>
      </w: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本激励计划首次授予的股票期权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限制性股票的行权</w:t>
      </w:r>
      <w:r>
        <w:rPr>
          <w:rFonts w:ascii="Times New Roman" w:eastAsia="Times New Roman" w:hAnsi="Times New Roman" w:cs="Times New Roman"/>
          <w:color w:val="000000"/>
          <w:spacing w:val="0"/>
          <w:w w:val="100"/>
          <w:position w:val="0"/>
        </w:rPr>
        <w:t>/</w:t>
      </w:r>
      <w:r>
        <w:rPr>
          <w:color w:val="000000"/>
          <w:spacing w:val="0"/>
          <w:w w:val="100"/>
          <w:position w:val="0"/>
        </w:rPr>
        <w:t>解除限售业绩条件如下表所示:</w:t>
      </w:r>
    </w:p>
    <w:tbl>
      <w:tblPr>
        <w:tblOverlap w:val="never"/>
        <w:jc w:val="center"/>
        <w:tblLayout w:type="fixed"/>
      </w:tblPr>
      <w:tblGrid>
        <w:gridCol w:w="2693"/>
        <w:gridCol w:w="7181"/>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行权期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业绩考核目标</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第一个行权期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年营业收入不低于</w:t>
            </w:r>
            <w:r>
              <w:rPr>
                <w:color w:val="000000"/>
                <w:spacing w:val="0"/>
                <w:w w:val="100"/>
                <w:position w:val="0"/>
              </w:rPr>
              <w:t>10</w:t>
            </w:r>
            <w:r>
              <w:rPr>
                <w:rFonts w:ascii="SimSun" w:eastAsia="SimSun" w:hAnsi="SimSun" w:cs="SimSun"/>
                <w:color w:val="000000"/>
                <w:spacing w:val="0"/>
                <w:w w:val="100"/>
                <w:position w:val="0"/>
              </w:rPr>
              <w:t>亿元或</w:t>
            </w:r>
            <w:r>
              <w:rPr>
                <w:color w:val="000000"/>
                <w:spacing w:val="0"/>
                <w:w w:val="100"/>
                <w:position w:val="0"/>
              </w:rPr>
              <w:t>2021</w:t>
            </w:r>
            <w:r>
              <w:rPr>
                <w:rFonts w:ascii="SimSun" w:eastAsia="SimSun" w:hAnsi="SimSun" w:cs="SimSun"/>
                <w:color w:val="000000"/>
                <w:spacing w:val="0"/>
                <w:w w:val="100"/>
                <w:position w:val="0"/>
              </w:rPr>
              <w:t>年净利润不低于</w:t>
            </w:r>
            <w:r>
              <w:rPr>
                <w:color w:val="000000"/>
                <w:spacing w:val="0"/>
                <w:w w:val="100"/>
                <w:position w:val="0"/>
              </w:rPr>
              <w:t>4,500</w:t>
            </w:r>
            <w:r>
              <w:rPr>
                <w:rFonts w:ascii="SimSun" w:eastAsia="SimSun" w:hAnsi="SimSun" w:cs="SimSun"/>
                <w:color w:val="000000"/>
                <w:spacing w:val="0"/>
                <w:w w:val="100"/>
                <w:position w:val="0"/>
              </w:rPr>
              <w:t>万元</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第二个行权期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年营业收入不低于</w:t>
            </w:r>
            <w:r>
              <w:rPr>
                <w:color w:val="000000"/>
                <w:spacing w:val="0"/>
                <w:w w:val="100"/>
                <w:position w:val="0"/>
              </w:rPr>
              <w:t>15</w:t>
            </w:r>
            <w:r>
              <w:rPr>
                <w:rFonts w:ascii="SimSun" w:eastAsia="SimSun" w:hAnsi="SimSun" w:cs="SimSun"/>
                <w:color w:val="000000"/>
                <w:spacing w:val="0"/>
                <w:w w:val="100"/>
                <w:position w:val="0"/>
              </w:rPr>
              <w:t>亿元或</w:t>
            </w:r>
            <w:r>
              <w:rPr>
                <w:color w:val="000000"/>
                <w:spacing w:val="0"/>
                <w:w w:val="100"/>
                <w:position w:val="0"/>
              </w:rPr>
              <w:t>2022</w:t>
            </w:r>
            <w:r>
              <w:rPr>
                <w:rFonts w:ascii="SimSun" w:eastAsia="SimSun" w:hAnsi="SimSun" w:cs="SimSun"/>
                <w:color w:val="000000"/>
                <w:spacing w:val="0"/>
                <w:w w:val="100"/>
                <w:position w:val="0"/>
              </w:rPr>
              <w:t>年净利润不低于</w:t>
            </w:r>
            <w:r>
              <w:rPr>
                <w:color w:val="000000"/>
                <w:spacing w:val="0"/>
                <w:w w:val="100"/>
                <w:position w:val="0"/>
              </w:rPr>
              <w:t>9,000</w:t>
            </w:r>
            <w:r>
              <w:rPr>
                <w:rFonts w:ascii="SimSun" w:eastAsia="SimSun" w:hAnsi="SimSun" w:cs="SimSun"/>
                <w:color w:val="000000"/>
                <w:spacing w:val="0"/>
                <w:w w:val="100"/>
                <w:position w:val="0"/>
              </w:rPr>
              <w:t>万元</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第三个行权期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r>
              <w:rPr>
                <w:rFonts w:ascii="SimSun" w:eastAsia="SimSun" w:hAnsi="SimSun" w:cs="SimSun"/>
                <w:color w:val="000000"/>
                <w:spacing w:val="0"/>
                <w:w w:val="100"/>
                <w:position w:val="0"/>
              </w:rPr>
              <w:t>年营业收入不低于</w:t>
            </w:r>
            <w:r>
              <w:rPr>
                <w:color w:val="000000"/>
                <w:spacing w:val="0"/>
                <w:w w:val="100"/>
                <w:position w:val="0"/>
              </w:rPr>
              <w:t>20</w:t>
            </w:r>
            <w:r>
              <w:rPr>
                <w:rFonts w:ascii="SimSun" w:eastAsia="SimSun" w:hAnsi="SimSun" w:cs="SimSun"/>
                <w:color w:val="000000"/>
                <w:spacing w:val="0"/>
                <w:w w:val="100"/>
                <w:position w:val="0"/>
              </w:rPr>
              <w:t>亿元或</w:t>
            </w:r>
            <w:r>
              <w:rPr>
                <w:color w:val="000000"/>
                <w:spacing w:val="0"/>
                <w:w w:val="100"/>
                <w:position w:val="0"/>
              </w:rPr>
              <w:t>2023</w:t>
            </w:r>
            <w:r>
              <w:rPr>
                <w:rFonts w:ascii="SimSun" w:eastAsia="SimSun" w:hAnsi="SimSun" w:cs="SimSun"/>
                <w:color w:val="000000"/>
                <w:spacing w:val="0"/>
                <w:w w:val="100"/>
                <w:position w:val="0"/>
              </w:rPr>
              <w:t>年净利润不低于</w:t>
            </w:r>
            <w:r>
              <w:rPr>
                <w:color w:val="000000"/>
                <w:spacing w:val="0"/>
                <w:w w:val="100"/>
                <w:position w:val="0"/>
              </w:rPr>
              <w:t>13,000</w:t>
            </w:r>
            <w:r>
              <w:rPr>
                <w:rFonts w:ascii="SimSun" w:eastAsia="SimSun" w:hAnsi="SimSun" w:cs="SimSun"/>
                <w:color w:val="000000"/>
                <w:spacing w:val="0"/>
                <w:w w:val="100"/>
                <w:position w:val="0"/>
              </w:rPr>
              <w:t>万元</w:t>
            </w:r>
          </w:p>
        </w:tc>
      </w:tr>
    </w:tbl>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指标均以经审计的合并报表所载数据为准。其中，</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指标指归属于上市公司股东的 净利润，并以剔除本次及其他激励计划激励成本影响后的数值作为计算依据；下同。</w:t>
      </w:r>
    </w:p>
    <w:p>
      <w:pPr>
        <w:pStyle w:val="Style23"/>
        <w:keepNext w:val="0"/>
        <w:keepLines w:val="0"/>
        <w:widowControl w:val="0"/>
        <w:numPr>
          <w:ilvl w:val="0"/>
          <w:numId w:val="11"/>
        </w:numPr>
        <w:shd w:val="clear" w:color="auto" w:fill="auto"/>
        <w:bidi w:val="0"/>
        <w:spacing w:before="0" w:after="0" w:line="322" w:lineRule="exact"/>
        <w:ind w:left="0" w:right="0" w:firstLine="0"/>
        <w:jc w:val="left"/>
      </w:pPr>
      <w:bookmarkStart w:id="377" w:name="bookmark377"/>
      <w:bookmarkEnd w:id="377"/>
      <w:r>
        <w:rPr>
          <w:color w:val="000000"/>
          <w:spacing w:val="0"/>
          <w:w w:val="100"/>
          <w:position w:val="0"/>
        </w:rPr>
        <w:t>上述业绩考核目标不构成公司对投资者的业绩预测和实质承诺。</w:t>
      </w:r>
    </w:p>
    <w:p>
      <w:pPr>
        <w:pStyle w:val="Style23"/>
        <w:keepNext w:val="0"/>
        <w:keepLines w:val="0"/>
        <w:widowControl w:val="0"/>
        <w:shd w:val="clear" w:color="auto" w:fill="auto"/>
        <w:bidi w:val="0"/>
        <w:spacing w:before="0" w:after="80" w:line="317" w:lineRule="exact"/>
        <w:ind w:left="0" w:right="0"/>
        <w:jc w:val="left"/>
      </w:pPr>
      <w:r>
        <w:rPr>
          <w:color w:val="000000"/>
          <w:spacing w:val="0"/>
          <w:w w:val="100"/>
          <w:position w:val="0"/>
        </w:rPr>
        <w:t>若预留授予部分股票期权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年授出，则各年度业绩考核目标与上述首次授予部分一致；若预留部分股 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限制性股票在</w:t>
      </w:r>
      <w:r>
        <w:rPr>
          <w:rFonts w:ascii="Times New Roman" w:eastAsia="Times New Roman" w:hAnsi="Times New Roman" w:cs="Times New Roman"/>
          <w:color w:val="000000"/>
          <w:spacing w:val="0"/>
          <w:w w:val="100"/>
          <w:position w:val="0"/>
        </w:rPr>
        <w:t>2022</w:t>
      </w:r>
      <w:r>
        <w:rPr>
          <w:color w:val="000000"/>
          <w:spacing w:val="0"/>
          <w:w w:val="100"/>
          <w:position w:val="0"/>
        </w:rPr>
        <w:t>年授出，则各年度业绩考核目标如下所示：</w:t>
      </w:r>
    </w:p>
    <w:tbl>
      <w:tblPr>
        <w:tblOverlap w:val="never"/>
        <w:jc w:val="center"/>
        <w:tblLayout w:type="fixed"/>
      </w:tblPr>
      <w:tblGrid>
        <w:gridCol w:w="2693"/>
        <w:gridCol w:w="7181"/>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行权期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业绩考核目标</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第一个行权期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年营业收入不低于</w:t>
            </w:r>
            <w:r>
              <w:rPr>
                <w:color w:val="000000"/>
                <w:spacing w:val="0"/>
                <w:w w:val="100"/>
                <w:position w:val="0"/>
              </w:rPr>
              <w:t>15</w:t>
            </w:r>
            <w:r>
              <w:rPr>
                <w:rFonts w:ascii="SimSun" w:eastAsia="SimSun" w:hAnsi="SimSun" w:cs="SimSun"/>
                <w:color w:val="000000"/>
                <w:spacing w:val="0"/>
                <w:w w:val="100"/>
                <w:position w:val="0"/>
              </w:rPr>
              <w:t>亿元或</w:t>
            </w:r>
            <w:r>
              <w:rPr>
                <w:color w:val="000000"/>
                <w:spacing w:val="0"/>
                <w:w w:val="100"/>
                <w:position w:val="0"/>
              </w:rPr>
              <w:t>2022</w:t>
            </w:r>
            <w:r>
              <w:rPr>
                <w:rFonts w:ascii="SimSun" w:eastAsia="SimSun" w:hAnsi="SimSun" w:cs="SimSun"/>
                <w:color w:val="000000"/>
                <w:spacing w:val="0"/>
                <w:w w:val="100"/>
                <w:position w:val="0"/>
              </w:rPr>
              <w:t>年净利润不低于</w:t>
            </w:r>
            <w:r>
              <w:rPr>
                <w:color w:val="000000"/>
                <w:spacing w:val="0"/>
                <w:w w:val="100"/>
                <w:position w:val="0"/>
              </w:rPr>
              <w:t>9,000</w:t>
            </w:r>
            <w:r>
              <w:rPr>
                <w:rFonts w:ascii="SimSun" w:eastAsia="SimSun" w:hAnsi="SimSun" w:cs="SimSun"/>
                <w:color w:val="000000"/>
                <w:spacing w:val="0"/>
                <w:w w:val="100"/>
                <w:position w:val="0"/>
              </w:rPr>
              <w:t>万元</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第二个行权期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r>
              <w:rPr>
                <w:rFonts w:ascii="SimSun" w:eastAsia="SimSun" w:hAnsi="SimSun" w:cs="SimSun"/>
                <w:color w:val="000000"/>
                <w:spacing w:val="0"/>
                <w:w w:val="100"/>
                <w:position w:val="0"/>
              </w:rPr>
              <w:t>年营业收入不低于</w:t>
            </w:r>
            <w:r>
              <w:rPr>
                <w:color w:val="000000"/>
                <w:spacing w:val="0"/>
                <w:w w:val="100"/>
                <w:position w:val="0"/>
              </w:rPr>
              <w:t>20</w:t>
            </w:r>
            <w:r>
              <w:rPr>
                <w:rFonts w:ascii="SimSun" w:eastAsia="SimSun" w:hAnsi="SimSun" w:cs="SimSun"/>
                <w:color w:val="000000"/>
                <w:spacing w:val="0"/>
                <w:w w:val="100"/>
                <w:position w:val="0"/>
              </w:rPr>
              <w:t>亿元或</w:t>
            </w:r>
            <w:r>
              <w:rPr>
                <w:color w:val="000000"/>
                <w:spacing w:val="0"/>
                <w:w w:val="100"/>
                <w:position w:val="0"/>
              </w:rPr>
              <w:t>2023</w:t>
            </w:r>
            <w:r>
              <w:rPr>
                <w:rFonts w:ascii="SimSun" w:eastAsia="SimSun" w:hAnsi="SimSun" w:cs="SimSun"/>
                <w:color w:val="000000"/>
                <w:spacing w:val="0"/>
                <w:w w:val="100"/>
                <w:position w:val="0"/>
              </w:rPr>
              <w:t>年净利润不低于</w:t>
            </w:r>
            <w:r>
              <w:rPr>
                <w:color w:val="000000"/>
                <w:spacing w:val="0"/>
                <w:w w:val="100"/>
                <w:position w:val="0"/>
              </w:rPr>
              <w:t>13,000</w:t>
            </w:r>
            <w:r>
              <w:rPr>
                <w:rFonts w:ascii="SimSun" w:eastAsia="SimSun" w:hAnsi="SimSun" w:cs="SimSun"/>
                <w:color w:val="000000"/>
                <w:spacing w:val="0"/>
                <w:w w:val="100"/>
                <w:position w:val="0"/>
              </w:rPr>
              <w:t>万元</w:t>
            </w:r>
          </w:p>
        </w:tc>
      </w:tr>
    </w:tbl>
    <w:p>
      <w:pPr>
        <w:pStyle w:val="Style23"/>
        <w:keepNext w:val="0"/>
        <w:keepLines w:val="0"/>
        <w:widowControl w:val="0"/>
        <w:shd w:val="clear" w:color="auto" w:fill="auto"/>
        <w:bidi w:val="0"/>
        <w:spacing w:before="0" w:after="120" w:line="312" w:lineRule="exact"/>
        <w:ind w:left="0" w:right="0"/>
        <w:jc w:val="left"/>
      </w:pP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解除限售期内，公司为满足行权条件</w:t>
      </w:r>
      <w:r>
        <w:rPr>
          <w:rFonts w:ascii="Times New Roman" w:eastAsia="Times New Roman" w:hAnsi="Times New Roman" w:cs="Times New Roman"/>
          <w:color w:val="000000"/>
          <w:spacing w:val="0"/>
          <w:w w:val="100"/>
          <w:position w:val="0"/>
        </w:rPr>
        <w:t>/</w:t>
      </w:r>
      <w:r>
        <w:rPr>
          <w:color w:val="000000"/>
          <w:spacing w:val="0"/>
          <w:w w:val="100"/>
          <w:position w:val="0"/>
        </w:rPr>
        <w:t>解除限售条件的激励对象办理行权</w:t>
      </w:r>
      <w:r>
        <w:rPr>
          <w:rFonts w:ascii="Times New Roman" w:eastAsia="Times New Roman" w:hAnsi="Times New Roman" w:cs="Times New Roman"/>
          <w:color w:val="000000"/>
          <w:spacing w:val="0"/>
          <w:w w:val="100"/>
          <w:position w:val="0"/>
        </w:rPr>
        <w:t>/</w:t>
      </w:r>
      <w:r>
        <w:rPr>
          <w:color w:val="000000"/>
          <w:spacing w:val="0"/>
          <w:w w:val="100"/>
          <w:position w:val="0"/>
        </w:rPr>
        <w:t>解除限售事宜。若各行权</w:t>
      </w:r>
      <w:r>
        <w:rPr>
          <w:rFonts w:ascii="Times New Roman" w:eastAsia="Times New Roman" w:hAnsi="Times New Roman" w:cs="Times New Roman"/>
          <w:color w:val="000000"/>
          <w:spacing w:val="0"/>
          <w:w w:val="100"/>
          <w:position w:val="0"/>
        </w:rPr>
        <w:t>/</w:t>
      </w:r>
      <w:r>
        <w:rPr>
          <w:color w:val="000000"/>
          <w:spacing w:val="0"/>
          <w:w w:val="100"/>
          <w:position w:val="0"/>
        </w:rPr>
        <w:t>解除限售期 内，公司当期业绩水平未达到业绩考核目标条件的，所有激励对象对应考核当年已获授的股票期权均不得行权，由公司注销; 所有激励对象对应考核当年已获授的限制性股票均不得解除限售，由公司按授予价格回购注销。</w:t>
      </w:r>
    </w:p>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（二）个人层面绩效考核</w:t>
      </w:r>
    </w:p>
    <w:p>
      <w:pPr>
        <w:pStyle w:val="Style23"/>
        <w:keepNext w:val="0"/>
        <w:keepLines w:val="0"/>
        <w:widowControl w:val="0"/>
        <w:shd w:val="clear" w:color="auto" w:fill="auto"/>
        <w:bidi w:val="0"/>
        <w:spacing w:before="0" w:after="80" w:line="317" w:lineRule="exact"/>
        <w:ind w:left="0" w:right="0"/>
        <w:jc w:val="left"/>
      </w:pPr>
      <w:r>
        <w:rPr>
          <w:color w:val="000000"/>
          <w:spacing w:val="0"/>
          <w:w w:val="100"/>
          <w:position w:val="0"/>
        </w:rPr>
        <w:t>个人层面绩效考核按照公司现行薪酬与考核的相关制度实施。激励对象的绩效考核结果分为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四个 等级，各行权期内，依据激励对象相应的绩效考核结果确认当期个人层面可行权比例，具体如下表所示：</w:t>
      </w:r>
    </w:p>
    <w:tbl>
      <w:tblPr>
        <w:tblOverlap w:val="never"/>
        <w:jc w:val="center"/>
        <w:tblLayout w:type="fixed"/>
      </w:tblPr>
      <w:tblGrid>
        <w:gridCol w:w="2597"/>
        <w:gridCol w:w="1819"/>
        <w:gridCol w:w="1814"/>
        <w:gridCol w:w="1819"/>
        <w:gridCol w:w="1824"/>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考核等级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个人层面可行权比例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3"/>
        <w:keepNext w:val="0"/>
        <w:keepLines w:val="0"/>
        <w:widowControl w:val="0"/>
        <w:shd w:val="clear" w:color="auto" w:fill="auto"/>
        <w:bidi w:val="0"/>
        <w:spacing w:before="0" w:after="380" w:line="317" w:lineRule="exact"/>
        <w:ind w:left="0" w:right="0"/>
        <w:jc w:val="left"/>
      </w:pPr>
      <w:r>
        <w:rPr>
          <w:color w:val="000000"/>
          <w:spacing w:val="0"/>
          <w:w w:val="100"/>
          <w:position w:val="0"/>
        </w:rPr>
        <w:t>各行权期内，在公司满足相应业绩考核目标的前提之下，激励对象当期实际可行权的股票期权数量</w:t>
      </w:r>
      <w:r>
        <w:rPr>
          <w:rFonts w:ascii="Times New Roman" w:eastAsia="Times New Roman" w:hAnsi="Times New Roman" w:cs="Times New Roman"/>
          <w:color w:val="000000"/>
          <w:spacing w:val="0"/>
          <w:w w:val="100"/>
          <w:position w:val="0"/>
        </w:rPr>
        <w:t>=</w:t>
      </w:r>
      <w:r>
        <w:rPr>
          <w:color w:val="000000"/>
          <w:spacing w:val="0"/>
          <w:w w:val="100"/>
          <w:position w:val="0"/>
        </w:rPr>
        <w:t>个人当期计划行权 的股票期权数量</w:t>
      </w:r>
      <w:r>
        <w:rPr>
          <w:rFonts w:ascii="Times New Roman" w:eastAsia="Times New Roman" w:hAnsi="Times New Roman" w:cs="Times New Roman"/>
          <w:color w:val="000000"/>
          <w:spacing w:val="0"/>
          <w:w w:val="100"/>
          <w:position w:val="0"/>
        </w:rPr>
        <w:t>x</w:t>
      </w:r>
      <w:r>
        <w:rPr>
          <w:color w:val="000000"/>
          <w:spacing w:val="0"/>
          <w:w w:val="100"/>
          <w:position w:val="0"/>
        </w:rPr>
        <w:t>个人层面可行权比例。对应当期未能行权的股票期权，由公司注销。</w:t>
      </w:r>
    </w:p>
    <w:p>
      <w:pPr>
        <w:pStyle w:val="Style34"/>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、员工持股计划的实施情况</w:t>
      </w:r>
      <w:bookmarkEnd w:id="378"/>
      <w:bookmarkEnd w:id="379"/>
      <w:bookmarkEnd w:id="381"/>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、其他员工激励措施</w:t>
      </w:r>
      <w:bookmarkEnd w:id="382"/>
      <w:bookmarkEnd w:id="383"/>
      <w:bookmarkEnd w:id="385"/>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3"/>
        <w:keepNext w:val="0"/>
        <w:keepLines w:val="0"/>
        <w:widowControl w:val="0"/>
        <w:shd w:val="clear" w:color="auto" w:fill="auto"/>
        <w:bidi w:val="0"/>
        <w:spacing w:before="0" w:after="360" w:line="326" w:lineRule="exact"/>
        <w:ind w:left="0" w:right="0"/>
        <w:jc w:val="both"/>
      </w:pPr>
      <w:r>
        <w:rPr>
          <w:color w:val="000000"/>
          <w:spacing w:val="0"/>
          <w:w w:val="100"/>
          <w:position w:val="0"/>
        </w:rPr>
        <w:t>因</w:t>
      </w:r>
      <w:r>
        <w:rPr>
          <w:rFonts w:ascii="Times New Roman" w:eastAsia="Times New Roman" w:hAnsi="Times New Roman" w:cs="Times New Roman"/>
          <w:color w:val="000000"/>
          <w:spacing w:val="0"/>
          <w:w w:val="100"/>
          <w:position w:val="0"/>
        </w:rPr>
        <w:t>2021</w:t>
      </w:r>
      <w:r>
        <w:rPr>
          <w:color w:val="000000"/>
          <w:spacing w:val="0"/>
          <w:w w:val="100"/>
          <w:position w:val="0"/>
        </w:rPr>
        <w:t>年度公司层面业绩考核不达标，报告期期末冲回本年度计提的股权激励费用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008.45</w:t>
      </w:r>
      <w:r>
        <w:rPr>
          <w:color w:val="000000"/>
          <w:spacing w:val="0"/>
          <w:w w:val="100"/>
          <w:position w:val="0"/>
        </w:rPr>
        <w:t>万元，因此报告期计提股权 激励费用</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8"/>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十二、报告期内的内部控制制度建设及实施情况</w:t>
      </w:r>
      <w:bookmarkEnd w:id="386"/>
      <w:bookmarkEnd w:id="387"/>
      <w:bookmarkEnd w:id="388"/>
    </w:p>
    <w:p>
      <w:pPr>
        <w:pStyle w:val="Style34"/>
        <w:keepNext/>
        <w:keepLines/>
        <w:widowControl w:val="0"/>
        <w:shd w:val="clear" w:color="auto" w:fill="auto"/>
        <w:tabs>
          <w:tab w:pos="368"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内部控制建设及实施情况</w:t>
      </w:r>
      <w:bookmarkEnd w:id="389"/>
      <w:bookmarkEnd w:id="390"/>
      <w:bookmarkEnd w:id="392"/>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日披露的《深圳市惠程信息科技股份有限公司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报告期内发现的内部控制重大缺陷的具体情况</w:t>
      </w:r>
      <w:bookmarkEnd w:id="393"/>
      <w:bookmarkEnd w:id="394"/>
      <w:bookmarkEnd w:id="396"/>
    </w:p>
    <w:p>
      <w:pPr>
        <w:pStyle w:val="Style23"/>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十三、公司报告期内对子公司的管理控制情况</w:t>
      </w:r>
      <w:bookmarkEnd w:id="397"/>
      <w:bookmarkEnd w:id="398"/>
      <w:bookmarkEnd w:id="399"/>
    </w:p>
    <w:p>
      <w:pPr>
        <w:pStyle w:val="Style23"/>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报告期内，公司纳入合并范围的子公司详见''第十节财务报告”之''附注三、公司基本情况”。公司根据《公司法》、《证 券法》、《股票上市规则》等法律、法规及《公司章程》的有关规定，结合公司的实际情况，制定了《控股子公司管理办法》。 公司严格按照《控股子公司管理办法》，进一步加强对子公司的管理，对公司的组织、资源、资产、投资和公司的运作进行 风险控制，提高了公司整体运作效率和抗风险能力。</w:t>
      </w:r>
    </w:p>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针对</w:t>
      </w:r>
      <w:r>
        <w:rPr>
          <w:rFonts w:ascii="Times New Roman" w:eastAsia="Times New Roman" w:hAnsi="Times New Roman" w:cs="Times New Roman"/>
          <w:color w:val="000000"/>
          <w:spacing w:val="0"/>
          <w:w w:val="100"/>
          <w:position w:val="0"/>
        </w:rPr>
        <w:t>2020</w:t>
      </w:r>
      <w:r>
        <w:rPr>
          <w:color w:val="000000"/>
          <w:spacing w:val="0"/>
          <w:w w:val="100"/>
          <w:position w:val="0"/>
        </w:rPr>
        <w:t>年度报告中保留意见涉及的哆可梦预付游戏推广费用事项，公司加强对哆可梦财务权限的管控，尤其是强化 对预付账款的管理，具体的措施包括：</w:t>
      </w:r>
      <w:r>
        <w:rPr>
          <w:rFonts w:ascii="Times New Roman" w:eastAsia="Times New Roman" w:hAnsi="Times New Roman" w:cs="Times New Roman"/>
          <w:color w:val="000000"/>
          <w:spacing w:val="0"/>
          <w:w w:val="100"/>
          <w:position w:val="0"/>
        </w:rPr>
        <w:t>1.2021</w:t>
      </w:r>
      <w:r>
        <w:rPr>
          <w:color w:val="000000"/>
          <w:spacing w:val="0"/>
          <w:w w:val="100"/>
          <w:position w:val="0"/>
        </w:rPr>
        <w:t>年，公司严格执行预付款管理制度，预付款项支付必须有审批流程，遵循合同 约定方式付款。业务人员和财务人员加强对预付款的管理，对于业务合作明显减少或终止合作的以及其他长期未结转的情况， 财务部门负责督促业务部门负责人员及时催回预付款。</w:t>
      </w:r>
      <w:r>
        <w:rPr>
          <w:rFonts w:ascii="Times New Roman" w:eastAsia="Times New Roman" w:hAnsi="Times New Roman" w:cs="Times New Roman"/>
          <w:color w:val="000000"/>
          <w:spacing w:val="0"/>
          <w:w w:val="100"/>
          <w:position w:val="0"/>
        </w:rPr>
        <w:t>2.</w:t>
      </w:r>
      <w:r>
        <w:rPr>
          <w:color w:val="000000"/>
          <w:spacing w:val="0"/>
          <w:w w:val="100"/>
          <w:position w:val="0"/>
        </w:rPr>
        <w:t>控制预付款规模，对预付款合同、金额、使用条件进行严格把关。</w:t>
      </w:r>
    </w:p>
    <w:p>
      <w:pPr>
        <w:pStyle w:val="Style23"/>
        <w:keepNext w:val="0"/>
        <w:keepLines w:val="0"/>
        <w:widowControl w:val="0"/>
        <w:shd w:val="clear" w:color="auto" w:fill="auto"/>
        <w:tabs>
          <w:tab w:pos="378" w:val="left"/>
        </w:tabs>
        <w:bidi w:val="0"/>
        <w:spacing w:before="0" w:after="0" w:line="317" w:lineRule="exact"/>
        <w:ind w:left="0" w:right="0" w:firstLine="0"/>
        <w:jc w:val="left"/>
      </w:pPr>
      <w:bookmarkStart w:id="400" w:name="bookmark400"/>
      <w:r>
        <w:rPr>
          <w:rFonts w:ascii="Times New Roman" w:eastAsia="Times New Roman" w:hAnsi="Times New Roman" w:cs="Times New Roman"/>
          <w:color w:val="000000"/>
          <w:spacing w:val="0"/>
          <w:w w:val="100"/>
          <w:position w:val="0"/>
        </w:rPr>
        <w:t>3</w:t>
      </w:r>
      <w:bookmarkEnd w:id="400"/>
      <w:r>
        <w:rPr>
          <w:rFonts w:ascii="Times New Roman" w:eastAsia="Times New Roman" w:hAnsi="Times New Roman" w:cs="Times New Roman"/>
          <w:color w:val="000000"/>
          <w:spacing w:val="0"/>
          <w:w w:val="100"/>
          <w:position w:val="0"/>
        </w:rPr>
        <w:t>、</w:t>
        <w:tab/>
      </w:r>
      <w:r>
        <w:rPr>
          <w:color w:val="000000"/>
          <w:spacing w:val="0"/>
          <w:w w:val="100"/>
          <w:position w:val="0"/>
        </w:rPr>
        <w:t>对于已无法向公司提供优质媒体资源的供应商，公司将与其协商退还前期预付的款项。</w:t>
      </w:r>
      <w:r>
        <w:rPr>
          <w:rFonts w:ascii="Times New Roman" w:eastAsia="Times New Roman" w:hAnsi="Times New Roman" w:cs="Times New Roman"/>
          <w:color w:val="000000"/>
          <w:spacing w:val="0"/>
          <w:w w:val="100"/>
          <w:position w:val="0"/>
        </w:rPr>
        <w:t>4.</w:t>
      </w:r>
      <w:r>
        <w:rPr>
          <w:color w:val="000000"/>
          <w:spacing w:val="0"/>
          <w:w w:val="100"/>
          <w:position w:val="0"/>
        </w:rPr>
        <w:t>加大现有运营游戏的推广力度， 以及加快推进新游戏的研发及上线运营工作，通过以上游戏推广消耗并结转预付款项。</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子公司在公司总体方针目标框架下，独立经营、自主管理，合法有效地运作企业法人资产，同时在不影响独立自主经营 管理的前提下应当执行公司对子公司的各项制度规定。</w:t>
      </w:r>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报告期内，公司未购买新增子公司，不存在子公司失去控制的现象。</w:t>
      </w:r>
    </w:p>
    <w:p>
      <w:pPr>
        <w:pStyle w:val="Style28"/>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十四、内部控制自我评价报告或内部控制审计报告</w:t>
      </w:r>
      <w:bookmarkEnd w:id="401"/>
      <w:bookmarkEnd w:id="402"/>
      <w:bookmarkEnd w:id="403"/>
    </w:p>
    <w:p>
      <w:pPr>
        <w:pStyle w:val="Style34"/>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、内控自我评价报告</w:t>
      </w:r>
      <w:bookmarkEnd w:id="404"/>
      <w:bookmarkEnd w:id="405"/>
      <w:bookmarkEnd w:id="407"/>
    </w:p>
    <w:tbl>
      <w:tblPr>
        <w:tblOverlap w:val="never"/>
        <w:jc w:val="center"/>
        <w:tblLayout w:type="fixed"/>
      </w:tblPr>
      <w:tblGrid>
        <w:gridCol w:w="5822"/>
        <w:gridCol w:w="365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《深圳市惠 程信息科技股份有限公司</w:t>
            </w:r>
            <w:r>
              <w:rPr>
                <w:color w:val="000000"/>
                <w:spacing w:val="0"/>
                <w:w w:val="100"/>
                <w:position w:val="0"/>
              </w:rPr>
              <w:t>2021</w:t>
            </w:r>
            <w:r>
              <w:rPr>
                <w:rFonts w:ascii="SimSun" w:eastAsia="SimSun" w:hAnsi="SimSun" w:cs="SimSun"/>
                <w:color w:val="000000"/>
                <w:spacing w:val="0"/>
                <w:w w:val="100"/>
                <w:position w:val="0"/>
              </w:rPr>
              <w:t>年度内部控制 的自我评价报告》</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纳入评价范围单位营业收入占公司合并财务报表营业收入的比例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bl>
    <w:p>
      <w:pPr>
        <w:spacing w:lineRule="exact" w:line="1"/>
        <w:rPr>
          <w:sz w:val="2"/>
          <w:szCs w:val="2"/>
        </w:rPr>
      </w:pPr>
      <w:r>
        <w:br w:type="page"/>
      </w:r>
    </w:p>
    <w:tbl>
      <w:tblPr>
        <w:tblOverlap w:val="never"/>
        <w:jc w:val="center"/>
        <w:tblLayout w:type="fixed"/>
      </w:tblPr>
      <w:tblGrid>
        <w:gridCol w:w="1003"/>
        <w:gridCol w:w="4819"/>
        <w:gridCol w:w="3653"/>
      </w:tblGrid>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289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①重大缺陷：控制环境无效；公司审计委员会和内部审计机 构对内部控制的监督无效；发现董事、监事和高级管理人员 重大舞弊；已经发现并报告给管理层的财务报告内部控制重 大缺陷在经过合理时间后，未得到整改；外部审计发现当期 财务报表存在重大错报，而内部控制在运行过程中未能发现 该错报；其他可能影响报表使用者正确判断的缺陷。②重要 缺陷：单独缺陷或连同其他缺陷组合，其严重程度低于重大 缺陷，但仍有可能导致公司偏离控制目标。③一般缺陷：不 构成重大缺陷或重要缺陷的其他内部控制缺陷。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①重大缺陷：违反国家法律、法规或规范性文 件；缺乏决策程序或决策程序不科学，导致重 大失误；重要业务缺乏制度控制或制度系统性 失败；内部控制评价的结果特别是重大或重要 缺陷未得到整改；其他对公司影响重大的情 形。②重要缺陷：单独缺陷或连同其他缺陷组 合，其严重程度低于重大缺陷，但仍有可能导 致公司偏离控制目标。③一般缺陷：不构成重 大缺陷或重要缺陷的其他内部控制缺陷。</w:t>
            </w:r>
          </w:p>
        </w:tc>
      </w:tr>
      <w:tr>
        <w:trPr>
          <w:trHeight w:val="321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公司所采用标准直接取决于该内部控制缺陷造成财产损失大 小，根据损失占公司上一年度合并报表的潜在错报项目总额 的比率作为判断标准。①重大缺陷：潜在错报</w:t>
            </w:r>
            <w:r>
              <w:rPr>
                <w:color w:val="000000"/>
                <w:spacing w:val="0"/>
                <w:w w:val="100"/>
                <w:position w:val="0"/>
              </w:rPr>
              <w:t>Z</w:t>
            </w:r>
            <w:r>
              <w:rPr>
                <w:rFonts w:ascii="SimSun" w:eastAsia="SimSun" w:hAnsi="SimSun" w:cs="SimSun"/>
                <w:color w:val="000000"/>
                <w:spacing w:val="0"/>
                <w:w w:val="100"/>
                <w:position w:val="0"/>
              </w:rPr>
              <w:t>营业收入总额 的</w:t>
            </w:r>
            <w:r>
              <w:rPr>
                <w:color w:val="000000"/>
                <w:spacing w:val="0"/>
                <w:w w:val="100"/>
                <w:position w:val="0"/>
              </w:rPr>
              <w:t>3%</w:t>
            </w:r>
            <w:r>
              <w:rPr>
                <w:rFonts w:ascii="SimSun" w:eastAsia="SimSun" w:hAnsi="SimSun" w:cs="SimSun"/>
                <w:color w:val="000000"/>
                <w:spacing w:val="0"/>
                <w:w w:val="100"/>
                <w:position w:val="0"/>
              </w:rPr>
              <w:t>；潜在错报</w:t>
            </w:r>
            <w:r>
              <w:rPr>
                <w:color w:val="000000"/>
                <w:spacing w:val="0"/>
                <w:w w:val="100"/>
                <w:position w:val="0"/>
              </w:rPr>
              <w:t>Z</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；潜在错报</w:t>
            </w:r>
            <w:r>
              <w:rPr>
                <w:color w:val="000000"/>
                <w:spacing w:val="0"/>
                <w:w w:val="100"/>
                <w:position w:val="0"/>
              </w:rPr>
              <w:t>Z</w:t>
            </w:r>
            <w:r>
              <w:rPr>
                <w:rFonts w:ascii="SimSun" w:eastAsia="SimSun" w:hAnsi="SimSun" w:cs="SimSun"/>
                <w:color w:val="000000"/>
                <w:spacing w:val="0"/>
                <w:w w:val="100"/>
                <w:position w:val="0"/>
              </w:rPr>
              <w:t>资产总额的</w:t>
            </w:r>
            <w:r>
              <w:rPr>
                <w:color w:val="000000"/>
                <w:spacing w:val="0"/>
                <w:w w:val="100"/>
                <w:position w:val="0"/>
              </w:rPr>
              <w:t>2%</w:t>
            </w:r>
            <w:r>
              <w:rPr>
                <w:rFonts w:ascii="SimSun" w:eastAsia="SimSun" w:hAnsi="SimSun" w:cs="SimSun"/>
                <w:color w:val="000000"/>
                <w:spacing w:val="0"/>
                <w:w w:val="100"/>
                <w:position w:val="0"/>
              </w:rPr>
              <w:t>。 ②重要缺陷：营业收入总额的</w:t>
            </w:r>
            <w:r>
              <w:rPr>
                <w:color w:val="000000"/>
                <w:spacing w:val="0"/>
                <w:w w:val="100"/>
                <w:position w:val="0"/>
              </w:rPr>
              <w:t>2%^</w:t>
            </w:r>
            <w:r>
              <w:rPr>
                <w:rFonts w:ascii="SimSun" w:eastAsia="SimSun" w:hAnsi="SimSun" w:cs="SimSun"/>
                <w:color w:val="000000"/>
                <w:spacing w:val="0"/>
                <w:w w:val="100"/>
                <w:position w:val="0"/>
              </w:rPr>
              <w:t>潜在错报〈营业收入总额 的</w:t>
            </w:r>
            <w:r>
              <w:rPr>
                <w:color w:val="000000"/>
                <w:spacing w:val="0"/>
                <w:w w:val="100"/>
                <w:position w:val="0"/>
              </w:rPr>
              <w:t>3%</w:t>
            </w:r>
            <w:r>
              <w:rPr>
                <w:rFonts w:ascii="SimSun" w:eastAsia="SimSun" w:hAnsi="SimSun" w:cs="SimSun"/>
                <w:color w:val="000000"/>
                <w:spacing w:val="0"/>
                <w:w w:val="100"/>
                <w:position w:val="0"/>
              </w:rPr>
              <w:t>；利润总额的</w:t>
            </w:r>
            <w:r>
              <w:rPr>
                <w:color w:val="000000"/>
                <w:spacing w:val="0"/>
                <w:w w:val="100"/>
                <w:position w:val="0"/>
              </w:rPr>
              <w:t>2%^</w:t>
            </w:r>
            <w:r>
              <w:rPr>
                <w:rFonts w:ascii="SimSun" w:eastAsia="SimSun" w:hAnsi="SimSun" w:cs="SimSun"/>
                <w:color w:val="000000"/>
                <w:spacing w:val="0"/>
                <w:w w:val="100"/>
                <w:position w:val="0"/>
              </w:rPr>
              <w:t>潜在错报〈利润总额的</w:t>
            </w:r>
            <w:r>
              <w:rPr>
                <w:color w:val="000000"/>
                <w:spacing w:val="0"/>
                <w:w w:val="100"/>
                <w:position w:val="0"/>
              </w:rPr>
              <w:t>3%</w:t>
            </w:r>
            <w:r>
              <w:rPr>
                <w:rFonts w:ascii="SimSun" w:eastAsia="SimSun" w:hAnsi="SimSun" w:cs="SimSun"/>
                <w:color w:val="000000"/>
                <w:spacing w:val="0"/>
                <w:w w:val="100"/>
                <w:position w:val="0"/>
              </w:rPr>
              <w:t>；资产总 额的</w:t>
            </w:r>
            <w:r>
              <w:rPr>
                <w:color w:val="000000"/>
                <w:spacing w:val="0"/>
                <w:w w:val="100"/>
                <w:position w:val="0"/>
              </w:rPr>
              <w:t>1%M</w:t>
            </w:r>
            <w:r>
              <w:rPr>
                <w:rFonts w:ascii="SimSun" w:eastAsia="SimSun" w:hAnsi="SimSun" w:cs="SimSun"/>
                <w:color w:val="000000"/>
                <w:spacing w:val="0"/>
                <w:w w:val="100"/>
                <w:position w:val="0"/>
              </w:rPr>
              <w:t>潜在错报〈资产总额的</w:t>
            </w:r>
            <w:r>
              <w:rPr>
                <w:color w:val="000000"/>
                <w:spacing w:val="0"/>
                <w:w w:val="100"/>
                <w:position w:val="0"/>
              </w:rPr>
              <w:t>2%</w:t>
            </w:r>
            <w:r>
              <w:rPr>
                <w:rFonts w:ascii="SimSun" w:eastAsia="SimSun" w:hAnsi="SimSun" w:cs="SimSun"/>
                <w:color w:val="000000"/>
                <w:spacing w:val="0"/>
                <w:w w:val="100"/>
                <w:position w:val="0"/>
              </w:rPr>
              <w:t>。③一般缺陷：潜在错报 〈营业收入总额的</w:t>
            </w:r>
            <w:r>
              <w:rPr>
                <w:color w:val="000000"/>
                <w:spacing w:val="0"/>
                <w:w w:val="100"/>
                <w:position w:val="0"/>
              </w:rPr>
              <w:t>2%</w:t>
            </w:r>
            <w:r>
              <w:rPr>
                <w:rFonts w:ascii="SimSun" w:eastAsia="SimSun" w:hAnsi="SimSun" w:cs="SimSun"/>
                <w:color w:val="000000"/>
                <w:spacing w:val="0"/>
                <w:w w:val="100"/>
                <w:position w:val="0"/>
              </w:rPr>
              <w:t>；潜在错报〈利润总额的</w:t>
            </w:r>
            <w:r>
              <w:rPr>
                <w:color w:val="000000"/>
                <w:spacing w:val="0"/>
                <w:w w:val="100"/>
                <w:position w:val="0"/>
              </w:rPr>
              <w:t>2%</w:t>
            </w:r>
            <w:r>
              <w:rPr>
                <w:rFonts w:ascii="SimSun" w:eastAsia="SimSun" w:hAnsi="SimSun" w:cs="SimSun"/>
                <w:color w:val="000000"/>
                <w:spacing w:val="0"/>
                <w:w w:val="100"/>
                <w:position w:val="0"/>
              </w:rPr>
              <w:t>；潜在错 报〈资产总额的</w:t>
            </w:r>
            <w:r>
              <w:rPr>
                <w:color w:val="000000"/>
                <w:spacing w:val="0"/>
                <w:w w:val="100"/>
                <w:position w:val="0"/>
              </w:rPr>
              <w:t>1%</w:t>
            </w:r>
            <w:r>
              <w:rPr>
                <w:rFonts w:ascii="SimSun" w:eastAsia="SimSun" w:hAnsi="SimSun" w:cs="SimSun"/>
                <w:color w:val="000000"/>
                <w:spacing w:val="0"/>
                <w:w w:val="100"/>
                <w:position w:val="0"/>
              </w:rPr>
              <w:t>。当某项内部控制缺陷导致的潜在错报影 响多项指标时，按孰低原则认定缺陷性质。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公司所采用标准直接取决于该内部控制缺陷 造成财产损失大小，根据损失占公司上一年度 合并报表资产总额的比率作为判断标准。①重 大缺陷：损失金额</w:t>
            </w:r>
            <w:r>
              <w:rPr>
                <w:color w:val="000000"/>
                <w:spacing w:val="0"/>
                <w:w w:val="100"/>
                <w:position w:val="0"/>
              </w:rPr>
              <w:t>Z</w:t>
            </w:r>
            <w:r>
              <w:rPr>
                <w:rFonts w:ascii="SimSun" w:eastAsia="SimSun" w:hAnsi="SimSun" w:cs="SimSun"/>
                <w:color w:val="000000"/>
                <w:spacing w:val="0"/>
                <w:w w:val="100"/>
                <w:position w:val="0"/>
              </w:rPr>
              <w:t>资产总额的</w:t>
            </w:r>
            <w:r>
              <w:rPr>
                <w:color w:val="000000"/>
                <w:spacing w:val="0"/>
                <w:w w:val="100"/>
                <w:position w:val="0"/>
              </w:rPr>
              <w:t>2%</w:t>
            </w:r>
            <w:r>
              <w:rPr>
                <w:rFonts w:ascii="SimSun" w:eastAsia="SimSun" w:hAnsi="SimSun" w:cs="SimSun"/>
                <w:color w:val="000000"/>
                <w:spacing w:val="0"/>
                <w:w w:val="100"/>
                <w:position w:val="0"/>
              </w:rPr>
              <w:t>。②重要缺 陷：资产总额的</w:t>
            </w:r>
            <w:r>
              <w:rPr>
                <w:color w:val="000000"/>
                <w:spacing w:val="0"/>
                <w:w w:val="100"/>
                <w:position w:val="0"/>
              </w:rPr>
              <w:t>1%W</w:t>
            </w:r>
            <w:r>
              <w:rPr>
                <w:rFonts w:ascii="SimSun" w:eastAsia="SimSun" w:hAnsi="SimSun" w:cs="SimSun"/>
                <w:color w:val="000000"/>
                <w:spacing w:val="0"/>
                <w:w w:val="100"/>
                <w:position w:val="0"/>
              </w:rPr>
              <w:t xml:space="preserve">损失金额〈资产总额的 </w:t>
            </w:r>
            <w:r>
              <w:rPr>
                <w:color w:val="000000"/>
                <w:spacing w:val="0"/>
                <w:w w:val="100"/>
                <w:position w:val="0"/>
              </w:rPr>
              <w:t>2%</w:t>
            </w:r>
            <w:r>
              <w:rPr>
                <w:rFonts w:ascii="SimSun" w:eastAsia="SimSun" w:hAnsi="SimSun" w:cs="SimSun"/>
                <w:color w:val="000000"/>
                <w:spacing w:val="0"/>
                <w:w w:val="100"/>
                <w:position w:val="0"/>
              </w:rPr>
              <w:t>。③一般缺陷：损失金额〈资产总额的</w:t>
            </w:r>
            <w:r>
              <w:rPr>
                <w:color w:val="000000"/>
                <w:spacing w:val="0"/>
                <w:w w:val="100"/>
                <w:position w:val="0"/>
              </w:rPr>
              <w:t>1%</w:t>
            </w:r>
            <w:r>
              <w:rPr>
                <w:rFonts w:ascii="SimSun" w:eastAsia="SimSun" w:hAnsi="SimSun" w:cs="SimSun"/>
                <w:color w:val="000000"/>
                <w:spacing w:val="0"/>
                <w:w w:val="100"/>
                <w:position w:val="0"/>
              </w:rPr>
              <w:t>。</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、内部控制审计报告</w:t>
      </w:r>
      <w:bookmarkEnd w:id="408"/>
      <w:bookmarkEnd w:id="409"/>
      <w:bookmarkEnd w:id="411"/>
    </w:p>
    <w:p>
      <w:pPr>
        <w:pStyle w:val="Style23"/>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十五、上市公司治理专项行动自查问题整改情况</w:t>
      </w:r>
      <w:bookmarkEnd w:id="412"/>
      <w:bookmarkEnd w:id="413"/>
      <w:bookmarkEnd w:id="414"/>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根据中国证券监督管理委员会下发的《关于开展上市公司治理专项行动的公告》（证监会公告〔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69</w:t>
      </w:r>
      <w:r>
        <w:rPr>
          <w:color w:val="000000"/>
          <w:spacing w:val="0"/>
          <w:w w:val="100"/>
          <w:position w:val="0"/>
        </w:rPr>
        <w:t>号）要求与安 排，公司及时向公司控股股东及全体董事、监事、高级管理人员传达了文件精神。公司本着实事求是的原则，对照所附自查 事项，依据《公司法》《证券法》等有关法律、行政法规，以及《公司章程》《股东大会议事规则》《董事会议事规则》《监 事会议事规则》等内部规章制度，对公司治理情况进行自查。报告期内，公司对照上市公司治理专项自查清单，认真梳理查 找存在的问题，总结公司治理经验，完成的专项自查及整改工作如下：</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（一）控股股东、实际控制人及关联方行为规范</w:t>
      </w:r>
    </w:p>
    <w:p>
      <w:pPr>
        <w:pStyle w:val="Style23"/>
        <w:keepNext w:val="0"/>
        <w:keepLines w:val="0"/>
        <w:widowControl w:val="0"/>
        <w:numPr>
          <w:ilvl w:val="0"/>
          <w:numId w:val="21"/>
        </w:numPr>
        <w:shd w:val="clear" w:color="auto" w:fill="auto"/>
        <w:bidi w:val="0"/>
        <w:spacing w:before="0" w:line="312" w:lineRule="exact"/>
        <w:ind w:left="0" w:right="0"/>
        <w:jc w:val="both"/>
      </w:pPr>
      <w:bookmarkStart w:id="415" w:name="bookmark415"/>
      <w:bookmarkEnd w:id="415"/>
      <w:r>
        <w:rPr>
          <w:color w:val="000000"/>
          <w:spacing w:val="0"/>
          <w:w w:val="100"/>
          <w:position w:val="0"/>
        </w:rPr>
        <w:t>报告期内，公司原控股股东、实际控制人及其关联方等主体存在除自身无法控制的客观原因外，承诺相关方超期未履 行承诺或违反承诺的情形。</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整改情况：公司向原控股股东传达证监局、深交所的监管意见，并持续督促持有公司股份</w:t>
      </w:r>
      <w:r>
        <w:rPr>
          <w:rFonts w:ascii="Times New Roman" w:eastAsia="Times New Roman" w:hAnsi="Times New Roman" w:cs="Times New Roman"/>
          <w:color w:val="000000"/>
          <w:spacing w:val="0"/>
          <w:w w:val="100"/>
          <w:position w:val="0"/>
        </w:rPr>
        <w:t>5%</w:t>
      </w:r>
      <w:r>
        <w:rPr>
          <w:color w:val="000000"/>
          <w:spacing w:val="0"/>
          <w:w w:val="100"/>
          <w:position w:val="0"/>
        </w:rPr>
        <w:t>以上股东对相关法律法规 的学习，严格执行股份变动、承诺履行及豁免的有关规定。在原控股股东被动丧失控制权前，新增的减持事项已于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日发布减持预披露公告，并严格按照相关规则进行减持及履行信披义务；在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月公司控制权变更后，中驰惠程作为 公司</w:t>
      </w:r>
      <w:r>
        <w:rPr>
          <w:rFonts w:ascii="Times New Roman" w:eastAsia="Times New Roman" w:hAnsi="Times New Roman" w:cs="Times New Roman"/>
          <w:color w:val="000000"/>
          <w:spacing w:val="0"/>
          <w:w w:val="100"/>
          <w:position w:val="0"/>
        </w:rPr>
        <w:t>5%</w:t>
      </w:r>
      <w:r>
        <w:rPr>
          <w:color w:val="000000"/>
          <w:spacing w:val="0"/>
          <w:w w:val="100"/>
          <w:position w:val="0"/>
        </w:rPr>
        <w:t>以上股东，公司将继续督促其履行相关大股东的信披义务，做好持股变动的信息披露工作。</w:t>
      </w:r>
    </w:p>
    <w:p>
      <w:pPr>
        <w:pStyle w:val="Style23"/>
        <w:keepNext w:val="0"/>
        <w:keepLines w:val="0"/>
        <w:widowControl w:val="0"/>
        <w:numPr>
          <w:ilvl w:val="0"/>
          <w:numId w:val="21"/>
        </w:numPr>
        <w:shd w:val="clear" w:color="auto" w:fill="auto"/>
        <w:bidi w:val="0"/>
        <w:spacing w:before="0" w:after="0" w:line="313" w:lineRule="exact"/>
        <w:ind w:left="0" w:right="0" w:firstLine="360"/>
        <w:jc w:val="left"/>
      </w:pPr>
      <w:bookmarkStart w:id="416" w:name="bookmark416"/>
      <w:bookmarkEnd w:id="416"/>
      <w:r>
        <w:rPr>
          <w:rFonts w:ascii="Times New Roman" w:eastAsia="Times New Roman" w:hAnsi="Times New Roman" w:cs="Times New Roman"/>
          <w:color w:val="000000"/>
          <w:spacing w:val="0"/>
          <w:w w:val="100"/>
          <w:position w:val="0"/>
        </w:rPr>
        <w:t xml:space="preserve"> </w:t>
      </w:r>
      <w:r>
        <w:rPr>
          <w:color w:val="000000"/>
          <w:spacing w:val="0"/>
          <w:w w:val="100"/>
          <w:position w:val="0"/>
        </w:rPr>
        <w:t>报告期内，公司存在被原控股股东及其关联方非经营性资金占用的情形。</w:t>
      </w:r>
    </w:p>
    <w:p>
      <w:pPr>
        <w:pStyle w:val="Style23"/>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整改情况：截至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日，公司收到控股股东委托方通过银行转账的方式归还的剩余非经营性占用资金，控股股 东及其关联方已按照出具的承诺切实执行相关还款计划，已全部归还非经营性资金占用款，非经营性资金占用余额为</w:t>
      </w:r>
      <w:r>
        <w:rPr>
          <w:rFonts w:ascii="Times New Roman" w:eastAsia="Times New Roman" w:hAnsi="Times New Roman" w:cs="Times New Roman"/>
          <w:color w:val="000000"/>
          <w:spacing w:val="0"/>
          <w:w w:val="100"/>
          <w:position w:val="0"/>
        </w:rPr>
        <w:t>0</w:t>
      </w:r>
      <w:r>
        <w:rPr>
          <w:color w:val="000000"/>
          <w:spacing w:val="0"/>
          <w:w w:val="100"/>
          <w:position w:val="0"/>
        </w:rPr>
        <w:t>元。 大信会计师事务所（特殊普通合伙）出具了《深圳市惠程信息科技股份有限公司专项审核报告》（大信专审字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11-10000 </w:t>
      </w:r>
      <w:r>
        <w:rPr>
          <w:color w:val="000000"/>
          <w:spacing w:val="0"/>
          <w:w w:val="100"/>
          <w:position w:val="0"/>
        </w:rPr>
        <w:t>号）。</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为预防非经营性资金占用的再次发生，公司修订了《公司章程》《投融资管理制度》《关联交易管理制度》等制度，强 化内部控制运行的有效性。并在后续的公司治理中，公司持续强化内部审计工作，密切关注和跟踪日常资金往来情况，并通 过进一步完善内控制度和风险管理体系建设，加强资金控制和管理，严格执行资金支付制度，切实维护公司及全体股东的合 法权益。同时，公司还督促相关人员加强对证券法律法规的学习，严格按照《证券法》《规范运作指引》《股票上市规则》 等法律法规及规范性文件的要求，加强合规意识，提高规范运作水平，杜绝类似事件发生，促进公司健康、稳定、可持续发 展。</w:t>
      </w:r>
    </w:p>
    <w:p>
      <w:pPr>
        <w:pStyle w:val="Style23"/>
        <w:keepNext w:val="0"/>
        <w:keepLines w:val="0"/>
        <w:widowControl w:val="0"/>
        <w:numPr>
          <w:ilvl w:val="0"/>
          <w:numId w:val="21"/>
        </w:numPr>
        <w:shd w:val="clear" w:color="auto" w:fill="auto"/>
        <w:tabs>
          <w:tab w:pos="620" w:val="left"/>
        </w:tabs>
        <w:bidi w:val="0"/>
        <w:spacing w:before="0" w:after="0" w:line="313" w:lineRule="exact"/>
        <w:ind w:left="0" w:right="0" w:firstLine="360"/>
        <w:jc w:val="both"/>
      </w:pPr>
      <w:bookmarkStart w:id="417" w:name="bookmark417"/>
      <w:bookmarkEnd w:id="417"/>
      <w:r>
        <w:rPr>
          <w:color w:val="000000"/>
          <w:spacing w:val="0"/>
          <w:w w:val="100"/>
          <w:position w:val="0"/>
        </w:rPr>
        <w:t>公司原控股股东及其一致行动人</w:t>
      </w:r>
      <w:r>
        <w:rPr>
          <w:rFonts w:ascii="Times New Roman" w:eastAsia="Times New Roman" w:hAnsi="Times New Roman" w:cs="Times New Roman"/>
          <w:color w:val="000000"/>
          <w:spacing w:val="0"/>
          <w:w w:val="100"/>
          <w:position w:val="0"/>
        </w:rPr>
        <w:t>2020</w:t>
      </w:r>
      <w:r>
        <w:rPr>
          <w:color w:val="000000"/>
          <w:spacing w:val="0"/>
          <w:w w:val="100"/>
          <w:position w:val="0"/>
        </w:rPr>
        <w:t>年存在未按照规定及时披露所持股份被质押等情况。</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整改措施：公司董事会高度重视信息披露义务相关管理制度的执行情况，在相关事项发生后不仅加强对原控股股东及其 一致行动人的法律法规宣传教育，同时积极配合监管部门查清事实。今后，公司董事会也将继续做好权益变动的信息披露工 作，及时向信息披露义务人传达监管精神，完善信息传递机制。</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（二）对控股子公司的管理</w:t>
      </w:r>
    </w:p>
    <w:p>
      <w:pPr>
        <w:pStyle w:val="Style23"/>
        <w:keepNext w:val="0"/>
        <w:keepLines w:val="0"/>
        <w:widowControl w:val="0"/>
        <w:shd w:val="clear" w:color="auto" w:fill="auto"/>
        <w:bidi w:val="0"/>
        <w:spacing w:before="0" w:after="0" w:line="313" w:lineRule="exact"/>
        <w:ind w:left="0" w:right="0" w:firstLine="360"/>
        <w:jc w:val="both"/>
        <w:sectPr>
          <w:footnotePr>
            <w:pos w:val="pageBottom"/>
            <w:numFmt w:val="decimal"/>
            <w:numRestart w:val="continuous"/>
          </w:footnotePr>
          <w:pgSz w:w="11900" w:h="16840"/>
          <w:pgMar w:top="1383" w:right="996" w:bottom="1460" w:left="1012" w:header="0" w:footer="3" w:gutter="0"/>
          <w:cols w:space="720"/>
          <w:noEndnote/>
          <w:rtlGutter w:val="0"/>
          <w:docGrid w:linePitch="360"/>
        </w:sectPr>
      </w:pPr>
      <w:r>
        <w:rPr>
          <w:color w:val="000000"/>
          <w:spacing w:val="0"/>
          <w:w w:val="100"/>
          <w:position w:val="0"/>
        </w:rPr>
        <w:t>详见本节</w:t>
      </w:r>
      <w:r>
        <w:rPr>
          <w:rFonts w:ascii="Times New Roman" w:eastAsia="Times New Roman" w:hAnsi="Times New Roman" w:cs="Times New Roman"/>
          <w:color w:val="000000"/>
          <w:spacing w:val="0"/>
          <w:w w:val="100"/>
          <w:position w:val="0"/>
        </w:rPr>
        <w:t>“</w:t>
      </w:r>
      <w:r>
        <w:rPr>
          <w:color w:val="000000"/>
          <w:spacing w:val="0"/>
          <w:w w:val="100"/>
          <w:position w:val="0"/>
        </w:rPr>
        <w:t>十三、公司报告期内对子公司的管理控制情况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keepLines/>
        <w:widowControl w:val="0"/>
        <w:shd w:val="clear" w:color="auto" w:fill="auto"/>
        <w:bidi w:val="0"/>
        <w:spacing w:before="580" w:after="520" w:line="240" w:lineRule="auto"/>
        <w:ind w:left="0" w:right="0" w:firstLine="0"/>
        <w:jc w:val="center"/>
      </w:pPr>
      <w:bookmarkStart w:id="418" w:name="bookmark418"/>
      <w:bookmarkStart w:id="419" w:name="bookmark419"/>
      <w:bookmarkStart w:id="420" w:name="bookmark420"/>
      <w:r>
        <w:rPr>
          <w:color w:val="000000"/>
          <w:spacing w:val="0"/>
          <w:w w:val="100"/>
          <w:position w:val="0"/>
        </w:rPr>
        <w:t>第五节环境和社会责任</w:t>
      </w:r>
      <w:bookmarkEnd w:id="418"/>
      <w:bookmarkEnd w:id="419"/>
      <w:bookmarkEnd w:id="420"/>
    </w:p>
    <w:p>
      <w:pPr>
        <w:pStyle w:val="Style28"/>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、重大环保问题</w:t>
      </w:r>
      <w:bookmarkEnd w:id="422"/>
      <w:bookmarkEnd w:id="423"/>
      <w:bookmarkEnd w:id="425"/>
      <w:bookmarkEnd w:id="42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205"/>
        <w:gridCol w:w="1277"/>
        <w:gridCol w:w="2299"/>
        <w:gridCol w:w="160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参照重点排污单位披露的其他环境信息</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报告期内，公司积极发展新能源汽车充电桩业务，为新能源汽车的实际应用提供有力支撑，符合国家双碳政策。</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未披露其他环境信息的原因</w:t>
      </w:r>
    </w:p>
    <w:p>
      <w:pPr>
        <w:pStyle w:val="Style2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公司不属于环境保护部门公布的重点排污单位。在环境保护方面，公司将环境保护和节能减排作为可持续发展战略的重 要内容，注重环保宣传和全体人员环保意识的提高，树立绿色发展和低碳发展的理念，坚持守法自律、清洁生产、节约资源、 保护环境、可持续发展，加大对新材料、新技术、新能源的探索，以改进生产工艺，争取实现生产全过程绿色化、低碳化。</w:t>
      </w:r>
    </w:p>
    <w:p>
      <w:pPr>
        <w:pStyle w:val="Style28"/>
        <w:keepNext/>
        <w:keepLines/>
        <w:widowControl w:val="0"/>
        <w:shd w:val="clear" w:color="auto" w:fill="auto"/>
        <w:bidi w:val="0"/>
        <w:spacing w:before="0" w:after="24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二</w:t>
      </w:r>
      <w:bookmarkEnd w:id="428"/>
      <w:r>
        <w:rPr>
          <w:color w:val="000000"/>
          <w:spacing w:val="0"/>
          <w:w w:val="100"/>
          <w:position w:val="0"/>
          <w:sz w:val="24"/>
          <w:szCs w:val="24"/>
        </w:rPr>
        <w:t>、社会责任情况</w:t>
      </w:r>
      <w:bookmarkEnd w:id="426"/>
      <w:bookmarkEnd w:id="427"/>
      <w:bookmarkEnd w:id="429"/>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公司自成立以来，一直积极履行自身社会责任，公司看重的不仅是经济利益，更重要的是企业和社会的可持续发展。在 生产经营和业务发展的过程中，在为股东创造价值的同时，努力做到经济效益与社会效益、短期利益与长期利益、自身发展 与社会发展协调统一，实现公司与员工、公司与社会、公司与环境的健康和谐发展。</w:t>
      </w:r>
    </w:p>
    <w:p>
      <w:pPr>
        <w:pStyle w:val="Style23"/>
        <w:keepNext w:val="0"/>
        <w:keepLines w:val="0"/>
        <w:widowControl w:val="0"/>
        <w:shd w:val="clear" w:color="auto" w:fill="auto"/>
        <w:bidi w:val="0"/>
        <w:spacing w:before="0" w:line="314" w:lineRule="exact"/>
        <w:ind w:left="0" w:right="0" w:firstLine="360"/>
        <w:jc w:val="both"/>
      </w:pPr>
      <w:r>
        <w:rPr>
          <w:color w:val="000000"/>
          <w:spacing w:val="0"/>
          <w:w w:val="100"/>
          <w:position w:val="0"/>
        </w:rPr>
        <w:t>在股东和债权人权益保护方面，公司严格按照《公司法》《证券法》《公司章程》和其他有关法律法规的要求，结合公 司实际，建立了规范的法人治理结构，规范股东大会的召集、召开及表决程序，通过现场、网络等合法有效的方式，让更多 的股东特别是中小股东能够参加股东大会，确保股东对公司重大事项的知情权、参与权和表决权。公司认真履行信息披露义 务，秉持公平、公正、公开的原则对待全体投资者和债权人，维护广大投资者和债权人的利益。</w:t>
      </w:r>
    </w:p>
    <w:p>
      <w:pPr>
        <w:pStyle w:val="Style23"/>
        <w:keepNext w:val="0"/>
        <w:keepLines w:val="0"/>
        <w:widowControl w:val="0"/>
        <w:shd w:val="clear" w:color="auto" w:fill="auto"/>
        <w:bidi w:val="0"/>
        <w:spacing w:before="0" w:line="313" w:lineRule="exact"/>
        <w:ind w:left="0" w:right="0" w:firstLine="300"/>
        <w:jc w:val="both"/>
      </w:pPr>
      <w:r>
        <w:rPr>
          <w:color w:val="000000"/>
          <w:spacing w:val="0"/>
          <w:w w:val="100"/>
          <w:position w:val="0"/>
        </w:rPr>
        <w:t>在职工权益保护方面，公司不断完善劳动用工与福利保障的相关管理制度，尊重和维护员工的个人权益，对人员录用、 员工培训、工资薪酬、福利保障等进行了详细规定，建立了较为完善的绩效考核体系。公司通过多种渠道和途径改善员工工 作环境和生活环境，重视人才培训和培养，实现员工与公司的共同成长，切实维护员工的合法权益。此外，为加强企业文化 建设，增强集体凝聚力，丰富员工文化生活，报告期内公司组织员工开展</w:t>
      </w:r>
      <w:r>
        <w:rPr>
          <w:rFonts w:ascii="Times New Roman" w:eastAsia="Times New Roman" w:hAnsi="Times New Roman" w:cs="Times New Roman"/>
          <w:color w:val="000000"/>
          <w:spacing w:val="0"/>
          <w:w w:val="100"/>
          <w:position w:val="0"/>
        </w:rPr>
        <w:t>“</w:t>
      </w:r>
      <w:r>
        <w:rPr>
          <w:color w:val="000000"/>
          <w:spacing w:val="0"/>
          <w:w w:val="100"/>
          <w:position w:val="0"/>
        </w:rPr>
        <w:t>超越自我谁与争锋</w:t>
      </w:r>
      <w:r>
        <w:rPr>
          <w:rFonts w:ascii="Times New Roman" w:eastAsia="Times New Roman" w:hAnsi="Times New Roman" w:cs="Times New Roman"/>
          <w:color w:val="000000"/>
          <w:spacing w:val="0"/>
          <w:w w:val="100"/>
          <w:position w:val="0"/>
        </w:rPr>
        <w:t>”</w:t>
      </w:r>
      <w:r>
        <w:rPr>
          <w:color w:val="000000"/>
          <w:spacing w:val="0"/>
          <w:w w:val="100"/>
          <w:position w:val="0"/>
        </w:rPr>
        <w:t>趣味拔河比赛；公司员工李 德炎先生在深圳市总工会开展的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五一劳动奖章”评选表彰中荣获</w:t>
      </w:r>
      <w:r>
        <w:rPr>
          <w:rFonts w:ascii="Times New Roman" w:eastAsia="Times New Roman" w:hAnsi="Times New Roman" w:cs="Times New Roman"/>
          <w:color w:val="000000"/>
          <w:spacing w:val="0"/>
          <w:w w:val="100"/>
          <w:position w:val="0"/>
        </w:rPr>
        <w:t>“</w:t>
      </w:r>
      <w:r>
        <w:rPr>
          <w:color w:val="000000"/>
          <w:spacing w:val="0"/>
          <w:w w:val="100"/>
          <w:position w:val="0"/>
        </w:rPr>
        <w:t>深圳市五一劳动奖章荣誉称号。公司员工刘盛斌先 生在坪山区总工会开展的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五一劳动奖章”评选表彰中荣获</w:t>
      </w:r>
      <w:r>
        <w:rPr>
          <w:rFonts w:ascii="Times New Roman" w:eastAsia="Times New Roman" w:hAnsi="Times New Roman" w:cs="Times New Roman"/>
          <w:color w:val="000000"/>
          <w:spacing w:val="0"/>
          <w:w w:val="100"/>
          <w:position w:val="0"/>
        </w:rPr>
        <w:t>“</w:t>
      </w:r>
      <w:r>
        <w:rPr>
          <w:color w:val="000000"/>
          <w:spacing w:val="0"/>
          <w:w w:val="100"/>
          <w:position w:val="0"/>
        </w:rPr>
        <w:t>坪山区五一劳动奖章荣誉称号。公司坚持维护职工合法权 益，积极开展：</w:t>
      </w:r>
      <w:r>
        <w:rPr>
          <w:rFonts w:ascii="Times New Roman" w:eastAsia="Times New Roman" w:hAnsi="Times New Roman" w:cs="Times New Roman"/>
          <w:color w:val="000000"/>
          <w:spacing w:val="0"/>
          <w:w w:val="100"/>
          <w:position w:val="0"/>
        </w:rPr>
        <w:t>“</w:t>
      </w:r>
      <w:r>
        <w:rPr>
          <w:color w:val="000000"/>
          <w:spacing w:val="0"/>
          <w:w w:val="100"/>
          <w:position w:val="0"/>
        </w:rPr>
        <w:t>学习党史不忘初心</w:t>
      </w:r>
      <w:r>
        <w:rPr>
          <w:rFonts w:ascii="Times New Roman" w:eastAsia="Times New Roman" w:hAnsi="Times New Roman" w:cs="Times New Roman"/>
          <w:color w:val="000000"/>
          <w:spacing w:val="0"/>
          <w:w w:val="100"/>
          <w:position w:val="0"/>
        </w:rPr>
        <w:t>”</w:t>
      </w:r>
      <w:r>
        <w:rPr>
          <w:color w:val="000000"/>
          <w:spacing w:val="0"/>
          <w:w w:val="100"/>
          <w:position w:val="0"/>
        </w:rPr>
        <w:t>职工知识问答活动、</w:t>
      </w:r>
      <w:r>
        <w:rPr>
          <w:rFonts w:ascii="Times New Roman" w:eastAsia="Times New Roman" w:hAnsi="Times New Roman" w:cs="Times New Roman"/>
          <w:color w:val="000000"/>
          <w:spacing w:val="0"/>
          <w:w w:val="100"/>
          <w:position w:val="0"/>
        </w:rPr>
        <w:t>“</w:t>
      </w:r>
      <w:r>
        <w:rPr>
          <w:color w:val="000000"/>
          <w:spacing w:val="0"/>
          <w:w w:val="100"/>
          <w:position w:val="0"/>
        </w:rPr>
        <w:t>学先进赶先进比技术</w:t>
      </w:r>
      <w:r>
        <w:rPr>
          <w:rFonts w:ascii="Times New Roman" w:eastAsia="Times New Roman" w:hAnsi="Times New Roman" w:cs="Times New Roman"/>
          <w:color w:val="000000"/>
          <w:spacing w:val="0"/>
          <w:w w:val="100"/>
          <w:position w:val="0"/>
        </w:rPr>
        <w:t>”</w:t>
      </w:r>
      <w:r>
        <w:rPr>
          <w:color w:val="000000"/>
          <w:spacing w:val="0"/>
          <w:w w:val="100"/>
          <w:position w:val="0"/>
        </w:rPr>
        <w:t>劳动技能竞赛活动，公司获得第三届</w:t>
      </w:r>
      <w:r>
        <w:rPr>
          <w:rFonts w:ascii="Times New Roman" w:eastAsia="Times New Roman" w:hAnsi="Times New Roman" w:cs="Times New Roman"/>
          <w:color w:val="000000"/>
          <w:spacing w:val="0"/>
          <w:w w:val="100"/>
          <w:position w:val="0"/>
        </w:rPr>
        <w:t>“</w:t>
      </w:r>
      <w:r>
        <w:rPr>
          <w:color w:val="000000"/>
          <w:spacing w:val="0"/>
          <w:w w:val="100"/>
          <w:position w:val="0"/>
        </w:rPr>
        <w:t>深 圳市企务公开民主管理示范单位</w:t>
      </w:r>
      <w:r>
        <w:rPr>
          <w:rFonts w:ascii="Times New Roman" w:eastAsia="Times New Roman" w:hAnsi="Times New Roman" w:cs="Times New Roman"/>
          <w:color w:val="000000"/>
          <w:spacing w:val="0"/>
          <w:w w:val="100"/>
          <w:position w:val="0"/>
        </w:rPr>
        <w:t>”</w:t>
      </w:r>
      <w:r>
        <w:rPr>
          <w:color w:val="000000"/>
          <w:spacing w:val="0"/>
          <w:w w:val="100"/>
          <w:position w:val="0"/>
        </w:rPr>
        <w:t>称号，公司在</w:t>
      </w:r>
      <w:r>
        <w:rPr>
          <w:rFonts w:ascii="Times New Roman" w:eastAsia="Times New Roman" w:hAnsi="Times New Roman" w:cs="Times New Roman"/>
          <w:color w:val="000000"/>
          <w:spacing w:val="0"/>
          <w:w w:val="100"/>
          <w:position w:val="0"/>
        </w:rPr>
        <w:t>“2021</w:t>
      </w:r>
      <w:r>
        <w:rPr>
          <w:color w:val="000000"/>
          <w:spacing w:val="0"/>
          <w:w w:val="100"/>
          <w:position w:val="0"/>
        </w:rPr>
        <w:t>年坪山区劳模和工匠人才创新工作室</w:t>
      </w:r>
      <w:r>
        <w:rPr>
          <w:rFonts w:ascii="Times New Roman" w:eastAsia="Times New Roman" w:hAnsi="Times New Roman" w:cs="Times New Roman"/>
          <w:color w:val="000000"/>
          <w:spacing w:val="0"/>
          <w:w w:val="100"/>
          <w:position w:val="0"/>
        </w:rPr>
        <w:t>”</w:t>
      </w:r>
      <w:r>
        <w:rPr>
          <w:color w:val="000000"/>
          <w:spacing w:val="0"/>
          <w:w w:val="100"/>
          <w:position w:val="0"/>
        </w:rPr>
        <w:t>评比中荣获</w:t>
      </w:r>
      <w:r>
        <w:rPr>
          <w:rFonts w:ascii="Times New Roman" w:eastAsia="Times New Roman" w:hAnsi="Times New Roman" w:cs="Times New Roman"/>
          <w:color w:val="000000"/>
          <w:spacing w:val="0"/>
          <w:w w:val="100"/>
          <w:position w:val="0"/>
        </w:rPr>
        <w:t>“</w:t>
      </w:r>
      <w:r>
        <w:rPr>
          <w:color w:val="000000"/>
          <w:spacing w:val="0"/>
          <w:w w:val="100"/>
          <w:position w:val="0"/>
        </w:rPr>
        <w:t>杨银泽劳模和工匠人 才创新工作室</w:t>
      </w:r>
      <w:r>
        <w:rPr>
          <w:rFonts w:ascii="Times New Roman" w:eastAsia="Times New Roman" w:hAnsi="Times New Roman" w:cs="Times New Roman"/>
          <w:color w:val="000000"/>
          <w:spacing w:val="0"/>
          <w:w w:val="100"/>
          <w:position w:val="0"/>
        </w:rPr>
        <w:t>”</w:t>
      </w:r>
      <w:r>
        <w:rPr>
          <w:color w:val="000000"/>
          <w:spacing w:val="0"/>
          <w:w w:val="100"/>
          <w:position w:val="0"/>
        </w:rPr>
        <w:t>称号，惠程科技工会委员会荣获坪山区基层工会创新项目奖两个。</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在供应商、客户和消费者权益保护方面，公司建立了一整套输配电设备采购和销售服务体系，确保产品质量，方便用户 使用，获得了较高的客户满意度和忠诚度。公司进一步加强对服务工作的重视，健全和完善服务管理体制和运行机制，做到 服务与经营工作同步推进，完善客户意见反馈机制、投诉处理机制和快速响应机制，</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的服务管理新体系、新 </w:t>
      </w:r>
      <w:r>
        <w:rPr>
          <w:color w:val="000000"/>
          <w:spacing w:val="0"/>
          <w:w w:val="100"/>
          <w:position w:val="0"/>
        </w:rPr>
        <w:t>机制日趋完善。</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在环境保护与可持续发展方面，公司将环境保护和节能减排作为可持续发展战略的重要内容，注重环保宣传和全体人员 环保意识的提高，树立绿色发展和低碳发展的理念，坚持守法自律、清洁生产、节约资源、保护环境、可持续发展，加大对 新材料、新技术、新能源的探索，以改进生产工艺，争取实现生产全过程绿色化、低碳化。</w:t>
      </w:r>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在公共关系、社会公益事业方面，公司多年前就成立了惠程股份义工协会，自成立以来一直积极组织员工参与各项爱心 活动，希望把关爱的惠程文化传播给身边每一个人，感召更多的人参与到义工活动中来。</w:t>
      </w:r>
    </w:p>
    <w:p>
      <w:pPr>
        <w:pStyle w:val="Style28"/>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三</w:t>
      </w:r>
      <w:bookmarkEnd w:id="432"/>
      <w:r>
        <w:rPr>
          <w:color w:val="000000"/>
          <w:spacing w:val="0"/>
          <w:w w:val="100"/>
          <w:position w:val="0"/>
          <w:sz w:val="24"/>
          <w:szCs w:val="24"/>
        </w:rPr>
        <w:t>、巩固拓展脱贫攻坚成果、乡村振兴的情况</w:t>
      </w:r>
      <w:bookmarkEnd w:id="430"/>
      <w:bookmarkEnd w:id="431"/>
      <w:bookmarkEnd w:id="433"/>
    </w:p>
    <w:p>
      <w:pPr>
        <w:pStyle w:val="Style23"/>
        <w:keepNext w:val="0"/>
        <w:keepLines w:val="0"/>
        <w:widowControl w:val="0"/>
        <w:shd w:val="clear" w:color="auto" w:fill="auto"/>
        <w:bidi w:val="0"/>
        <w:spacing w:before="0" w:after="260" w:line="314" w:lineRule="exact"/>
        <w:ind w:left="0" w:right="0" w:firstLine="0"/>
        <w:jc w:val="left"/>
        <w:sectPr>
          <w:footnotePr>
            <w:pos w:val="pageBottom"/>
            <w:numFmt w:val="decimal"/>
            <w:numRestart w:val="continuous"/>
          </w:footnotePr>
          <w:pgSz w:w="11900" w:h="16840"/>
          <w:pgMar w:top="1388" w:right="1045" w:bottom="1494" w:left="1086" w:header="0" w:footer="3" w:gutter="0"/>
          <w:cols w:space="720"/>
          <w:noEndnote/>
          <w:rtlGutter w:val="0"/>
          <w:docGrid w:linePitch="360"/>
        </w:sectPr>
      </w:pPr>
      <w:r>
        <w:rPr>
          <w:color w:val="000000"/>
          <w:spacing w:val="0"/>
          <w:w w:val="100"/>
          <w:position w:val="0"/>
        </w:rPr>
        <w:t>报告期内，公司子公司重庆惠程未来向重庆市的希望小学捐款</w:t>
      </w:r>
      <w:r>
        <w:rPr>
          <w:rFonts w:ascii="Times New Roman" w:eastAsia="Times New Roman" w:hAnsi="Times New Roman" w:cs="Times New Roman"/>
          <w:color w:val="000000"/>
          <w:spacing w:val="0"/>
          <w:w w:val="100"/>
          <w:position w:val="0"/>
        </w:rPr>
        <w:t>50</w:t>
      </w:r>
      <w:r>
        <w:rPr>
          <w:color w:val="000000"/>
          <w:spacing w:val="0"/>
          <w:w w:val="100"/>
          <w:position w:val="0"/>
        </w:rPr>
        <w:t>万元。</w:t>
      </w:r>
    </w:p>
    <w:p>
      <w:pPr>
        <w:pStyle w:val="Style15"/>
        <w:keepNext/>
        <w:keepLines/>
        <w:widowControl w:val="0"/>
        <w:shd w:val="clear" w:color="auto" w:fill="auto"/>
        <w:bidi w:val="0"/>
        <w:spacing w:before="560" w:after="54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28"/>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sz w:val="24"/>
          <w:szCs w:val="24"/>
        </w:rPr>
        <w:t>一</w:t>
      </w:r>
      <w:bookmarkEnd w:id="440"/>
      <w:r>
        <w:rPr>
          <w:color w:val="000000"/>
          <w:spacing w:val="0"/>
          <w:w w:val="100"/>
          <w:position w:val="0"/>
          <w:sz w:val="24"/>
          <w:szCs w:val="24"/>
        </w:rPr>
        <w:t>、承诺事项履行情况</w:t>
      </w:r>
      <w:bookmarkEnd w:id="438"/>
      <w:bookmarkEnd w:id="439"/>
      <w:bookmarkEnd w:id="441"/>
      <w:bookmarkEnd w:id="437"/>
    </w:p>
    <w:p>
      <w:pPr>
        <w:pStyle w:val="Style34"/>
        <w:keepNext/>
        <w:keepLines/>
        <w:widowControl w:val="0"/>
        <w:shd w:val="clear" w:color="auto" w:fill="auto"/>
        <w:bidi w:val="0"/>
        <w:spacing w:before="0" w:after="34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、公司实际控制人、股东、关联方、收购人以及公司等承诺相关方在报告期内履行完毕及截至报告期末尚未履行完毕的承诺事项</w:t>
      </w:r>
      <w:bookmarkEnd w:id="442"/>
      <w:bookmarkEnd w:id="443"/>
      <w:bookmarkEnd w:id="445"/>
    </w:p>
    <w:p>
      <w:pPr>
        <w:pStyle w:val="Style30"/>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32"/>
        <w:gridCol w:w="1838"/>
        <w:gridCol w:w="1704"/>
        <w:gridCol w:w="5813"/>
        <w:gridCol w:w="989"/>
        <w:gridCol w:w="1277"/>
        <w:gridCol w:w="13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履行情况</w:t>
            </w:r>
          </w:p>
        </w:tc>
      </w:tr>
      <w:tr>
        <w:trPr>
          <w:trHeight w:val="71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中驰惠程；中源信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保证深圳惠程在资产、人员、财务、业务和机构等方面独立。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在担任控股股东 期间履行完毕</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重庆绿发城市建设有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保证上市公司在人员、财务、机构、资产及业务方面继续保持独立，维 护上市公司及其社会公众股东的合法权益。</w:t>
            </w:r>
            <w:r>
              <w:rPr>
                <w:color w:val="000000"/>
                <w:spacing w:val="0"/>
                <w:w w:val="100"/>
                <w:position w:val="0"/>
              </w:rPr>
              <w:t>2.</w:t>
            </w:r>
            <w:r>
              <w:rPr>
                <w:rFonts w:ascii="SimSun" w:eastAsia="SimSun" w:hAnsi="SimSun" w:cs="SimSun"/>
                <w:color w:val="000000"/>
                <w:spacing w:val="0"/>
                <w:w w:val="100"/>
                <w:position w:val="0"/>
              </w:rPr>
              <w:t>避免与上市公司发生同业竞 争；</w:t>
            </w:r>
            <w:r>
              <w:rPr>
                <w:color w:val="000000"/>
                <w:spacing w:val="0"/>
                <w:w w:val="100"/>
                <w:position w:val="0"/>
              </w:rPr>
              <w:t>3.</w:t>
            </w:r>
            <w:r>
              <w:rPr>
                <w:rFonts w:ascii="SimSun" w:eastAsia="SimSun" w:hAnsi="SimSun" w:cs="SimSun"/>
                <w:color w:val="000000"/>
                <w:spacing w:val="0"/>
                <w:w w:val="100"/>
                <w:position w:val="0"/>
              </w:rPr>
              <w:t>减少和规范与上市公司之间可能发生的关联交易。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重庆绿发城市建设有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绿发城建作为上市公司第一大股东，承诺自本承诺函出具之日起</w:t>
            </w:r>
            <w:r>
              <w:rPr>
                <w:color w:val="000000"/>
                <w:spacing w:val="0"/>
                <w:w w:val="100"/>
                <w:position w:val="0"/>
              </w:rPr>
              <w:t>18</w:t>
            </w:r>
            <w:r>
              <w:rPr>
                <w:rFonts w:ascii="SimSun" w:eastAsia="SimSun" w:hAnsi="SimSun" w:cs="SimSun"/>
                <w:color w:val="000000"/>
                <w:spacing w:val="0"/>
                <w:w w:val="100"/>
                <w:position w:val="0"/>
              </w:rPr>
              <w:t>个月 内，采用任何形式的合法手段以维持本公司对上市公司的控制权，具体内 容详见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日披露的《关于公司控股股东和实际控制人变更的 提示性公告》（公告编号：</w:t>
            </w:r>
            <w:r>
              <w:rPr>
                <w:color w:val="000000"/>
                <w:spacing w:val="0"/>
                <w:w w:val="100"/>
                <w:position w:val="0"/>
              </w:rPr>
              <w:t>2021-107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7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日至</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33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资产重组时</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中驰惠程；中源信；信 中利；汪超涌、田勇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自身及其控制的企业不会直接或间接从事或参与任何与深圳惠程及其下</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属企业构成竞争的任何业务或活动，不以任何方式从事或参与任何与深圳 惠程及其下属企业业务相同、相似或可能取代深圳惠程及其下属企业业务 的活动。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在担任控股股东 期间履行完毕</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自交易完成之日起六十个月内，保证不主动放弃对上市公司的控股股东地 位，详见</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日《重大资产购买暨关联交易报告书（草案）（二 次修订稿）》。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违反承诺</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汪超涌；李亦非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自交易完成之日起六十个月内，本人及本人控制的主体保证不会主动放弃 对上市公司的控制权，保证上市公司控制权不发生变化，详见</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违反承诺</w:t>
            </w:r>
          </w:p>
        </w:tc>
      </w:tr>
    </w:tbl>
    <w:p>
      <w:pPr>
        <w:spacing w:lineRule="exact" w:line="1"/>
        <w:rPr>
          <w:sz w:val="2"/>
          <w:szCs w:val="2"/>
        </w:rPr>
      </w:pPr>
      <w:r>
        <w:br w:type="page"/>
      </w:r>
    </w:p>
    <w:tbl>
      <w:tblPr>
        <w:tblOverlap w:val="never"/>
        <w:jc w:val="center"/>
        <w:tblLayout w:type="fixed"/>
      </w:tblPr>
      <w:tblGrid>
        <w:gridCol w:w="1032"/>
        <w:gridCol w:w="1838"/>
        <w:gridCol w:w="1704"/>
        <w:gridCol w:w="5813"/>
        <w:gridCol w:w="989"/>
        <w:gridCol w:w="1277"/>
        <w:gridCol w:w="1382"/>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日《重大资产购买暨关联交易报告书（草案）（二次修订稿）》。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信中利；中源信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自交易完成之日起六十个月内，本公司（本企业）保证在维护上市公司实 际控制权稳定的前提下不主动终止与上市公司控股股东的一致行动关系， 并积极维护上市公司实际控制权的稳定。详见</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日《重大 资产购买暨关联交易报告书（草案）（二次修订稿）》。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违反承诺</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本次交易完成后，本人及本人控制的企业不会直接或间接经营任何与哆可 梦、上市公司及其下属公司经营的业务构成竞争或可能构成竞争的业务， 亦不会投资任何与哆可梦、上市公司及其下属公司经营的业务构成竞争或 可能构成竞争的其他企业。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本次交易完成后，本人及本人控制的企业将尽可能减少与上市公司及其下 属公司的关联交易，若发生必要且不可避免的关联交易，保证关联交易价 格具有公允性，不损害上市公司及上市公司其他股东的合法权益。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本次交易完成后，本人不会占用哆可梦的资金或要求其为本人及本人控制 的企业提供担保，否则，本人应承担个别及连带责任。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若因哆可梦及其下属子公司存在因资产交割日前已形成的事实原因受到 相关主管部门处罚，而导致哆可梦及其下属子公司遭受罚款或其他经济损 失的，由本人无条件代哆可梦及其下属子公司承担，并放弃对哆可梦及其 下属子公司的追索权。详见</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日《重大资产购买暨关联交 易报告书（草案）（二次修订稿）》。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本人在哆可梦（包括其全资</w:t>
            </w:r>
            <w:r>
              <w:rPr>
                <w:color w:val="000000"/>
                <w:spacing w:val="0"/>
                <w:w w:val="100"/>
                <w:position w:val="0"/>
              </w:rPr>
              <w:t>/</w:t>
            </w:r>
            <w:r>
              <w:rPr>
                <w:rFonts w:ascii="SimSun" w:eastAsia="SimSun" w:hAnsi="SimSun" w:cs="SimSun"/>
                <w:color w:val="000000"/>
                <w:spacing w:val="0"/>
                <w:w w:val="100"/>
                <w:position w:val="0"/>
              </w:rPr>
              <w:t>控股子公司、参股公司、分公司）的任职期限 将自哆可梦</w:t>
            </w:r>
            <w:r>
              <w:rPr>
                <w:color w:val="000000"/>
                <w:spacing w:val="0"/>
                <w:w w:val="100"/>
                <w:position w:val="0"/>
              </w:rPr>
              <w:t>77.57%</w:t>
            </w:r>
            <w:r>
              <w:rPr>
                <w:rFonts w:ascii="SimSun" w:eastAsia="SimSun" w:hAnsi="SimSun" w:cs="SimSun"/>
                <w:color w:val="000000"/>
                <w:spacing w:val="0"/>
                <w:w w:val="100"/>
                <w:position w:val="0"/>
              </w:rPr>
              <w:t>股权过户至上市公司名下之日起不少于</w:t>
            </w:r>
            <w:r>
              <w:rPr>
                <w:color w:val="000000"/>
                <w:spacing w:val="0"/>
                <w:w w:val="100"/>
                <w:position w:val="0"/>
              </w:rPr>
              <w:t>4</w:t>
            </w:r>
            <w:r>
              <w:rPr>
                <w:rFonts w:ascii="SimSun" w:eastAsia="SimSun" w:hAnsi="SimSun" w:cs="SimSun"/>
                <w:color w:val="000000"/>
                <w:spacing w:val="0"/>
                <w:w w:val="100"/>
                <w:position w:val="0"/>
              </w:rPr>
              <w:t>年（</w:t>
            </w:r>
            <w:r>
              <w:rPr>
                <w:color w:val="000000"/>
                <w:spacing w:val="0"/>
                <w:w w:val="100"/>
                <w:position w:val="0"/>
              </w:rPr>
              <w:t>365</w:t>
            </w:r>
            <w:r>
              <w:rPr>
                <w:rFonts w:ascii="SimSun" w:eastAsia="SimSun" w:hAnsi="SimSun" w:cs="SimSun"/>
                <w:color w:val="000000"/>
                <w:spacing w:val="0"/>
                <w:w w:val="100"/>
                <w:position w:val="0"/>
              </w:rPr>
              <w:t xml:space="preserve">天为 </w:t>
            </w:r>
            <w:r>
              <w:rPr>
                <w:color w:val="000000"/>
                <w:spacing w:val="0"/>
                <w:w w:val="100"/>
                <w:position w:val="0"/>
              </w:rPr>
              <w:t>1</w:t>
            </w:r>
            <w:r>
              <w:rPr>
                <w:rFonts w:ascii="SimSun" w:eastAsia="SimSun" w:hAnsi="SimSun" w:cs="SimSun"/>
                <w:color w:val="000000"/>
                <w:spacing w:val="0"/>
                <w:w w:val="100"/>
                <w:position w:val="0"/>
              </w:rPr>
              <w:t xml:space="preserve">年），且不得无故解除与哆可梦的劳动合同。本人在资产交割日前与哆可 梦签订令上市公司满意的竞业禁止协议，且在哆可梦任职期间以及离职后 </w:t>
            </w:r>
            <w:r>
              <w:rPr>
                <w:color w:val="000000"/>
                <w:spacing w:val="0"/>
                <w:w w:val="100"/>
                <w:position w:val="0"/>
              </w:rPr>
              <w:t>2</w:t>
            </w:r>
            <w:r>
              <w:rPr>
                <w:rFonts w:ascii="SimSun" w:eastAsia="SimSun" w:hAnsi="SimSun" w:cs="SimSun"/>
                <w:color w:val="000000"/>
                <w:spacing w:val="0"/>
                <w:w w:val="100"/>
                <w:position w:val="0"/>
              </w:rPr>
              <w:t>年内，不从事与哆可梦相同或竞争的业务。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陈家斌；杨莲莲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本人在哆可梦（包括其全资</w:t>
            </w:r>
            <w:r>
              <w:rPr>
                <w:color w:val="000000"/>
                <w:spacing w:val="0"/>
                <w:w w:val="100"/>
                <w:position w:val="0"/>
              </w:rPr>
              <w:t>/</w:t>
            </w:r>
            <w:r>
              <w:rPr>
                <w:rFonts w:ascii="SimSun" w:eastAsia="SimSun" w:hAnsi="SimSun" w:cs="SimSun"/>
                <w:color w:val="000000"/>
                <w:spacing w:val="0"/>
                <w:w w:val="100"/>
                <w:position w:val="0"/>
              </w:rPr>
              <w:t>控股子公司、参股公司、分公司）的任职期限 将自哆可梦</w:t>
            </w:r>
            <w:r>
              <w:rPr>
                <w:color w:val="000000"/>
                <w:spacing w:val="0"/>
                <w:w w:val="100"/>
                <w:position w:val="0"/>
              </w:rPr>
              <w:t>77.57%</w:t>
            </w:r>
            <w:r>
              <w:rPr>
                <w:rFonts w:ascii="SimSun" w:eastAsia="SimSun" w:hAnsi="SimSun" w:cs="SimSun"/>
                <w:color w:val="000000"/>
                <w:spacing w:val="0"/>
                <w:w w:val="100"/>
                <w:position w:val="0"/>
              </w:rPr>
              <w:t>股权过户至上市公司名下之日起不少于</w:t>
            </w:r>
            <w:r>
              <w:rPr>
                <w:color w:val="000000"/>
                <w:spacing w:val="0"/>
                <w:w w:val="100"/>
                <w:position w:val="0"/>
              </w:rPr>
              <w:t>3</w:t>
            </w:r>
            <w:r>
              <w:rPr>
                <w:rFonts w:ascii="SimSun" w:eastAsia="SimSun" w:hAnsi="SimSun" w:cs="SimSun"/>
                <w:color w:val="000000"/>
                <w:spacing w:val="0"/>
                <w:w w:val="100"/>
                <w:position w:val="0"/>
              </w:rPr>
              <w:t>年，且不得无 故解除与哆可梦的劳动合同。本人在资产交割日前与哆可梦签订令上市公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032"/>
        <w:gridCol w:w="1838"/>
        <w:gridCol w:w="1704"/>
        <w:gridCol w:w="5813"/>
        <w:gridCol w:w="989"/>
        <w:gridCol w:w="1277"/>
        <w:gridCol w:w="1382"/>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司满意的竞业禁止协议，且在哆可梦任职期间以及离职后</w:t>
            </w:r>
            <w:r>
              <w:rPr>
                <w:color w:val="000000"/>
                <w:spacing w:val="0"/>
                <w:w w:val="100"/>
                <w:position w:val="0"/>
              </w:rPr>
              <w:t>2</w:t>
            </w:r>
            <w:r>
              <w:rPr>
                <w:rFonts w:ascii="SimSun" w:eastAsia="SimSun" w:hAnsi="SimSun" w:cs="SimSun"/>
                <w:color w:val="000000"/>
                <w:spacing w:val="0"/>
                <w:w w:val="100"/>
                <w:position w:val="0"/>
              </w:rPr>
              <w:t>年内，不从事 与哆可梦相同或竞争的业务。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寇汉；林嘉喜；宁夏和 中股权投资管理合伙 企业（有限合伙）；深 圳国金凯撒创业投资 企业（有限合伙）；深 圳市岚悦网络科技有 限公司；完美世界（北 京）软件科技发展有限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本次交易不涉及本方（本人）在取得交易对价后购买上市公司股票的约定 或安排，也不涉及与上市公司其他股东达成股票购买的约定或安排；自本 声明签署后直至本次交易完成后</w:t>
            </w:r>
            <w:r>
              <w:rPr>
                <w:color w:val="000000"/>
                <w:spacing w:val="0"/>
                <w:w w:val="100"/>
                <w:position w:val="0"/>
              </w:rPr>
              <w:t>60</w:t>
            </w:r>
            <w:r>
              <w:rPr>
                <w:rFonts w:ascii="SimSun" w:eastAsia="SimSun" w:hAnsi="SimSun" w:cs="SimSun"/>
                <w:color w:val="000000"/>
                <w:spacing w:val="0"/>
                <w:w w:val="100"/>
                <w:position w:val="0"/>
              </w:rPr>
              <w:t>个月内，本方（本人）并不因本次交 易而直接或间接持有上市公司的股份，也没有以任何方式单独或与他人共 同谋求上市公司控制权，或使上市公司股权结构发生重大变化的计划、意 向或安排。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02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股权激励承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公司承诺，不得为激励对象依本激励计划获取有关股票期权或限制性股票 提供贷款以及其他任何形式的财务资助，包括为其贷款提供担保。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日至</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陈晓兰</w:t>
            </w:r>
            <w:r>
              <w:rPr>
                <w:color w:val="000000"/>
                <w:spacing w:val="0"/>
                <w:w w:val="100"/>
                <w:position w:val="0"/>
              </w:rPr>
              <w:t>;</w:t>
            </w:r>
            <w:r>
              <w:rPr>
                <w:rFonts w:ascii="SimSun" w:eastAsia="SimSun" w:hAnsi="SimSun" w:cs="SimSun"/>
                <w:color w:val="000000"/>
                <w:spacing w:val="0"/>
                <w:w w:val="100"/>
                <w:position w:val="0"/>
              </w:rPr>
              <w:t>付汝峰</w:t>
            </w:r>
            <w:r>
              <w:rPr>
                <w:color w:val="000000"/>
                <w:spacing w:val="0"/>
                <w:w w:val="100"/>
                <w:position w:val="0"/>
              </w:rPr>
              <w:t>;</w:t>
            </w:r>
            <w:r>
              <w:rPr>
                <w:rFonts w:ascii="SimSun" w:eastAsia="SimSun" w:hAnsi="SimSun" w:cs="SimSun"/>
                <w:color w:val="000000"/>
                <w:spacing w:val="0"/>
                <w:w w:val="100"/>
                <w:position w:val="0"/>
              </w:rPr>
              <w:t>何金子</w:t>
            </w:r>
            <w:r>
              <w:rPr>
                <w:color w:val="000000"/>
                <w:spacing w:val="0"/>
                <w:w w:val="100"/>
                <w:position w:val="0"/>
              </w:rPr>
              <w:t xml:space="preserve">; </w:t>
            </w:r>
            <w:r>
              <w:rPr>
                <w:rFonts w:ascii="SimSun" w:eastAsia="SimSun" w:hAnsi="SimSun" w:cs="SimSun"/>
                <w:color w:val="000000"/>
                <w:spacing w:val="0"/>
                <w:w w:val="100"/>
                <w:position w:val="0"/>
              </w:rPr>
              <w:t>何祥明</w:t>
            </w:r>
            <w:r>
              <w:rPr>
                <w:color w:val="000000"/>
                <w:spacing w:val="0"/>
                <w:w w:val="100"/>
                <w:position w:val="0"/>
              </w:rPr>
              <w:t>;</w:t>
            </w:r>
            <w:r>
              <w:rPr>
                <w:rFonts w:ascii="SimSun" w:eastAsia="SimSun" w:hAnsi="SimSun" w:cs="SimSun"/>
                <w:color w:val="000000"/>
                <w:spacing w:val="0"/>
                <w:w w:val="100"/>
                <w:position w:val="0"/>
              </w:rPr>
              <w:t>贺庆华</w:t>
            </w:r>
            <w:r>
              <w:rPr>
                <w:color w:val="000000"/>
                <w:spacing w:val="0"/>
                <w:w w:val="100"/>
                <w:position w:val="0"/>
              </w:rPr>
              <w:t>;</w:t>
            </w:r>
            <w:r>
              <w:rPr>
                <w:rFonts w:ascii="SimSun" w:eastAsia="SimSun" w:hAnsi="SimSun" w:cs="SimSun"/>
                <w:color w:val="000000"/>
                <w:spacing w:val="0"/>
                <w:w w:val="100"/>
                <w:position w:val="0"/>
              </w:rPr>
              <w:t>寇汉</w:t>
            </w:r>
            <w:r>
              <w:rPr>
                <w:color w:val="000000"/>
                <w:spacing w:val="0"/>
                <w:w w:val="100"/>
                <w:position w:val="0"/>
              </w:rPr>
              <w:t>;</w:t>
            </w:r>
            <w:r>
              <w:rPr>
                <w:rFonts w:ascii="SimSun" w:eastAsia="SimSun" w:hAnsi="SimSun" w:cs="SimSun"/>
                <w:color w:val="000000"/>
                <w:spacing w:val="0"/>
                <w:w w:val="100"/>
                <w:position w:val="0"/>
              </w:rPr>
              <w:t>刘 锦</w:t>
            </w:r>
            <w:r>
              <w:rPr>
                <w:color w:val="000000"/>
                <w:spacing w:val="0"/>
                <w:w w:val="100"/>
                <w:position w:val="0"/>
              </w:rPr>
              <w:t>;</w:t>
            </w:r>
            <w:r>
              <w:rPr>
                <w:rFonts w:ascii="SimSun" w:eastAsia="SimSun" w:hAnsi="SimSun" w:cs="SimSun"/>
                <w:color w:val="000000"/>
                <w:spacing w:val="0"/>
                <w:w w:val="100"/>
                <w:position w:val="0"/>
              </w:rPr>
              <w:t>刘维</w:t>
            </w:r>
            <w:r>
              <w:rPr>
                <w:color w:val="000000"/>
                <w:spacing w:val="0"/>
                <w:w w:val="100"/>
                <w:position w:val="0"/>
              </w:rPr>
              <w:t>;</w:t>
            </w:r>
            <w:r>
              <w:rPr>
                <w:rFonts w:ascii="SimSun" w:eastAsia="SimSun" w:hAnsi="SimSun" w:cs="SimSun"/>
                <w:color w:val="000000"/>
                <w:spacing w:val="0"/>
                <w:w w:val="100"/>
                <w:position w:val="0"/>
              </w:rPr>
              <w:t>彭冬喜</w:t>
            </w:r>
            <w:r>
              <w:rPr>
                <w:color w:val="000000"/>
                <w:spacing w:val="0"/>
                <w:w w:val="100"/>
                <w:position w:val="0"/>
              </w:rPr>
              <w:t>;</w:t>
            </w:r>
            <w:r>
              <w:rPr>
                <w:rFonts w:ascii="SimSun" w:eastAsia="SimSun" w:hAnsi="SimSun" w:cs="SimSun"/>
                <w:color w:val="000000"/>
                <w:spacing w:val="0"/>
                <w:w w:val="100"/>
                <w:position w:val="0"/>
              </w:rPr>
              <w:t>王檀</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王伟</w:t>
            </w:r>
            <w:r>
              <w:rPr>
                <w:color w:val="000000"/>
                <w:spacing w:val="0"/>
                <w:w w:val="100"/>
                <w:position w:val="0"/>
              </w:rPr>
              <w:t>;</w:t>
            </w:r>
            <w:r>
              <w:rPr>
                <w:rFonts w:ascii="SimSun" w:eastAsia="SimSun" w:hAnsi="SimSun" w:cs="SimSun"/>
                <w:color w:val="000000"/>
                <w:spacing w:val="0"/>
                <w:w w:val="100"/>
                <w:position w:val="0"/>
              </w:rPr>
              <w:t>王蔚</w:t>
            </w:r>
            <w:r>
              <w:rPr>
                <w:color w:val="000000"/>
                <w:spacing w:val="0"/>
                <w:w w:val="100"/>
                <w:position w:val="0"/>
              </w:rPr>
              <w:t>;</w:t>
            </w:r>
            <w:r>
              <w:rPr>
                <w:rFonts w:ascii="SimSun" w:eastAsia="SimSun" w:hAnsi="SimSun" w:cs="SimSun"/>
                <w:color w:val="000000"/>
                <w:spacing w:val="0"/>
                <w:w w:val="100"/>
                <w:position w:val="0"/>
              </w:rPr>
              <w:t>肖心羽</w:t>
            </w:r>
            <w:r>
              <w:rPr>
                <w:color w:val="000000"/>
                <w:spacing w:val="0"/>
                <w:w w:val="100"/>
                <w:position w:val="0"/>
              </w:rPr>
              <w:t>;</w:t>
            </w:r>
            <w:r>
              <w:rPr>
                <w:rFonts w:ascii="SimSun" w:eastAsia="SimSun" w:hAnsi="SimSun" w:cs="SimSun"/>
                <w:color w:val="000000"/>
                <w:spacing w:val="0"/>
                <w:w w:val="100"/>
                <w:position w:val="0"/>
              </w:rPr>
              <w:t>谢海 涛</w:t>
            </w:r>
            <w:r>
              <w:rPr>
                <w:color w:val="000000"/>
                <w:spacing w:val="0"/>
                <w:w w:val="100"/>
                <w:position w:val="0"/>
              </w:rPr>
              <w:t>;</w:t>
            </w:r>
            <w:r>
              <w:rPr>
                <w:rFonts w:ascii="SimSun" w:eastAsia="SimSun" w:hAnsi="SimSun" w:cs="SimSun"/>
                <w:color w:val="000000"/>
                <w:spacing w:val="0"/>
                <w:w w:val="100"/>
                <w:position w:val="0"/>
              </w:rPr>
              <w:t>谢佩玲</w:t>
            </w:r>
            <w:r>
              <w:rPr>
                <w:color w:val="000000"/>
                <w:spacing w:val="0"/>
                <w:w w:val="100"/>
                <w:position w:val="0"/>
              </w:rPr>
              <w:t>;</w:t>
            </w:r>
            <w:r>
              <w:rPr>
                <w:rFonts w:ascii="SimSun" w:eastAsia="SimSun" w:hAnsi="SimSun" w:cs="SimSun"/>
                <w:color w:val="000000"/>
                <w:spacing w:val="0"/>
                <w:w w:val="100"/>
                <w:position w:val="0"/>
              </w:rPr>
              <w:t>杨莲莲</w:t>
            </w:r>
            <w:r>
              <w:rPr>
                <w:color w:val="000000"/>
                <w:spacing w:val="0"/>
                <w:w w:val="100"/>
                <w:position w:val="0"/>
              </w:rPr>
              <w:t>;</w:t>
            </w:r>
            <w:r>
              <w:rPr>
                <w:rFonts w:ascii="SimSun" w:eastAsia="SimSun" w:hAnsi="SimSun" w:cs="SimSun"/>
                <w:color w:val="000000"/>
                <w:spacing w:val="0"/>
                <w:w w:val="100"/>
                <w:position w:val="0"/>
              </w:rPr>
              <w:t>杨 芸</w:t>
            </w:r>
            <w:r>
              <w:rPr>
                <w:color w:val="000000"/>
                <w:spacing w:val="0"/>
                <w:w w:val="100"/>
                <w:position w:val="0"/>
              </w:rPr>
              <w:t>;</w:t>
            </w:r>
            <w:r>
              <w:rPr>
                <w:rFonts w:ascii="SimSun" w:eastAsia="SimSun" w:hAnsi="SimSun" w:cs="SimSun"/>
                <w:color w:val="000000"/>
                <w:spacing w:val="0"/>
                <w:w w:val="100"/>
                <w:position w:val="0"/>
              </w:rPr>
              <w:t>朱波</w:t>
            </w:r>
            <w:r>
              <w:rPr>
                <w:color w:val="000000"/>
                <w:spacing w:val="0"/>
                <w:w w:val="100"/>
                <w:position w:val="0"/>
              </w:rPr>
              <w:t>;</w:t>
            </w:r>
            <w:r>
              <w:rPr>
                <w:rFonts w:ascii="SimSun" w:eastAsia="SimSun" w:hAnsi="SimSun" w:cs="SimSun"/>
                <w:color w:val="000000"/>
                <w:spacing w:val="0"/>
                <w:w w:val="100"/>
                <w:position w:val="0"/>
              </w:rPr>
              <w:t>祝羽晋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激励对象在《深圳市惠程信息科技股份有限公司</w:t>
            </w:r>
            <w:r>
              <w:rPr>
                <w:color w:val="000000"/>
                <w:spacing w:val="0"/>
                <w:w w:val="100"/>
                <w:position w:val="0"/>
              </w:rPr>
              <w:t>2021</w:t>
            </w:r>
            <w:r>
              <w:rPr>
                <w:rFonts w:ascii="SimSun" w:eastAsia="SimSun" w:hAnsi="SimSun" w:cs="SimSun"/>
                <w:color w:val="000000"/>
                <w:spacing w:val="0"/>
                <w:w w:val="100"/>
                <w:position w:val="0"/>
              </w:rPr>
              <w:t>年股票期权与限制 性股票激励计划（草案）》中承诺，若公司因信息披露文件中有虚假记载、 误导性陈述或者重大遗漏，导致不符合授予权益或行使权益安排的，激励 对象自相关信息披露文件被确认存在虚假记载、误导性陈述或者重大遗漏 后，将由参与本激励计划所获得的全部利益返还公司。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日至</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33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重庆绿发城市建设有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股份增持承诺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公司控股股东重庆绿发城市建设有限公司拟于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日起</w:t>
            </w:r>
            <w:r>
              <w:rPr>
                <w:color w:val="000000"/>
                <w:spacing w:val="0"/>
                <w:w w:val="100"/>
                <w:position w:val="0"/>
              </w:rPr>
              <w:t>6</w:t>
            </w:r>
            <w:r>
              <w:rPr>
                <w:rFonts w:ascii="SimSun" w:eastAsia="SimSun" w:hAnsi="SimSun" w:cs="SimSun"/>
                <w:color w:val="000000"/>
                <w:spacing w:val="0"/>
                <w:w w:val="100"/>
                <w:position w:val="0"/>
              </w:rPr>
              <w:t>个 月内，以不低于</w:t>
            </w:r>
            <w:r>
              <w:rPr>
                <w:color w:val="000000"/>
                <w:spacing w:val="0"/>
                <w:w w:val="100"/>
                <w:position w:val="0"/>
              </w:rPr>
              <w:t>1</w:t>
            </w:r>
            <w:r>
              <w:rPr>
                <w:rFonts w:ascii="SimSun" w:eastAsia="SimSun" w:hAnsi="SimSun" w:cs="SimSun"/>
                <w:color w:val="000000"/>
                <w:spacing w:val="0"/>
                <w:w w:val="100"/>
                <w:position w:val="0"/>
              </w:rPr>
              <w:t>亿元人民币的自有或自筹资金通过深圳证券交易所交易 系统允许的方式，包括但不限于集中竞价、连续竞价和大宗交易等方式增 持公司股份。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北京信中利投资股份 有限公司</w:t>
            </w:r>
            <w:r>
              <w:rPr>
                <w:color w:val="000000"/>
                <w:spacing w:val="0"/>
                <w:w w:val="100"/>
                <w:position w:val="0"/>
              </w:rPr>
              <w:t>;</w:t>
            </w:r>
            <w:r>
              <w:rPr>
                <w:rFonts w:ascii="SimSun" w:eastAsia="SimSun" w:hAnsi="SimSun" w:cs="SimSun"/>
                <w:color w:val="000000"/>
                <w:spacing w:val="0"/>
                <w:w w:val="100"/>
                <w:position w:val="0"/>
              </w:rPr>
              <w:t>共青城中源</w:t>
            </w:r>
          </w:p>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信投资管理合伙企业</w:t>
            </w:r>
          </w:p>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田勇</w:t>
            </w:r>
            <w:r>
              <w:rPr>
                <w:color w:val="000000"/>
                <w:spacing w:val="0"/>
                <w:w w:val="100"/>
                <w:position w:val="0"/>
              </w:rPr>
              <w:t>;</w:t>
            </w:r>
            <w:r>
              <w:rPr>
                <w:rFonts w:ascii="SimSun" w:eastAsia="SimSun" w:hAnsi="SimSun" w:cs="SimSun"/>
                <w:color w:val="000000"/>
                <w:spacing w:val="0"/>
                <w:w w:val="100"/>
                <w:position w:val="0"/>
              </w:rPr>
              <w:t>汪 超涌</w:t>
            </w:r>
            <w:r>
              <w:rPr>
                <w:color w:val="000000"/>
                <w:spacing w:val="0"/>
                <w:w w:val="100"/>
                <w:position w:val="0"/>
              </w:rPr>
              <w:t>;</w:t>
            </w:r>
            <w:r>
              <w:rPr>
                <w:rFonts w:ascii="SimSun" w:eastAsia="SimSun" w:hAnsi="SimSun" w:cs="SimSun"/>
                <w:color w:val="000000"/>
                <w:spacing w:val="0"/>
                <w:w w:val="100"/>
                <w:position w:val="0"/>
              </w:rPr>
              <w:t>中驰惠程企业管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在作为深圳惠程控股股东及一致行动人、实际控制人期间，及上述期间届 满（或终止）后</w:t>
            </w:r>
            <w:r>
              <w:rPr>
                <w:color w:val="000000"/>
                <w:spacing w:val="0"/>
                <w:w w:val="100"/>
                <w:position w:val="0"/>
              </w:rPr>
              <w:t>12</w:t>
            </w:r>
            <w:r>
              <w:rPr>
                <w:rFonts w:ascii="SimSun" w:eastAsia="SimSun" w:hAnsi="SimSun" w:cs="SimSun"/>
                <w:color w:val="000000"/>
                <w:spacing w:val="0"/>
                <w:w w:val="100"/>
                <w:position w:val="0"/>
              </w:rPr>
              <w:t>月内不会直接或间接从事或参与任何与深圳惠程及其 下属企业构成竞争的任何业务或活动，不以任何方式从事或参与任何与深 圳惠程及其下属企业业务相同、相似或可能取代深圳惠程及其下属企业业 务的活动。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right"/>
        <w:tblLayout w:type="fixed"/>
      </w:tblPr>
      <w:tblGrid>
        <w:gridCol w:w="1843"/>
        <w:gridCol w:w="1704"/>
        <w:gridCol w:w="5813"/>
        <w:gridCol w:w="989"/>
        <w:gridCol w:w="1277"/>
        <w:gridCol w:w="1382"/>
      </w:tblGrid>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汪超涌</w:t>
            </w:r>
            <w:r>
              <w:rPr>
                <w:color w:val="000000"/>
                <w:spacing w:val="0"/>
                <w:w w:val="100"/>
                <w:position w:val="0"/>
              </w:rPr>
              <w:t>;</w:t>
            </w:r>
            <w:r>
              <w:rPr>
                <w:rFonts w:ascii="SimSun" w:eastAsia="SimSun" w:hAnsi="SimSun" w:cs="SimSun"/>
                <w:color w:val="000000"/>
                <w:spacing w:val="0"/>
                <w:w w:val="100"/>
                <w:position w:val="0"/>
              </w:rPr>
              <w:t>中驰惠程企业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关于同业竞争、关联 交易、资金占用方面 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在惠程科技</w:t>
            </w:r>
            <w:r>
              <w:rPr>
                <w:color w:val="000000"/>
                <w:spacing w:val="0"/>
                <w:w w:val="100"/>
                <w:position w:val="0"/>
              </w:rPr>
              <w:t>2020</w:t>
            </w:r>
            <w:r>
              <w:rPr>
                <w:rFonts w:ascii="SimSun" w:eastAsia="SimSun" w:hAnsi="SimSun" w:cs="SimSun"/>
                <w:color w:val="000000"/>
                <w:spacing w:val="0"/>
                <w:w w:val="100"/>
                <w:position w:val="0"/>
              </w:rPr>
              <w:t>年年度报告披露前（</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日之前），将尽快 通过以现金、现金等价物或其它优质资产以资抵债等多种形式积极解决资 金占用问题，且尽量在一个月之内偿还上述占用资金；</w:t>
            </w:r>
            <w:r>
              <w:rPr>
                <w:color w:val="000000"/>
                <w:spacing w:val="0"/>
                <w:w w:val="100"/>
                <w:position w:val="0"/>
              </w:rPr>
              <w:t>2.</w:t>
            </w:r>
            <w:r>
              <w:rPr>
                <w:rFonts w:ascii="SimSun" w:eastAsia="SimSun" w:hAnsi="SimSun" w:cs="SimSun"/>
                <w:color w:val="000000"/>
                <w:spacing w:val="0"/>
                <w:w w:val="100"/>
                <w:position w:val="0"/>
              </w:rPr>
              <w:t>未来，将严格遵 守《深圳证券交易所上市公司规范运作指引》、《关于规范上市公司与关联 方资金往来及上市公司对外担保若干问题的通知》（证监会公告</w:t>
            </w:r>
            <w:r>
              <w:rPr>
                <w:color w:val="000000"/>
                <w:spacing w:val="0"/>
                <w:w w:val="100"/>
                <w:position w:val="0"/>
              </w:rPr>
              <w:t xml:space="preserve">[2017]16 </w:t>
            </w:r>
            <w:r>
              <w:rPr>
                <w:rFonts w:ascii="SimSun" w:eastAsia="SimSun" w:hAnsi="SimSun" w:cs="SimSun"/>
                <w:color w:val="000000"/>
                <w:spacing w:val="0"/>
                <w:w w:val="100"/>
                <w:position w:val="0"/>
              </w:rPr>
              <w:t>号）等相关法律法规和政策性文件，承诺不以任何形式占用惠程科技的资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Key Ke Liu;WAN XIAO YANG;</w:t>
            </w:r>
            <w:r>
              <w:rPr>
                <w:rFonts w:ascii="SimSun" w:eastAsia="SimSun" w:hAnsi="SimSun" w:cs="SimSun"/>
                <w:color w:val="000000"/>
                <w:spacing w:val="0"/>
                <w:w w:val="100"/>
                <w:position w:val="0"/>
              </w:rPr>
              <w:t>陈丹</w:t>
            </w:r>
            <w:r>
              <w:rPr>
                <w:color w:val="000000"/>
                <w:spacing w:val="0"/>
                <w:w w:val="100"/>
                <w:position w:val="0"/>
              </w:rPr>
              <w:t>;</w:t>
            </w:r>
            <w:r>
              <w:rPr>
                <w:rFonts w:ascii="SimSun" w:eastAsia="SimSun" w:hAnsi="SimSun" w:cs="SimSun"/>
                <w:color w:val="000000"/>
                <w:spacing w:val="0"/>
                <w:w w:val="100"/>
                <w:position w:val="0"/>
              </w:rPr>
              <w:t>付 汝峰</w:t>
            </w:r>
            <w:r>
              <w:rPr>
                <w:color w:val="000000"/>
                <w:spacing w:val="0"/>
                <w:w w:val="100"/>
                <w:position w:val="0"/>
              </w:rPr>
              <w:t>;</w:t>
            </w:r>
            <w:r>
              <w:rPr>
                <w:rFonts w:ascii="SimSun" w:eastAsia="SimSun" w:hAnsi="SimSun" w:cs="SimSun"/>
                <w:color w:val="000000"/>
                <w:spacing w:val="0"/>
                <w:w w:val="100"/>
                <w:position w:val="0"/>
              </w:rPr>
              <w:t>何金子</w:t>
            </w:r>
            <w:r>
              <w:rPr>
                <w:color w:val="000000"/>
                <w:spacing w:val="0"/>
                <w:w w:val="100"/>
                <w:position w:val="0"/>
              </w:rPr>
              <w:t>;</w:t>
            </w:r>
            <w:r>
              <w:rPr>
                <w:rFonts w:ascii="SimSun" w:eastAsia="SimSun" w:hAnsi="SimSun" w:cs="SimSun"/>
                <w:color w:val="000000"/>
                <w:spacing w:val="0"/>
                <w:w w:val="100"/>
                <w:position w:val="0"/>
              </w:rPr>
              <w:t>寇汉</w:t>
            </w:r>
            <w:r>
              <w:rPr>
                <w:color w:val="000000"/>
                <w:spacing w:val="0"/>
                <w:w w:val="100"/>
                <w:position w:val="0"/>
              </w:rPr>
              <w:t>;</w:t>
            </w:r>
            <w:r>
              <w:rPr>
                <w:rFonts w:ascii="SimSun" w:eastAsia="SimSun" w:hAnsi="SimSun" w:cs="SimSun"/>
                <w:color w:val="000000"/>
                <w:spacing w:val="0"/>
                <w:w w:val="100"/>
                <w:position w:val="0"/>
              </w:rPr>
              <w:t>林嘉 喜</w:t>
            </w:r>
            <w:r>
              <w:rPr>
                <w:color w:val="000000"/>
                <w:spacing w:val="0"/>
                <w:w w:val="100"/>
                <w:position w:val="0"/>
              </w:rPr>
              <w:t>;</w:t>
            </w:r>
            <w:r>
              <w:rPr>
                <w:rFonts w:ascii="SimSun" w:eastAsia="SimSun" w:hAnsi="SimSun" w:cs="SimSun"/>
                <w:color w:val="000000"/>
                <w:spacing w:val="0"/>
                <w:w w:val="100"/>
                <w:position w:val="0"/>
              </w:rPr>
              <w:t>潘林武</w:t>
            </w:r>
            <w:r>
              <w:rPr>
                <w:color w:val="000000"/>
                <w:spacing w:val="0"/>
                <w:w w:val="100"/>
                <w:position w:val="0"/>
              </w:rPr>
              <w:t>;</w:t>
            </w:r>
            <w:r>
              <w:rPr>
                <w:rFonts w:ascii="SimSun" w:eastAsia="SimSun" w:hAnsi="SimSun" w:cs="SimSun"/>
                <w:color w:val="000000"/>
                <w:spacing w:val="0"/>
                <w:w w:val="100"/>
                <w:position w:val="0"/>
              </w:rPr>
              <w:t>沈晓超</w:t>
            </w:r>
            <w:r>
              <w:rPr>
                <w:color w:val="000000"/>
                <w:spacing w:val="0"/>
                <w:w w:val="100"/>
                <w:position w:val="0"/>
              </w:rPr>
              <w:t>;</w:t>
            </w:r>
            <w:r>
              <w:rPr>
                <w:rFonts w:ascii="SimSun" w:eastAsia="SimSun" w:hAnsi="SimSun" w:cs="SimSun"/>
                <w:color w:val="000000"/>
                <w:spacing w:val="0"/>
                <w:w w:val="100"/>
                <w:position w:val="0"/>
              </w:rPr>
              <w:t>汪超 涌</w:t>
            </w:r>
            <w:r>
              <w:rPr>
                <w:color w:val="000000"/>
                <w:spacing w:val="0"/>
                <w:w w:val="100"/>
                <w:position w:val="0"/>
              </w:rPr>
              <w:t>;</w:t>
            </w:r>
            <w:r>
              <w:rPr>
                <w:rFonts w:ascii="SimSun" w:eastAsia="SimSun" w:hAnsi="SimSun" w:cs="SimSun"/>
                <w:color w:val="000000"/>
                <w:spacing w:val="0"/>
                <w:w w:val="100"/>
                <w:position w:val="0"/>
              </w:rPr>
              <w:t>王蔚</w:t>
            </w:r>
            <w:r>
              <w:rPr>
                <w:color w:val="000000"/>
                <w:spacing w:val="0"/>
                <w:w w:val="100"/>
                <w:position w:val="0"/>
              </w:rPr>
              <w:t>;</w:t>
            </w:r>
            <w:r>
              <w:rPr>
                <w:rFonts w:ascii="SimSun" w:eastAsia="SimSun" w:hAnsi="SimSun" w:cs="SimSun"/>
                <w:color w:val="000000"/>
                <w:spacing w:val="0"/>
                <w:w w:val="100"/>
                <w:position w:val="0"/>
              </w:rPr>
              <w:t>叶陈刚</w:t>
            </w:r>
            <w:r>
              <w:rPr>
                <w:color w:val="000000"/>
                <w:spacing w:val="0"/>
                <w:w w:val="100"/>
                <w:position w:val="0"/>
              </w:rPr>
              <w:t>;</w:t>
            </w:r>
            <w:r>
              <w:rPr>
                <w:rFonts w:ascii="SimSun" w:eastAsia="SimSun" w:hAnsi="SimSun" w:cs="SimSun"/>
                <w:color w:val="000000"/>
                <w:spacing w:val="0"/>
                <w:w w:val="100"/>
                <w:position w:val="0"/>
              </w:rPr>
              <w:t>赵红 艳</w:t>
            </w:r>
            <w:r>
              <w:rPr>
                <w:color w:val="000000"/>
                <w:spacing w:val="0"/>
                <w:w w:val="100"/>
                <w:position w:val="0"/>
              </w:rPr>
              <w:t>;</w:t>
            </w:r>
            <w:r>
              <w:rPr>
                <w:rFonts w:ascii="SimSun" w:eastAsia="SimSun" w:hAnsi="SimSun" w:cs="SimSun"/>
                <w:color w:val="000000"/>
                <w:spacing w:val="0"/>
                <w:w w:val="100"/>
                <w:position w:val="0"/>
              </w:rPr>
              <w:t>钟晓林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为维护投资者的合法权益、保证公司本次非公开发行摊薄即期回报填补措 施能够得到切实履行，公司全体董事及高级管理人员作出承诺，具体内容 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日披露的《关于</w:t>
            </w:r>
            <w:r>
              <w:rPr>
                <w:color w:val="000000"/>
                <w:spacing w:val="0"/>
                <w:w w:val="100"/>
                <w:position w:val="0"/>
              </w:rPr>
              <w:t>2020</w:t>
            </w:r>
            <w:r>
              <w:rPr>
                <w:rFonts w:ascii="SimSun" w:eastAsia="SimSun" w:hAnsi="SimSun" w:cs="SimSun"/>
                <w:color w:val="000000"/>
                <w:spacing w:val="0"/>
                <w:w w:val="100"/>
                <w:position w:val="0"/>
              </w:rPr>
              <w:t>年度非公开发行股票摊薄即期 回报、采取填补措施及相关主体承诺公告》。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李亦非</w:t>
            </w:r>
            <w:r>
              <w:rPr>
                <w:color w:val="000000"/>
                <w:spacing w:val="0"/>
                <w:w w:val="100"/>
                <w:position w:val="0"/>
              </w:rPr>
              <w:t>;</w:t>
            </w:r>
            <w:r>
              <w:rPr>
                <w:rFonts w:ascii="SimSun" w:eastAsia="SimSun" w:hAnsi="SimSun" w:cs="SimSun"/>
                <w:color w:val="000000"/>
                <w:spacing w:val="0"/>
                <w:w w:val="100"/>
                <w:position w:val="0"/>
              </w:rPr>
              <w:t>汪超涌</w:t>
            </w:r>
            <w:r>
              <w:rPr>
                <w:color w:val="000000"/>
                <w:spacing w:val="0"/>
                <w:w w:val="100"/>
                <w:position w:val="0"/>
              </w:rPr>
              <w:t>;</w:t>
            </w:r>
            <w:r>
              <w:rPr>
                <w:rFonts w:ascii="SimSun" w:eastAsia="SimSun" w:hAnsi="SimSun" w:cs="SimSun"/>
                <w:color w:val="000000"/>
                <w:spacing w:val="0"/>
                <w:w w:val="100"/>
                <w:position w:val="0"/>
              </w:rPr>
              <w:t>中驰惠 程企业管理有限公司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为维护投资者的合法权益、保证公司本次非公开发行摊薄即期回报填补措 施能够得到切实履行，公司前控股股东、实际控制人作出承诺，具体内容 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日披露的《关于</w:t>
            </w:r>
            <w:r>
              <w:rPr>
                <w:color w:val="000000"/>
                <w:spacing w:val="0"/>
                <w:w w:val="100"/>
                <w:position w:val="0"/>
              </w:rPr>
              <w:t>2020</w:t>
            </w:r>
            <w:r>
              <w:rPr>
                <w:rFonts w:ascii="SimSun" w:eastAsia="SimSun" w:hAnsi="SimSun" w:cs="SimSun"/>
                <w:color w:val="000000"/>
                <w:spacing w:val="0"/>
                <w:w w:val="100"/>
                <w:position w:val="0"/>
              </w:rPr>
              <w:t>年度非公开发行股票摊薄即期 回报、采取填补措施及相关主体承诺公告》。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bl>
    <w:p>
      <w:pPr>
        <w:widowControl w:val="0"/>
        <w:spacing w:after="79" w:line="1" w:lineRule="exact"/>
      </w:pPr>
    </w:p>
    <w:p>
      <w:pPr>
        <w:pStyle w:val="Style23"/>
        <w:keepNext w:val="0"/>
        <w:keepLines w:val="0"/>
        <w:widowControl w:val="0"/>
        <w:shd w:val="clear" w:color="auto" w:fill="auto"/>
        <w:tabs>
          <w:tab w:pos="7819" w:val="left"/>
        </w:tabs>
        <w:bidi w:val="0"/>
        <w:spacing w:before="0" w:after="180" w:line="240" w:lineRule="auto"/>
        <w:ind w:left="0" w:right="0" w:firstLine="0"/>
        <w:jc w:val="left"/>
      </w:pPr>
      <w:r>
        <w:rPr>
          <w:color w:val="000000"/>
          <w:spacing w:val="0"/>
          <w:w w:val="100"/>
          <w:position w:val="0"/>
        </w:rPr>
        <w:t>承诺是否按时履行</w:t>
        <w:tab/>
        <w:t>是</w:t>
      </w:r>
    </w:p>
    <w:p>
      <w:pPr>
        <w:pStyle w:val="Style23"/>
        <w:keepNext w:val="0"/>
        <w:keepLines w:val="0"/>
        <w:widowControl w:val="0"/>
        <w:shd w:val="clear" w:color="auto" w:fill="auto"/>
        <w:tabs>
          <w:tab w:pos="7819" w:val="left"/>
        </w:tabs>
        <w:bidi w:val="0"/>
        <w:spacing w:before="0" w:after="420" w:line="240" w:lineRule="auto"/>
        <w:ind w:left="0" w:right="0" w:firstLine="0"/>
        <w:jc w:val="left"/>
      </w:pPr>
      <w:r>
        <w:rPr>
          <w:color w:val="000000"/>
          <w:spacing w:val="0"/>
          <w:w w:val="100"/>
          <w:position w:val="0"/>
        </w:rPr>
        <w:t>如承诺超期未履行完毕的，应当详细说明未完成履行的具体原因及下一步的工作计划</w:t>
        <w:tab/>
        <w:t>不适用</w:t>
      </w:r>
    </w:p>
    <w:p>
      <w:pPr>
        <w:pStyle w:val="Style34"/>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、公司资产或项目存在盈利预测，且报告期仍处在盈利预测期间，公司就资产或项目达到原盈利预测及其原因做出说明</w:t>
      </w:r>
      <w:bookmarkEnd w:id="446"/>
      <w:bookmarkEnd w:id="447"/>
      <w:bookmarkEnd w:id="449"/>
    </w:p>
    <w:p>
      <w:pPr>
        <w:pStyle w:val="Style23"/>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1100" w:right="1400" w:bottom="1200" w:left="140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6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、控股股东及其他关联方对上市公司的非经营性占用资金情况</w:t>
      </w:r>
      <w:bookmarkEnd w:id="450"/>
      <w:bookmarkEnd w:id="451"/>
      <w:bookmarkEnd w:id="453"/>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6"/>
        <w:gridCol w:w="581"/>
        <w:gridCol w:w="139"/>
        <w:gridCol w:w="672"/>
        <w:gridCol w:w="1454"/>
        <w:gridCol w:w="850"/>
        <w:gridCol w:w="850"/>
        <w:gridCol w:w="994"/>
        <w:gridCol w:w="710"/>
        <w:gridCol w:w="710"/>
        <w:gridCol w:w="566"/>
        <w:gridCol w:w="422"/>
        <w:gridCol w:w="125"/>
        <w:gridCol w:w="81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股东或</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关联人</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关系</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类型</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占用时间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报告期新</w:t>
            </w:r>
          </w:p>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增占用金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报告期偿还</w:t>
            </w:r>
          </w:p>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总金额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截至年 报披露 日余额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偿还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方式</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偿还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预计偿还</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时间（月</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份）</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代控股股东及其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代控股股东及其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代控股股东及其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代控股股东及其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 xml:space="preserve">日至 </w:t>
            </w:r>
            <w:r>
              <w:rPr>
                <w:color w:val="000000"/>
                <w:spacing w:val="0"/>
                <w:w w:val="100"/>
                <w:position w:val="0"/>
              </w:rPr>
              <w:t xml:space="preserve">2020 </w:t>
            </w:r>
            <w:r>
              <w:rPr>
                <w:rFonts w:ascii="SimSun" w:eastAsia="SimSun" w:hAnsi="SimSun" w:cs="SimSun"/>
                <w:color w:val="000000"/>
                <w:spacing w:val="0"/>
                <w:w w:val="100"/>
                <w:position w:val="0"/>
              </w:rPr>
              <w:t>年</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代控股股东及其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12,482.91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30,182.91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30,182.91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期末合计值占最近一期经审计净资产的比例</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5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相关决策程序</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月，经公司总裁办公会审议通过，公司子公司喀什中汇联银以不超过人民币</w:t>
            </w:r>
            <w:r>
              <w:rPr>
                <w:color w:val="000000"/>
                <w:spacing w:val="0"/>
                <w:w w:val="100"/>
                <w:position w:val="0"/>
              </w:rPr>
              <w:t>4,000</w:t>
            </w:r>
            <w:r>
              <w:rPr>
                <w:rFonts w:ascii="SimSun" w:eastAsia="SimSun" w:hAnsi="SimSun" w:cs="SimSun"/>
                <w:color w:val="000000"/>
                <w:spacing w:val="0"/>
                <w:w w:val="100"/>
                <w:position w:val="0"/>
              </w:rPr>
              <w:t>万元向武汉 君达合智信息科技有限公司（以下简称</w:t>
            </w:r>
            <w:r>
              <w:rPr>
                <w:color w:val="000000"/>
                <w:spacing w:val="0"/>
                <w:w w:val="100"/>
                <w:position w:val="0"/>
              </w:rPr>
              <w:t>“</w:t>
            </w:r>
            <w:r>
              <w:rPr>
                <w:rFonts w:ascii="SimSun" w:eastAsia="SimSun" w:hAnsi="SimSun" w:cs="SimSun"/>
                <w:color w:val="000000"/>
                <w:spacing w:val="0"/>
                <w:w w:val="100"/>
                <w:position w:val="0"/>
              </w:rPr>
              <w:t>君达合智</w:t>
            </w:r>
            <w:r>
              <w:rPr>
                <w:color w:val="000000"/>
                <w:spacing w:val="0"/>
                <w:w w:val="100"/>
                <w:position w:val="0"/>
              </w:rPr>
              <w:t>”</w:t>
            </w:r>
            <w:r>
              <w:rPr>
                <w:rFonts w:ascii="SimSun" w:eastAsia="SimSun" w:hAnsi="SimSun" w:cs="SimSun"/>
                <w:color w:val="000000"/>
                <w:spacing w:val="0"/>
                <w:w w:val="100"/>
                <w:position w:val="0"/>
              </w:rPr>
              <w:t>）进行增资、以不超过人民币</w:t>
            </w:r>
            <w:r>
              <w:rPr>
                <w:color w:val="000000"/>
                <w:spacing w:val="0"/>
                <w:w w:val="100"/>
                <w:position w:val="0"/>
              </w:rPr>
              <w:t>4,000</w:t>
            </w:r>
            <w:r>
              <w:rPr>
                <w:rFonts w:ascii="SimSun" w:eastAsia="SimSun" w:hAnsi="SimSun" w:cs="SimSun"/>
                <w:color w:val="000000"/>
                <w:spacing w:val="0"/>
                <w:w w:val="100"/>
                <w:position w:val="0"/>
              </w:rPr>
              <w:t>万元向深圳市利 汇春科技有限公司（以下简称</w:t>
            </w:r>
            <w:r>
              <w:rPr>
                <w:color w:val="000000"/>
                <w:spacing w:val="0"/>
                <w:w w:val="100"/>
                <w:position w:val="0"/>
              </w:rPr>
              <w:t>“</w:t>
            </w:r>
            <w:r>
              <w:rPr>
                <w:rFonts w:ascii="SimSun" w:eastAsia="SimSun" w:hAnsi="SimSun" w:cs="SimSun"/>
                <w:color w:val="000000"/>
                <w:spacing w:val="0"/>
                <w:w w:val="100"/>
                <w:position w:val="0"/>
              </w:rPr>
              <w:t>利汇春</w:t>
            </w:r>
            <w:r>
              <w:rPr>
                <w:color w:val="000000"/>
                <w:spacing w:val="0"/>
                <w:w w:val="100"/>
                <w:position w:val="0"/>
              </w:rPr>
              <w:t>”</w:t>
            </w:r>
            <w:r>
              <w:rPr>
                <w:rFonts w:ascii="SimSun" w:eastAsia="SimSun" w:hAnsi="SimSun" w:cs="SimSun"/>
                <w:color w:val="000000"/>
                <w:spacing w:val="0"/>
                <w:w w:val="100"/>
                <w:position w:val="0"/>
              </w:rPr>
              <w:t>）进行增资、以不超过人民币</w:t>
            </w:r>
            <w:r>
              <w:rPr>
                <w:color w:val="000000"/>
                <w:spacing w:val="0"/>
                <w:w w:val="100"/>
                <w:position w:val="0"/>
              </w:rPr>
              <w:t>3,450</w:t>
            </w:r>
            <w:r>
              <w:rPr>
                <w:rFonts w:ascii="SimSun" w:eastAsia="SimSun" w:hAnsi="SimSun" w:cs="SimSun"/>
                <w:color w:val="000000"/>
                <w:spacing w:val="0"/>
                <w:w w:val="100"/>
                <w:position w:val="0"/>
              </w:rPr>
              <w:t>万元向北京芝士星球网络科 技有限公司（以下简称</w:t>
            </w:r>
            <w:r>
              <w:rPr>
                <w:color w:val="000000"/>
                <w:spacing w:val="0"/>
                <w:w w:val="100"/>
                <w:position w:val="0"/>
              </w:rPr>
              <w:t>“</w:t>
            </w:r>
            <w:r>
              <w:rPr>
                <w:rFonts w:ascii="SimSun" w:eastAsia="SimSun" w:hAnsi="SimSun" w:cs="SimSun"/>
                <w:color w:val="000000"/>
                <w:spacing w:val="0"/>
                <w:w w:val="100"/>
                <w:position w:val="0"/>
              </w:rPr>
              <w:t>芝士星球</w:t>
            </w:r>
            <w:r>
              <w:rPr>
                <w:color w:val="000000"/>
                <w:spacing w:val="0"/>
                <w:w w:val="100"/>
                <w:position w:val="0"/>
              </w:rPr>
              <w:t>”</w:t>
            </w:r>
            <w:r>
              <w:rPr>
                <w:rFonts w:ascii="SimSun" w:eastAsia="SimSun" w:hAnsi="SimSun" w:cs="SimSun"/>
                <w:color w:val="000000"/>
                <w:spacing w:val="0"/>
                <w:w w:val="100"/>
                <w:position w:val="0"/>
              </w:rPr>
              <w:t>）进行增资，增资完成后喀什中汇联银持有君达合智</w:t>
            </w:r>
            <w:r>
              <w:rPr>
                <w:color w:val="000000"/>
                <w:spacing w:val="0"/>
                <w:w w:val="100"/>
                <w:position w:val="0"/>
              </w:rPr>
              <w:t>20%</w:t>
            </w:r>
            <w:r>
              <w:rPr>
                <w:rFonts w:ascii="SimSun" w:eastAsia="SimSun" w:hAnsi="SimSun" w:cs="SimSun"/>
                <w:color w:val="000000"/>
                <w:spacing w:val="0"/>
                <w:w w:val="100"/>
                <w:position w:val="0"/>
              </w:rPr>
              <w:t>的股权、持 有利汇春</w:t>
            </w:r>
            <w:r>
              <w:rPr>
                <w:color w:val="000000"/>
                <w:spacing w:val="0"/>
                <w:w w:val="100"/>
                <w:position w:val="0"/>
              </w:rPr>
              <w:t>20%</w:t>
            </w:r>
            <w:r>
              <w:rPr>
                <w:rFonts w:ascii="SimSun" w:eastAsia="SimSun" w:hAnsi="SimSun" w:cs="SimSun"/>
                <w:color w:val="000000"/>
                <w:spacing w:val="0"/>
                <w:w w:val="100"/>
                <w:position w:val="0"/>
              </w:rPr>
              <w:t>的股权、持有芝士星球</w:t>
            </w:r>
            <w:r>
              <w:rPr>
                <w:color w:val="000000"/>
                <w:spacing w:val="0"/>
                <w:w w:val="100"/>
                <w:position w:val="0"/>
              </w:rPr>
              <w:t>30%</w:t>
            </w:r>
            <w:r>
              <w:rPr>
                <w:rFonts w:ascii="SimSun" w:eastAsia="SimSun" w:hAnsi="SimSun" w:cs="SimSun"/>
                <w:color w:val="000000"/>
                <w:spacing w:val="0"/>
                <w:w w:val="100"/>
                <w:position w:val="0"/>
              </w:rPr>
              <w:t>的股权。具体内容详见公司于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日在巨潮资讯 网（</w:t>
            </w:r>
            <w:r>
              <w:rPr>
                <w:color w:val="000000"/>
                <w:spacing w:val="0"/>
                <w:w w:val="100"/>
                <w:position w:val="0"/>
              </w:rPr>
              <w:t>www.cninfo.com.cn</w:t>
            </w:r>
            <w:r>
              <w:rPr>
                <w:rFonts w:ascii="SimSun" w:eastAsia="SimSun" w:hAnsi="SimSun" w:cs="SimSun"/>
                <w:color w:val="000000"/>
                <w:spacing w:val="0"/>
                <w:w w:val="100"/>
                <w:position w:val="0"/>
              </w:rPr>
              <w:t>）披露的《</w:t>
            </w:r>
            <w:r>
              <w:rPr>
                <w:color w:val="000000"/>
                <w:spacing w:val="0"/>
                <w:w w:val="100"/>
                <w:position w:val="0"/>
              </w:rPr>
              <w:t>2019</w:t>
            </w:r>
            <w:r>
              <w:rPr>
                <w:rFonts w:ascii="SimSun" w:eastAsia="SimSun" w:hAnsi="SimSun" w:cs="SimSun"/>
                <w:color w:val="000000"/>
                <w:spacing w:val="0"/>
                <w:w w:val="100"/>
                <w:position w:val="0"/>
              </w:rPr>
              <w:t>年第三季度报告》。</w:t>
            </w:r>
          </w:p>
        </w:tc>
      </w:tr>
      <w:tr>
        <w:trPr>
          <w:trHeight w:val="403" w:hRule="exact"/>
        </w:trPr>
        <w:tc>
          <w:tcPr>
            <w:gridSpan w:val="1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当期新增控股股东及其他关联方非经营性资金占用情况的原因、责任人追究及董事会拟定采取措施的情况说明</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gridSpan w:val="1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未能按计划清偿非经营性资金占用的原因、责任追究情况及董事会拟定采取的措施说明</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3"/>
        <w:keepNext w:val="0"/>
        <w:keepLines w:val="0"/>
        <w:widowControl w:val="0"/>
        <w:shd w:val="clear" w:color="auto" w:fill="auto"/>
        <w:tabs>
          <w:tab w:pos="1411" w:val="left"/>
        </w:tabs>
        <w:bidi w:val="0"/>
        <w:spacing w:before="0" w:after="80" w:line="240" w:lineRule="auto"/>
        <w:ind w:left="0" w:right="0" w:firstLine="0"/>
        <w:jc w:val="left"/>
      </w:pPr>
      <w:r>
        <w:rPr>
          <w:color w:val="000000"/>
          <w:spacing w:val="0"/>
          <w:w w:val="100"/>
          <w:position w:val="0"/>
        </w:rPr>
        <w:t>会计师事务所</w:t>
        <w:tab/>
        <w:t>具体内容可详见公司于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日分别在巨潮资讯网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刊登的</w:t>
      </w:r>
    </w:p>
    <w:p>
      <w:pPr>
        <w:pStyle w:val="Style23"/>
        <w:keepNext w:val="0"/>
        <w:keepLines w:val="0"/>
        <w:widowControl w:val="0"/>
        <w:shd w:val="clear" w:color="auto" w:fill="auto"/>
        <w:tabs>
          <w:tab w:pos="1411" w:val="left"/>
        </w:tabs>
        <w:bidi w:val="0"/>
        <w:spacing w:before="0" w:after="80" w:line="240" w:lineRule="auto"/>
        <w:ind w:left="0" w:right="0" w:firstLine="0"/>
        <w:jc w:val="left"/>
      </w:pPr>
      <w:r>
        <w:rPr>
          <w:color w:val="000000"/>
          <w:spacing w:val="0"/>
          <w:w w:val="100"/>
          <w:position w:val="0"/>
        </w:rPr>
        <w:t>对资金占用的</w:t>
        <w:tab/>
        <w:t>大信会计师事务所（特殊普通合伙）出具的《深圳市惠程信息科技股份有限公司专项审核报告》（大信</w:t>
      </w:r>
    </w:p>
    <w:p>
      <w:pPr>
        <w:pStyle w:val="Style23"/>
        <w:keepNext w:val="0"/>
        <w:keepLines w:val="0"/>
        <w:widowControl w:val="0"/>
        <w:shd w:val="clear" w:color="auto" w:fill="auto"/>
        <w:tabs>
          <w:tab w:pos="1411" w:val="left"/>
        </w:tabs>
        <w:bidi w:val="0"/>
        <w:spacing w:before="0" w:after="80" w:line="240" w:lineRule="auto"/>
        <w:ind w:left="0" w:right="0" w:firstLine="0"/>
        <w:jc w:val="left"/>
      </w:pPr>
      <w:r>
        <w:rPr>
          <w:color w:val="000000"/>
          <w:spacing w:val="0"/>
          <w:w w:val="100"/>
          <w:position w:val="0"/>
        </w:rPr>
        <w:t>专项审核意见</w:t>
        <w:tab/>
        <w:t>专审字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11-10000</w:t>
      </w:r>
      <w:r>
        <w:rPr>
          <w:color w:val="000000"/>
          <w:spacing w:val="0"/>
          <w:w w:val="100"/>
          <w:position w:val="0"/>
        </w:rPr>
        <w:t>号）、《深圳市惠程信息科技股份有限公司大股东及其附属企业非经营性资金</w:t>
      </w:r>
    </w:p>
    <w:p>
      <w:pPr>
        <w:pStyle w:val="Style23"/>
        <w:keepNext w:val="0"/>
        <w:keepLines w:val="0"/>
        <w:widowControl w:val="0"/>
        <w:shd w:val="clear" w:color="auto" w:fill="auto"/>
        <w:bidi w:val="0"/>
        <w:spacing w:before="0" w:after="80" w:line="240" w:lineRule="auto"/>
        <w:ind w:left="1520" w:right="0" w:firstLine="0"/>
        <w:jc w:val="left"/>
      </w:pPr>
      <w:r>
        <w:rPr>
          <w:color w:val="000000"/>
          <w:spacing w:val="0"/>
          <w:w w:val="100"/>
          <w:position w:val="0"/>
        </w:rPr>
        <w:t>占用及清偿情况专项审核报告》</w:t>
      </w:r>
      <w:r>
        <w:rPr>
          <w:color w:val="000000"/>
          <w:spacing w:val="0"/>
          <w:w w:val="100"/>
          <w:position w:val="0"/>
        </w:rPr>
        <w:t>（</w:t>
      </w:r>
      <w:r>
        <w:rPr>
          <w:color w:val="000000"/>
          <w:spacing w:val="0"/>
          <w:w w:val="100"/>
          <w:position w:val="0"/>
        </w:rPr>
        <w:t>大信专审字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11-10007</w:t>
      </w:r>
      <w:r>
        <w:rPr>
          <w:color w:val="000000"/>
          <w:spacing w:val="0"/>
          <w:w w:val="100"/>
          <w:position w:val="0"/>
        </w:rPr>
        <w:t>号</w:t>
      </w:r>
      <w:r>
        <w:rPr>
          <w:color w:val="000000"/>
          <w:spacing w:val="0"/>
          <w:w w:val="100"/>
          <w:position w:val="0"/>
        </w:rPr>
        <w:t>）</w:t>
      </w:r>
    </w:p>
    <w:tbl>
      <w:tblPr>
        <w:tblOverlap w:val="never"/>
        <w:jc w:val="center"/>
        <w:tblLayout w:type="fixed"/>
      </w:tblPr>
      <w:tblGrid>
        <w:gridCol w:w="3552"/>
        <w:gridCol w:w="6038"/>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公司年度报告披露的控股股东及其他关联方 非经营性占用金情况与专项审核意见不一致 的原因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8"/>
        <w:keepNext/>
        <w:keepLines/>
        <w:widowControl w:val="0"/>
        <w:shd w:val="clear" w:color="auto" w:fill="auto"/>
        <w:tabs>
          <w:tab w:pos="486" w:val="left"/>
        </w:tabs>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三</w:t>
      </w:r>
      <w:bookmarkEnd w:id="456"/>
      <w:r>
        <w:rPr>
          <w:color w:val="000000"/>
          <w:spacing w:val="0"/>
          <w:w w:val="100"/>
          <w:position w:val="0"/>
          <w:sz w:val="24"/>
          <w:szCs w:val="24"/>
        </w:rPr>
        <w:t>、</w:t>
        <w:tab/>
        <w:t>违规对外担保情况</w:t>
      </w:r>
      <w:bookmarkEnd w:id="454"/>
      <w:bookmarkEnd w:id="455"/>
      <w:bookmarkEnd w:id="457"/>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486" w:val="left"/>
        </w:tabs>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四</w:t>
      </w:r>
      <w:bookmarkEnd w:id="46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8"/>
      <w:bookmarkEnd w:id="459"/>
      <w:bookmarkEnd w:id="461"/>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317" w:lineRule="exact"/>
        <w:ind w:left="0" w:right="0"/>
        <w:jc w:val="both"/>
      </w:pPr>
      <w:r>
        <w:rPr>
          <w:color w:val="000000"/>
          <w:spacing w:val="0"/>
          <w:w w:val="100"/>
          <w:position w:val="0"/>
        </w:rPr>
        <w:t>大信会计师事务所（特殊普通合伙）对公司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年度报告中的预付游戏推广费、应付游戏分成款、商誉减值、购买子公 司少数股东股权发表了保留意见，公司董事会高度重视，及时组织自查团队，对保留意见事项实施全面自查，具体情况如下：</w:t>
      </w:r>
    </w:p>
    <w:p>
      <w:pPr>
        <w:pStyle w:val="Style23"/>
        <w:keepNext w:val="0"/>
        <w:keepLines w:val="0"/>
        <w:widowControl w:val="0"/>
        <w:shd w:val="clear" w:color="auto" w:fill="auto"/>
        <w:tabs>
          <w:tab w:pos="875" w:val="left"/>
        </w:tabs>
        <w:bidi w:val="0"/>
        <w:spacing w:before="0" w:line="312" w:lineRule="exact"/>
        <w:ind w:left="0" w:right="0"/>
        <w:jc w:val="both"/>
      </w:pPr>
      <w:bookmarkStart w:id="462" w:name="bookmark462"/>
      <w:r>
        <w:rPr>
          <w:color w:val="000000"/>
          <w:spacing w:val="0"/>
          <w:w w:val="100"/>
          <w:position w:val="0"/>
        </w:rPr>
        <w:t>（</w:t>
      </w:r>
      <w:bookmarkEnd w:id="462"/>
      <w:r>
        <w:rPr>
          <w:color w:val="000000"/>
          <w:spacing w:val="0"/>
          <w:w w:val="100"/>
          <w:position w:val="0"/>
        </w:rPr>
        <w:t>一）</w:t>
        <w:tab/>
        <w:t>预付游戏推广费用</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针对保留意见中涉及的公司预付游戏推广费用事项，公司从以下四方面着手加强对哆可梦预付账款的管理：（</w:t>
      </w:r>
      <w:r>
        <w:rPr>
          <w:rFonts w:ascii="Times New Roman" w:eastAsia="Times New Roman" w:hAnsi="Times New Roman" w:cs="Times New Roman"/>
          <w:color w:val="000000"/>
          <w:spacing w:val="0"/>
          <w:w w:val="100"/>
          <w:position w:val="0"/>
        </w:rPr>
        <w:t>1</w:t>
      </w:r>
      <w:r>
        <w:rPr>
          <w:color w:val="000000"/>
          <w:spacing w:val="0"/>
          <w:w w:val="100"/>
          <w:position w:val="0"/>
        </w:rPr>
        <w:t>）公司 将严格执行预付款管理制度，预付款项支付必须有审批流程，遵循合同约定方式付款。业务人员和财务人员加强对预付款的 管理，对于业务合作明显减少或终止合作的以及其他长期未结转的情况，财务部门负责督促业务部门负责人员及时催回预付 款；（</w:t>
      </w:r>
      <w:r>
        <w:rPr>
          <w:rFonts w:ascii="Times New Roman" w:eastAsia="Times New Roman" w:hAnsi="Times New Roman" w:cs="Times New Roman"/>
          <w:color w:val="000000"/>
          <w:spacing w:val="0"/>
          <w:w w:val="100"/>
          <w:position w:val="0"/>
        </w:rPr>
        <w:t>2</w:t>
      </w:r>
      <w:r>
        <w:rPr>
          <w:color w:val="000000"/>
          <w:spacing w:val="0"/>
          <w:w w:val="100"/>
          <w:position w:val="0"/>
        </w:rPr>
        <w:t>）控制预付款规模，对预付款合同、金额、使用条件进行严格把关；（</w:t>
      </w:r>
      <w:r>
        <w:rPr>
          <w:rFonts w:ascii="Times New Roman" w:eastAsia="Times New Roman" w:hAnsi="Times New Roman" w:cs="Times New Roman"/>
          <w:color w:val="000000"/>
          <w:spacing w:val="0"/>
          <w:w w:val="100"/>
          <w:position w:val="0"/>
        </w:rPr>
        <w:t>3</w:t>
      </w:r>
      <w:r>
        <w:rPr>
          <w:color w:val="000000"/>
          <w:spacing w:val="0"/>
          <w:w w:val="100"/>
          <w:position w:val="0"/>
        </w:rPr>
        <w:t>）对于已无法向公司提供优质媒体资源的供 应商，公司将与其协商退还前期预付的款项；（</w:t>
      </w:r>
      <w:r>
        <w:rPr>
          <w:rFonts w:ascii="Times New Roman" w:eastAsia="Times New Roman" w:hAnsi="Times New Roman" w:cs="Times New Roman"/>
          <w:color w:val="000000"/>
          <w:spacing w:val="0"/>
          <w:w w:val="100"/>
          <w:position w:val="0"/>
        </w:rPr>
        <w:t>4</w:t>
      </w:r>
      <w:r>
        <w:rPr>
          <w:color w:val="000000"/>
          <w:spacing w:val="0"/>
          <w:w w:val="100"/>
          <w:position w:val="0"/>
        </w:rPr>
        <w:t>）加大现有运营游戏的推广力度，以及加快推进新游戏的研发及上线运营 工作，通过以上游戏推广消耗并结转预付款项。</w:t>
      </w:r>
    </w:p>
    <w:p>
      <w:pPr>
        <w:pStyle w:val="Style23"/>
        <w:keepNext w:val="0"/>
        <w:keepLines w:val="0"/>
        <w:widowControl w:val="0"/>
        <w:shd w:val="clear" w:color="auto" w:fill="auto"/>
        <w:bidi w:val="0"/>
        <w:spacing w:before="0" w:line="307" w:lineRule="exact"/>
        <w:ind w:left="0" w:right="0"/>
        <w:jc w:val="both"/>
      </w:pPr>
      <w:r>
        <w:rPr>
          <w:color w:val="000000"/>
          <w:spacing w:val="0"/>
          <w:w w:val="100"/>
          <w:position w:val="0"/>
        </w:rPr>
        <w:t>此外，经公司自查，并与供应商进行核对，控股子公司哆可梦、上海季娱部分预付游戏款项已消耗完毕，分别结转至公 司</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年销售费用，公司已对相关会计差错进行更正。</w:t>
      </w:r>
    </w:p>
    <w:p>
      <w:pPr>
        <w:pStyle w:val="Style23"/>
        <w:keepNext w:val="0"/>
        <w:keepLines w:val="0"/>
        <w:widowControl w:val="0"/>
        <w:shd w:val="clear" w:color="auto" w:fill="auto"/>
        <w:tabs>
          <w:tab w:pos="875" w:val="left"/>
        </w:tabs>
        <w:bidi w:val="0"/>
        <w:spacing w:before="0" w:line="312" w:lineRule="exact"/>
        <w:ind w:left="0" w:right="0"/>
        <w:jc w:val="both"/>
      </w:pPr>
      <w:bookmarkStart w:id="463" w:name="bookmark463"/>
      <w:r>
        <w:rPr>
          <w:color w:val="000000"/>
          <w:spacing w:val="0"/>
          <w:w w:val="100"/>
          <w:position w:val="0"/>
        </w:rPr>
        <w:t>（</w:t>
      </w:r>
      <w:bookmarkEnd w:id="463"/>
      <w:r>
        <w:rPr>
          <w:color w:val="000000"/>
          <w:spacing w:val="0"/>
          <w:w w:val="100"/>
          <w:position w:val="0"/>
        </w:rPr>
        <w:t>二）</w:t>
        <w:tab/>
        <w:t>应付游戏分成款</w:t>
      </w:r>
    </w:p>
    <w:p>
      <w:pPr>
        <w:pStyle w:val="Style23"/>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月上海旭梅与广州赤星信息科技有限公司（以下简称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广州赤星</w:t>
      </w:r>
      <w:r>
        <w:rPr>
          <w:rFonts w:ascii="Times New Roman" w:eastAsia="Times New Roman" w:hAnsi="Times New Roman" w:cs="Times New Roman"/>
          <w:color w:val="000000"/>
          <w:spacing w:val="0"/>
          <w:w w:val="100"/>
          <w:position w:val="0"/>
        </w:rPr>
        <w:t>”</w:t>
      </w:r>
      <w:r>
        <w:rPr>
          <w:color w:val="000000"/>
          <w:spacing w:val="0"/>
          <w:w w:val="100"/>
          <w:position w:val="0"/>
        </w:rPr>
        <w:t>）、广州乐游信息科技有限公司（以下简称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 州乐游</w:t>
      </w:r>
      <w:r>
        <w:rPr>
          <w:rFonts w:ascii="Times New Roman" w:eastAsia="Times New Roman" w:hAnsi="Times New Roman" w:cs="Times New Roman"/>
          <w:color w:val="000000"/>
          <w:spacing w:val="0"/>
          <w:w w:val="100"/>
          <w:position w:val="0"/>
        </w:rPr>
        <w:t>”</w:t>
      </w:r>
      <w:r>
        <w:rPr>
          <w:color w:val="000000"/>
          <w:spacing w:val="0"/>
          <w:w w:val="100"/>
          <w:position w:val="0"/>
        </w:rPr>
        <w:t>）签署了《关于</w:t>
      </w:r>
      <w:r>
        <w:rPr>
          <w:color w:val="000000"/>
          <w:spacing w:val="0"/>
          <w:w w:val="100"/>
          <w:position w:val="0"/>
        </w:rPr>
        <w:t>〈</w:t>
      </w:r>
      <w:r>
        <w:rPr>
          <w:color w:val="000000"/>
          <w:spacing w:val="0"/>
          <w:w w:val="100"/>
          <w:position w:val="0"/>
        </w:rPr>
        <w:t>天地战神</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绝世武林</w:t>
      </w:r>
      <w:r>
        <w:rPr>
          <w:rFonts w:ascii="Times New Roman" w:eastAsia="Times New Roman" w:hAnsi="Times New Roman" w:cs="Times New Roman"/>
          <w:color w:val="000000"/>
          <w:spacing w:val="0"/>
          <w:w w:val="100"/>
          <w:position w:val="0"/>
        </w:rPr>
        <w:t>＞</w:t>
      </w:r>
      <w:r>
        <w:rPr>
          <w:color w:val="000000"/>
          <w:spacing w:val="0"/>
          <w:w w:val="100"/>
          <w:position w:val="0"/>
        </w:rPr>
        <w:t>分成款的补充协议》，协议约定：</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日，上海旭梅合计应 付广州赤星和广州乐游的债务余额为人民币</w:t>
      </w:r>
      <w:r>
        <w:rPr>
          <w:rFonts w:ascii="Times New Roman" w:eastAsia="Times New Roman" w:hAnsi="Times New Roman" w:cs="Times New Roman"/>
          <w:color w:val="000000"/>
          <w:spacing w:val="0"/>
          <w:w w:val="100"/>
          <w:position w:val="0"/>
        </w:rPr>
        <w:t>9,500.00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大写</w:t>
      </w:r>
      <w:r>
        <w:rPr>
          <w:rFonts w:ascii="Times New Roman" w:eastAsia="Times New Roman" w:hAnsi="Times New Roman" w:cs="Times New Roman"/>
          <w:color w:val="000000"/>
          <w:spacing w:val="0"/>
          <w:w w:val="100"/>
          <w:position w:val="0"/>
        </w:rPr>
        <w:t>:</w:t>
      </w:r>
      <w:r>
        <w:rPr>
          <w:color w:val="000000"/>
          <w:spacing w:val="0"/>
          <w:w w:val="100"/>
          <w:position w:val="0"/>
        </w:rPr>
        <w:t>人民币玖仟伍佰万元整</w:t>
      </w:r>
      <w:r>
        <w:rPr>
          <w:rFonts w:ascii="Times New Roman" w:eastAsia="Times New Roman" w:hAnsi="Times New Roman" w:cs="Times New Roman"/>
          <w:color w:val="000000"/>
          <w:spacing w:val="0"/>
          <w:w w:val="100"/>
          <w:position w:val="0"/>
        </w:rPr>
        <w:t>）</w:t>
      </w:r>
      <w:r>
        <w:rPr>
          <w:color w:val="000000"/>
          <w:spacing w:val="0"/>
          <w:w w:val="100"/>
          <w:position w:val="0"/>
        </w:rPr>
        <w:t>。该等金额为上海旭梅应付广州赤星 和广州乐游的所有款项合计，包括但不限于《绝世武林》和《天地战神》应付游戏分成款、违约金、滞纳金、律师费、诉讼 费及其他费用等。除上述外，广州赤星和广州乐游不得再向上海旭梅主张任何款项或费用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line="310" w:lineRule="exact"/>
        <w:ind w:left="0" w:right="0"/>
        <w:jc w:val="both"/>
      </w:pPr>
      <w:r>
        <w:rPr>
          <w:color w:val="000000"/>
          <w:spacing w:val="0"/>
          <w:w w:val="100"/>
          <w:position w:val="0"/>
        </w:rPr>
        <w:t>经公司董事会督促，公司管理层积极推进相关措施，包括与相关方展开谈判等举措。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月上海旭梅与广州赤星、 广州乐游签署了补充协议，并于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日通过银行转账的方式支付了人民币</w:t>
      </w:r>
      <w:r>
        <w:rPr>
          <w:rFonts w:ascii="Times New Roman" w:eastAsia="Times New Roman" w:hAnsi="Times New Roman" w:cs="Times New Roman"/>
          <w:color w:val="000000"/>
          <w:spacing w:val="0"/>
          <w:w w:val="100"/>
          <w:position w:val="0"/>
        </w:rPr>
        <w:t>9,000.00</w:t>
      </w:r>
      <w:r>
        <w:rPr>
          <w:color w:val="000000"/>
          <w:spacing w:val="0"/>
          <w:w w:val="100"/>
          <w:position w:val="0"/>
        </w:rPr>
        <w:t>万元。该案已撤诉结案，剩余分成 款</w:t>
      </w:r>
      <w:r>
        <w:rPr>
          <w:rFonts w:ascii="Times New Roman" w:eastAsia="Times New Roman" w:hAnsi="Times New Roman" w:cs="Times New Roman"/>
          <w:color w:val="000000"/>
          <w:spacing w:val="0"/>
          <w:w w:val="100"/>
          <w:position w:val="0"/>
        </w:rPr>
        <w:t>500</w:t>
      </w:r>
      <w:r>
        <w:rPr>
          <w:color w:val="000000"/>
          <w:spacing w:val="0"/>
          <w:w w:val="100"/>
          <w:position w:val="0"/>
        </w:rPr>
        <w:t>万元尚待支付。</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此外，公司按协议中的各年分成款更正追溯调整了相关年度的营业成本。</w:t>
      </w:r>
    </w:p>
    <w:p>
      <w:pPr>
        <w:pStyle w:val="Style23"/>
        <w:keepNext w:val="0"/>
        <w:keepLines w:val="0"/>
        <w:widowControl w:val="0"/>
        <w:shd w:val="clear" w:color="auto" w:fill="auto"/>
        <w:tabs>
          <w:tab w:pos="875" w:val="left"/>
        </w:tabs>
        <w:bidi w:val="0"/>
        <w:spacing w:before="0" w:line="317" w:lineRule="exact"/>
        <w:ind w:left="0" w:right="0"/>
        <w:jc w:val="both"/>
      </w:pPr>
      <w:bookmarkStart w:id="464" w:name="bookmark464"/>
      <w:r>
        <w:rPr>
          <w:color w:val="000000"/>
          <w:spacing w:val="0"/>
          <w:w w:val="100"/>
          <w:position w:val="0"/>
        </w:rPr>
        <w:t>（</w:t>
      </w:r>
      <w:bookmarkEnd w:id="464"/>
      <w:r>
        <w:rPr>
          <w:color w:val="000000"/>
          <w:spacing w:val="0"/>
          <w:w w:val="100"/>
          <w:position w:val="0"/>
        </w:rPr>
        <w:t>三）</w:t>
        <w:tab/>
        <w:t>商誉减值</w:t>
      </w:r>
    </w:p>
    <w:p>
      <w:pPr>
        <w:pStyle w:val="Style23"/>
        <w:keepNext w:val="0"/>
        <w:keepLines w:val="0"/>
        <w:widowControl w:val="0"/>
        <w:shd w:val="clear" w:color="auto" w:fill="auto"/>
        <w:bidi w:val="0"/>
        <w:spacing w:before="0" w:line="317" w:lineRule="exact"/>
        <w:ind w:left="0" w:right="0"/>
        <w:jc w:val="both"/>
      </w:pPr>
      <w:r>
        <w:rPr>
          <w:color w:val="000000"/>
          <w:spacing w:val="0"/>
          <w:w w:val="100"/>
          <w:position w:val="0"/>
        </w:rPr>
        <w:t>公司更正哆可梦预付游戏推广费、应付游戏分成款后，对哆可梦</w:t>
      </w:r>
      <w:r>
        <w:rPr>
          <w:rFonts w:ascii="Times New Roman" w:eastAsia="Times New Roman" w:hAnsi="Times New Roman" w:cs="Times New Roman"/>
          <w:color w:val="000000"/>
          <w:spacing w:val="0"/>
          <w:w w:val="100"/>
          <w:position w:val="0"/>
        </w:rPr>
        <w:t>2019</w:t>
      </w:r>
      <w:r>
        <w:rPr>
          <w:color w:val="000000"/>
          <w:spacing w:val="0"/>
          <w:w w:val="100"/>
          <w:position w:val="0"/>
        </w:rPr>
        <w:t>年末、</w:t>
      </w:r>
      <w:r>
        <w:rPr>
          <w:rFonts w:ascii="Times New Roman" w:eastAsia="Times New Roman" w:hAnsi="Times New Roman" w:cs="Times New Roman"/>
          <w:color w:val="000000"/>
          <w:spacing w:val="0"/>
          <w:w w:val="100"/>
          <w:position w:val="0"/>
        </w:rPr>
        <w:t>2020</w:t>
      </w:r>
      <w:r>
        <w:rPr>
          <w:color w:val="000000"/>
          <w:spacing w:val="0"/>
          <w:w w:val="100"/>
          <w:position w:val="0"/>
        </w:rPr>
        <w:t>年末商誉所在资产组的可收回金额进行 重新测试，并根据测试结果更正补提商誉</w:t>
      </w:r>
      <w:r>
        <w:rPr>
          <w:rFonts w:ascii="Times New Roman" w:eastAsia="Times New Roman" w:hAnsi="Times New Roman" w:cs="Times New Roman"/>
          <w:color w:val="000000"/>
          <w:spacing w:val="0"/>
          <w:w w:val="100"/>
          <w:position w:val="0"/>
        </w:rPr>
        <w:t>2019</w:t>
      </w:r>
      <w:r>
        <w:rPr>
          <w:color w:val="000000"/>
          <w:spacing w:val="0"/>
          <w:w w:val="100"/>
          <w:position w:val="0"/>
        </w:rPr>
        <w:t>年减值损失</w:t>
      </w:r>
      <w:r>
        <w:rPr>
          <w:rFonts w:ascii="Times New Roman" w:eastAsia="Times New Roman" w:hAnsi="Times New Roman" w:cs="Times New Roman"/>
          <w:color w:val="000000"/>
          <w:spacing w:val="0"/>
          <w:w w:val="100"/>
          <w:position w:val="0"/>
        </w:rPr>
        <w:t>1,143,339,134.16</w:t>
      </w:r>
      <w:r>
        <w:rPr>
          <w:color w:val="000000"/>
          <w:spacing w:val="0"/>
          <w:w w:val="100"/>
          <w:position w:val="0"/>
        </w:rPr>
        <w:t>元，更正冲减商誉</w:t>
      </w:r>
      <w:r>
        <w:rPr>
          <w:rFonts w:ascii="Times New Roman" w:eastAsia="Times New Roman" w:hAnsi="Times New Roman" w:cs="Times New Roman"/>
          <w:color w:val="000000"/>
          <w:spacing w:val="0"/>
          <w:w w:val="100"/>
          <w:position w:val="0"/>
        </w:rPr>
        <w:t>2020</w:t>
      </w:r>
      <w:r>
        <w:rPr>
          <w:color w:val="000000"/>
          <w:spacing w:val="0"/>
          <w:w w:val="100"/>
          <w:position w:val="0"/>
        </w:rPr>
        <w:t>年减值损失</w:t>
      </w:r>
      <w:r>
        <w:rPr>
          <w:rFonts w:ascii="Times New Roman" w:eastAsia="Times New Roman" w:hAnsi="Times New Roman" w:cs="Times New Roman"/>
          <w:color w:val="000000"/>
          <w:spacing w:val="0"/>
          <w:w w:val="100"/>
          <w:position w:val="0"/>
        </w:rPr>
        <w:t xml:space="preserve">831,080,135.44 </w:t>
      </w:r>
      <w:r>
        <w:rPr>
          <w:color w:val="000000"/>
          <w:spacing w:val="0"/>
          <w:w w:val="100"/>
          <w:position w:val="0"/>
        </w:rPr>
        <w:t>元。</w:t>
      </w:r>
    </w:p>
    <w:p>
      <w:pPr>
        <w:pStyle w:val="Style23"/>
        <w:keepNext w:val="0"/>
        <w:keepLines w:val="0"/>
        <w:widowControl w:val="0"/>
        <w:shd w:val="clear" w:color="auto" w:fill="auto"/>
        <w:tabs>
          <w:tab w:pos="875" w:val="left"/>
        </w:tabs>
        <w:bidi w:val="0"/>
        <w:spacing w:before="0" w:line="312" w:lineRule="exact"/>
        <w:ind w:left="0" w:right="0"/>
        <w:jc w:val="both"/>
      </w:pPr>
      <w:bookmarkStart w:id="465" w:name="bookmark465"/>
      <w:r>
        <w:rPr>
          <w:color w:val="000000"/>
          <w:spacing w:val="0"/>
          <w:w w:val="100"/>
          <w:position w:val="0"/>
        </w:rPr>
        <w:t>（</w:t>
      </w:r>
      <w:bookmarkEnd w:id="465"/>
      <w:r>
        <w:rPr>
          <w:color w:val="000000"/>
          <w:spacing w:val="0"/>
          <w:w w:val="100"/>
          <w:position w:val="0"/>
        </w:rPr>
        <w:t>四）</w:t>
        <w:tab/>
        <w:t>针对购买控股子公司少数股东股权事项</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月，公司以现金</w:t>
      </w:r>
      <w:r>
        <w:rPr>
          <w:rFonts w:ascii="Times New Roman" w:eastAsia="Times New Roman" w:hAnsi="Times New Roman" w:cs="Times New Roman"/>
          <w:color w:val="000000"/>
          <w:spacing w:val="0"/>
          <w:w w:val="100"/>
          <w:position w:val="0"/>
        </w:rPr>
        <w:t>111,000,000.00</w:t>
      </w:r>
      <w:r>
        <w:rPr>
          <w:color w:val="000000"/>
          <w:spacing w:val="0"/>
          <w:w w:val="100"/>
          <w:position w:val="0"/>
        </w:rPr>
        <w:t>元自宁波梅山保税港区航翼投资管理合伙企业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航冀投资</w:t>
      </w:r>
      <w:r>
        <w:rPr>
          <w:rFonts w:ascii="Times New Roman" w:eastAsia="Times New Roman" w:hAnsi="Times New Roman" w:cs="Times New Roman"/>
          <w:color w:val="000000"/>
          <w:spacing w:val="0"/>
          <w:w w:val="100"/>
          <w:position w:val="0"/>
        </w:rPr>
        <w:t>”</w:t>
      </w:r>
      <w:r>
        <w:rPr>
          <w:color w:val="000000"/>
          <w:spacing w:val="0"/>
          <w:w w:val="100"/>
          <w:position w:val="0"/>
        </w:rPr>
        <w:t>） 处收购上海季娱</w:t>
      </w:r>
      <w:r>
        <w:rPr>
          <w:rFonts w:ascii="Times New Roman" w:eastAsia="Times New Roman" w:hAnsi="Times New Roman" w:cs="Times New Roman"/>
          <w:color w:val="000000"/>
          <w:spacing w:val="0"/>
          <w:w w:val="100"/>
          <w:position w:val="0"/>
        </w:rPr>
        <w:t>49%</w:t>
      </w:r>
      <w:r>
        <w:rPr>
          <w:color w:val="000000"/>
          <w:spacing w:val="0"/>
          <w:w w:val="100"/>
          <w:position w:val="0"/>
        </w:rPr>
        <w:t>的股权</w:t>
      </w:r>
      <w:r>
        <w:rPr>
          <w:color w:val="000000"/>
          <w:spacing w:val="0"/>
          <w:w w:val="100"/>
          <w:position w:val="0"/>
        </w:rPr>
        <w:t>，</w:t>
      </w:r>
      <w:r>
        <w:rPr>
          <w:color w:val="000000"/>
          <w:spacing w:val="0"/>
          <w:w w:val="100"/>
          <w:position w:val="0"/>
        </w:rPr>
        <w:t>上海季娱于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日完成工商变更登记。因航冀投资已于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月注销，经公司多次与 航冀投资实际控人汪劲松先生协商，</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月，公司与汪劲松先生签署了《关于上海季娱网络科技有限公司股权转让协议 之补充协议书》，协议约定汪劲松先生同意按</w:t>
      </w:r>
      <w:r>
        <w:rPr>
          <w:rFonts w:ascii="Times New Roman" w:eastAsia="Times New Roman" w:hAnsi="Times New Roman" w:cs="Times New Roman"/>
          <w:color w:val="000000"/>
          <w:spacing w:val="0"/>
          <w:w w:val="100"/>
          <w:position w:val="0"/>
        </w:rPr>
        <w:t>0</w:t>
      </w:r>
      <w:r>
        <w:rPr>
          <w:color w:val="000000"/>
          <w:spacing w:val="0"/>
          <w:w w:val="100"/>
          <w:position w:val="0"/>
        </w:rPr>
        <w:t>元对价将上海季娱</w:t>
      </w:r>
      <w:r>
        <w:rPr>
          <w:rFonts w:ascii="Times New Roman" w:eastAsia="Times New Roman" w:hAnsi="Times New Roman" w:cs="Times New Roman"/>
          <w:color w:val="000000"/>
          <w:spacing w:val="0"/>
          <w:w w:val="100"/>
          <w:position w:val="0"/>
        </w:rPr>
        <w:t>49%</w:t>
      </w:r>
      <w:r>
        <w:rPr>
          <w:color w:val="000000"/>
          <w:spacing w:val="0"/>
          <w:w w:val="100"/>
          <w:position w:val="0"/>
        </w:rPr>
        <w:t>股权转让给公司，并在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日前以银行转账的 方式退还</w:t>
      </w:r>
      <w:r>
        <w:rPr>
          <w:rFonts w:ascii="Times New Roman" w:eastAsia="Times New Roman" w:hAnsi="Times New Roman" w:cs="Times New Roman"/>
          <w:color w:val="000000"/>
          <w:spacing w:val="0"/>
          <w:w w:val="100"/>
          <w:position w:val="0"/>
        </w:rPr>
        <w:t>111,000,000.00</w:t>
      </w:r>
      <w:r>
        <w:rPr>
          <w:color w:val="000000"/>
          <w:spacing w:val="0"/>
          <w:w w:val="100"/>
          <w:position w:val="0"/>
        </w:rPr>
        <w:t>元上海季娱股权款，上海季娱</w:t>
      </w:r>
      <w:r>
        <w:rPr>
          <w:rFonts w:ascii="Times New Roman" w:eastAsia="Times New Roman" w:hAnsi="Times New Roman" w:cs="Times New Roman"/>
          <w:color w:val="000000"/>
          <w:spacing w:val="0"/>
          <w:w w:val="100"/>
          <w:position w:val="0"/>
        </w:rPr>
        <w:t>49%</w:t>
      </w:r>
      <w:r>
        <w:rPr>
          <w:color w:val="000000"/>
          <w:spacing w:val="0"/>
          <w:w w:val="100"/>
          <w:position w:val="0"/>
        </w:rPr>
        <w:t>的股权不再办理转移登记手续。</w:t>
      </w:r>
    </w:p>
    <w:p>
      <w:pPr>
        <w:pStyle w:val="Style23"/>
        <w:keepNext w:val="0"/>
        <w:keepLines w:val="0"/>
        <w:widowControl w:val="0"/>
        <w:shd w:val="clear" w:color="auto" w:fill="auto"/>
        <w:bidi w:val="0"/>
        <w:spacing w:before="0" w:line="322" w:lineRule="exact"/>
        <w:ind w:left="0" w:right="0"/>
        <w:jc w:val="both"/>
      </w:pPr>
      <w:r>
        <w:rPr>
          <w:color w:val="000000"/>
          <w:spacing w:val="0"/>
          <w:w w:val="100"/>
          <w:position w:val="0"/>
        </w:rPr>
        <w:t>关于上述事项的会计差错更正情况对公司的影响，参见本报告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十六其他重要事项</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、前期会 计差错更正匚</w:t>
      </w:r>
    </w:p>
    <w:p>
      <w:pPr>
        <w:pStyle w:val="Style28"/>
        <w:keepNext/>
        <w:keepLines/>
        <w:widowControl w:val="0"/>
        <w:shd w:val="clear" w:color="auto" w:fill="auto"/>
        <w:tabs>
          <w:tab w:pos="564"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五</w:t>
      </w:r>
      <w:bookmarkEnd w:id="4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6"/>
      <w:bookmarkEnd w:id="467"/>
      <w:bookmarkEnd w:id="469"/>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numPr>
          <w:ilvl w:val="0"/>
          <w:numId w:val="23"/>
        </w:numPr>
        <w:shd w:val="clear" w:color="auto" w:fill="auto"/>
        <w:tabs>
          <w:tab w:pos="744" w:val="left"/>
        </w:tabs>
        <w:bidi w:val="0"/>
        <w:spacing w:before="0" w:after="0"/>
        <w:ind w:left="0" w:right="0" w:firstLine="480"/>
        <w:jc w:val="left"/>
      </w:pPr>
      <w:bookmarkStart w:id="470" w:name="bookmark470"/>
      <w:bookmarkEnd w:id="470"/>
      <w:r>
        <w:rPr>
          <w:color w:val="000000"/>
          <w:spacing w:val="0"/>
          <w:w w:val="100"/>
          <w:position w:val="0"/>
        </w:rPr>
        <w:t>董事会意见</w:t>
      </w:r>
    </w:p>
    <w:p>
      <w:pPr>
        <w:pStyle w:val="Style23"/>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公司董事会认为大信会计师事务所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出具的审计报告中保留意见涉及的事项是其根据工作原则作出的专 业判断，公司虽然已提供了力所能及的审计配合和证据努力，但很遗憾没有完全达到审计工作要求。公司董事会高度重视大 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保留意见涉及事项对公司本报告期的影响，公司将持续关注上述保留意见事项的进展情况， 并将根据事态发展及时履行信息披露义务，并将督促公司管理层积极推进相关措施，尽早消除保留意见中涉及的事项，积极 维护广大投资者和公司的利益。</w:t>
      </w:r>
    </w:p>
    <w:p>
      <w:pPr>
        <w:pStyle w:val="Style23"/>
        <w:keepNext w:val="0"/>
        <w:keepLines w:val="0"/>
        <w:widowControl w:val="0"/>
        <w:numPr>
          <w:ilvl w:val="0"/>
          <w:numId w:val="23"/>
        </w:numPr>
        <w:shd w:val="clear" w:color="auto" w:fill="auto"/>
        <w:tabs>
          <w:tab w:pos="763" w:val="left"/>
        </w:tabs>
        <w:bidi w:val="0"/>
        <w:spacing w:before="0" w:after="0"/>
        <w:ind w:left="0" w:right="0" w:firstLine="480"/>
        <w:jc w:val="left"/>
      </w:pPr>
      <w:bookmarkStart w:id="471" w:name="bookmark471"/>
      <w:bookmarkEnd w:id="471"/>
      <w:r>
        <w:rPr>
          <w:color w:val="000000"/>
          <w:spacing w:val="0"/>
          <w:w w:val="100"/>
          <w:position w:val="0"/>
        </w:rPr>
        <w:t>独立董事的独立意见</w:t>
      </w:r>
    </w:p>
    <w:p>
      <w:pPr>
        <w:pStyle w:val="Style23"/>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通过审核大信会计师事务所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所出具的审计报告，并与注册会计师、公司管理层等进行交谈沟通，公司独 立董事尊重大信会计师事务所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的独立判断，同意公司董事会编制的《董事会关于公司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年度保留意见审计 报告涉及事项的专项说明》，该专项说明符合公司的实际情况，采取的消除相关事项及其影响的具体措施是可行的。同时， 独立董事将持续关注和督促公司董事会及管理层落实相应措施的情况，尽快消除上述事项对公司的影响，更好地促进公司发 展，维护广大投资者的利益。</w:t>
      </w:r>
    </w:p>
    <w:p>
      <w:pPr>
        <w:pStyle w:val="Style23"/>
        <w:keepNext w:val="0"/>
        <w:keepLines w:val="0"/>
        <w:widowControl w:val="0"/>
        <w:numPr>
          <w:ilvl w:val="0"/>
          <w:numId w:val="23"/>
        </w:numPr>
        <w:shd w:val="clear" w:color="auto" w:fill="auto"/>
        <w:tabs>
          <w:tab w:pos="763" w:val="left"/>
        </w:tabs>
        <w:bidi w:val="0"/>
        <w:spacing w:before="0" w:after="0"/>
        <w:ind w:left="0" w:right="0" w:firstLine="480"/>
        <w:jc w:val="left"/>
      </w:pPr>
      <w:bookmarkStart w:id="472" w:name="bookmark472"/>
      <w:bookmarkEnd w:id="472"/>
      <w:r>
        <w:rPr>
          <w:color w:val="000000"/>
          <w:spacing w:val="0"/>
          <w:w w:val="100"/>
          <w:position w:val="0"/>
        </w:rPr>
        <w:t>监事会意见</w:t>
      </w:r>
    </w:p>
    <w:p>
      <w:pPr>
        <w:pStyle w:val="Style23"/>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监事会对公司董事会编制的《董事会关于公司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年度保留意见审计报告涉及事项的专项说明》表示认可，该专项说明 符合中国证监会、深圳证券交易所颁布的有关规范性文件和条例的规定，监事会将全力支持公司董事会和管理层采取有效措 施解决保留意见涉及的事项，协助其开展相关工作，切实维护公司及全体股东的合法权益。</w:t>
      </w:r>
    </w:p>
    <w:p>
      <w:pPr>
        <w:pStyle w:val="Style28"/>
        <w:keepNext/>
        <w:keepLines/>
        <w:widowControl w:val="0"/>
        <w:shd w:val="clear" w:color="auto" w:fill="auto"/>
        <w:tabs>
          <w:tab w:pos="564"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六</w:t>
      </w:r>
      <w:bookmarkEnd w:id="475"/>
      <w:r>
        <w:rPr>
          <w:color w:val="000000"/>
          <w:spacing w:val="0"/>
          <w:w w:val="100"/>
          <w:position w:val="0"/>
          <w:sz w:val="24"/>
          <w:szCs w:val="24"/>
        </w:rPr>
        <w:t>、</w:t>
        <w:tab/>
        <w:t>与上年度财务报告相比，会计政策、会计估计变更或重大会计差错更正的情况说明</w:t>
      </w:r>
      <w:bookmarkEnd w:id="473"/>
      <w:bookmarkEnd w:id="474"/>
      <w:bookmarkEnd w:id="476"/>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879" w:val="left"/>
        </w:tabs>
        <w:bidi w:val="0"/>
        <w:spacing w:before="0" w:after="0" w:line="315" w:lineRule="exact"/>
        <w:ind w:left="0" w:right="0" w:firstLine="480"/>
        <w:jc w:val="left"/>
      </w:pPr>
      <w:bookmarkStart w:id="477" w:name="bookmark477"/>
      <w:r>
        <w:rPr>
          <w:color w:val="000000"/>
          <w:spacing w:val="0"/>
          <w:w w:val="100"/>
          <w:position w:val="0"/>
        </w:rPr>
        <w:t>一</w:t>
      </w:r>
      <w:bookmarkEnd w:id="477"/>
      <w:r>
        <w:rPr>
          <w:color w:val="000000"/>
          <w:spacing w:val="0"/>
          <w:w w:val="100"/>
          <w:position w:val="0"/>
        </w:rPr>
        <w:t>、</w:t>
        <w:tab/>
        <w:t>会计政策变更的情况</w:t>
      </w:r>
    </w:p>
    <w:p>
      <w:pPr>
        <w:pStyle w:val="Style23"/>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日，中华人民共和国财政部（以下简称</w:t>
      </w:r>
      <w:r>
        <w:rPr>
          <w:rFonts w:ascii="Times New Roman" w:eastAsia="Times New Roman" w:hAnsi="Times New Roman" w:cs="Times New Roman"/>
          <w:color w:val="000000"/>
          <w:spacing w:val="0"/>
          <w:w w:val="100"/>
          <w:position w:val="0"/>
        </w:rPr>
        <w:t>“</w:t>
      </w:r>
      <w:r>
        <w:rPr>
          <w:color w:val="000000"/>
          <w:spacing w:val="0"/>
          <w:w w:val="100"/>
          <w:position w:val="0"/>
        </w:rPr>
        <w:t>财政部</w:t>
      </w:r>
      <w:r>
        <w:rPr>
          <w:rFonts w:ascii="Times New Roman" w:eastAsia="Times New Roman" w:hAnsi="Times New Roman" w:cs="Times New Roman"/>
          <w:color w:val="000000"/>
          <w:spacing w:val="0"/>
          <w:w w:val="100"/>
          <w:position w:val="0"/>
        </w:rPr>
        <w:t>”</w:t>
      </w:r>
      <w:r>
        <w:rPr>
          <w:color w:val="000000"/>
          <w:spacing w:val="0"/>
          <w:w w:val="100"/>
          <w:position w:val="0"/>
        </w:rPr>
        <w:t>）发布了《关于修订印发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），新租赁准则要求在境内外同时上市的企业以及在境外上市并采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日召开的第七届董事会第四次会议、第七届监事会第二次会议审议通过了《关于会计 政策变更的议案》。</w:t>
      </w:r>
    </w:p>
    <w:p>
      <w:pPr>
        <w:pStyle w:val="Style2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根据新租赁准则的要求，公司自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日起执行新租赁准则，对原采用的相关会计政策进行相应变更。本次会计政 策变更前，公司执行财政部发布的《企业会计准则一基本准则》和各项具体会计准则、企业会计准则应用指南、企业会计 准则解释公告及其他相关文件规定。本次会计政策变更后，公司将按照财政部发布的新租赁准则中的规定执行，其他未变更 部分仍按照财政部前期颁布的《企业会计准则一基本准则》和各项具体会计准则、企业会计准则应用指南、企业会计准则 解释公告以及其他相关规定执行。</w:t>
      </w:r>
    </w:p>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其他有关具体情况，详见本报告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 44</w:t>
      </w:r>
      <w:r>
        <w:rPr>
          <w:color w:val="000000"/>
          <w:spacing w:val="0"/>
          <w:w w:val="100"/>
          <w:position w:val="0"/>
        </w:rPr>
        <w:t>、重要会计政策和会计估计 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tabs>
          <w:tab w:pos="879" w:val="left"/>
        </w:tabs>
        <w:bidi w:val="0"/>
        <w:spacing w:before="0" w:after="0" w:line="315" w:lineRule="exact"/>
        <w:ind w:left="0" w:right="0" w:firstLine="480"/>
        <w:jc w:val="both"/>
      </w:pPr>
      <w:bookmarkStart w:id="478" w:name="bookmark478"/>
      <w:r>
        <w:rPr>
          <w:color w:val="000000"/>
          <w:spacing w:val="0"/>
          <w:w w:val="100"/>
          <w:position w:val="0"/>
        </w:rPr>
        <w:t>二</w:t>
      </w:r>
      <w:bookmarkEnd w:id="478"/>
      <w:r>
        <w:rPr>
          <w:color w:val="000000"/>
          <w:spacing w:val="0"/>
          <w:w w:val="100"/>
          <w:position w:val="0"/>
        </w:rPr>
        <w:t>、</w:t>
        <w:tab/>
        <w:t>重大会计差错更正的情况</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大信会计师事务所（特殊普通合伙）对公司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年度报告中的预付游戏推广费、应付游戏分成款、商誉减值、购买子公 司少数股东股权发表了保留意见，公司董事会高度重视，及时组织自查团队，对保留意见事项实施全面自查，具体情况如下：</w:t>
      </w:r>
    </w:p>
    <w:p>
      <w:pPr>
        <w:pStyle w:val="Style23"/>
        <w:keepNext w:val="0"/>
        <w:keepLines w:val="0"/>
        <w:widowControl w:val="0"/>
        <w:shd w:val="clear" w:color="auto" w:fill="auto"/>
        <w:bidi w:val="0"/>
        <w:spacing w:before="0" w:after="140" w:line="315" w:lineRule="exact"/>
        <w:ind w:left="0" w:right="0" w:firstLine="480"/>
        <w:jc w:val="left"/>
      </w:pPr>
      <w:r>
        <w:rPr>
          <w:color w:val="000000"/>
          <w:spacing w:val="0"/>
          <w:w w:val="100"/>
          <w:position w:val="0"/>
        </w:rPr>
        <w:t>（一）对合并财务报表进行更正的原因</w:t>
      </w:r>
    </w:p>
    <w:p>
      <w:pPr>
        <w:pStyle w:val="Style23"/>
        <w:keepNext w:val="0"/>
        <w:keepLines w:val="0"/>
        <w:widowControl w:val="0"/>
        <w:numPr>
          <w:ilvl w:val="0"/>
          <w:numId w:val="25"/>
        </w:numPr>
        <w:shd w:val="clear" w:color="auto" w:fill="auto"/>
        <w:bidi w:val="0"/>
        <w:spacing w:before="0" w:after="0"/>
        <w:ind w:left="0" w:right="0" w:firstLine="480"/>
        <w:jc w:val="left"/>
      </w:pPr>
      <w:bookmarkStart w:id="479" w:name="bookmark479"/>
      <w:bookmarkEnd w:id="479"/>
      <w:r>
        <w:rPr>
          <w:color w:val="000000"/>
          <w:spacing w:val="0"/>
          <w:w w:val="100"/>
          <w:position w:val="0"/>
        </w:rPr>
        <w:t>针对预付款项事项</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差错更正前，截至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日，预付上海智趣广告有限公司、西藏亦复广告有限公司、睿晟天和（北京）传媒科技 有限公司、北京品众互动网络营销技术有限公司、上海悦效信息科技有限公司、乐推（上海）文化传播有限公司、上海晋拓 </w:t>
      </w:r>
      <w:r>
        <w:rPr>
          <w:color w:val="000000"/>
          <w:spacing w:val="0"/>
          <w:w w:val="100"/>
          <w:position w:val="0"/>
        </w:rPr>
        <w:t>文化传播有限公司、深圳市安果文化传播有限公司、江西巨广网络科技有限公司、北京云锐国际文化传媒有限公司、北京齐 欣互动科技有限公司、北京腾讯文化传媒有限公司、江苏万圣广告传媒有限公司、深圳市指尖动力网络科技有限公司、山南 云拓文化传媒有限公司、深圳中青宝互动网络股份有限公司</w:t>
      </w:r>
      <w:r>
        <w:rPr>
          <w:rFonts w:ascii="Times New Roman" w:eastAsia="Times New Roman" w:hAnsi="Times New Roman" w:cs="Times New Roman"/>
          <w:color w:val="000000"/>
          <w:spacing w:val="0"/>
          <w:w w:val="100"/>
          <w:position w:val="0"/>
        </w:rPr>
        <w:t>363,560,188.00</w:t>
      </w:r>
      <w:r>
        <w:rPr>
          <w:color w:val="000000"/>
          <w:spacing w:val="0"/>
          <w:w w:val="100"/>
          <w:position w:val="0"/>
        </w:rPr>
        <w:t>元，应付该等供应商</w:t>
      </w:r>
      <w:r>
        <w:rPr>
          <w:rFonts w:ascii="Times New Roman" w:eastAsia="Times New Roman" w:hAnsi="Times New Roman" w:cs="Times New Roman"/>
          <w:color w:val="000000"/>
          <w:spacing w:val="0"/>
          <w:w w:val="100"/>
          <w:position w:val="0"/>
        </w:rPr>
        <w:t>5,083,765.26</w:t>
      </w:r>
      <w:r>
        <w:rPr>
          <w:color w:val="000000"/>
          <w:spacing w:val="0"/>
          <w:w w:val="100"/>
          <w:position w:val="0"/>
        </w:rPr>
        <w:t>元。</w:t>
      </w:r>
    </w:p>
    <w:p>
      <w:pPr>
        <w:pStyle w:val="Style44"/>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经公司自查，并与供应商进行核对，上述预付游戏款项哆可梦与上海季娱已消耗完毕，分别结转至公司</w:t>
      </w:r>
      <w:r>
        <w:rPr>
          <w:color w:val="000000"/>
          <w:spacing w:val="0"/>
          <w:w w:val="100"/>
          <w:position w:val="0"/>
        </w:rPr>
        <w:t>2017</w:t>
      </w:r>
      <w:r>
        <w:rPr>
          <w:rFonts w:ascii="SimSun" w:eastAsia="SimSun" w:hAnsi="SimSun" w:cs="SimSun"/>
          <w:color w:val="000000"/>
          <w:spacing w:val="0"/>
          <w:w w:val="100"/>
          <w:position w:val="0"/>
        </w:rPr>
        <w:t>年度,</w:t>
      </w:r>
      <w:r>
        <w:rPr>
          <w:color w:val="000000"/>
          <w:spacing w:val="0"/>
          <w:w w:val="100"/>
          <w:position w:val="0"/>
        </w:rPr>
        <w:t xml:space="preserve">2018 </w:t>
      </w:r>
      <w:r>
        <w:rPr>
          <w:rFonts w:ascii="SimSun" w:eastAsia="SimSun" w:hAnsi="SimSun" w:cs="SimSun"/>
          <w:color w:val="000000"/>
          <w:spacing w:val="0"/>
          <w:w w:val="100"/>
          <w:position w:val="0"/>
        </w:rPr>
        <w:t>年度、</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2020</w:t>
      </w:r>
      <w:r>
        <w:rPr>
          <w:rFonts w:ascii="SimSun" w:eastAsia="SimSun" w:hAnsi="SimSun" w:cs="SimSun"/>
          <w:color w:val="000000"/>
          <w:spacing w:val="0"/>
          <w:w w:val="100"/>
          <w:position w:val="0"/>
        </w:rPr>
        <w:t>年度销售费用</w:t>
      </w:r>
      <w:r>
        <w:rPr>
          <w:color w:val="000000"/>
          <w:spacing w:val="0"/>
          <w:w w:val="100"/>
          <w:position w:val="0"/>
        </w:rPr>
        <w:t>3,005,914.40</w:t>
      </w:r>
      <w:r>
        <w:rPr>
          <w:rFonts w:ascii="SimSun" w:eastAsia="SimSun" w:hAnsi="SimSun" w:cs="SimSun"/>
          <w:color w:val="000000"/>
          <w:spacing w:val="0"/>
          <w:w w:val="100"/>
          <w:position w:val="0"/>
        </w:rPr>
        <w:t>元、</w:t>
      </w:r>
      <w:r>
        <w:rPr>
          <w:color w:val="000000"/>
          <w:spacing w:val="0"/>
          <w:w w:val="100"/>
          <w:position w:val="0"/>
        </w:rPr>
        <w:t xml:space="preserve">19,595,475.81 </w:t>
      </w:r>
      <w:r>
        <w:rPr>
          <w:rFonts w:ascii="SimSun" w:eastAsia="SimSun" w:hAnsi="SimSun" w:cs="SimSun"/>
          <w:color w:val="000000"/>
          <w:spacing w:val="0"/>
          <w:w w:val="100"/>
          <w:position w:val="0"/>
        </w:rPr>
        <w:t>元、</w:t>
      </w:r>
      <w:r>
        <w:rPr>
          <w:color w:val="000000"/>
          <w:spacing w:val="0"/>
          <w:w w:val="100"/>
          <w:position w:val="0"/>
        </w:rPr>
        <w:t>222,142,941.67</w:t>
      </w:r>
      <w:r>
        <w:rPr>
          <w:rFonts w:ascii="SimSun" w:eastAsia="SimSun" w:hAnsi="SimSun" w:cs="SimSun"/>
          <w:color w:val="000000"/>
          <w:spacing w:val="0"/>
          <w:w w:val="100"/>
          <w:position w:val="0"/>
        </w:rPr>
        <w:t>元、</w:t>
      </w:r>
      <w:r>
        <w:rPr>
          <w:color w:val="000000"/>
          <w:spacing w:val="0"/>
          <w:w w:val="100"/>
          <w:position w:val="0"/>
        </w:rPr>
        <w:t>76,243,509.30</w:t>
      </w:r>
      <w:r>
        <w:rPr>
          <w:rFonts w:ascii="SimSun" w:eastAsia="SimSun" w:hAnsi="SimSun" w:cs="SimSun"/>
          <w:color w:val="000000"/>
          <w:spacing w:val="0"/>
          <w:w w:val="100"/>
          <w:position w:val="0"/>
        </w:rPr>
        <w:t>元，转至公司</w:t>
      </w:r>
      <w:r>
        <w:rPr>
          <w:color w:val="000000"/>
          <w:spacing w:val="0"/>
          <w:w w:val="100"/>
          <w:position w:val="0"/>
        </w:rPr>
        <w:t xml:space="preserve">2019 </w:t>
      </w:r>
      <w:r>
        <w:rPr>
          <w:rFonts w:ascii="SimSun" w:eastAsia="SimSun" w:hAnsi="SimSun" w:cs="SimSun"/>
          <w:color w:val="000000"/>
          <w:spacing w:val="0"/>
          <w:w w:val="100"/>
          <w:position w:val="0"/>
        </w:rPr>
        <w:t>年度营业成本</w:t>
      </w:r>
      <w:r>
        <w:rPr>
          <w:color w:val="000000"/>
          <w:spacing w:val="0"/>
          <w:w w:val="100"/>
          <w:position w:val="0"/>
        </w:rPr>
        <w:t>8,000,000.00</w:t>
      </w:r>
      <w:r>
        <w:rPr>
          <w:rFonts w:ascii="SimSun" w:eastAsia="SimSun" w:hAnsi="SimSun" w:cs="SimSun"/>
          <w:color w:val="000000"/>
          <w:spacing w:val="0"/>
          <w:w w:val="100"/>
          <w:position w:val="0"/>
        </w:rPr>
        <w:t>元。对截至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日预付款项的累计影响额为</w:t>
      </w:r>
      <w:r>
        <w:rPr>
          <w:color w:val="000000"/>
          <w:spacing w:val="0"/>
          <w:w w:val="100"/>
          <w:position w:val="0"/>
        </w:rPr>
        <w:t>328,987,841.18</w:t>
      </w:r>
      <w:r>
        <w:rPr>
          <w:rFonts w:ascii="SimSun" w:eastAsia="SimSun" w:hAnsi="SimSun" w:cs="SimSun"/>
          <w:color w:val="000000"/>
          <w:spacing w:val="0"/>
          <w:w w:val="100"/>
          <w:position w:val="0"/>
        </w:rPr>
        <w:t>元。</w:t>
      </w:r>
    </w:p>
    <w:p>
      <w:pPr>
        <w:pStyle w:val="Style23"/>
        <w:keepNext w:val="0"/>
        <w:keepLines w:val="0"/>
        <w:widowControl w:val="0"/>
        <w:numPr>
          <w:ilvl w:val="0"/>
          <w:numId w:val="25"/>
        </w:numPr>
        <w:shd w:val="clear" w:color="auto" w:fill="auto"/>
        <w:tabs>
          <w:tab w:pos="640" w:val="left"/>
        </w:tabs>
        <w:bidi w:val="0"/>
        <w:spacing w:before="0" w:after="0"/>
        <w:ind w:left="0" w:right="0"/>
        <w:jc w:val="both"/>
      </w:pPr>
      <w:bookmarkStart w:id="480" w:name="bookmark480"/>
      <w:bookmarkEnd w:id="480"/>
      <w:r>
        <w:rPr>
          <w:color w:val="000000"/>
          <w:spacing w:val="0"/>
          <w:w w:val="100"/>
          <w:position w:val="0"/>
        </w:rPr>
        <w:t>针对应付游戏分成款事项</w:t>
      </w:r>
    </w:p>
    <w:p>
      <w:pPr>
        <w:pStyle w:val="Style2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月，公司与广州赤星信息科技有限公司和广州乐游信息科技有限公司签署的《关于</w:t>
      </w:r>
      <w:r>
        <w:rPr>
          <w:color w:val="000000"/>
          <w:spacing w:val="0"/>
          <w:w w:val="100"/>
          <w:position w:val="0"/>
        </w:rPr>
        <w:t>〈</w:t>
      </w:r>
      <w:r>
        <w:rPr>
          <w:color w:val="000000"/>
          <w:spacing w:val="0"/>
          <w:w w:val="100"/>
          <w:position w:val="0"/>
        </w:rPr>
        <w:t>天地战神</w:t>
      </w:r>
      <w:r>
        <w:rPr>
          <w:color w:val="000000"/>
          <w:spacing w:val="0"/>
          <w:w w:val="100"/>
          <w:position w:val="0"/>
        </w:rPr>
        <w:t>〉</w:t>
      </w:r>
      <w:r>
        <w:rPr>
          <w:color w:val="000000"/>
          <w:spacing w:val="0"/>
          <w:w w:val="100"/>
          <w:position w:val="0"/>
        </w:rPr>
        <w:t>和</w:t>
      </w:r>
      <w:r>
        <w:rPr>
          <w:color w:val="000000"/>
          <w:spacing w:val="0"/>
          <w:w w:val="100"/>
          <w:position w:val="0"/>
        </w:rPr>
        <w:t>〈</w:t>
      </w:r>
      <w:r>
        <w:rPr>
          <w:color w:val="000000"/>
          <w:spacing w:val="0"/>
          <w:w w:val="100"/>
          <w:position w:val="0"/>
        </w:rPr>
        <w:t>绝世武林</w:t>
      </w:r>
      <w:r>
        <w:rPr>
          <w:color w:val="000000"/>
          <w:spacing w:val="0"/>
          <w:w w:val="100"/>
          <w:position w:val="0"/>
        </w:rPr>
        <w:t>〉</w:t>
      </w:r>
      <w:r>
        <w:rPr>
          <w:color w:val="000000"/>
          <w:spacing w:val="0"/>
          <w:w w:val="100"/>
          <w:position w:val="0"/>
        </w:rPr>
        <w:t>分 成款的补充协议》及《关于</w:t>
      </w:r>
      <w:r>
        <w:rPr>
          <w:color w:val="000000"/>
          <w:spacing w:val="0"/>
          <w:w w:val="100"/>
          <w:position w:val="0"/>
        </w:rPr>
        <w:t>〈</w:t>
      </w:r>
      <w:r>
        <w:rPr>
          <w:color w:val="000000"/>
          <w:spacing w:val="0"/>
          <w:w w:val="100"/>
          <w:position w:val="0"/>
        </w:rPr>
        <w:t>天地战神</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绝世武林</w:t>
      </w:r>
      <w:r>
        <w:rPr>
          <w:rFonts w:ascii="Times New Roman" w:eastAsia="Times New Roman" w:hAnsi="Times New Roman" w:cs="Times New Roman"/>
          <w:color w:val="000000"/>
          <w:spacing w:val="0"/>
          <w:w w:val="100"/>
          <w:position w:val="0"/>
        </w:rPr>
        <w:t>＞</w:t>
      </w:r>
      <w:r>
        <w:rPr>
          <w:color w:val="000000"/>
          <w:spacing w:val="0"/>
          <w:w w:val="100"/>
          <w:position w:val="0"/>
        </w:rPr>
        <w:t>分成款的补充协议中</w:t>
      </w:r>
      <w:r>
        <w:rPr>
          <w:rFonts w:ascii="Times New Roman" w:eastAsia="Times New Roman" w:hAnsi="Times New Roman" w:cs="Times New Roman"/>
          <w:color w:val="000000"/>
          <w:spacing w:val="0"/>
          <w:w w:val="100"/>
          <w:position w:val="0"/>
        </w:rPr>
        <w:t>“</w:t>
      </w:r>
      <w:r>
        <w:rPr>
          <w:color w:val="000000"/>
          <w:spacing w:val="0"/>
          <w:w w:val="100"/>
          <w:position w:val="0"/>
        </w:rPr>
        <w:t>和解款项</w:t>
      </w:r>
      <w:r>
        <w:rPr>
          <w:rFonts w:ascii="Times New Roman" w:eastAsia="Times New Roman" w:hAnsi="Times New Roman" w:cs="Times New Roman"/>
          <w:color w:val="000000"/>
          <w:spacing w:val="0"/>
          <w:w w:val="100"/>
          <w:position w:val="0"/>
        </w:rPr>
        <w:t>”</w:t>
      </w:r>
      <w:r>
        <w:rPr>
          <w:color w:val="000000"/>
          <w:spacing w:val="0"/>
          <w:w w:val="100"/>
          <w:position w:val="0"/>
        </w:rPr>
        <w:t>补充说明》，协议和说明约定：</w:t>
      </w:r>
      <w:r>
        <w:rPr>
          <w:rFonts w:ascii="Times New Roman" w:eastAsia="Times New Roman" w:hAnsi="Times New Roman" w:cs="Times New Roman"/>
          <w:color w:val="000000"/>
          <w:spacing w:val="0"/>
          <w:w w:val="100"/>
          <w:position w:val="0"/>
        </w:rPr>
        <w:t>“</w:t>
      </w:r>
      <w:r>
        <w:rPr>
          <w:color w:val="000000"/>
          <w:spacing w:val="0"/>
          <w:w w:val="100"/>
          <w:position w:val="0"/>
        </w:rPr>
        <w:t>公司 应当支付和解款项共计</w:t>
      </w:r>
      <w:r>
        <w:rPr>
          <w:color w:val="000000"/>
          <w:spacing w:val="0"/>
          <w:w w:val="100"/>
          <w:position w:val="0"/>
        </w:rPr>
        <w:t>¥</w:t>
      </w:r>
      <w:r>
        <w:rPr>
          <w:rFonts w:ascii="Times New Roman" w:eastAsia="Times New Roman" w:hAnsi="Times New Roman" w:cs="Times New Roman"/>
          <w:color w:val="000000"/>
          <w:spacing w:val="0"/>
          <w:w w:val="100"/>
          <w:position w:val="0"/>
        </w:rPr>
        <w:t>95,000,000.00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大写</w:t>
      </w:r>
      <w:r>
        <w:rPr>
          <w:rFonts w:ascii="Times New Roman" w:eastAsia="Times New Roman" w:hAnsi="Times New Roman" w:cs="Times New Roman"/>
          <w:color w:val="000000"/>
          <w:spacing w:val="0"/>
          <w:w w:val="100"/>
          <w:position w:val="0"/>
        </w:rPr>
        <w:t>:</w:t>
      </w:r>
      <w:r>
        <w:rPr>
          <w:color w:val="000000"/>
          <w:spacing w:val="0"/>
          <w:w w:val="100"/>
          <w:position w:val="0"/>
        </w:rPr>
        <w:t>人民币玖仟伍佰万元整</w:t>
      </w:r>
      <w:r>
        <w:rPr>
          <w:rFonts w:ascii="Times New Roman" w:eastAsia="Times New Roman" w:hAnsi="Times New Roman" w:cs="Times New Roman"/>
          <w:color w:val="000000"/>
          <w:spacing w:val="0"/>
          <w:w w:val="100"/>
          <w:position w:val="0"/>
        </w:rPr>
        <w:t>）</w:t>
      </w:r>
      <w:r>
        <w:rPr>
          <w:color w:val="000000"/>
          <w:spacing w:val="0"/>
          <w:w w:val="100"/>
          <w:position w:val="0"/>
        </w:rPr>
        <w:t>。和解款项包括《绝世武林》和《天地战神》的应付 分成款人民币</w:t>
      </w:r>
      <w:r>
        <w:rPr>
          <w:rFonts w:ascii="Times New Roman" w:eastAsia="Times New Roman" w:hAnsi="Times New Roman" w:cs="Times New Roman"/>
          <w:color w:val="000000"/>
          <w:spacing w:val="0"/>
          <w:w w:val="100"/>
          <w:position w:val="0"/>
        </w:rPr>
        <w:t>89,444,699.12</w:t>
      </w:r>
      <w:r>
        <w:rPr>
          <w:color w:val="000000"/>
          <w:spacing w:val="0"/>
          <w:w w:val="100"/>
          <w:position w:val="0"/>
        </w:rPr>
        <w:t>元，以及其他费用</w:t>
      </w:r>
      <w:r>
        <w:rPr>
          <w:rFonts w:ascii="Times New Roman" w:eastAsia="Times New Roman" w:hAnsi="Times New Roman" w:cs="Times New Roman"/>
          <w:color w:val="000000"/>
          <w:spacing w:val="0"/>
          <w:w w:val="100"/>
          <w:position w:val="0"/>
        </w:rPr>
        <w:t>5,555,300.88</w:t>
      </w:r>
      <w:r>
        <w:rPr>
          <w:color w:val="000000"/>
          <w:spacing w:val="0"/>
          <w:w w:val="100"/>
          <w:position w:val="0"/>
        </w:rPr>
        <w:t>元。其中，其他费用包括违约金、滞纳金等。除上述外，广州赤星 信息科技有限公司和广州乐游信息科技有限公司不得再向公司主张任何款项或费用七公司于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日通过银行转账的 方式支付了人民币</w:t>
      </w:r>
      <w:r>
        <w:rPr>
          <w:rFonts w:ascii="Times New Roman" w:eastAsia="Times New Roman" w:hAnsi="Times New Roman" w:cs="Times New Roman"/>
          <w:color w:val="000000"/>
          <w:spacing w:val="0"/>
          <w:w w:val="100"/>
          <w:position w:val="0"/>
        </w:rPr>
        <w:t>90,000,000.00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月，公司收到广东省高级人民法院作出的（</w:t>
      </w:r>
      <w:r>
        <w:rPr>
          <w:rFonts w:ascii="Times New Roman" w:eastAsia="Times New Roman" w:hAnsi="Times New Roman" w:cs="Times New Roman"/>
          <w:color w:val="000000"/>
          <w:spacing w:val="0"/>
          <w:w w:val="100"/>
          <w:position w:val="0"/>
        </w:rPr>
        <w:t>2021</w:t>
      </w:r>
      <w:r>
        <w:rPr>
          <w:color w:val="000000"/>
          <w:spacing w:val="0"/>
          <w:w w:val="100"/>
          <w:position w:val="0"/>
        </w:rPr>
        <w:t>）粤知民初</w:t>
      </w:r>
      <w:r>
        <w:rPr>
          <w:rFonts w:ascii="Times New Roman" w:eastAsia="Times New Roman" w:hAnsi="Times New Roman" w:cs="Times New Roman"/>
          <w:color w:val="000000"/>
          <w:spacing w:val="0"/>
          <w:w w:val="100"/>
          <w:position w:val="0"/>
        </w:rPr>
        <w:t>1</w:t>
      </w:r>
      <w:r>
        <w:rPr>
          <w:color w:val="000000"/>
          <w:spacing w:val="0"/>
          <w:w w:val="100"/>
          <w:position w:val="0"/>
        </w:rPr>
        <w:t>号之一民事裁 定书，裁定准许广州赤星信息科技有限公司撤诉。公司按协议中的各年分成款更正了相关年度营业成本，对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日应付账款累计影响额为</w:t>
      </w:r>
      <w:r>
        <w:rPr>
          <w:rFonts w:ascii="Times New Roman" w:eastAsia="Times New Roman" w:hAnsi="Times New Roman" w:cs="Times New Roman"/>
          <w:color w:val="000000"/>
          <w:spacing w:val="0"/>
          <w:w w:val="100"/>
          <w:position w:val="0"/>
        </w:rPr>
        <w:t>12,713,502.44</w:t>
      </w:r>
      <w:r>
        <w:rPr>
          <w:color w:val="000000"/>
          <w:spacing w:val="0"/>
          <w:w w:val="100"/>
          <w:position w:val="0"/>
        </w:rPr>
        <w:t>元。</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由于公司对哆可梦持股</w:t>
      </w:r>
      <w:r>
        <w:rPr>
          <w:rFonts w:ascii="Times New Roman" w:eastAsia="Times New Roman" w:hAnsi="Times New Roman" w:cs="Times New Roman"/>
          <w:color w:val="000000"/>
          <w:spacing w:val="0"/>
          <w:w w:val="100"/>
          <w:position w:val="0"/>
        </w:rPr>
        <w:t>77.57%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月前对上海季娱持股</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月后对上海季娱持股</w:t>
      </w:r>
      <w:r>
        <w:rPr>
          <w:rFonts w:ascii="Times New Roman" w:eastAsia="Times New Roman" w:hAnsi="Times New Roman" w:cs="Times New Roman"/>
          <w:color w:val="000000"/>
          <w:spacing w:val="0"/>
          <w:w w:val="100"/>
          <w:position w:val="0"/>
        </w:rPr>
        <w:t>100%</w:t>
      </w:r>
      <w:r>
        <w:rPr>
          <w:color w:val="000000"/>
          <w:spacing w:val="0"/>
          <w:w w:val="100"/>
          <w:position w:val="0"/>
        </w:rPr>
        <w:t>，受上述哆可梦 与上海季娱更正预付款项和应付游戏分成款的影响，公司同步更正</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年度少数股东损益 </w:t>
      </w:r>
      <w:r>
        <w:rPr>
          <w:rFonts w:ascii="Times New Roman" w:eastAsia="Times New Roman" w:hAnsi="Times New Roman" w:cs="Times New Roman"/>
          <w:color w:val="000000"/>
          <w:spacing w:val="0"/>
          <w:w w:val="100"/>
          <w:position w:val="0"/>
        </w:rPr>
        <w:t>-1,060,096.15</w:t>
      </w:r>
      <w:r>
        <w:rPr>
          <w:color w:val="000000"/>
          <w:spacing w:val="0"/>
          <w:w w:val="100"/>
          <w:position w:val="0"/>
        </w:rPr>
        <w:t>元、</w:t>
      </w:r>
      <w:r>
        <w:rPr>
          <w:rFonts w:ascii="Times New Roman" w:eastAsia="Times New Roman" w:hAnsi="Times New Roman" w:cs="Times New Roman"/>
          <w:color w:val="000000"/>
          <w:spacing w:val="0"/>
          <w:w w:val="100"/>
          <w:position w:val="0"/>
        </w:rPr>
        <w:t>-7,071,130.77</w:t>
      </w:r>
      <w:r>
        <w:rPr>
          <w:color w:val="000000"/>
          <w:spacing w:val="0"/>
          <w:w w:val="100"/>
          <w:position w:val="0"/>
        </w:rPr>
        <w:t>元、</w:t>
      </w:r>
      <w:r>
        <w:rPr>
          <w:rFonts w:ascii="Times New Roman" w:eastAsia="Times New Roman" w:hAnsi="Times New Roman" w:cs="Times New Roman"/>
          <w:color w:val="000000"/>
          <w:spacing w:val="0"/>
          <w:w w:val="100"/>
          <w:position w:val="0"/>
        </w:rPr>
        <w:t>-54,007,140.09</w:t>
      </w:r>
      <w:r>
        <w:rPr>
          <w:color w:val="000000"/>
          <w:spacing w:val="0"/>
          <w:w w:val="100"/>
          <w:position w:val="0"/>
        </w:rPr>
        <w:t>元、</w:t>
      </w:r>
      <w:r>
        <w:rPr>
          <w:rFonts w:ascii="Times New Roman" w:eastAsia="Times New Roman" w:hAnsi="Times New Roman" w:cs="Times New Roman"/>
          <w:color w:val="000000"/>
          <w:spacing w:val="0"/>
          <w:w w:val="100"/>
          <w:position w:val="0"/>
        </w:rPr>
        <w:t>-22,869,604.36</w:t>
      </w:r>
      <w:r>
        <w:rPr>
          <w:color w:val="000000"/>
          <w:spacing w:val="0"/>
          <w:w w:val="100"/>
          <w:position w:val="0"/>
        </w:rPr>
        <w:t>元，更正</w:t>
      </w:r>
      <w:r>
        <w:rPr>
          <w:rFonts w:ascii="Times New Roman" w:eastAsia="Times New Roman" w:hAnsi="Times New Roman" w:cs="Times New Roman"/>
          <w:color w:val="000000"/>
          <w:spacing w:val="0"/>
          <w:w w:val="100"/>
          <w:position w:val="0"/>
        </w:rPr>
        <w:t>2020</w:t>
      </w:r>
      <w:r>
        <w:rPr>
          <w:color w:val="000000"/>
          <w:spacing w:val="0"/>
          <w:w w:val="100"/>
          <w:position w:val="0"/>
        </w:rPr>
        <w:t>年因购买上海季娱</w:t>
      </w:r>
      <w:r>
        <w:rPr>
          <w:rFonts w:ascii="Times New Roman" w:eastAsia="Times New Roman" w:hAnsi="Times New Roman" w:cs="Times New Roman"/>
          <w:color w:val="000000"/>
          <w:spacing w:val="0"/>
          <w:w w:val="100"/>
          <w:position w:val="0"/>
        </w:rPr>
        <w:t>49%</w:t>
      </w:r>
      <w:r>
        <w:rPr>
          <w:color w:val="000000"/>
          <w:spacing w:val="0"/>
          <w:w w:val="100"/>
          <w:position w:val="0"/>
        </w:rPr>
        <w:t>股权影响的资本公 积</w:t>
      </w:r>
      <w:r>
        <w:rPr>
          <w:rFonts w:ascii="Times New Roman" w:eastAsia="Times New Roman" w:hAnsi="Times New Roman" w:cs="Times New Roman"/>
          <w:color w:val="000000"/>
          <w:spacing w:val="0"/>
          <w:w w:val="100"/>
          <w:position w:val="0"/>
        </w:rPr>
        <w:t>-16,170,000.00</w:t>
      </w:r>
      <w:r>
        <w:rPr>
          <w:color w:val="000000"/>
          <w:spacing w:val="0"/>
          <w:w w:val="100"/>
          <w:position w:val="0"/>
        </w:rPr>
        <w:t>元。</w:t>
      </w:r>
    </w:p>
    <w:p>
      <w:pPr>
        <w:pStyle w:val="Style23"/>
        <w:keepNext w:val="0"/>
        <w:keepLines w:val="0"/>
        <w:widowControl w:val="0"/>
        <w:numPr>
          <w:ilvl w:val="0"/>
          <w:numId w:val="25"/>
        </w:numPr>
        <w:shd w:val="clear" w:color="auto" w:fill="auto"/>
        <w:tabs>
          <w:tab w:pos="640" w:val="left"/>
        </w:tabs>
        <w:bidi w:val="0"/>
        <w:spacing w:before="0" w:after="0"/>
        <w:ind w:left="0" w:right="0"/>
        <w:jc w:val="both"/>
      </w:pPr>
      <w:bookmarkStart w:id="481" w:name="bookmark481"/>
      <w:bookmarkEnd w:id="481"/>
      <w:r>
        <w:rPr>
          <w:color w:val="000000"/>
          <w:spacing w:val="0"/>
          <w:w w:val="100"/>
          <w:position w:val="0"/>
        </w:rPr>
        <w:t>针对商誉减值事项</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公司更正哆可梦预付游戏推广费、应付游戏分成款后，对哆可梦</w:t>
      </w:r>
      <w:r>
        <w:rPr>
          <w:rFonts w:ascii="Times New Roman" w:eastAsia="Times New Roman" w:hAnsi="Times New Roman" w:cs="Times New Roman"/>
          <w:color w:val="000000"/>
          <w:spacing w:val="0"/>
          <w:w w:val="100"/>
          <w:position w:val="0"/>
        </w:rPr>
        <w:t>2019</w:t>
      </w:r>
      <w:r>
        <w:rPr>
          <w:color w:val="000000"/>
          <w:spacing w:val="0"/>
          <w:w w:val="100"/>
          <w:position w:val="0"/>
        </w:rPr>
        <w:t>年末、</w:t>
      </w:r>
      <w:r>
        <w:rPr>
          <w:rFonts w:ascii="Times New Roman" w:eastAsia="Times New Roman" w:hAnsi="Times New Roman" w:cs="Times New Roman"/>
          <w:color w:val="000000"/>
          <w:spacing w:val="0"/>
          <w:w w:val="100"/>
          <w:position w:val="0"/>
        </w:rPr>
        <w:t>2020</w:t>
      </w:r>
      <w:r>
        <w:rPr>
          <w:color w:val="000000"/>
          <w:spacing w:val="0"/>
          <w:w w:val="100"/>
          <w:position w:val="0"/>
        </w:rPr>
        <w:t>年末商誉所在资产组的可收回金额进行 重新测试，并根据测试结果更正补提商誉</w:t>
      </w:r>
      <w:r>
        <w:rPr>
          <w:rFonts w:ascii="Times New Roman" w:eastAsia="Times New Roman" w:hAnsi="Times New Roman" w:cs="Times New Roman"/>
          <w:color w:val="000000"/>
          <w:spacing w:val="0"/>
          <w:w w:val="100"/>
          <w:position w:val="0"/>
        </w:rPr>
        <w:t>2019</w:t>
      </w:r>
      <w:r>
        <w:rPr>
          <w:color w:val="000000"/>
          <w:spacing w:val="0"/>
          <w:w w:val="100"/>
          <w:position w:val="0"/>
        </w:rPr>
        <w:t>年减值损失</w:t>
      </w:r>
      <w:r>
        <w:rPr>
          <w:rFonts w:ascii="Times New Roman" w:eastAsia="Times New Roman" w:hAnsi="Times New Roman" w:cs="Times New Roman"/>
          <w:color w:val="000000"/>
          <w:spacing w:val="0"/>
          <w:w w:val="100"/>
          <w:position w:val="0"/>
        </w:rPr>
        <w:t>1,143,339,134.16</w:t>
      </w:r>
      <w:r>
        <w:rPr>
          <w:color w:val="000000"/>
          <w:spacing w:val="0"/>
          <w:w w:val="100"/>
          <w:position w:val="0"/>
        </w:rPr>
        <w:t>元，更正冲减商誉</w:t>
      </w:r>
      <w:r>
        <w:rPr>
          <w:rFonts w:ascii="Times New Roman" w:eastAsia="Times New Roman" w:hAnsi="Times New Roman" w:cs="Times New Roman"/>
          <w:color w:val="000000"/>
          <w:spacing w:val="0"/>
          <w:w w:val="100"/>
          <w:position w:val="0"/>
        </w:rPr>
        <w:t>2020</w:t>
      </w:r>
      <w:r>
        <w:rPr>
          <w:color w:val="000000"/>
          <w:spacing w:val="0"/>
          <w:w w:val="100"/>
          <w:position w:val="0"/>
        </w:rPr>
        <w:t>年减值损失</w:t>
      </w:r>
      <w:r>
        <w:rPr>
          <w:rFonts w:ascii="Times New Roman" w:eastAsia="Times New Roman" w:hAnsi="Times New Roman" w:cs="Times New Roman"/>
          <w:color w:val="000000"/>
          <w:spacing w:val="0"/>
          <w:w w:val="100"/>
          <w:position w:val="0"/>
        </w:rPr>
        <w:t xml:space="preserve">831,080,135.44 </w:t>
      </w:r>
      <w:r>
        <w:rPr>
          <w:color w:val="000000"/>
          <w:spacing w:val="0"/>
          <w:w w:val="100"/>
          <w:position w:val="0"/>
        </w:rPr>
        <w:t>元。累计更正调减商誉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日商誉账面价值</w:t>
      </w:r>
      <w:r>
        <w:rPr>
          <w:rFonts w:ascii="Times New Roman" w:eastAsia="Times New Roman" w:hAnsi="Times New Roman" w:cs="Times New Roman"/>
          <w:color w:val="000000"/>
          <w:spacing w:val="0"/>
          <w:w w:val="100"/>
          <w:position w:val="0"/>
        </w:rPr>
        <w:t>312,258,998.72</w:t>
      </w:r>
      <w:r>
        <w:rPr>
          <w:color w:val="000000"/>
          <w:spacing w:val="0"/>
          <w:w w:val="100"/>
          <w:position w:val="0"/>
        </w:rPr>
        <w:t>元。</w:t>
      </w:r>
    </w:p>
    <w:p>
      <w:pPr>
        <w:pStyle w:val="Style23"/>
        <w:keepNext w:val="0"/>
        <w:keepLines w:val="0"/>
        <w:widowControl w:val="0"/>
        <w:numPr>
          <w:ilvl w:val="0"/>
          <w:numId w:val="25"/>
        </w:numPr>
        <w:shd w:val="clear" w:color="auto" w:fill="auto"/>
        <w:tabs>
          <w:tab w:pos="640" w:val="left"/>
        </w:tabs>
        <w:bidi w:val="0"/>
        <w:spacing w:before="0" w:after="0"/>
        <w:ind w:left="0" w:right="0"/>
        <w:jc w:val="both"/>
      </w:pPr>
      <w:bookmarkStart w:id="482" w:name="bookmark482"/>
      <w:bookmarkEnd w:id="482"/>
      <w:r>
        <w:rPr>
          <w:color w:val="000000"/>
          <w:spacing w:val="0"/>
          <w:w w:val="100"/>
          <w:position w:val="0"/>
        </w:rPr>
        <w:t>针对购买控股子公司少数股东股权事项</w:t>
      </w:r>
    </w:p>
    <w:p>
      <w:pPr>
        <w:pStyle w:val="Style2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月，公司以现金</w:t>
      </w:r>
      <w:r>
        <w:rPr>
          <w:rFonts w:ascii="Times New Roman" w:eastAsia="Times New Roman" w:hAnsi="Times New Roman" w:cs="Times New Roman"/>
          <w:color w:val="000000"/>
          <w:spacing w:val="0"/>
          <w:w w:val="100"/>
          <w:position w:val="0"/>
        </w:rPr>
        <w:t>111,000,000.00</w:t>
      </w:r>
      <w:r>
        <w:rPr>
          <w:color w:val="000000"/>
          <w:spacing w:val="0"/>
          <w:w w:val="100"/>
          <w:position w:val="0"/>
        </w:rPr>
        <w:t>元自航冀投资处收购上海季娱</w:t>
      </w:r>
      <w:r>
        <w:rPr>
          <w:rFonts w:ascii="Times New Roman" w:eastAsia="Times New Roman" w:hAnsi="Times New Roman" w:cs="Times New Roman"/>
          <w:color w:val="000000"/>
          <w:spacing w:val="0"/>
          <w:w w:val="100"/>
          <w:position w:val="0"/>
        </w:rPr>
        <w:t>49%</w:t>
      </w:r>
      <w:r>
        <w:rPr>
          <w:color w:val="000000"/>
          <w:spacing w:val="0"/>
          <w:w w:val="100"/>
          <w:position w:val="0"/>
        </w:rPr>
        <w:t>的股权</w:t>
      </w:r>
      <w:r>
        <w:rPr>
          <w:color w:val="000000"/>
          <w:spacing w:val="0"/>
          <w:w w:val="100"/>
          <w:position w:val="0"/>
        </w:rPr>
        <w:t>，</w:t>
      </w:r>
      <w:r>
        <w:rPr>
          <w:color w:val="000000"/>
          <w:spacing w:val="0"/>
          <w:w w:val="100"/>
          <w:position w:val="0"/>
        </w:rPr>
        <w:t>上海季娱于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日完成工商变 更登记。因航冀投资已于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月注销，经公司多次与航冀投资实际控人汪劲松先生协商，</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月，公司与汪劲松先生 签署了《关于上海季娱网络科技有限公司股权转让协议之补充协议书》，协议约定汪劲松先生同意按</w:t>
      </w:r>
      <w:r>
        <w:rPr>
          <w:rFonts w:ascii="Times New Roman" w:eastAsia="Times New Roman" w:hAnsi="Times New Roman" w:cs="Times New Roman"/>
          <w:color w:val="000000"/>
          <w:spacing w:val="0"/>
          <w:w w:val="100"/>
          <w:position w:val="0"/>
        </w:rPr>
        <w:t>0</w:t>
      </w:r>
      <w:r>
        <w:rPr>
          <w:color w:val="000000"/>
          <w:spacing w:val="0"/>
          <w:w w:val="100"/>
          <w:position w:val="0"/>
        </w:rPr>
        <w:t>元对价将上海季娱</w:t>
      </w:r>
      <w:r>
        <w:rPr>
          <w:rFonts w:ascii="Times New Roman" w:eastAsia="Times New Roman" w:hAnsi="Times New Roman" w:cs="Times New Roman"/>
          <w:color w:val="000000"/>
          <w:spacing w:val="0"/>
          <w:w w:val="100"/>
          <w:position w:val="0"/>
        </w:rPr>
        <w:t xml:space="preserve">49% </w:t>
      </w:r>
      <w:r>
        <w:rPr>
          <w:color w:val="000000"/>
          <w:spacing w:val="0"/>
          <w:w w:val="100"/>
          <w:position w:val="0"/>
        </w:rPr>
        <w:t>股权转让给公司，并在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日前以银行转账的方式退还</w:t>
      </w:r>
      <w:r>
        <w:rPr>
          <w:rFonts w:ascii="Times New Roman" w:eastAsia="Times New Roman" w:hAnsi="Times New Roman" w:cs="Times New Roman"/>
          <w:color w:val="000000"/>
          <w:spacing w:val="0"/>
          <w:w w:val="100"/>
          <w:position w:val="0"/>
        </w:rPr>
        <w:t>111,000,000.00</w:t>
      </w:r>
      <w:r>
        <w:rPr>
          <w:color w:val="000000"/>
          <w:spacing w:val="0"/>
          <w:w w:val="100"/>
          <w:position w:val="0"/>
        </w:rPr>
        <w:t>元上海季娱股权款，上海季娱</w:t>
      </w:r>
      <w:r>
        <w:rPr>
          <w:rFonts w:ascii="Times New Roman" w:eastAsia="Times New Roman" w:hAnsi="Times New Roman" w:cs="Times New Roman"/>
          <w:color w:val="000000"/>
          <w:spacing w:val="0"/>
          <w:w w:val="100"/>
          <w:position w:val="0"/>
        </w:rPr>
        <w:t>49%</w:t>
      </w:r>
      <w:r>
        <w:rPr>
          <w:color w:val="000000"/>
          <w:spacing w:val="0"/>
          <w:w w:val="100"/>
          <w:position w:val="0"/>
        </w:rPr>
        <w:t>的股权不再 办理转移登记手续。公司更正调整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w:t>
      </w:r>
      <w:r>
        <w:rPr>
          <w:rFonts w:ascii="Times New Roman" w:eastAsia="Times New Roman" w:hAnsi="Times New Roman" w:cs="Times New Roman"/>
          <w:color w:val="000000"/>
          <w:spacing w:val="0"/>
          <w:w w:val="100"/>
          <w:position w:val="0"/>
        </w:rPr>
        <w:t>111,000,000.00</w:t>
      </w:r>
      <w:r>
        <w:rPr>
          <w:color w:val="000000"/>
          <w:spacing w:val="0"/>
          <w:w w:val="100"/>
          <w:position w:val="0"/>
        </w:rPr>
        <w:t>元，并同步更正调整因购买少数股东股权在合 并层面的资本公积</w:t>
      </w:r>
      <w:r>
        <w:rPr>
          <w:rFonts w:ascii="Times New Roman" w:eastAsia="Times New Roman" w:hAnsi="Times New Roman" w:cs="Times New Roman"/>
          <w:color w:val="000000"/>
          <w:spacing w:val="0"/>
          <w:w w:val="100"/>
          <w:position w:val="0"/>
        </w:rPr>
        <w:t>111,000,000.00</w:t>
      </w:r>
      <w:r>
        <w:rPr>
          <w:color w:val="000000"/>
          <w:spacing w:val="0"/>
          <w:w w:val="100"/>
          <w:position w:val="0"/>
        </w:rPr>
        <w:t>元。</w:t>
      </w:r>
    </w:p>
    <w:p>
      <w:pPr>
        <w:pStyle w:val="Style23"/>
        <w:keepNext w:val="0"/>
        <w:keepLines w:val="0"/>
        <w:widowControl w:val="0"/>
        <w:shd w:val="clear" w:color="auto" w:fill="auto"/>
        <w:bidi w:val="0"/>
        <w:spacing w:before="0" w:after="140" w:line="313" w:lineRule="exact"/>
        <w:ind w:left="0" w:right="0"/>
        <w:jc w:val="both"/>
      </w:pPr>
      <w:r>
        <w:rPr>
          <w:color w:val="000000"/>
          <w:spacing w:val="0"/>
          <w:w w:val="100"/>
          <w:position w:val="0"/>
        </w:rPr>
        <w:t>（二）对母公司财务报表进行更正的原因</w:t>
      </w:r>
    </w:p>
    <w:p>
      <w:pPr>
        <w:pStyle w:val="Style23"/>
        <w:keepNext w:val="0"/>
        <w:keepLines w:val="0"/>
        <w:widowControl w:val="0"/>
        <w:numPr>
          <w:ilvl w:val="0"/>
          <w:numId w:val="27"/>
        </w:numPr>
        <w:shd w:val="clear" w:color="auto" w:fill="auto"/>
        <w:tabs>
          <w:tab w:pos="621" w:val="left"/>
        </w:tabs>
        <w:bidi w:val="0"/>
        <w:spacing w:before="0" w:after="0"/>
        <w:ind w:left="0" w:right="0"/>
        <w:jc w:val="both"/>
      </w:pPr>
      <w:bookmarkStart w:id="483" w:name="bookmark483"/>
      <w:bookmarkEnd w:id="483"/>
      <w:r>
        <w:rPr>
          <w:color w:val="000000"/>
          <w:spacing w:val="0"/>
          <w:w w:val="100"/>
          <w:position w:val="0"/>
        </w:rPr>
        <w:t>购买上海季娱少数股东股权对母公司上海季娱长期股权投资的影响</w:t>
      </w:r>
    </w:p>
    <w:p>
      <w:pPr>
        <w:pStyle w:val="Style23"/>
        <w:keepNext w:val="0"/>
        <w:keepLines w:val="0"/>
        <w:widowControl w:val="0"/>
        <w:shd w:val="clear" w:color="auto" w:fill="auto"/>
        <w:bidi w:val="0"/>
        <w:spacing w:before="0" w:after="140" w:line="317" w:lineRule="exact"/>
        <w:ind w:left="0" w:right="0"/>
        <w:jc w:val="both"/>
      </w:pPr>
      <w:r>
        <w:rPr>
          <w:color w:val="000000"/>
          <w:spacing w:val="0"/>
          <w:w w:val="100"/>
          <w:position w:val="0"/>
        </w:rPr>
        <w:t>因上述上海季娱少数股权进展事项，公司确认汪劲松先生应退回上海季娱股权转让款</w:t>
      </w:r>
      <w:r>
        <w:rPr>
          <w:rFonts w:ascii="Times New Roman" w:eastAsia="Times New Roman" w:hAnsi="Times New Roman" w:cs="Times New Roman"/>
          <w:color w:val="000000"/>
          <w:spacing w:val="0"/>
          <w:w w:val="100"/>
          <w:position w:val="0"/>
        </w:rPr>
        <w:t>111,000,000.00</w:t>
      </w:r>
      <w:r>
        <w:rPr>
          <w:color w:val="000000"/>
          <w:spacing w:val="0"/>
          <w:w w:val="100"/>
          <w:position w:val="0"/>
        </w:rPr>
        <w:t>元，同时调减对上 海季娱的长期股权投资</w:t>
      </w:r>
      <w:r>
        <w:rPr>
          <w:rFonts w:ascii="Times New Roman" w:eastAsia="Times New Roman" w:hAnsi="Times New Roman" w:cs="Times New Roman"/>
          <w:color w:val="000000"/>
          <w:spacing w:val="0"/>
          <w:w w:val="100"/>
          <w:position w:val="0"/>
        </w:rPr>
        <w:t>111,000,000.00</w:t>
      </w:r>
      <w:r>
        <w:rPr>
          <w:color w:val="000000"/>
          <w:spacing w:val="0"/>
          <w:w w:val="100"/>
          <w:position w:val="0"/>
        </w:rPr>
        <w:t>元，更正后公司对上海季娱的长期股权投资账面价值为</w:t>
      </w:r>
      <w:r>
        <w:rPr>
          <w:rFonts w:ascii="Times New Roman" w:eastAsia="Times New Roman" w:hAnsi="Times New Roman" w:cs="Times New Roman"/>
          <w:color w:val="000000"/>
          <w:spacing w:val="0"/>
          <w:w w:val="100"/>
          <w:position w:val="0"/>
        </w:rPr>
        <w:t>5,100,000.00</w:t>
      </w:r>
      <w:r>
        <w:rPr>
          <w:color w:val="000000"/>
          <w:spacing w:val="0"/>
          <w:w w:val="100"/>
          <w:position w:val="0"/>
        </w:rPr>
        <w:t>元。</w:t>
      </w:r>
    </w:p>
    <w:p>
      <w:pPr>
        <w:pStyle w:val="Style23"/>
        <w:keepNext w:val="0"/>
        <w:keepLines w:val="0"/>
        <w:widowControl w:val="0"/>
        <w:numPr>
          <w:ilvl w:val="0"/>
          <w:numId w:val="27"/>
        </w:numPr>
        <w:shd w:val="clear" w:color="auto" w:fill="auto"/>
        <w:tabs>
          <w:tab w:pos="640" w:val="left"/>
        </w:tabs>
        <w:bidi w:val="0"/>
        <w:spacing w:before="0" w:after="0"/>
        <w:ind w:left="0" w:right="0"/>
        <w:jc w:val="both"/>
      </w:pPr>
      <w:bookmarkStart w:id="484" w:name="bookmark484"/>
      <w:bookmarkEnd w:id="484"/>
      <w:r>
        <w:rPr>
          <w:color w:val="000000"/>
          <w:spacing w:val="0"/>
          <w:w w:val="100"/>
          <w:position w:val="0"/>
        </w:rPr>
        <w:t>对母公司长期股权投资</w:t>
      </w:r>
      <w:r>
        <w:rPr>
          <w:rFonts w:ascii="Times New Roman" w:eastAsia="Times New Roman" w:hAnsi="Times New Roman" w:cs="Times New Roman"/>
          <w:color w:val="000000"/>
          <w:spacing w:val="0"/>
          <w:w w:val="100"/>
          <w:position w:val="0"/>
        </w:rPr>
        <w:t>-</w:t>
      </w:r>
      <w:r>
        <w:rPr>
          <w:color w:val="000000"/>
          <w:spacing w:val="0"/>
          <w:w w:val="100"/>
          <w:position w:val="0"/>
        </w:rPr>
        <w:t>哆可梦的账面价值影响</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受哆可梦商誉减值更正事项的影响，公司同步更正了对哆可梦长期股权投资的减值准备，</w:t>
      </w:r>
      <w:r>
        <w:rPr>
          <w:rFonts w:ascii="Times New Roman" w:eastAsia="Times New Roman" w:hAnsi="Times New Roman" w:cs="Times New Roman"/>
          <w:color w:val="000000"/>
          <w:spacing w:val="0"/>
          <w:w w:val="100"/>
          <w:position w:val="0"/>
        </w:rPr>
        <w:t>2019</w:t>
      </w:r>
      <w:r>
        <w:rPr>
          <w:color w:val="000000"/>
          <w:spacing w:val="0"/>
          <w:w w:val="100"/>
          <w:position w:val="0"/>
        </w:rPr>
        <w:t>年补提哆可梦长期股权投 资减值准备</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,300,453,293.00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年冲减哆可梦长期股权投资资产减值损失</w:t>
      </w:r>
      <w:r>
        <w:rPr>
          <w:rFonts w:ascii="Times New Roman" w:eastAsia="Times New Roman" w:hAnsi="Times New Roman" w:cs="Times New Roman"/>
          <w:color w:val="000000"/>
          <w:spacing w:val="0"/>
          <w:w w:val="100"/>
          <w:position w:val="0"/>
        </w:rPr>
        <w:t>549,174,608.21</w:t>
      </w:r>
      <w:r>
        <w:rPr>
          <w:color w:val="000000"/>
          <w:spacing w:val="0"/>
          <w:w w:val="100"/>
          <w:position w:val="0"/>
        </w:rPr>
        <w:t>元。更正后</w:t>
      </w:r>
      <w:r>
        <w:rPr>
          <w:rFonts w:ascii="Times New Roman" w:eastAsia="Times New Roman" w:hAnsi="Times New Roman" w:cs="Times New Roman"/>
          <w:color w:val="000000"/>
          <w:spacing w:val="0"/>
          <w:w w:val="100"/>
          <w:position w:val="0"/>
        </w:rPr>
        <w:t>2020</w:t>
      </w:r>
      <w:r>
        <w:rPr>
          <w:color w:val="000000"/>
          <w:spacing w:val="0"/>
          <w:w w:val="100"/>
          <w:position w:val="0"/>
        </w:rPr>
        <w:t>年公司对哆可梦 的长期股权投资账面价值为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上述调整事项已经本公司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日第七届董事会第十九次会议、第七届监事会第十二次会议审议通过，同意对该 等会计差错进行追溯更正。</w:t>
      </w:r>
    </w:p>
    <w:p>
      <w:pPr>
        <w:pStyle w:val="Style23"/>
        <w:keepNext w:val="0"/>
        <w:keepLines w:val="0"/>
        <w:widowControl w:val="0"/>
        <w:shd w:val="clear" w:color="auto" w:fill="auto"/>
        <w:bidi w:val="0"/>
        <w:spacing w:before="0" w:after="80" w:line="312" w:lineRule="exact"/>
        <w:ind w:left="0" w:right="0"/>
        <w:jc w:val="both"/>
      </w:pPr>
      <w:r>
        <w:rPr>
          <w:color w:val="000000"/>
          <w:spacing w:val="0"/>
          <w:w w:val="100"/>
          <w:position w:val="0"/>
        </w:rPr>
        <w:t>关于上述事项的会计差错更正情况对公司的影响，参见本报告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十六其他重要事项</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、前期会 计差错更正匚</w:t>
      </w:r>
    </w:p>
    <w:p>
      <w:pPr>
        <w:pStyle w:val="Style28"/>
        <w:keepNext/>
        <w:keepLines/>
        <w:widowControl w:val="0"/>
        <w:shd w:val="clear" w:color="auto" w:fill="auto"/>
        <w:tabs>
          <w:tab w:pos="559"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七</w:t>
      </w:r>
      <w:bookmarkEnd w:id="487"/>
      <w:r>
        <w:rPr>
          <w:color w:val="000000"/>
          <w:spacing w:val="0"/>
          <w:w w:val="100"/>
          <w:position w:val="0"/>
          <w:sz w:val="24"/>
          <w:szCs w:val="24"/>
        </w:rPr>
        <w:t>、</w:t>
        <w:tab/>
        <w:t>与上年度财务报告相比，合并报表范围发生变化的情况说明</w:t>
      </w:r>
      <w:bookmarkEnd w:id="485"/>
      <w:bookmarkEnd w:id="486"/>
      <w:bookmarkEnd w:id="48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年期末合并报表范围相比上年，增加重庆惠程未来、重庆合盛</w:t>
      </w:r>
      <w:r>
        <w:rPr>
          <w:rFonts w:ascii="Times New Roman" w:eastAsia="Times New Roman" w:hAnsi="Times New Roman" w:cs="Times New Roman"/>
          <w:color w:val="000000"/>
          <w:spacing w:val="0"/>
          <w:w w:val="100"/>
          <w:position w:val="0"/>
        </w:rPr>
        <w:t>2</w:t>
      </w:r>
      <w:r>
        <w:rPr>
          <w:color w:val="000000"/>
          <w:spacing w:val="0"/>
          <w:w w:val="100"/>
          <w:position w:val="0"/>
        </w:rPr>
        <w:t>家公司，减少链接世界</w:t>
      </w:r>
      <w:r>
        <w:rPr>
          <w:rFonts w:ascii="Times New Roman" w:eastAsia="Times New Roman" w:hAnsi="Times New Roman" w:cs="Times New Roman"/>
          <w:color w:val="000000"/>
          <w:spacing w:val="0"/>
          <w:w w:val="100"/>
          <w:position w:val="0"/>
        </w:rPr>
        <w:t>1</w:t>
      </w:r>
      <w:r>
        <w:rPr>
          <w:color w:val="000000"/>
          <w:spacing w:val="0"/>
          <w:w w:val="100"/>
          <w:position w:val="0"/>
        </w:rPr>
        <w:t>家公司</w:t>
      </w:r>
      <w:r>
        <w:rPr>
          <w:color w:val="000000"/>
          <w:spacing w:val="0"/>
          <w:w w:val="100"/>
          <w:position w:val="0"/>
        </w:rPr>
        <w:t>。</w:t>
      </w:r>
    </w:p>
    <w:p>
      <w:pPr>
        <w:pStyle w:val="Style28"/>
        <w:keepNext/>
        <w:keepLines/>
        <w:widowControl w:val="0"/>
        <w:shd w:val="clear" w:color="auto" w:fill="auto"/>
        <w:tabs>
          <w:tab w:pos="559" w:val="left"/>
        </w:tabs>
        <w:bidi w:val="0"/>
        <w:spacing w:before="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sz w:val="24"/>
          <w:szCs w:val="24"/>
        </w:rPr>
        <w:t>八</w:t>
      </w:r>
      <w:bookmarkEnd w:id="491"/>
      <w:r>
        <w:rPr>
          <w:color w:val="000000"/>
          <w:spacing w:val="0"/>
          <w:w w:val="100"/>
          <w:position w:val="0"/>
          <w:sz w:val="24"/>
          <w:szCs w:val="24"/>
        </w:rPr>
        <w:t>、</w:t>
        <w:tab/>
        <w:t>聘任、解聘会计师事务所情况</w:t>
      </w:r>
      <w:bookmarkEnd w:id="489"/>
      <w:bookmarkEnd w:id="490"/>
      <w:bookmarkEnd w:id="49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蔡瑜、李敏</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p>
        </w:tc>
      </w:tr>
    </w:tbl>
    <w:p>
      <w:pPr>
        <w:pStyle w:val="Style2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当期是否改聘会计师事务所</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是否在审计期间改聘会计师事务所</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公司已就拟变更会计师事务所事项与重庆康华会计师事务所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重庆康华</w:t>
      </w:r>
      <w:r>
        <w:rPr>
          <w:rFonts w:ascii="Times New Roman" w:eastAsia="Times New Roman" w:hAnsi="Times New Roman" w:cs="Times New Roman"/>
          <w:color w:val="000000"/>
          <w:spacing w:val="0"/>
          <w:w w:val="100"/>
          <w:position w:val="0"/>
        </w:rPr>
        <w:t>”</w:t>
      </w:r>
      <w:r>
        <w:rPr>
          <w:color w:val="000000"/>
          <w:spacing w:val="0"/>
          <w:w w:val="100"/>
          <w:position w:val="0"/>
        </w:rPr>
        <w:t>）大信会计师事务所 （特殊普通合伙）（以下简称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大信</w:t>
      </w:r>
      <w:r>
        <w:rPr>
          <w:rFonts w:ascii="Times New Roman" w:eastAsia="Times New Roman" w:hAnsi="Times New Roman" w:cs="Times New Roman"/>
          <w:color w:val="000000"/>
          <w:spacing w:val="0"/>
          <w:w w:val="100"/>
          <w:position w:val="0"/>
        </w:rPr>
        <w:t>”</w:t>
      </w:r>
      <w:r>
        <w:rPr>
          <w:color w:val="000000"/>
          <w:spacing w:val="0"/>
          <w:w w:val="100"/>
          <w:position w:val="0"/>
        </w:rPr>
        <w:t>）进行了事先沟通，前后任会计师事务所对公司变更会计师事务所事项均无异议；前后 任会计师事务所已根据相关法律法规要求，积极做好有关沟通。</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更换会计师事务所是否履行审批程序</w:t>
      </w:r>
    </w:p>
    <w:p>
      <w:pPr>
        <w:pStyle w:val="Style4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V </w:t>
      </w:r>
      <w:r>
        <w:rPr>
          <w:rFonts w:ascii="SimSun" w:eastAsia="SimSun" w:hAnsi="SimSun" w:cs="SimSun"/>
          <w:color w:val="000000"/>
          <w:spacing w:val="0"/>
          <w:w w:val="100"/>
          <w:position w:val="0"/>
        </w:rPr>
        <w:t xml:space="preserve">是 </w:t>
      </w:r>
      <w:r>
        <w:rPr>
          <w:color w:val="000000"/>
          <w:spacing w:val="0"/>
          <w:w w:val="100"/>
          <w:position w:val="0"/>
        </w:rPr>
        <w:t xml:space="preserve">□ </w:t>
      </w:r>
      <w:r>
        <w:rPr>
          <w:rFonts w:ascii="SimSun" w:eastAsia="SimSun" w:hAnsi="SimSun" w:cs="SimSun"/>
          <w:color w:val="000000"/>
          <w:spacing w:val="0"/>
          <w:w w:val="100"/>
          <w:position w:val="0"/>
        </w:rPr>
        <w:t>否</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对改聘、变更会计师事务所情况的详细说明</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月，综合考虑公司发展战略、未来业务拓展及审计工作需要等实际情况，经与重庆康华协商一致，董事会审计 委员会审核，董事会同意拟改聘大信担任公司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年度审计机构，负责公司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年度财务报表审计工作。公司上一年度审计 费用为</w:t>
      </w:r>
      <w:r>
        <w:rPr>
          <w:rFonts w:ascii="Times New Roman" w:eastAsia="Times New Roman" w:hAnsi="Times New Roman" w:cs="Times New Roman"/>
          <w:color w:val="000000"/>
          <w:spacing w:val="0"/>
          <w:w w:val="100"/>
          <w:position w:val="0"/>
        </w:rPr>
        <w:t>68</w:t>
      </w:r>
      <w:r>
        <w:rPr>
          <w:color w:val="000000"/>
          <w:spacing w:val="0"/>
          <w:w w:val="100"/>
          <w:position w:val="0"/>
        </w:rPr>
        <w:t>万元人民币，本期审计费用为</w:t>
      </w:r>
      <w:r>
        <w:rPr>
          <w:rFonts w:ascii="Times New Roman" w:eastAsia="Times New Roman" w:hAnsi="Times New Roman" w:cs="Times New Roman"/>
          <w:color w:val="000000"/>
          <w:spacing w:val="0"/>
          <w:w w:val="100"/>
          <w:position w:val="0"/>
        </w:rPr>
        <w:t>68</w:t>
      </w:r>
      <w:r>
        <w:rPr>
          <w:color w:val="000000"/>
          <w:spacing w:val="0"/>
          <w:w w:val="100"/>
          <w:position w:val="0"/>
        </w:rPr>
        <w:t>万元人民币，与原聘任重庆康华的审计费用保持一致。</w:t>
      </w:r>
    </w:p>
    <w:p>
      <w:pPr>
        <w:pStyle w:val="Style2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numPr>
          <w:ilvl w:val="0"/>
          <w:numId w:val="29"/>
        </w:numPr>
        <w:shd w:val="clear" w:color="auto" w:fill="auto"/>
        <w:tabs>
          <w:tab w:pos="282" w:val="left"/>
        </w:tabs>
        <w:bidi w:val="0"/>
        <w:spacing w:before="0" w:after="260"/>
        <w:ind w:left="0" w:right="0" w:firstLine="0"/>
        <w:jc w:val="both"/>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sz w:val="24"/>
          <w:szCs w:val="24"/>
        </w:rPr>
        <w:t>九</w:t>
      </w:r>
      <w:bookmarkEnd w:id="496"/>
      <w:r>
        <w:rPr>
          <w:color w:val="000000"/>
          <w:spacing w:val="0"/>
          <w:w w:val="100"/>
          <w:position w:val="0"/>
          <w:sz w:val="24"/>
          <w:szCs w:val="24"/>
        </w:rPr>
        <w:t>、年度报告披露后面临退市情况</w:t>
      </w:r>
      <w:bookmarkEnd w:id="494"/>
      <w:bookmarkEnd w:id="495"/>
      <w:bookmarkEnd w:id="497"/>
    </w:p>
    <w:p>
      <w:pPr>
        <w:pStyle w:val="Style23"/>
        <w:keepNext w:val="0"/>
        <w:keepLines w:val="0"/>
        <w:widowControl w:val="0"/>
        <w:numPr>
          <w:ilvl w:val="0"/>
          <w:numId w:val="29"/>
        </w:numPr>
        <w:shd w:val="clear" w:color="auto" w:fill="auto"/>
        <w:tabs>
          <w:tab w:pos="282" w:val="left"/>
          <w:tab w:pos="728" w:val="left"/>
        </w:tabs>
        <w:bidi w:val="0"/>
        <w:spacing w:before="0" w:after="260"/>
        <w:ind w:left="0" w:right="0" w:firstLine="0"/>
        <w:jc w:val="both"/>
      </w:pPr>
      <w:bookmarkStart w:id="498" w:name="bookmark498"/>
      <w:bookmarkEnd w:id="498"/>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99" w:name="bookmark499"/>
      <w:bookmarkStart w:id="500" w:name="bookmark500"/>
      <w:bookmarkStart w:id="501" w:name="bookmark501"/>
      <w:r>
        <w:rPr>
          <w:color w:val="000000"/>
          <w:spacing w:val="0"/>
          <w:w w:val="100"/>
          <w:position w:val="0"/>
          <w:sz w:val="24"/>
          <w:szCs w:val="24"/>
        </w:rPr>
        <w:t>十、破产重整相关事项</w:t>
      </w:r>
      <w:bookmarkEnd w:id="499"/>
      <w:bookmarkEnd w:id="500"/>
      <w:bookmarkEnd w:id="501"/>
    </w:p>
    <w:p>
      <w:pPr>
        <w:pStyle w:val="Style23"/>
        <w:keepNext w:val="0"/>
        <w:keepLines w:val="0"/>
        <w:widowControl w:val="0"/>
        <w:numPr>
          <w:ilvl w:val="0"/>
          <w:numId w:val="29"/>
        </w:numPr>
        <w:shd w:val="clear" w:color="auto" w:fill="auto"/>
        <w:tabs>
          <w:tab w:pos="282" w:val="left"/>
          <w:tab w:pos="728" w:val="left"/>
        </w:tabs>
        <w:bidi w:val="0"/>
        <w:spacing w:before="0" w:after="0"/>
        <w:ind w:left="0" w:right="0" w:firstLine="0"/>
        <w:jc w:val="both"/>
      </w:pPr>
      <w:bookmarkStart w:id="502" w:name="bookmark502"/>
      <w:bookmarkEnd w:id="502"/>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both"/>
      </w:pPr>
      <w:bookmarkStart w:id="503" w:name="bookmark503"/>
      <w:bookmarkStart w:id="504" w:name="bookmark504"/>
      <w:bookmarkStart w:id="505" w:name="bookmark505"/>
      <w:r>
        <w:rPr>
          <w:color w:val="000000"/>
          <w:spacing w:val="0"/>
          <w:w w:val="100"/>
          <w:position w:val="0"/>
          <w:sz w:val="24"/>
          <w:szCs w:val="24"/>
        </w:rPr>
        <w:t>十一、重大诉讼、仲裁事项</w:t>
      </w:r>
      <w:bookmarkEnd w:id="503"/>
      <w:bookmarkEnd w:id="504"/>
      <w:bookmarkEnd w:id="505"/>
    </w:p>
    <w:p>
      <w:pPr>
        <w:pStyle w:val="Style23"/>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93" w:right="1047" w:bottom="1455"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widowControl w:val="0"/>
        <w:spacing w:after="359" w:line="1" w:lineRule="exact"/>
      </w:pPr>
    </w:p>
    <w:tbl>
      <w:tblPr>
        <w:tblOverlap w:val="never"/>
        <w:jc w:val="center"/>
        <w:tblLayout w:type="fixed"/>
      </w:tblPr>
      <w:tblGrid>
        <w:gridCol w:w="2861"/>
        <w:gridCol w:w="778"/>
        <w:gridCol w:w="840"/>
        <w:gridCol w:w="2544"/>
        <w:gridCol w:w="2640"/>
        <w:gridCol w:w="1186"/>
        <w:gridCol w:w="1608"/>
        <w:gridCol w:w="157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涉案金额</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是否形成</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上海玄霆娱乐信息科技有限公司（简 称''上海玄霆</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诉四三九九网络股份 有限公司、吉乾科技著作权纠纷案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被执行人吉乾科技已履行还款 义务，经原告上海玄霆申请，江 苏省徐州市中级人民法院作出 结案通知书（</w:t>
            </w:r>
            <w:r>
              <w:rPr>
                <w:color w:val="000000"/>
                <w:spacing w:val="0"/>
                <w:w w:val="100"/>
                <w:position w:val="0"/>
              </w:rPr>
              <w:t>2021</w:t>
            </w:r>
            <w:r>
              <w:rPr>
                <w:rFonts w:ascii="SimSun" w:eastAsia="SimSun" w:hAnsi="SimSun" w:cs="SimSun"/>
                <w:color w:val="000000"/>
                <w:spacing w:val="0"/>
                <w:w w:val="100"/>
                <w:position w:val="0"/>
              </w:rPr>
              <w:t>）苏</w:t>
            </w:r>
            <w:r>
              <w:rPr>
                <w:color w:val="000000"/>
                <w:spacing w:val="0"/>
                <w:w w:val="100"/>
                <w:position w:val="0"/>
              </w:rPr>
              <w:t>03</w:t>
            </w:r>
            <w:r>
              <w:rPr>
                <w:rFonts w:ascii="SimSun" w:eastAsia="SimSun" w:hAnsi="SimSun" w:cs="SimSun"/>
                <w:color w:val="000000"/>
                <w:spacing w:val="0"/>
                <w:w w:val="100"/>
                <w:position w:val="0"/>
              </w:rPr>
              <w:t>执</w:t>
            </w:r>
            <w:r>
              <w:rPr>
                <w:color w:val="000000"/>
                <w:spacing w:val="0"/>
                <w:w w:val="100"/>
                <w:position w:val="0"/>
              </w:rPr>
              <w:t xml:space="preserve">91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日江苏省徐州市中 级人民法院作出结案通知书</w:t>
            </w:r>
          </w:p>
          <w:p>
            <w:pPr>
              <w:pStyle w:val="Style2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）苏</w:t>
            </w:r>
            <w:r>
              <w:rPr>
                <w:color w:val="000000"/>
                <w:spacing w:val="0"/>
                <w:w w:val="100"/>
                <w:position w:val="0"/>
              </w:rPr>
              <w:t>03</w:t>
            </w:r>
            <w:r>
              <w:rPr>
                <w:rFonts w:ascii="SimSun" w:eastAsia="SimSun" w:hAnsi="SimSun" w:cs="SimSun"/>
                <w:color w:val="000000"/>
                <w:spacing w:val="0"/>
                <w:w w:val="100"/>
                <w:position w:val="0"/>
              </w:rPr>
              <w:t>执</w:t>
            </w:r>
            <w:r>
              <w:rPr>
                <w:color w:val="000000"/>
                <w:spacing w:val="0"/>
                <w:w w:val="100"/>
                <w:position w:val="0"/>
              </w:rPr>
              <w:t>91</w:t>
            </w:r>
            <w:r>
              <w:rPr>
                <w:rFonts w:ascii="SimSun" w:eastAsia="SimSun" w:hAnsi="SimSun" w:cs="SimSun"/>
                <w:color w:val="000000"/>
                <w:spacing w:val="0"/>
                <w:w w:val="100"/>
                <w:position w:val="0"/>
              </w:rPr>
              <w:t>号，原告上 海玄霆以被执行人已履行还款义 务为由向法院提交了结案申请， 法院予以结案。哆可梦董事长寇 汉先生已履行《重大资产购买暨 关联交易报告书（草案）（二次修 订稿）》中所作的相关承诺，代哆 可梦支付了上述判决金额。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成都吉乾已支 付和解款，法 院准予结案。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 xml:space="preserve">日、 </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 xml:space="preserve">日、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 xml:space="preserve">日、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巨潮资讯网公告编 号索引：</w:t>
            </w:r>
            <w:r>
              <w:rPr>
                <w:color w:val="000000"/>
                <w:spacing w:val="0"/>
                <w:w w:val="100"/>
                <w:position w:val="0"/>
              </w:rPr>
              <w:t>2018-006</w:t>
            </w:r>
            <w:r>
              <w:rPr>
                <w:rFonts w:ascii="SimSun" w:eastAsia="SimSun" w:hAnsi="SimSun" w:cs="SimSun"/>
                <w:color w:val="000000"/>
                <w:spacing w:val="0"/>
                <w:w w:val="100"/>
                <w:position w:val="0"/>
              </w:rPr>
              <w:t xml:space="preserve">、 </w:t>
            </w:r>
            <w:r>
              <w:rPr>
                <w:color w:val="000000"/>
                <w:spacing w:val="0"/>
                <w:w w:val="100"/>
                <w:position w:val="0"/>
              </w:rPr>
              <w:t>2018-120</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2021-062</w:t>
            </w:r>
            <w:r>
              <w:rPr>
                <w:rFonts w:ascii="SimSun" w:eastAsia="SimSun" w:hAnsi="SimSun" w:cs="SimSun"/>
                <w:color w:val="000000"/>
                <w:spacing w:val="0"/>
                <w:w w:val="100"/>
                <w:position w:val="0"/>
              </w:rPr>
              <w:t xml:space="preserve">、 </w:t>
            </w:r>
            <w:r>
              <w:rPr>
                <w:color w:val="000000"/>
                <w:spacing w:val="0"/>
                <w:w w:val="100"/>
                <w:position w:val="0"/>
              </w:rPr>
              <w:t xml:space="preserve">2021-100 </w:t>
            </w:r>
            <w:r>
              <w:rPr>
                <w:rFonts w:ascii="SimSun" w:eastAsia="SimSun" w:hAnsi="SimSun" w:cs="SimSun"/>
                <w:color w:val="000000"/>
                <w:spacing w:val="0"/>
                <w:w w:val="100"/>
                <w:position w:val="0"/>
              </w:rPr>
              <w:t>以及《</w:t>
            </w:r>
            <w:r>
              <w:rPr>
                <w:color w:val="000000"/>
                <w:spacing w:val="0"/>
                <w:w w:val="100"/>
                <w:position w:val="0"/>
              </w:rPr>
              <w:t>2019</w:t>
            </w:r>
            <w:r>
              <w:rPr>
                <w:rFonts w:ascii="SimSun" w:eastAsia="SimSun" w:hAnsi="SimSun" w:cs="SimSun"/>
                <w:color w:val="000000"/>
                <w:spacing w:val="0"/>
                <w:w w:val="100"/>
                <w:position w:val="0"/>
              </w:rPr>
              <w:t>年年度 报告《</w:t>
            </w:r>
            <w:r>
              <w:rPr>
                <w:color w:val="000000"/>
                <w:spacing w:val="0"/>
                <w:w w:val="100"/>
                <w:position w:val="0"/>
              </w:rPr>
              <w:t>2020</w:t>
            </w:r>
            <w:r>
              <w:rPr>
                <w:rFonts w:ascii="SimSun" w:eastAsia="SimSun" w:hAnsi="SimSun" w:cs="SimSun"/>
                <w:color w:val="000000"/>
                <w:spacing w:val="0"/>
                <w:w w:val="100"/>
                <w:position w:val="0"/>
              </w:rPr>
              <w:t>年半年 度报告《</w:t>
            </w:r>
            <w:r>
              <w:rPr>
                <w:color w:val="000000"/>
                <w:spacing w:val="0"/>
                <w:w w:val="100"/>
                <w:position w:val="0"/>
              </w:rPr>
              <w:t>2020</w:t>
            </w:r>
            <w:r>
              <w:rPr>
                <w:rFonts w:ascii="SimSun" w:eastAsia="SimSun" w:hAnsi="SimSun" w:cs="SimSun"/>
                <w:color w:val="000000"/>
                <w:spacing w:val="0"/>
                <w:w w:val="100"/>
                <w:position w:val="0"/>
              </w:rPr>
              <w:t>年年 度报告《</w:t>
            </w:r>
            <w:r>
              <w:rPr>
                <w:color w:val="000000"/>
                <w:spacing w:val="0"/>
                <w:w w:val="100"/>
                <w:position w:val="0"/>
              </w:rPr>
              <w:t>2021</w:t>
            </w:r>
            <w:r>
              <w:rPr>
                <w:rFonts w:ascii="SimSun" w:eastAsia="SimSun" w:hAnsi="SimSun" w:cs="SimSun"/>
                <w:color w:val="000000"/>
                <w:spacing w:val="0"/>
                <w:w w:val="100"/>
                <w:position w:val="0"/>
              </w:rPr>
              <w:t>年半 年度报告》。</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上海玄霆诉四三九九、完美世界（北 京）数字科技有限公司、完美世界（重 庆）互动科技有限公司、哆可梦著作 权纠纷案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双方已达成和解协议，哆可梦董 事长寇汉先生已履行《重大资产 购买暨关联交易报告书（草案） （二次修订稿）》中所作的相关 承诺，代哆可梦支付了上述判决 金额。经原告申请，法院予以结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二审生效，达成执行，和解款已 支付，法院已下达结案通知书。</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哆可梦董事长寇汉先生已履行</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《重大资产购买暨关联交易报告 书（草案）（二次修订稿）》中所 作的相关承诺，代哆可梦支付了 上述判决金额。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哆可梦已支付</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和解款，法院 准予结案。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 xml:space="preserve">日、 </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 xml:space="preserve">日、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 xml:space="preserve">日、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both"/>
            </w:pPr>
            <w:r>
              <w:rPr>
                <w:rFonts w:ascii="SimSun" w:eastAsia="SimSun" w:hAnsi="SimSun" w:cs="SimSun"/>
                <w:color w:val="000000"/>
                <w:spacing w:val="0"/>
                <w:w w:val="100"/>
                <w:position w:val="0"/>
              </w:rPr>
              <w:t>巨潮资讯网公告编 号索引：</w:t>
            </w:r>
            <w:r>
              <w:rPr>
                <w:color w:val="000000"/>
                <w:spacing w:val="0"/>
                <w:w w:val="100"/>
                <w:position w:val="0"/>
              </w:rPr>
              <w:t>2018-102</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2018-120</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2021-062</w:t>
            </w:r>
            <w:r>
              <w:rPr>
                <w:rFonts w:ascii="SimSun" w:eastAsia="SimSun" w:hAnsi="SimSun" w:cs="SimSun"/>
                <w:color w:val="000000"/>
                <w:spacing w:val="0"/>
                <w:w w:val="100"/>
                <w:position w:val="0"/>
              </w:rPr>
              <w:t xml:space="preserve">、 </w:t>
            </w:r>
            <w:r>
              <w:rPr>
                <w:color w:val="000000"/>
                <w:spacing w:val="0"/>
                <w:w w:val="100"/>
                <w:position w:val="0"/>
              </w:rPr>
              <w:t xml:space="preserve">2021-100 </w:t>
            </w:r>
            <w:r>
              <w:rPr>
                <w:rFonts w:ascii="SimSun" w:eastAsia="SimSun" w:hAnsi="SimSun" w:cs="SimSun"/>
                <w:color w:val="000000"/>
                <w:spacing w:val="0"/>
                <w:w w:val="100"/>
                <w:position w:val="0"/>
              </w:rPr>
              <w:t>以及《</w:t>
            </w:r>
            <w:r>
              <w:rPr>
                <w:color w:val="000000"/>
                <w:spacing w:val="0"/>
                <w:w w:val="100"/>
                <w:position w:val="0"/>
              </w:rPr>
              <w:t>2019</w:t>
            </w:r>
            <w:r>
              <w:rPr>
                <w:rFonts w:ascii="SimSun" w:eastAsia="SimSun" w:hAnsi="SimSun" w:cs="SimSun"/>
                <w:color w:val="000000"/>
                <w:spacing w:val="0"/>
                <w:w w:val="100"/>
                <w:position w:val="0"/>
              </w:rPr>
              <w:t>年年度 报告《</w:t>
            </w:r>
            <w:r>
              <w:rPr>
                <w:color w:val="000000"/>
                <w:spacing w:val="0"/>
                <w:w w:val="100"/>
                <w:position w:val="0"/>
              </w:rPr>
              <w:t>2020</w:t>
            </w:r>
            <w:r>
              <w:rPr>
                <w:rFonts w:ascii="SimSun" w:eastAsia="SimSun" w:hAnsi="SimSun" w:cs="SimSun"/>
                <w:color w:val="000000"/>
                <w:spacing w:val="0"/>
                <w:w w:val="100"/>
                <w:position w:val="0"/>
              </w:rPr>
              <w:t>年半年 度报告《</w:t>
            </w:r>
            <w:r>
              <w:rPr>
                <w:color w:val="000000"/>
                <w:spacing w:val="0"/>
                <w:w w:val="100"/>
                <w:position w:val="0"/>
              </w:rPr>
              <w:t>2020</w:t>
            </w:r>
            <w:r>
              <w:rPr>
                <w:rFonts w:ascii="SimSun" w:eastAsia="SimSun" w:hAnsi="SimSun" w:cs="SimSun"/>
                <w:color w:val="000000"/>
                <w:spacing w:val="0"/>
                <w:w w:val="100"/>
                <w:position w:val="0"/>
              </w:rPr>
              <w:t>年年 度报告《</w:t>
            </w:r>
            <w:r>
              <w:rPr>
                <w:color w:val="000000"/>
                <w:spacing w:val="0"/>
                <w:w w:val="100"/>
                <w:position w:val="0"/>
              </w:rPr>
              <w:t>2021</w:t>
            </w:r>
            <w:r>
              <w:rPr>
                <w:rFonts w:ascii="SimSun" w:eastAsia="SimSun" w:hAnsi="SimSun" w:cs="SimSun"/>
                <w:color w:val="000000"/>
                <w:spacing w:val="0"/>
                <w:w w:val="100"/>
                <w:position w:val="0"/>
              </w:rPr>
              <w:t>年半 年度报告》。</w:t>
            </w:r>
          </w:p>
        </w:tc>
      </w:tr>
      <w:tr>
        <w:trPr>
          <w:trHeight w:val="22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日，公司连续 </w:t>
            </w:r>
            <w:r>
              <w:rPr>
                <w:color w:val="000000"/>
                <w:spacing w:val="0"/>
                <w:w w:val="100"/>
                <w:position w:val="0"/>
              </w:rPr>
              <w:t>12</w:t>
            </w:r>
            <w:r>
              <w:rPr>
                <w:rFonts w:ascii="SimSun" w:eastAsia="SimSun" w:hAnsi="SimSun" w:cs="SimSun"/>
                <w:color w:val="000000"/>
                <w:spacing w:val="0"/>
                <w:w w:val="100"/>
                <w:position w:val="0"/>
              </w:rPr>
              <w:t>个月内发生的诉讼、仲裁事项， 涉案金额累计达到重大诉讼、仲裁事 项标准的诉讼、仲裁，其中公司作为 原告共计</w:t>
            </w:r>
            <w:r>
              <w:rPr>
                <w:color w:val="000000"/>
                <w:spacing w:val="0"/>
                <w:w w:val="100"/>
                <w:position w:val="0"/>
              </w:rPr>
              <w:t>9</w:t>
            </w:r>
            <w:r>
              <w:rPr>
                <w:rFonts w:ascii="SimSun" w:eastAsia="SimSun" w:hAnsi="SimSun" w:cs="SimSun"/>
                <w:color w:val="000000"/>
                <w:spacing w:val="0"/>
                <w:w w:val="100"/>
                <w:position w:val="0"/>
              </w:rPr>
              <w:t>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3,324.94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项原告变更仲裁请求，待开庭， 涉案金额</w:t>
            </w:r>
            <w:r>
              <w:rPr>
                <w:color w:val="000000"/>
                <w:spacing w:val="0"/>
                <w:w w:val="100"/>
                <w:position w:val="0"/>
              </w:rPr>
              <w:t>545.00</w:t>
            </w:r>
            <w:r>
              <w:rPr>
                <w:rFonts w:ascii="SimSun" w:eastAsia="SimSun" w:hAnsi="SimSun" w:cs="SimSun"/>
                <w:color w:val="000000"/>
                <w:spacing w:val="0"/>
                <w:w w:val="100"/>
                <w:position w:val="0"/>
              </w:rPr>
              <w:t>万元；</w:t>
            </w:r>
            <w:r>
              <w:rPr>
                <w:color w:val="000000"/>
                <w:spacing w:val="0"/>
                <w:w w:val="100"/>
                <w:position w:val="0"/>
              </w:rPr>
              <w:t>1</w:t>
            </w:r>
            <w:r>
              <w:rPr>
                <w:rFonts w:ascii="SimSun" w:eastAsia="SimSun" w:hAnsi="SimSun" w:cs="SimSun"/>
                <w:color w:val="000000"/>
                <w:spacing w:val="0"/>
                <w:w w:val="100"/>
                <w:position w:val="0"/>
              </w:rPr>
              <w:t>项一审 法院判决被告应向原告喀什中 汇联银支付相关投资损失及利 息共计</w:t>
            </w:r>
            <w:r>
              <w:rPr>
                <w:color w:val="000000"/>
                <w:spacing w:val="0"/>
                <w:w w:val="100"/>
                <w:position w:val="0"/>
              </w:rPr>
              <w:t>1,473.86</w:t>
            </w:r>
            <w:r>
              <w:rPr>
                <w:rFonts w:ascii="SimSun" w:eastAsia="SimSun" w:hAnsi="SimSun" w:cs="SimSun"/>
                <w:color w:val="000000"/>
                <w:spacing w:val="0"/>
                <w:w w:val="100"/>
                <w:position w:val="0"/>
              </w:rPr>
              <w:t>万元，原被告已 向法院提起上诉，案件审理中， 涉案金额</w:t>
            </w:r>
            <w:r>
              <w:rPr>
                <w:color w:val="000000"/>
                <w:spacing w:val="0"/>
                <w:w w:val="100"/>
                <w:position w:val="0"/>
              </w:rPr>
              <w:t>2,408.65</w:t>
            </w:r>
            <w:r>
              <w:rPr>
                <w:rFonts w:ascii="SimSun" w:eastAsia="SimSun" w:hAnsi="SimSun" w:cs="SimSun"/>
                <w:color w:val="000000"/>
                <w:spacing w:val="0"/>
                <w:w w:val="100"/>
                <w:position w:val="0"/>
              </w:rPr>
              <w:t>万元；</w:t>
            </w:r>
            <w:r>
              <w:rPr>
                <w:color w:val="000000"/>
                <w:spacing w:val="0"/>
                <w:w w:val="100"/>
                <w:position w:val="0"/>
              </w:rPr>
              <w:t>1</w:t>
            </w:r>
            <w:r>
              <w:rPr>
                <w:rFonts w:ascii="SimSun" w:eastAsia="SimSun" w:hAnsi="SimSun" w:cs="SimSun"/>
                <w:color w:val="000000"/>
                <w:spacing w:val="0"/>
                <w:w w:val="100"/>
                <w:position w:val="0"/>
              </w:rPr>
              <w:t>项被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项二审驳回被告上诉，维持原 判，涉案金额</w:t>
            </w:r>
            <w:r>
              <w:rPr>
                <w:color w:val="000000"/>
                <w:spacing w:val="0"/>
                <w:w w:val="100"/>
                <w:position w:val="0"/>
              </w:rPr>
              <w:t>7.50</w:t>
            </w:r>
            <w:r>
              <w:rPr>
                <w:rFonts w:ascii="SimSun" w:eastAsia="SimSun" w:hAnsi="SimSun" w:cs="SimSun"/>
                <w:color w:val="000000"/>
                <w:spacing w:val="0"/>
                <w:w w:val="100"/>
                <w:position w:val="0"/>
              </w:rPr>
              <w:t>万元；</w:t>
            </w:r>
            <w:r>
              <w:rPr>
                <w:color w:val="000000"/>
                <w:spacing w:val="0"/>
                <w:w w:val="100"/>
                <w:position w:val="0"/>
              </w:rPr>
              <w:t>1</w:t>
            </w:r>
            <w:r>
              <w:rPr>
                <w:rFonts w:ascii="SimSun" w:eastAsia="SimSun" w:hAnsi="SimSun" w:cs="SimSun"/>
                <w:color w:val="000000"/>
                <w:spacing w:val="0"/>
                <w:w w:val="100"/>
                <w:position w:val="0"/>
              </w:rPr>
              <w:t>项一 审裁定被告赔偿原告</w:t>
            </w:r>
            <w:r>
              <w:rPr>
                <w:color w:val="000000"/>
                <w:spacing w:val="0"/>
                <w:w w:val="100"/>
                <w:position w:val="0"/>
              </w:rPr>
              <w:t>20</w:t>
            </w:r>
            <w:r>
              <w:rPr>
                <w:rFonts w:ascii="SimSun" w:eastAsia="SimSun" w:hAnsi="SimSun" w:cs="SimSun"/>
                <w:color w:val="000000"/>
                <w:spacing w:val="0"/>
                <w:w w:val="100"/>
                <w:position w:val="0"/>
              </w:rPr>
              <w:t>万元并承 担案件受理费保全费</w:t>
            </w:r>
            <w:r>
              <w:rPr>
                <w:color w:val="000000"/>
                <w:spacing w:val="0"/>
                <w:w w:val="100"/>
                <w:position w:val="0"/>
              </w:rPr>
              <w:t>1.91</w:t>
            </w:r>
            <w:r>
              <w:rPr>
                <w:rFonts w:ascii="SimSun" w:eastAsia="SimSun" w:hAnsi="SimSun" w:cs="SimSun"/>
                <w:color w:val="000000"/>
                <w:spacing w:val="0"/>
                <w:w w:val="100"/>
                <w:position w:val="0"/>
              </w:rPr>
              <w:t>万元， 涉案金额</w:t>
            </w:r>
            <w:r>
              <w:rPr>
                <w:color w:val="000000"/>
                <w:spacing w:val="0"/>
                <w:w w:val="100"/>
                <w:position w:val="0"/>
              </w:rPr>
              <w:t>21.91</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项法院 准予撤诉，涉案金额</w:t>
            </w:r>
            <w:r>
              <w:rPr>
                <w:color w:val="000000"/>
                <w:spacing w:val="0"/>
                <w:w w:val="100"/>
                <w:position w:val="0"/>
              </w:rPr>
              <w:t>1.69</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 xml:space="preserve">项一审判决 已生效并已进 入强制执行程 序，涉案金额 </w:t>
            </w:r>
            <w:r>
              <w:rPr>
                <w:color w:val="000000"/>
                <w:spacing w:val="0"/>
                <w:w w:val="100"/>
                <w:position w:val="0"/>
              </w:rPr>
              <w:t>38.68</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年年度报 告》《关于公司及子 公司累计诉讼及仲 裁情况的公告》</w:t>
            </w:r>
          </w:p>
          <w:p>
            <w:pPr>
              <w:pStyle w:val="Style2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2021-062</w:t>
            </w:r>
            <w:r>
              <w:rPr>
                <w:rFonts w:ascii="SimSun" w:eastAsia="SimSun" w:hAnsi="SimSun" w:cs="SimSun"/>
                <w:color w:val="000000"/>
                <w:spacing w:val="0"/>
                <w:w w:val="100"/>
                <w:position w:val="0"/>
              </w:rPr>
              <w:t>）、《关于 累计诉讼及仲裁事 项的进展公告》（公</w:t>
            </w:r>
          </w:p>
        </w:tc>
      </w:tr>
    </w:tbl>
    <w:p>
      <w:pPr>
        <w:spacing w:lineRule="exact" w:line="1"/>
        <w:rPr>
          <w:sz w:val="2"/>
          <w:szCs w:val="2"/>
        </w:rPr>
      </w:pPr>
      <w:r>
        <w:br w:type="page"/>
      </w:r>
    </w:p>
    <w:tbl>
      <w:tblPr>
        <w:tblOverlap w:val="never"/>
        <w:jc w:val="center"/>
        <w:tblLayout w:type="fixed"/>
      </w:tblPr>
      <w:tblGrid>
        <w:gridCol w:w="2861"/>
        <w:gridCol w:w="778"/>
        <w:gridCol w:w="840"/>
        <w:gridCol w:w="2544"/>
        <w:gridCol w:w="2640"/>
        <w:gridCol w:w="1186"/>
        <w:gridCol w:w="1608"/>
        <w:gridCol w:w="1579"/>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告提起上诉，案件进入一审诉前 调阶段，涉案金额</w:t>
            </w:r>
            <w:r>
              <w:rPr>
                <w:color w:val="000000"/>
                <w:spacing w:val="0"/>
                <w:w w:val="100"/>
                <w:position w:val="0"/>
              </w:rPr>
              <w:t>101.34</w:t>
            </w:r>
            <w:r>
              <w:rPr>
                <w:rFonts w:ascii="SimSun" w:eastAsia="SimSun" w:hAnsi="SimSun" w:cs="SimSun"/>
                <w:color w:val="000000"/>
                <w:spacing w:val="0"/>
                <w:w w:val="100"/>
                <w:position w:val="0"/>
              </w:rPr>
              <w:t xml:space="preserve">万元; </w:t>
            </w:r>
            <w:r>
              <w:rPr>
                <w:color w:val="000000"/>
                <w:spacing w:val="0"/>
                <w:w w:val="100"/>
                <w:position w:val="0"/>
              </w:rPr>
              <w:t>1</w:t>
            </w:r>
            <w:r>
              <w:rPr>
                <w:rFonts w:ascii="SimSun" w:eastAsia="SimSun" w:hAnsi="SimSun" w:cs="SimSun"/>
                <w:color w:val="000000"/>
                <w:spacing w:val="0"/>
                <w:w w:val="100"/>
                <w:position w:val="0"/>
              </w:rPr>
              <w:t>项原告申请追加被告，案件审 理中，涉案金额</w:t>
            </w:r>
            <w:r>
              <w:rPr>
                <w:color w:val="000000"/>
                <w:spacing w:val="0"/>
                <w:w w:val="100"/>
                <w:position w:val="0"/>
              </w:rPr>
              <w:t>200.16</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告编号：</w:t>
            </w:r>
            <w:r>
              <w:rPr>
                <w:color w:val="000000"/>
                <w:spacing w:val="0"/>
                <w:w w:val="100"/>
                <w:position w:val="0"/>
              </w:rPr>
              <w:t>2021-100</w:t>
            </w:r>
            <w:r>
              <w:rPr>
                <w:rFonts w:ascii="SimSun" w:eastAsia="SimSun" w:hAnsi="SimSun" w:cs="SimSun"/>
                <w:color w:val="000000"/>
                <w:spacing w:val="0"/>
                <w:w w:val="100"/>
                <w:position w:val="0"/>
              </w:rPr>
              <w:t>）、 《</w:t>
            </w:r>
            <w:r>
              <w:rPr>
                <w:color w:val="000000"/>
                <w:spacing w:val="0"/>
                <w:w w:val="100"/>
                <w:position w:val="0"/>
              </w:rPr>
              <w:t>2021</w:t>
            </w:r>
            <w:r>
              <w:rPr>
                <w:rFonts w:ascii="SimSun" w:eastAsia="SimSun" w:hAnsi="SimSun" w:cs="SimSun"/>
                <w:color w:val="000000"/>
                <w:spacing w:val="0"/>
                <w:w w:val="100"/>
                <w:position w:val="0"/>
              </w:rPr>
              <w:t>年半年度报 告》</w:t>
            </w:r>
          </w:p>
        </w:tc>
      </w:tr>
      <w:tr>
        <w:trPr>
          <w:trHeight w:val="57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日，公司连续 </w:t>
            </w:r>
            <w:r>
              <w:rPr>
                <w:color w:val="000000"/>
                <w:spacing w:val="0"/>
                <w:w w:val="100"/>
                <w:position w:val="0"/>
              </w:rPr>
              <w:t>12</w:t>
            </w:r>
            <w:r>
              <w:rPr>
                <w:rFonts w:ascii="SimSun" w:eastAsia="SimSun" w:hAnsi="SimSun" w:cs="SimSun"/>
                <w:color w:val="000000"/>
                <w:spacing w:val="0"/>
                <w:w w:val="100"/>
                <w:position w:val="0"/>
              </w:rPr>
              <w:t>个月内发生的诉讼、仲裁事项， 涉案金额累计达到重大诉讼、仲裁事 项标准的诉讼、仲裁，其中公司作为 被告共计</w:t>
            </w:r>
            <w:r>
              <w:rPr>
                <w:color w:val="000000"/>
                <w:spacing w:val="0"/>
                <w:w w:val="100"/>
                <w:position w:val="0"/>
              </w:rPr>
              <w:t>5</w:t>
            </w:r>
            <w:r>
              <w:rPr>
                <w:rFonts w:ascii="SimSun" w:eastAsia="SimSun" w:hAnsi="SimSun" w:cs="SimSun"/>
                <w:color w:val="000000"/>
                <w:spacing w:val="0"/>
                <w:w w:val="100"/>
                <w:position w:val="0"/>
              </w:rPr>
              <w:t>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 xml:space="preserve">项案件审理中，涉案金额 </w:t>
            </w:r>
            <w:r>
              <w:rPr>
                <w:color w:val="000000"/>
                <w:spacing w:val="0"/>
                <w:w w:val="100"/>
                <w:position w:val="0"/>
              </w:rPr>
              <w:t xml:space="preserve">1,540.35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广州赤星诉公 司控股子公司 广州旭梅、成 都哆可梦一 案，法院裁定 准予撤诉，被 告尚需向原告 支付尾款</w:t>
            </w:r>
            <w:r>
              <w:rPr>
                <w:color w:val="000000"/>
                <w:spacing w:val="0"/>
                <w:w w:val="100"/>
                <w:position w:val="0"/>
              </w:rPr>
              <w:t xml:space="preserve">500 </w:t>
            </w:r>
            <w:r>
              <w:rPr>
                <w:rFonts w:ascii="SimSun" w:eastAsia="SimSun" w:hAnsi="SimSun" w:cs="SimSun"/>
                <w:color w:val="000000"/>
                <w:spacing w:val="0"/>
                <w:w w:val="100"/>
                <w:position w:val="0"/>
              </w:rPr>
              <w:t>万元；</w:t>
            </w:r>
            <w:r>
              <w:rPr>
                <w:color w:val="000000"/>
                <w:spacing w:val="0"/>
                <w:w w:val="100"/>
                <w:position w:val="0"/>
              </w:rPr>
              <w:t>1</w:t>
            </w:r>
            <w:r>
              <w:rPr>
                <w:rFonts w:ascii="SimSun" w:eastAsia="SimSun" w:hAnsi="SimSun" w:cs="SimSun"/>
                <w:color w:val="000000"/>
                <w:spacing w:val="0"/>
                <w:w w:val="100"/>
                <w:position w:val="0"/>
              </w:rPr>
              <w:t xml:space="preserve">项被告 已执行完毕， 法院予以结 案，涉案金额 </w:t>
            </w:r>
            <w:r>
              <w:rPr>
                <w:color w:val="000000"/>
                <w:spacing w:val="0"/>
                <w:w w:val="100"/>
                <w:position w:val="0"/>
              </w:rPr>
              <w:t xml:space="preserve">50.74 </w:t>
            </w:r>
            <w:r>
              <w:rPr>
                <w:rFonts w:ascii="SimSun" w:eastAsia="SimSun" w:hAnsi="SimSun" w:cs="SimSun"/>
                <w:color w:val="000000"/>
                <w:spacing w:val="0"/>
                <w:w w:val="100"/>
                <w:position w:val="0"/>
              </w:rPr>
              <w:t>万元；</w:t>
            </w:r>
            <w:r>
              <w:rPr>
                <w:color w:val="000000"/>
                <w:spacing w:val="0"/>
                <w:w w:val="100"/>
                <w:position w:val="0"/>
              </w:rPr>
              <w:t xml:space="preserve">1 </w:t>
            </w:r>
            <w:r>
              <w:rPr>
                <w:rFonts w:ascii="SimSun" w:eastAsia="SimSun" w:hAnsi="SimSun" w:cs="SimSun"/>
                <w:color w:val="000000"/>
                <w:spacing w:val="0"/>
                <w:w w:val="100"/>
                <w:position w:val="0"/>
              </w:rPr>
              <w:t xml:space="preserve">项原告向法院 申请强制执 行，涉案金额 </w:t>
            </w:r>
            <w:r>
              <w:rPr>
                <w:color w:val="000000"/>
                <w:spacing w:val="0"/>
                <w:w w:val="100"/>
                <w:position w:val="0"/>
              </w:rPr>
              <w:t xml:space="preserve">1,759.00 </w:t>
            </w:r>
            <w:r>
              <w:rPr>
                <w:rFonts w:ascii="SimSun" w:eastAsia="SimSun" w:hAnsi="SimSun" w:cs="SimSun"/>
                <w:color w:val="000000"/>
                <w:spacing w:val="0"/>
                <w:w w:val="100"/>
                <w:position w:val="0"/>
              </w:rPr>
              <w:t>万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年年度报 告》《关于公司及子 公司累计诉讼及仲 裁情况的公告》</w:t>
            </w:r>
          </w:p>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2021-062</w:t>
            </w:r>
            <w:r>
              <w:rPr>
                <w:rFonts w:ascii="SimSun" w:eastAsia="SimSun" w:hAnsi="SimSun" w:cs="SimSun"/>
                <w:color w:val="000000"/>
                <w:spacing w:val="0"/>
                <w:w w:val="100"/>
                <w:position w:val="0"/>
              </w:rPr>
              <w:t>）、《关于 累计诉讼及仲裁事 项的进展公告》（公 告编号：</w:t>
            </w:r>
            <w:r>
              <w:rPr>
                <w:color w:val="000000"/>
                <w:spacing w:val="0"/>
                <w:w w:val="100"/>
                <w:position w:val="0"/>
              </w:rPr>
              <w:t>2021-100</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年半年度报 告》</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公司及主要子公司未达到重大诉讼 （仲裁）披露标准的其他诉讼（仲裁）</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w:t>
            </w:r>
            <w:r>
              <w:rPr>
                <w:color w:val="000000"/>
                <w:spacing w:val="0"/>
                <w:w w:val="100"/>
                <w:position w:val="0"/>
              </w:rPr>
              <w:t>6</w:t>
            </w:r>
            <w:r>
              <w:rPr>
                <w:rFonts w:ascii="SimSun" w:eastAsia="SimSun" w:hAnsi="SimSun" w:cs="SimSun"/>
                <w:color w:val="000000"/>
                <w:spacing w:val="0"/>
                <w:w w:val="100"/>
                <w:position w:val="0"/>
              </w:rPr>
              <w:t>项（公司或子公司作为原告）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公司及主要子公司未达到重大诉讼 （仲裁）披露标准的其他诉讼（仲裁）</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w:t>
            </w:r>
            <w:r>
              <w:rPr>
                <w:color w:val="000000"/>
                <w:spacing w:val="0"/>
                <w:w w:val="100"/>
                <w:position w:val="0"/>
              </w:rPr>
              <w:t>12</w:t>
            </w:r>
            <w:r>
              <w:rPr>
                <w:rFonts w:ascii="SimSun" w:eastAsia="SimSun" w:hAnsi="SimSun" w:cs="SimSun"/>
                <w:color w:val="000000"/>
                <w:spacing w:val="0"/>
                <w:w w:val="100"/>
                <w:position w:val="0"/>
              </w:rPr>
              <w:t>项（公司或子公司作为被告）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footnotePr>
            <w:pos w:val="pageBottom"/>
            <w:numFmt w:val="decimal"/>
            <w:numRestart w:val="continuous"/>
          </w:footnotePr>
          <w:pgSz w:w="16840" w:h="11900" w:orient="landscape"/>
          <w:pgMar w:top="1126" w:right="1402" w:bottom="1323" w:left="1402" w:header="0" w:footer="3" w:gutter="0"/>
          <w:cols w:space="720"/>
          <w:noEndnote/>
          <w:rtlGutter w:val="0"/>
          <w:docGrid w:linePitch="360"/>
        </w:sectPr>
      </w:pPr>
    </w:p>
    <w:p>
      <w:pPr>
        <w:pStyle w:val="Style28"/>
        <w:keepNext/>
        <w:keepLines/>
        <w:widowControl w:val="0"/>
        <w:shd w:val="clear" w:color="auto" w:fill="auto"/>
        <w:bidi w:val="0"/>
        <w:spacing w:before="80" w:after="380" w:line="240" w:lineRule="auto"/>
        <w:ind w:left="0" w:right="0" w:firstLine="0"/>
        <w:jc w:val="left"/>
      </w:pPr>
      <w:bookmarkStart w:id="506" w:name="bookmark506"/>
      <w:bookmarkStart w:id="507" w:name="bookmark507"/>
      <w:bookmarkStart w:id="508" w:name="bookmark508"/>
      <w:r>
        <w:rPr>
          <w:color w:val="000000"/>
          <w:spacing w:val="0"/>
          <w:w w:val="100"/>
          <w:position w:val="0"/>
          <w:sz w:val="24"/>
          <w:szCs w:val="24"/>
        </w:rPr>
        <w:t>十二、处罚及整改情况</w:t>
      </w:r>
      <w:bookmarkEnd w:id="506"/>
      <w:bookmarkEnd w:id="507"/>
      <w:bookmarkEnd w:id="508"/>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92"/>
        <w:gridCol w:w="754"/>
        <w:gridCol w:w="1368"/>
        <w:gridCol w:w="1363"/>
        <w:gridCol w:w="1762"/>
        <w:gridCol w:w="1560"/>
        <w:gridCol w:w="7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r>
              <w:rPr>
                <w:color w:val="000000"/>
                <w:spacing w:val="0"/>
                <w:w w:val="100"/>
                <w:position w:val="0"/>
              </w:rPr>
              <w:t>/</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调查处罚类型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披露索引</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深圳市惠程信息科技股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份有限公司、汪超涌先生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前实际控制人及</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其关联方非经营</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性占用公司资金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中国证监会采取 行政监管措施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对公司及前实际控制 人采取出具警示函的 行政监管措施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r>
        <w:rPr>
          <w:color w:val="000000"/>
          <w:spacing w:val="0"/>
          <w:w w:val="100"/>
          <w:position w:val="0"/>
          <w:sz w:val="24"/>
          <w:szCs w:val="24"/>
        </w:rPr>
        <w:t>十三、公司及其控股股东、实际控制人的诚信状况</w:t>
      </w:r>
      <w:bookmarkEnd w:id="509"/>
      <w:bookmarkEnd w:id="510"/>
      <w:bookmarkEnd w:id="511"/>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报告期内，公司及公司控股股东绿发城建、实际控制人重庆市璧山区财政局的诚信状况良好，不存在未履行法院生效判 决、所负数额较大到期未清偿等情况。</w:t>
      </w:r>
    </w:p>
    <w:p>
      <w:pPr>
        <w:pStyle w:val="Style28"/>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r>
        <w:rPr>
          <w:color w:val="000000"/>
          <w:spacing w:val="0"/>
          <w:w w:val="100"/>
          <w:position w:val="0"/>
          <w:sz w:val="24"/>
          <w:szCs w:val="24"/>
        </w:rPr>
        <w:t>十四、重大关联交易</w:t>
      </w:r>
      <w:bookmarkEnd w:id="512"/>
      <w:bookmarkEnd w:id="513"/>
      <w:bookmarkEnd w:id="514"/>
    </w:p>
    <w:p>
      <w:pPr>
        <w:pStyle w:val="Style34"/>
        <w:keepNext/>
        <w:keepLines/>
        <w:widowControl w:val="0"/>
        <w:shd w:val="clear" w:color="auto" w:fill="auto"/>
        <w:tabs>
          <w:tab w:pos="368" w:val="left"/>
        </w:tabs>
        <w:bidi w:val="0"/>
        <w:spacing w:before="0" w:after="2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与日常经营相关的关联交易</w:t>
      </w:r>
      <w:bookmarkEnd w:id="515"/>
      <w:bookmarkEnd w:id="516"/>
      <w:bookmarkEnd w:id="518"/>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资产或股权收购、出售发生的关联交易</w:t>
      </w:r>
      <w:bookmarkEnd w:id="519"/>
      <w:bookmarkEnd w:id="520"/>
      <w:bookmarkEnd w:id="522"/>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共同对外投资的关联交易</w:t>
      </w:r>
      <w:bookmarkEnd w:id="523"/>
      <w:bookmarkEnd w:id="524"/>
      <w:bookmarkEnd w:id="526"/>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关联债权债务往来</w:t>
      </w:r>
      <w:bookmarkEnd w:id="527"/>
      <w:bookmarkEnd w:id="528"/>
      <w:bookmarkEnd w:id="530"/>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是否存在非经营性关联债权债务往来</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应收关联方债权</w:t>
      </w:r>
    </w:p>
    <w:tbl>
      <w:tblPr>
        <w:tblOverlap w:val="never"/>
        <w:jc w:val="center"/>
        <w:tblLayout w:type="fixed"/>
      </w:tblPr>
      <w:tblGrid>
        <w:gridCol w:w="715"/>
        <w:gridCol w:w="1138"/>
        <w:gridCol w:w="1699"/>
        <w:gridCol w:w="850"/>
        <w:gridCol w:w="994"/>
        <w:gridCol w:w="1416"/>
        <w:gridCol w:w="854"/>
        <w:gridCol w:w="566"/>
        <w:gridCol w:w="706"/>
        <w:gridCol w:w="64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是否存在</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非经营性</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本期新增金额（万</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本期收回</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金额（万</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本期利</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息（万</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期末余</w:t>
            </w:r>
          </w:p>
          <w:p>
            <w:pPr>
              <w:pStyle w:val="Style25"/>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额（万</w:t>
            </w:r>
          </w:p>
          <w:p>
            <w:pPr>
              <w:pStyle w:val="Style25"/>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元）</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原控股股东 的母公司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代控股股东及其关联 方偿还债务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原控股股东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代控股股东及其关联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715"/>
        <w:gridCol w:w="1138"/>
        <w:gridCol w:w="1699"/>
        <w:gridCol w:w="427"/>
        <w:gridCol w:w="422"/>
        <w:gridCol w:w="994"/>
        <w:gridCol w:w="1416"/>
        <w:gridCol w:w="854"/>
        <w:gridCol w:w="566"/>
        <w:gridCol w:w="706"/>
        <w:gridCol w:w="6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方偿还债务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原控股股东 的母公司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代控股股东及其关联 方偿还债务</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原控股股东 的母公司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代控股股东及其关联 方偿还债务</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信中利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原控股股东 的母公司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代控股股东及其关联 方偿还债务</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关联债权对公司经营成果及财务状况的影响</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日，控股股东及其关联方非经营性资金占用已 通过银行转账的方式全部归还。</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859"/>
        <w:gridCol w:w="850"/>
        <w:gridCol w:w="2554"/>
        <w:gridCol w:w="989"/>
        <w:gridCol w:w="994"/>
        <w:gridCol w:w="994"/>
        <w:gridCol w:w="566"/>
        <w:gridCol w:w="850"/>
        <w:gridCol w:w="93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期初余额</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本期新增金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本期归还金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本期利息</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期末余额</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r>
      <w:tr>
        <w:trPr>
          <w:trHeight w:val="41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公司间接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为进一步支持公司的稳健发展， 满足公司经营资金需求，公司现 控股股东重庆绿发城市建设有 限公司的母公司重庆绿发资产 经营管理有限公司向公司提供 人民币</w:t>
            </w:r>
            <w:r>
              <w:rPr>
                <w:color w:val="000000"/>
                <w:spacing w:val="0"/>
                <w:w w:val="100"/>
                <w:position w:val="0"/>
              </w:rPr>
              <w:t>2</w:t>
            </w:r>
            <w:r>
              <w:rPr>
                <w:rFonts w:ascii="SimSun" w:eastAsia="SimSun" w:hAnsi="SimSun" w:cs="SimSun"/>
                <w:color w:val="000000"/>
                <w:spacing w:val="0"/>
                <w:w w:val="100"/>
                <w:position w:val="0"/>
              </w:rPr>
              <w:t>亿元的授信额度（实际 借款数额以实际放款金额为 准），主要用于公司主营业务发 展及补充流动资金，借款期限为 三年，年利率为</w:t>
            </w:r>
            <w:r>
              <w:rPr>
                <w:color w:val="000000"/>
                <w:spacing w:val="0"/>
                <w:w w:val="100"/>
                <w:position w:val="0"/>
              </w:rPr>
              <w:t>5%</w:t>
            </w:r>
            <w:r>
              <w:rPr>
                <w:rFonts w:ascii="SimSun" w:eastAsia="SimSun" w:hAnsi="SimSun" w:cs="SimSun"/>
                <w:color w:val="000000"/>
                <w:spacing w:val="0"/>
                <w:w w:val="100"/>
                <w:position w:val="0"/>
              </w:rPr>
              <w:t>。公司以持 有的自有房产作抵押担保，担保 范围为双方签署《借款合同》项 下的借款本金及相应利息。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12,907.96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上市公司</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4,104.86</w:t>
            </w:r>
          </w:p>
        </w:tc>
      </w:tr>
      <w:tr>
        <w:trPr>
          <w:trHeight w:val="806"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关联债务对公司经营成果及财务状况的影响</w:t>
            </w:r>
          </w:p>
        </w:tc>
        <w:tc>
          <w:tcPr>
            <w:gridSpan w:val="6"/>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5</w:t>
      </w:r>
      <w:bookmarkEnd w:id="533"/>
      <w:r>
        <w:rPr>
          <w:color w:val="000000"/>
          <w:spacing w:val="0"/>
          <w:w w:val="100"/>
          <w:position w:val="0"/>
        </w:rPr>
        <w:t>、与存在关联关系的财务公司的往来情况</w:t>
      </w:r>
      <w:bookmarkEnd w:id="531"/>
      <w:bookmarkEnd w:id="532"/>
      <w:bookmarkEnd w:id="534"/>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6</w:t>
      </w:r>
      <w:bookmarkEnd w:id="537"/>
      <w:r>
        <w:rPr>
          <w:color w:val="000000"/>
          <w:spacing w:val="0"/>
          <w:w w:val="100"/>
          <w:position w:val="0"/>
        </w:rPr>
        <w:t>、公司控股的财务公司与关联方的往来情况</w:t>
      </w:r>
      <w:bookmarkEnd w:id="535"/>
      <w:bookmarkEnd w:id="536"/>
      <w:bookmarkEnd w:id="538"/>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bidi w:val="0"/>
        <w:spacing w:before="0" w:after="2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7</w:t>
      </w:r>
      <w:bookmarkEnd w:id="541"/>
      <w:r>
        <w:rPr>
          <w:color w:val="000000"/>
          <w:spacing w:val="0"/>
          <w:w w:val="100"/>
          <w:position w:val="0"/>
        </w:rPr>
        <w:t>、其他重大关联交易</w:t>
      </w:r>
      <w:bookmarkEnd w:id="539"/>
      <w:bookmarkEnd w:id="540"/>
      <w:bookmarkEnd w:id="542"/>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1.2021</w:t>
      </w:r>
      <w:r>
        <w:rPr>
          <w:color w:val="000000"/>
          <w:spacing w:val="0"/>
          <w:w w:val="100"/>
          <w:position w:val="0"/>
        </w:rPr>
        <w:t>年</w:t>
      </w:r>
      <w:r>
        <w:rPr>
          <w:rFonts w:ascii="Times New Roman" w:eastAsia="Times New Roman" w:hAnsi="Times New Roman" w:cs="Times New Roman"/>
          <w:color w:val="000000"/>
          <w:spacing w:val="0"/>
          <w:w w:val="100"/>
          <w:position w:val="0"/>
        </w:rPr>
        <w:t>5-6</w:t>
      </w:r>
      <w:r>
        <w:rPr>
          <w:color w:val="000000"/>
          <w:spacing w:val="0"/>
          <w:w w:val="100"/>
          <w:position w:val="0"/>
        </w:rPr>
        <w:t>月，经公司董事会、股东大会审议批准，公司及全资子公司喀什中汇联银拟与中新合富、重庆绿发共同投 资设立产业基金，主要投资方向为重庆市范围内电动汽车充电场站资产建设及运营。产业基金认缴出资额为人民币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 元，其中，中新合富、喀什中汇联银作为普通合伙人分别认缴出资</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200</w:t>
      </w:r>
      <w:r>
        <w:rPr>
          <w:color w:val="000000"/>
          <w:spacing w:val="0"/>
          <w:w w:val="100"/>
          <w:position w:val="0"/>
        </w:rPr>
        <w:t>万元，重庆绿发、公司作为有限合伙人分别 认缴出资</w:t>
      </w:r>
      <w:r>
        <w:rPr>
          <w:rFonts w:ascii="Times New Roman" w:eastAsia="Times New Roman" w:hAnsi="Times New Roman" w:cs="Times New Roman"/>
          <w:color w:val="000000"/>
          <w:spacing w:val="0"/>
          <w:w w:val="100"/>
          <w:position w:val="0"/>
        </w:rPr>
        <w:t>6,900</w:t>
      </w:r>
      <w:r>
        <w:rPr>
          <w:color w:val="000000"/>
          <w:spacing w:val="0"/>
          <w:w w:val="100"/>
          <w:position w:val="0"/>
        </w:rPr>
        <w:t>万元、</w:t>
      </w:r>
      <w:r>
        <w:rPr>
          <w:rFonts w:ascii="Times New Roman" w:eastAsia="Times New Roman" w:hAnsi="Times New Roman" w:cs="Times New Roman"/>
          <w:color w:val="000000"/>
          <w:spacing w:val="0"/>
          <w:w w:val="100"/>
          <w:position w:val="0"/>
        </w:rPr>
        <w:t>2,800</w:t>
      </w:r>
      <w:r>
        <w:rPr>
          <w:color w:val="000000"/>
          <w:spacing w:val="0"/>
          <w:w w:val="100"/>
          <w:position w:val="0"/>
        </w:rPr>
        <w:t>万元。</w:t>
      </w:r>
    </w:p>
    <w:p>
      <w:pPr>
        <w:pStyle w:val="Style23"/>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月，产业基金所设立的合伙企业——重庆绿能启航私募股权投资基金合伙企业（有限合伙）已完成工商登记手 续，并取得由重庆市璧山区市场监督管理局颁发的《营业执照》。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月，该产业基金完成备案，并取得中国证券投资 基金业协会颁发的《私募投资基金备案证明》，基金编号为</w:t>
      </w:r>
      <w:r>
        <w:rPr>
          <w:rFonts w:ascii="Times New Roman" w:eastAsia="Times New Roman" w:hAnsi="Times New Roman" w:cs="Times New Roman"/>
          <w:color w:val="000000"/>
          <w:spacing w:val="0"/>
          <w:w w:val="100"/>
          <w:position w:val="0"/>
        </w:rPr>
        <w:t>SSE474</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月，经公司董事会、股东会审议通过，同意公司全资子公司重庆惠程未来与参股子公司重庆思极星能科技有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重庆思极星能</w:t>
      </w:r>
      <w:r>
        <w:rPr>
          <w:rFonts w:ascii="Times New Roman" w:eastAsia="Times New Roman" w:hAnsi="Times New Roman" w:cs="Times New Roman"/>
          <w:color w:val="000000"/>
          <w:spacing w:val="0"/>
          <w:w w:val="100"/>
          <w:position w:val="0"/>
        </w:rPr>
        <w:t>”</w:t>
      </w:r>
      <w:r>
        <w:rPr>
          <w:color w:val="000000"/>
          <w:spacing w:val="0"/>
          <w:w w:val="100"/>
          <w:position w:val="0"/>
        </w:rPr>
        <w:t>）签署《充电场站建设</w:t>
      </w:r>
      <w:r>
        <w:rPr>
          <w:rFonts w:ascii="Times New Roman" w:eastAsia="Times New Roman" w:hAnsi="Times New Roman" w:cs="Times New Roman"/>
          <w:color w:val="000000"/>
          <w:spacing w:val="0"/>
          <w:w w:val="100"/>
          <w:position w:val="0"/>
        </w:rPr>
        <w:t>EPC</w:t>
      </w:r>
      <w:r>
        <w:rPr>
          <w:color w:val="000000"/>
          <w:spacing w:val="0"/>
          <w:w w:val="100"/>
          <w:position w:val="0"/>
        </w:rPr>
        <w:t>总承包合作框架协议》，双方拟就充电场站建设及运营开展深 入和广泛的合作，发挥各自优势，相互支持，共同开发商业机会，并共同推进事业的发展。在合作期限内，重庆思极星能的 充电场站建设项目在价格及设备功能同等条件下优先选择重庆惠程未来为</w:t>
      </w:r>
      <w:r>
        <w:rPr>
          <w:rFonts w:ascii="Times New Roman" w:eastAsia="Times New Roman" w:hAnsi="Times New Roman" w:cs="Times New Roman"/>
          <w:color w:val="000000"/>
          <w:spacing w:val="0"/>
          <w:w w:val="100"/>
          <w:position w:val="0"/>
        </w:rPr>
        <w:t>EPC</w:t>
      </w:r>
      <w:r>
        <w:rPr>
          <w:color w:val="000000"/>
          <w:spacing w:val="0"/>
          <w:w w:val="100"/>
          <w:position w:val="0"/>
        </w:rPr>
        <w:t>总承包方，并优先选用重庆惠程未来的充电桩 设备，项目合计总金额包含设施设备采购及工程施工不超过</w:t>
      </w:r>
      <w:r>
        <w:rPr>
          <w:rFonts w:ascii="Times New Roman" w:eastAsia="Times New Roman" w:hAnsi="Times New Roman" w:cs="Times New Roman"/>
          <w:color w:val="000000"/>
          <w:spacing w:val="0"/>
          <w:w w:val="100"/>
          <w:position w:val="0"/>
        </w:rPr>
        <w:t>5,000</w:t>
      </w:r>
      <w:r>
        <w:rPr>
          <w:color w:val="000000"/>
          <w:spacing w:val="0"/>
          <w:w w:val="100"/>
          <w:position w:val="0"/>
        </w:rPr>
        <w:t>万元。公司全资子公司重庆惠程已与重庆思极星能签署了 《合作框架协议》。</w:t>
      </w:r>
    </w:p>
    <w:p>
      <w:pPr>
        <w:pStyle w:val="Style23"/>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3.2021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月，经公司董事会、股东大会审议通过，公司全资子公司重庆惠程未来中标绿能启航基金子公司重庆连盛同 辉科技有限公司位于重庆市的</w:t>
      </w:r>
      <w:r>
        <w:rPr>
          <w:rFonts w:ascii="Times New Roman" w:eastAsia="Times New Roman" w:hAnsi="Times New Roman" w:cs="Times New Roman"/>
          <w:color w:val="000000"/>
          <w:spacing w:val="0"/>
          <w:w w:val="100"/>
          <w:position w:val="0"/>
        </w:rPr>
        <w:t>17</w:t>
      </w:r>
      <w:r>
        <w:rPr>
          <w:color w:val="000000"/>
          <w:spacing w:val="0"/>
          <w:w w:val="100"/>
          <w:position w:val="0"/>
        </w:rPr>
        <w:t>项充电桩场站建设项目总承包工程，中标金额为人民币</w:t>
      </w:r>
      <w:r>
        <w:rPr>
          <w:rFonts w:ascii="Times New Roman" w:eastAsia="Times New Roman" w:hAnsi="Times New Roman" w:cs="Times New Roman"/>
          <w:color w:val="000000"/>
          <w:spacing w:val="0"/>
          <w:w w:val="100"/>
          <w:position w:val="0"/>
        </w:rPr>
        <w:t>3,705.88</w:t>
      </w:r>
      <w:r>
        <w:rPr>
          <w:color w:val="000000"/>
          <w:spacing w:val="0"/>
          <w:w w:val="100"/>
          <w:position w:val="0"/>
        </w:rPr>
        <w:t>万元（含税费）。随着中标 项目的顺利实施，将对公司合同执行年度的经营业绩产生一定的积极影响。</w:t>
      </w:r>
    </w:p>
    <w:p>
      <w:pPr>
        <w:pStyle w:val="Style23"/>
        <w:keepNext w:val="0"/>
        <w:keepLines w:val="0"/>
        <w:widowControl w:val="0"/>
        <w:shd w:val="clear" w:color="auto" w:fill="auto"/>
        <w:bidi w:val="0"/>
        <w:spacing w:before="0" w:after="140" w:line="314" w:lineRule="exact"/>
        <w:ind w:left="0" w:right="0"/>
        <w:jc w:val="left"/>
      </w:pPr>
      <w:r>
        <w:rPr>
          <w:color w:val="000000"/>
          <w:spacing w:val="0"/>
          <w:w w:val="100"/>
          <w:position w:val="0"/>
        </w:rPr>
        <w:t xml:space="preserve">4. </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月，经公司董事会审议批准，同意公司与重庆市璧山区人民政府签署《工业项目投资合同》，双方就进一步 推进公司在高端智能制造板块的发展，促进重庆市璧山区及重庆市的充电桩产业发展，实现双方共赢互利达成合作意向。经 初步测算，该项目计划总投资金额约</w:t>
      </w:r>
      <w:r>
        <w:rPr>
          <w:color w:val="000000"/>
          <w:spacing w:val="0"/>
          <w:w w:val="100"/>
          <w:position w:val="0"/>
        </w:rPr>
        <w:t>3</w:t>
      </w:r>
      <w:r>
        <w:rPr>
          <w:color w:val="000000"/>
          <w:spacing w:val="0"/>
          <w:w w:val="100"/>
          <w:position w:val="0"/>
        </w:rPr>
        <w:t>亿元。</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月，经公司董事会审议批准，同意公司与重庆市璧山区人民政府签订《工 业项目补充合同》，双方就加快推进高速智能充电桩项目的落地明确了各方的责任。</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月，经公司董事会、股东大会 审议批准，同意公司与重庆市璧山区人民政府签订《工业项目补充合同（二）》，投资项目规模总额调整为不低于人民币</w:t>
      </w:r>
      <w:r>
        <w:rPr>
          <w:color w:val="000000"/>
          <w:spacing w:val="0"/>
          <w:w w:val="100"/>
          <w:position w:val="0"/>
        </w:rPr>
        <w:t xml:space="preserve">4.5 </w:t>
      </w:r>
      <w:r>
        <w:rPr>
          <w:color w:val="000000"/>
          <w:spacing w:val="0"/>
          <w:w w:val="100"/>
          <w:position w:val="0"/>
        </w:rPr>
        <w:t>亿元。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5251"/>
        <w:gridCol w:w="184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《关于对外投资高速智能充电桩项目的公告》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《关于对外投资高速智能充电桩项目的进展公告》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《关于拟与关联方共同投资设立产业基金暨关联交易的公告》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《关于签署对外投资高速智能充电桩项目补充协议暨进展公告》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《关于拟签署合作框架协议暨关联交易的公告》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《关于签署合作框架协议暨关联交易的进展公告》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《关于与关联方共同投资设立产业基金暨关联交易的进展公告》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《关于与关联方共同投资设立产业基金暨关联交易的进展公告》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《关于全资子公司收到中标通知书暨关联交易的公告》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pStyle w:val="Style28"/>
        <w:keepNext/>
        <w:keepLines/>
        <w:widowControl w:val="0"/>
        <w:shd w:val="clear" w:color="auto" w:fill="auto"/>
        <w:bidi w:val="0"/>
        <w:spacing w:before="0" w:after="380" w:line="240" w:lineRule="auto"/>
        <w:ind w:left="0" w:right="0" w:firstLine="0"/>
        <w:jc w:val="both"/>
      </w:pPr>
      <w:bookmarkStart w:id="543" w:name="bookmark543"/>
      <w:bookmarkStart w:id="544" w:name="bookmark544"/>
      <w:bookmarkStart w:id="545" w:name="bookmark545"/>
      <w:r>
        <w:rPr>
          <w:color w:val="000000"/>
          <w:spacing w:val="0"/>
          <w:w w:val="100"/>
          <w:position w:val="0"/>
          <w:sz w:val="24"/>
          <w:szCs w:val="24"/>
        </w:rPr>
        <w:t>十五、重大合同及其履行情况</w:t>
      </w:r>
      <w:bookmarkEnd w:id="543"/>
      <w:bookmarkEnd w:id="544"/>
      <w:bookmarkEnd w:id="545"/>
    </w:p>
    <w:p>
      <w:pPr>
        <w:pStyle w:val="Style34"/>
        <w:keepNext/>
        <w:keepLines/>
        <w:widowControl w:val="0"/>
        <w:shd w:val="clear" w:color="auto" w:fill="auto"/>
        <w:tabs>
          <w:tab w:pos="368" w:val="left"/>
        </w:tabs>
        <w:bidi w:val="0"/>
        <w:spacing w:before="0" w:after="38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托管、承包、租赁事项情况</w:t>
      </w:r>
      <w:bookmarkEnd w:id="546"/>
      <w:bookmarkEnd w:id="547"/>
      <w:bookmarkEnd w:id="549"/>
    </w:p>
    <w:p>
      <w:pPr>
        <w:pStyle w:val="Style34"/>
        <w:keepNext/>
        <w:keepLines/>
        <w:widowControl w:val="0"/>
        <w:shd w:val="clear" w:color="auto" w:fill="auto"/>
        <w:tabs>
          <w:tab w:pos="493" w:val="left"/>
        </w:tabs>
        <w:bidi w:val="0"/>
        <w:spacing w:before="0" w:after="380" w:line="240" w:lineRule="auto"/>
        <w:ind w:left="0" w:right="0" w:firstLine="0"/>
        <w:jc w:val="both"/>
      </w:pPr>
      <w:bookmarkStart w:id="546" w:name="bookmark546"/>
      <w:bookmarkStart w:id="547" w:name="bookmark547"/>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6"/>
      <w:bookmarkEnd w:id="547"/>
      <w:bookmarkEnd w:id="55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2"/>
      <w:bookmarkEnd w:id="553"/>
      <w:bookmarkEnd w:id="555"/>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6"/>
      <w:bookmarkEnd w:id="557"/>
      <w:bookmarkEnd w:id="559"/>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租赁情况说明</w:t>
      </w:r>
    </w:p>
    <w:p>
      <w:pPr>
        <w:pStyle w:val="Style23"/>
        <w:keepNext w:val="0"/>
        <w:keepLines w:val="0"/>
        <w:widowControl w:val="0"/>
        <w:shd w:val="clear" w:color="auto" w:fill="auto"/>
        <w:bidi w:val="0"/>
        <w:spacing w:before="0" w:after="480" w:line="240" w:lineRule="auto"/>
        <w:ind w:left="0" w:right="0" w:firstLine="0"/>
        <w:jc w:val="both"/>
      </w:pPr>
      <w:r>
        <w:rPr>
          <w:color w:val="000000"/>
          <w:spacing w:val="0"/>
          <w:w w:val="100"/>
          <w:position w:val="0"/>
        </w:rPr>
        <w:t>报告期内，公司及下属子公司合计发生房屋租赁不含税费用</w:t>
      </w:r>
      <w:r>
        <w:rPr>
          <w:rFonts w:ascii="Times New Roman" w:eastAsia="Times New Roman" w:hAnsi="Times New Roman" w:cs="Times New Roman"/>
          <w:color w:val="000000"/>
          <w:spacing w:val="0"/>
          <w:w w:val="100"/>
          <w:position w:val="0"/>
        </w:rPr>
        <w:t>894</w:t>
      </w:r>
      <w:r>
        <w:rPr>
          <w:color w:val="000000"/>
          <w:spacing w:val="0"/>
          <w:w w:val="100"/>
          <w:position w:val="0"/>
        </w:rPr>
        <w:t>万元，合计取得房屋出租不含税收入</w:t>
      </w:r>
      <w:r>
        <w:rPr>
          <w:rFonts w:ascii="Times New Roman" w:eastAsia="Times New Roman" w:hAnsi="Times New Roman" w:cs="Times New Roman"/>
          <w:color w:val="000000"/>
          <w:spacing w:val="0"/>
          <w:w w:val="100"/>
          <w:position w:val="0"/>
        </w:rPr>
        <w:t>527</w:t>
      </w:r>
      <w:r>
        <w:rPr>
          <w:color w:val="000000"/>
          <w:spacing w:val="0"/>
          <w:w w:val="100"/>
          <w:position w:val="0"/>
        </w:rPr>
        <w:t>万元。</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3"/>
        <w:keepNext w:val="0"/>
        <w:keepLines w:val="0"/>
        <w:widowControl w:val="0"/>
        <w:numPr>
          <w:ilvl w:val="0"/>
          <w:numId w:val="29"/>
        </w:numPr>
        <w:shd w:val="clear" w:color="auto" w:fill="auto"/>
        <w:tabs>
          <w:tab w:pos="316" w:val="left"/>
        </w:tabs>
        <w:bidi w:val="0"/>
        <w:spacing w:before="0" w:after="120" w:line="240" w:lineRule="auto"/>
        <w:ind w:left="0" w:right="0" w:firstLine="0"/>
        <w:jc w:val="both"/>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after="3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重大担保</w:t>
      </w:r>
      <w:bookmarkEnd w:id="561"/>
      <w:bookmarkEnd w:id="562"/>
      <w:bookmarkEnd w:id="564"/>
    </w:p>
    <w:p>
      <w:pPr>
        <w:pStyle w:val="Style23"/>
        <w:keepNext w:val="0"/>
        <w:keepLines w:val="0"/>
        <w:widowControl w:val="0"/>
        <w:numPr>
          <w:ilvl w:val="0"/>
          <w:numId w:val="29"/>
        </w:numPr>
        <w:shd w:val="clear" w:color="auto" w:fill="auto"/>
        <w:tabs>
          <w:tab w:pos="316" w:val="left"/>
        </w:tabs>
        <w:bidi w:val="0"/>
        <w:spacing w:before="0" w:after="120" w:line="240" w:lineRule="auto"/>
        <w:ind w:left="0" w:right="0" w:firstLine="0"/>
        <w:jc w:val="both"/>
      </w:pPr>
      <w:bookmarkStart w:id="565" w:name="bookmark565"/>
      <w:bookmarkEnd w:id="56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委托他人进行现金资产管理情况</w:t>
      </w:r>
      <w:bookmarkEnd w:id="566"/>
      <w:bookmarkEnd w:id="567"/>
      <w:bookmarkEnd w:id="569"/>
    </w:p>
    <w:p>
      <w:pPr>
        <w:pStyle w:val="Style34"/>
        <w:keepNext/>
        <w:keepLines/>
        <w:widowControl w:val="0"/>
        <w:shd w:val="clear" w:color="auto" w:fill="auto"/>
        <w:bidi w:val="0"/>
        <w:spacing w:before="0" w:after="380" w:line="240" w:lineRule="auto"/>
        <w:ind w:left="0" w:right="0" w:firstLine="0"/>
        <w:jc w:val="both"/>
      </w:pPr>
      <w:bookmarkStart w:id="566" w:name="bookmark566"/>
      <w:bookmarkStart w:id="567" w:name="bookmark567"/>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6"/>
      <w:bookmarkEnd w:id="567"/>
      <w:bookmarkEnd w:id="57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委托理财的资金来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逾期未收回理财己 计提减值金额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widowControl w:val="0"/>
        <w:spacing w:after="119" w:line="1" w:lineRule="exact"/>
      </w:pP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2"/>
      <w:bookmarkEnd w:id="573"/>
      <w:bookmarkEnd w:id="575"/>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、其他重大合同</w:t>
      </w:r>
      <w:bookmarkEnd w:id="576"/>
      <w:bookmarkEnd w:id="577"/>
      <w:bookmarkEnd w:id="579"/>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both"/>
      </w:pPr>
      <w:bookmarkStart w:id="580" w:name="bookmark580"/>
      <w:bookmarkStart w:id="581" w:name="bookmark581"/>
      <w:bookmarkStart w:id="582" w:name="bookmark582"/>
      <w:r>
        <w:rPr>
          <w:color w:val="000000"/>
          <w:spacing w:val="0"/>
          <w:w w:val="100"/>
          <w:position w:val="0"/>
          <w:sz w:val="24"/>
          <w:szCs w:val="24"/>
        </w:rPr>
        <w:t>十六、其他重大事项的说明</w:t>
      </w:r>
      <w:bookmarkEnd w:id="580"/>
      <w:bookmarkEnd w:id="581"/>
      <w:bookmarkEnd w:id="582"/>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numPr>
          <w:ilvl w:val="0"/>
          <w:numId w:val="31"/>
        </w:numPr>
        <w:shd w:val="clear" w:color="auto" w:fill="auto"/>
        <w:tabs>
          <w:tab w:pos="664" w:val="left"/>
        </w:tabs>
        <w:bidi w:val="0"/>
        <w:spacing w:before="0" w:after="0" w:line="313" w:lineRule="exact"/>
        <w:ind w:left="0" w:right="0"/>
        <w:jc w:val="both"/>
      </w:pPr>
      <w:bookmarkStart w:id="583" w:name="bookmark583"/>
      <w:bookmarkEnd w:id="58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月，为满足公司整体战略发展的需要，提高公司整体资金的使用效率，优化资产配置，公司董事会同意对全 资子公司链接世界的资本金进行减资，其中减少注册资本金（注册资本）</w:t>
      </w:r>
      <w:r>
        <w:rPr>
          <w:rFonts w:ascii="Times New Roman" w:eastAsia="Times New Roman" w:hAnsi="Times New Roman" w:cs="Times New Roman"/>
          <w:color w:val="000000"/>
          <w:spacing w:val="0"/>
          <w:w w:val="100"/>
          <w:position w:val="0"/>
        </w:rPr>
        <w:t>7,500</w:t>
      </w:r>
      <w:r>
        <w:rPr>
          <w:color w:val="000000"/>
          <w:spacing w:val="0"/>
          <w:w w:val="100"/>
          <w:position w:val="0"/>
        </w:rPr>
        <w:t>万日元</w:t>
      </w:r>
      <w:r>
        <w:rPr>
          <w:color w:val="000000"/>
          <w:spacing w:val="0"/>
          <w:w w:val="100"/>
          <w:position w:val="0"/>
        </w:rPr>
        <w:t>，</w:t>
      </w:r>
      <w:r>
        <w:rPr>
          <w:color w:val="000000"/>
          <w:spacing w:val="0"/>
          <w:w w:val="100"/>
          <w:position w:val="0"/>
        </w:rPr>
        <w:t>减少资本预备金（资本公积）</w:t>
      </w:r>
      <w:r>
        <w:rPr>
          <w:rFonts w:ascii="Times New Roman" w:eastAsia="Times New Roman" w:hAnsi="Times New Roman" w:cs="Times New Roman"/>
          <w:color w:val="000000"/>
          <w:spacing w:val="0"/>
          <w:w w:val="100"/>
          <w:position w:val="0"/>
        </w:rPr>
        <w:t xml:space="preserve">7,500 </w:t>
      </w:r>
      <w:r>
        <w:rPr>
          <w:color w:val="000000"/>
          <w:spacing w:val="0"/>
          <w:w w:val="100"/>
          <w:position w:val="0"/>
        </w:rPr>
        <w:t>万日元</w:t>
      </w:r>
      <w:r>
        <w:rPr>
          <w:color w:val="000000"/>
          <w:spacing w:val="0"/>
          <w:w w:val="100"/>
          <w:position w:val="0"/>
        </w:rPr>
        <w:t>，</w:t>
      </w:r>
      <w:r>
        <w:rPr>
          <w:color w:val="000000"/>
          <w:spacing w:val="0"/>
          <w:w w:val="100"/>
          <w:position w:val="0"/>
        </w:rPr>
        <w:t>减资完成后链接世界的注册资本金由</w:t>
      </w:r>
      <w:r>
        <w:rPr>
          <w:rFonts w:ascii="Times New Roman" w:eastAsia="Times New Roman" w:hAnsi="Times New Roman" w:cs="Times New Roman"/>
          <w:color w:val="000000"/>
          <w:spacing w:val="0"/>
          <w:w w:val="100"/>
          <w:position w:val="0"/>
        </w:rPr>
        <w:t>12,000</w:t>
      </w:r>
      <w:r>
        <w:rPr>
          <w:color w:val="000000"/>
          <w:spacing w:val="0"/>
          <w:w w:val="100"/>
          <w:position w:val="0"/>
        </w:rPr>
        <w:t>万日元减少至</w:t>
      </w:r>
      <w:r>
        <w:rPr>
          <w:rFonts w:ascii="Times New Roman" w:eastAsia="Times New Roman" w:hAnsi="Times New Roman" w:cs="Times New Roman"/>
          <w:color w:val="000000"/>
          <w:spacing w:val="0"/>
          <w:w w:val="100"/>
          <w:position w:val="0"/>
        </w:rPr>
        <w:t>4,500</w:t>
      </w:r>
      <w:r>
        <w:rPr>
          <w:color w:val="000000"/>
          <w:spacing w:val="0"/>
          <w:w w:val="100"/>
          <w:position w:val="0"/>
        </w:rPr>
        <w:t>万日元。减资后链接世界的股权结构未发生变化，合 计减少的资本金</w:t>
      </w:r>
      <w:r>
        <w:rPr>
          <w:rFonts w:ascii="Times New Roman" w:eastAsia="Times New Roman" w:hAnsi="Times New Roman" w:cs="Times New Roman"/>
          <w:color w:val="000000"/>
          <w:spacing w:val="0"/>
          <w:w w:val="100"/>
          <w:position w:val="0"/>
        </w:rPr>
        <w:t>15,000</w:t>
      </w:r>
      <w:r>
        <w:rPr>
          <w:color w:val="000000"/>
          <w:spacing w:val="0"/>
          <w:w w:val="100"/>
          <w:position w:val="0"/>
        </w:rPr>
        <w:t>万日元在履行完相关程序后，将退回公司账户。截至本报告披露日，该款项</w:t>
      </w:r>
      <w:r>
        <w:rPr>
          <w:rFonts w:ascii="Times New Roman" w:eastAsia="Times New Roman" w:hAnsi="Times New Roman" w:cs="Times New Roman"/>
          <w:color w:val="000000"/>
          <w:spacing w:val="0"/>
          <w:w w:val="100"/>
          <w:position w:val="0"/>
        </w:rPr>
        <w:t>886.10</w:t>
      </w:r>
      <w:r>
        <w:rPr>
          <w:color w:val="000000"/>
          <w:spacing w:val="0"/>
          <w:w w:val="100"/>
          <w:position w:val="0"/>
        </w:rPr>
        <w:t>万元人民币已全额 退回到公司银行账户。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月，为减少公司后续成本费用，经总裁办公会审议批准，同意公司与</w:t>
      </w:r>
      <w:r>
        <w:rPr>
          <w:rFonts w:ascii="Times New Roman" w:eastAsia="Times New Roman" w:hAnsi="Times New Roman" w:cs="Times New Roman"/>
          <w:color w:val="000000"/>
          <w:spacing w:val="0"/>
          <w:w w:val="100"/>
          <w:position w:val="0"/>
        </w:rPr>
        <w:t>THT</w:t>
      </w:r>
      <w:r>
        <w:rPr>
          <w:color w:val="000000"/>
          <w:spacing w:val="0"/>
          <w:w w:val="100"/>
          <w:position w:val="0"/>
        </w:rPr>
        <w:t>法务咨询株式会社</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rPr>
        <w:t>“THT”</w:t>
      </w:r>
      <w:r>
        <w:rPr>
          <w:color w:val="000000"/>
          <w:spacing w:val="0"/>
          <w:w w:val="100"/>
          <w:position w:val="0"/>
        </w:rPr>
        <w:t>签署《股权转让协议书》，公司将所持有的全资子公司链接世界</w:t>
      </w:r>
      <w:r>
        <w:rPr>
          <w:rFonts w:ascii="Times New Roman" w:eastAsia="Times New Roman" w:hAnsi="Times New Roman" w:cs="Times New Roman"/>
          <w:color w:val="000000"/>
          <w:spacing w:val="0"/>
          <w:w w:val="100"/>
          <w:position w:val="0"/>
        </w:rPr>
        <w:t>100%</w:t>
      </w:r>
      <w:r>
        <w:rPr>
          <w:color w:val="000000"/>
          <w:spacing w:val="0"/>
          <w:w w:val="100"/>
          <w:position w:val="0"/>
        </w:rPr>
        <w:t>股权以</w:t>
      </w:r>
      <w:r>
        <w:rPr>
          <w:rFonts w:ascii="Times New Roman" w:eastAsia="Times New Roman" w:hAnsi="Times New Roman" w:cs="Times New Roman"/>
          <w:color w:val="000000"/>
          <w:spacing w:val="0"/>
          <w:w w:val="100"/>
          <w:position w:val="0"/>
        </w:rPr>
        <w:t>40,972,843</w:t>
      </w:r>
      <w:r>
        <w:rPr>
          <w:color w:val="000000"/>
          <w:spacing w:val="0"/>
          <w:w w:val="100"/>
          <w:position w:val="0"/>
        </w:rPr>
        <w:t xml:space="preserve">日元的价格转让给 </w:t>
      </w:r>
      <w:r>
        <w:rPr>
          <w:rFonts w:ascii="Times New Roman" w:eastAsia="Times New Roman" w:hAnsi="Times New Roman" w:cs="Times New Roman"/>
          <w:color w:val="000000"/>
          <w:spacing w:val="0"/>
          <w:w w:val="100"/>
          <w:position w:val="0"/>
        </w:rPr>
        <w:t>THT</w:t>
      </w:r>
      <w:r>
        <w:rPr>
          <w:color w:val="000000"/>
          <w:spacing w:val="0"/>
          <w:w w:val="100"/>
          <w:position w:val="0"/>
        </w:rPr>
        <w:t>。</w:t>
      </w:r>
    </w:p>
    <w:p>
      <w:pPr>
        <w:pStyle w:val="Style23"/>
        <w:keepNext w:val="0"/>
        <w:keepLines w:val="0"/>
        <w:widowControl w:val="0"/>
        <w:numPr>
          <w:ilvl w:val="0"/>
          <w:numId w:val="31"/>
        </w:numPr>
        <w:shd w:val="clear" w:color="auto" w:fill="auto"/>
        <w:tabs>
          <w:tab w:pos="669" w:val="left"/>
        </w:tabs>
        <w:bidi w:val="0"/>
        <w:spacing w:before="0" w:after="0" w:line="313" w:lineRule="exact"/>
        <w:ind w:left="0" w:right="0"/>
        <w:jc w:val="left"/>
      </w:pPr>
      <w:bookmarkStart w:id="584" w:name="bookmark584"/>
      <w:bookmarkEnd w:id="58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月，经总裁办公会审议批准，同意公司将持有的参股子公司北京真机智能科技有限公司（以下简称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真机智 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股权以人民币</w:t>
      </w:r>
      <w:r>
        <w:rPr>
          <w:rFonts w:ascii="Times New Roman" w:eastAsia="Times New Roman" w:hAnsi="Times New Roman" w:cs="Times New Roman"/>
          <w:color w:val="000000"/>
          <w:spacing w:val="0"/>
          <w:w w:val="100"/>
          <w:position w:val="0"/>
        </w:rPr>
        <w:t>960</w:t>
      </w:r>
      <w:r>
        <w:rPr>
          <w:color w:val="000000"/>
          <w:spacing w:val="0"/>
          <w:w w:val="100"/>
          <w:position w:val="0"/>
        </w:rPr>
        <w:t>万元的价格转让给真机智能实际控制人刘智勇先生，本次股权转让事项完成后，公司将不再为真 机智能的股东。</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月，真机智能已完成上述事项的工商变更。</w:t>
      </w:r>
    </w:p>
    <w:p>
      <w:pPr>
        <w:pStyle w:val="Style23"/>
        <w:keepNext w:val="0"/>
        <w:keepLines w:val="0"/>
        <w:widowControl w:val="0"/>
        <w:shd w:val="clear" w:color="auto" w:fill="auto"/>
        <w:bidi w:val="0"/>
        <w:spacing w:before="0" w:after="80" w:line="313" w:lineRule="exact"/>
        <w:ind w:left="0" w:right="0"/>
        <w:jc w:val="left"/>
      </w:pPr>
      <w:r>
        <w:rPr>
          <w:rFonts w:ascii="Times New Roman" w:eastAsia="Times New Roman" w:hAnsi="Times New Roman" w:cs="Times New Roman"/>
          <w:color w:val="000000"/>
          <w:spacing w:val="0"/>
          <w:w w:val="100"/>
          <w:position w:val="0"/>
        </w:rPr>
        <w:t>3.2022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月，重庆绿发为有效运用其自有资金，委托招商银行股份有限公司重庆分行（以下简称</w:t>
      </w:r>
      <w:r>
        <w:rPr>
          <w:rFonts w:ascii="Times New Roman" w:eastAsia="Times New Roman" w:hAnsi="Times New Roman" w:cs="Times New Roman"/>
          <w:color w:val="000000"/>
          <w:spacing w:val="0"/>
          <w:w w:val="100"/>
          <w:position w:val="0"/>
        </w:rPr>
        <w:t>“</w:t>
      </w:r>
      <w:r>
        <w:rPr>
          <w:color w:val="000000"/>
          <w:spacing w:val="0"/>
          <w:w w:val="100"/>
          <w:position w:val="0"/>
        </w:rPr>
        <w:t>招商银行重庆分行</w:t>
      </w:r>
      <w:r>
        <w:rPr>
          <w:rFonts w:ascii="Times New Roman" w:eastAsia="Times New Roman" w:hAnsi="Times New Roman" w:cs="Times New Roman"/>
          <w:color w:val="000000"/>
          <w:spacing w:val="0"/>
          <w:w w:val="100"/>
          <w:position w:val="0"/>
        </w:rPr>
        <w:t>”</w:t>
      </w:r>
      <w:r>
        <w:rPr>
          <w:color w:val="000000"/>
          <w:spacing w:val="0"/>
          <w:w w:val="100"/>
          <w:position w:val="0"/>
        </w:rPr>
        <w:t>） 向公司发放贷款。经公司总裁办公会审议通过，公司与重庆绿发、招商银行重庆分行签署了《委托贷款借款合同》。本次签 订的《委托贷款借款合同》对于授信金额、借款用途、借款期限、借款利率、违约责任等约定与与前期披露《借款合同》的 内容一致。本次协议签署后，重庆绿发实际放款的资金</w:t>
      </w:r>
      <w:r>
        <w:rPr>
          <w:rFonts w:ascii="Times New Roman" w:eastAsia="Times New Roman" w:hAnsi="Times New Roman" w:cs="Times New Roman"/>
          <w:color w:val="000000"/>
          <w:spacing w:val="0"/>
          <w:w w:val="100"/>
          <w:position w:val="0"/>
        </w:rPr>
        <w:t>12,800.00</w:t>
      </w:r>
      <w:r>
        <w:rPr>
          <w:color w:val="000000"/>
          <w:spacing w:val="0"/>
          <w:w w:val="100"/>
          <w:position w:val="0"/>
        </w:rPr>
        <w:t>万元将置换为由招商银行重庆分行发放，委托贷款银行收取 的手续费将由重庆绿发承担，因此本事项不存在损害公司及其他中小股东利益的情形。</w:t>
      </w:r>
    </w:p>
    <w:p>
      <w:pPr>
        <w:pStyle w:val="Style30"/>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其他已作为临时报告披露的重大事项:</w:t>
      </w:r>
    </w:p>
    <w:tbl>
      <w:tblPr>
        <w:tblOverlap w:val="never"/>
        <w:jc w:val="center"/>
        <w:tblLayout w:type="fixed"/>
      </w:tblPr>
      <w:tblGrid>
        <w:gridCol w:w="816"/>
        <w:gridCol w:w="4963"/>
        <w:gridCol w:w="1310"/>
        <w:gridCol w:w="2563"/>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公告编号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登载日期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登载的互联网网站及检索路径</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关于对外投资设立合资公司的进展公告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关于公司自查控股股东及其关联方非经营性资金占用情况的提 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关于公司通过国家高新技术企业复审的公告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关于对外投资高速智能充电桩项目的公告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关于公司自查资金占用事项的进展公告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关于控股股东上层股权结构变动暨股权质押的提示性公告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关于公司股票被实施其他风险警示暨公司股票停牌的提示性公 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关于重庆信发企业管理咨询有限公司所持公司控股股东股权冻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bl>
    <w:p>
      <w:pPr>
        <w:spacing w:lineRule="exact" w:line="1"/>
        <w:rPr>
          <w:sz w:val="2"/>
          <w:szCs w:val="2"/>
        </w:rPr>
      </w:pPr>
      <w:r>
        <w:br w:type="page"/>
      </w:r>
    </w:p>
    <w:tbl>
      <w:tblPr>
        <w:tblOverlap w:val="never"/>
        <w:jc w:val="center"/>
        <w:tblLayout w:type="fixed"/>
      </w:tblPr>
      <w:tblGrid>
        <w:gridCol w:w="816"/>
        <w:gridCol w:w="4963"/>
        <w:gridCol w:w="1310"/>
        <w:gridCol w:w="256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结事项的公告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关于向深圳证券交易所申请撤销公司股票其他风险警示的公告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关于重庆信发企业管理咨询有限公司收到《民事判决书》的公 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关于公司股票撤销其他风险警示暨停牌的公告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关于对外投资高速智能充电桩项目的进展公告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关于股权收购意向性协议自动终止的公告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关于控股股东收到法院执行裁定书的公告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2020</w:t>
            </w:r>
            <w:r>
              <w:rPr>
                <w:rFonts w:ascii="SimSun" w:eastAsia="SimSun" w:hAnsi="SimSun" w:cs="SimSun"/>
                <w:color w:val="000000"/>
                <w:spacing w:val="0"/>
                <w:w w:val="100"/>
                <w:position w:val="0"/>
              </w:rPr>
              <w:t>年度计提信用减值损失及资产减值损失的公告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关于前期会计差错更正的公告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关于累计诉讼情况的公告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关于股权收购意向性协议自动终止的进展公告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关于控股股东签署《股份转让协议》暨公司控制权拟变更的提 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关于股权收购意向性协议自动终止的进展公告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关于拟签署战略合作三方协议的公告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关于拟对外投资暨关联交易的公告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关于公司第一大股东变更的提示性公告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关于公司控制权可能发生变更的风险提示公告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关于累计诉讼及仲裁事项的进展公告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关于公司控股股东和实际控制人变更的提示性公告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关于终止</w:t>
            </w:r>
            <w:r>
              <w:rPr>
                <w:color w:val="000000"/>
                <w:spacing w:val="0"/>
                <w:w w:val="100"/>
                <w:position w:val="0"/>
              </w:rPr>
              <w:t>2020</w:t>
            </w:r>
            <w:r>
              <w:rPr>
                <w:rFonts w:ascii="SimSun" w:eastAsia="SimSun" w:hAnsi="SimSun" w:cs="SimSun"/>
                <w:color w:val="000000"/>
                <w:spacing w:val="0"/>
                <w:w w:val="100"/>
                <w:position w:val="0"/>
              </w:rPr>
              <w:t>年度非公开发行股票的公告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关于子公司对外投资产业并购基金的进展公告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关于控股股东增持公司股份计划的公告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关于签署战略合作三方协议的进展公告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关于拟对外投资暨关联交易的进展公告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关于拟变更公司名称、注册地址并修订《公司章程》的公告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bl>
    <w:p>
      <w:pPr>
        <w:widowControl w:val="0"/>
        <w:spacing w:after="619" w:line="1" w:lineRule="exact"/>
      </w:pPr>
    </w:p>
    <w:p>
      <w:pPr>
        <w:pStyle w:val="Style28"/>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r>
        <w:rPr>
          <w:color w:val="000000"/>
          <w:spacing w:val="0"/>
          <w:w w:val="100"/>
          <w:position w:val="0"/>
          <w:sz w:val="24"/>
          <w:szCs w:val="24"/>
        </w:rPr>
        <w:t>十七、公司子公司重大事项</w:t>
      </w:r>
      <w:bookmarkEnd w:id="585"/>
      <w:bookmarkEnd w:id="586"/>
      <w:bookmarkEnd w:id="587"/>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0" w:lineRule="exact"/>
        <w:ind w:left="0" w:right="0" w:firstLine="360"/>
        <w:jc w:val="both"/>
      </w:pPr>
      <w:r>
        <w:rPr>
          <w:rFonts w:ascii="Times New Roman" w:eastAsia="Times New Roman" w:hAnsi="Times New Roman" w:cs="Times New Roman"/>
          <w:color w:val="000000"/>
          <w:spacing w:val="0"/>
          <w:w w:val="100"/>
          <w:position w:val="0"/>
        </w:rPr>
        <w:t>1.2021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月，经公司总裁办公会审议，公司在重庆市璧山区注册成立全资子公司一重庆惠程未来智能电气有限公司， 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万元人民币，由王蔚先生担任董事长，何金子先生担任董事兼经理。重庆惠程承担公司在重庆市璧山区建设 充电桩项目的具体事宜。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月，经总裁办公会审议，同意公司向重庆惠程未来增资</w:t>
      </w:r>
      <w:r>
        <w:rPr>
          <w:rFonts w:ascii="Times New Roman" w:eastAsia="Times New Roman" w:hAnsi="Times New Roman" w:cs="Times New Roman"/>
          <w:color w:val="000000"/>
          <w:spacing w:val="0"/>
          <w:w w:val="100"/>
          <w:position w:val="0"/>
        </w:rPr>
        <w:t>3,000</w:t>
      </w:r>
      <w:r>
        <w:rPr>
          <w:color w:val="000000"/>
          <w:spacing w:val="0"/>
          <w:w w:val="100"/>
          <w:position w:val="0"/>
        </w:rPr>
        <w:t>万元人民币，重庆惠程注册资 本调整为</w:t>
      </w:r>
      <w:r>
        <w:rPr>
          <w:rFonts w:ascii="Times New Roman" w:eastAsia="Times New Roman" w:hAnsi="Times New Roman" w:cs="Times New Roman"/>
          <w:color w:val="000000"/>
          <w:spacing w:val="0"/>
          <w:w w:val="100"/>
          <w:position w:val="0"/>
        </w:rPr>
        <w:t>5,000</w:t>
      </w:r>
      <w:r>
        <w:rPr>
          <w:color w:val="000000"/>
          <w:spacing w:val="0"/>
          <w:w w:val="100"/>
          <w:position w:val="0"/>
        </w:rPr>
        <w:t>万元人民币，并调整了部分经营范围。</w:t>
      </w:r>
      <w:r>
        <w:br w:type="page"/>
      </w:r>
    </w:p>
    <w:p>
      <w:pPr>
        <w:pStyle w:val="Style15"/>
        <w:keepNext/>
        <w:keepLines/>
        <w:widowControl w:val="0"/>
        <w:shd w:val="clear" w:color="auto" w:fill="auto"/>
        <w:bidi w:val="0"/>
        <w:spacing w:before="0" w:after="560" w:line="240" w:lineRule="auto"/>
        <w:ind w:left="0" w:right="0" w:firstLine="0"/>
        <w:jc w:val="center"/>
      </w:pPr>
      <w:bookmarkStart w:id="588" w:name="bookmark588"/>
      <w:bookmarkStart w:id="589" w:name="bookmark589"/>
      <w:bookmarkStart w:id="590" w:name="bookmark590"/>
      <w:r>
        <w:rPr>
          <w:color w:val="000000"/>
          <w:spacing w:val="0"/>
          <w:w w:val="100"/>
          <w:position w:val="0"/>
        </w:rPr>
        <w:t>第七节股份变动及股东情况</w:t>
      </w:r>
      <w:bookmarkEnd w:id="588"/>
      <w:bookmarkEnd w:id="589"/>
      <w:bookmarkEnd w:id="590"/>
    </w:p>
    <w:p>
      <w:pPr>
        <w:pStyle w:val="Style28"/>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、股份变动情况</w:t>
      </w:r>
      <w:bookmarkEnd w:id="592"/>
      <w:bookmarkEnd w:id="593"/>
      <w:bookmarkEnd w:id="595"/>
      <w:bookmarkEnd w:id="591"/>
    </w:p>
    <w:p>
      <w:pPr>
        <w:pStyle w:val="Style34"/>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、股份变动情况</w:t>
      </w:r>
      <w:bookmarkEnd w:id="596"/>
      <w:bookmarkEnd w:id="597"/>
      <w:bookmarkEnd w:id="5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1138"/>
        <w:gridCol w:w="850"/>
        <w:gridCol w:w="566"/>
        <w:gridCol w:w="283"/>
        <w:gridCol w:w="710"/>
        <w:gridCol w:w="989"/>
        <w:gridCol w:w="994"/>
        <w:gridCol w:w="994"/>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发行</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送</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9,071,225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8,169,375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7,642,425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8,169,375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7,642,425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8,169,375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792,858,343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793,760,193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792,858,343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793,760,193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801,929,568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801,929,568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numPr>
          <w:ilvl w:val="0"/>
          <w:numId w:val="33"/>
        </w:numPr>
        <w:shd w:val="clear" w:color="auto" w:fill="auto"/>
        <w:tabs>
          <w:tab w:pos="301" w:val="left"/>
        </w:tabs>
        <w:bidi w:val="0"/>
        <w:spacing w:before="0" w:after="0" w:line="317" w:lineRule="exact"/>
        <w:ind w:left="0" w:right="0" w:firstLine="0"/>
        <w:jc w:val="left"/>
      </w:pPr>
      <w:bookmarkStart w:id="600" w:name="bookmark600"/>
      <w:bookmarkEnd w:id="600"/>
      <w:r>
        <w:rPr>
          <w:color w:val="000000"/>
          <w:spacing w:val="0"/>
          <w:w w:val="100"/>
          <w:position w:val="0"/>
        </w:rPr>
        <w:t>报告期内，公司董事、高级管理人员锁定股合计减少</w:t>
      </w:r>
      <w:r>
        <w:rPr>
          <w:rFonts w:ascii="Times New Roman" w:eastAsia="Times New Roman" w:hAnsi="Times New Roman" w:cs="Times New Roman"/>
          <w:color w:val="000000"/>
          <w:spacing w:val="0"/>
          <w:w w:val="100"/>
          <w:position w:val="0"/>
        </w:rPr>
        <w:t>6,601,850</w:t>
      </w:r>
      <w:r>
        <w:rPr>
          <w:color w:val="000000"/>
          <w:spacing w:val="0"/>
          <w:w w:val="100"/>
          <w:position w:val="0"/>
        </w:rPr>
        <w:t>股限售股股份。</w:t>
      </w:r>
    </w:p>
    <w:p>
      <w:pPr>
        <w:pStyle w:val="Style23"/>
        <w:keepNext w:val="0"/>
        <w:keepLines w:val="0"/>
        <w:widowControl w:val="0"/>
        <w:numPr>
          <w:ilvl w:val="0"/>
          <w:numId w:val="33"/>
        </w:numPr>
        <w:shd w:val="clear" w:color="auto" w:fill="auto"/>
        <w:tabs>
          <w:tab w:pos="320" w:val="left"/>
        </w:tabs>
        <w:bidi w:val="0"/>
        <w:spacing w:before="0" w:after="0" w:line="317" w:lineRule="exact"/>
        <w:ind w:left="0" w:right="0" w:firstLine="0"/>
        <w:jc w:val="left"/>
      </w:pPr>
      <w:bookmarkStart w:id="601" w:name="bookmark601"/>
      <w:bookmarkEnd w:id="601"/>
      <w:r>
        <w:rPr>
          <w:color w:val="000000"/>
          <w:spacing w:val="0"/>
          <w:w w:val="100"/>
          <w:position w:val="0"/>
        </w:rPr>
        <w:t>报告期内，经公司董事会、监事会、股东会审议，同意首次向公司董事、高级管理人员以及公司（含子公司）其他核心骨 干员工共计</w:t>
      </w:r>
      <w:r>
        <w:rPr>
          <w:rFonts w:ascii="Times New Roman" w:eastAsia="Times New Roman" w:hAnsi="Times New Roman" w:cs="Times New Roman"/>
          <w:color w:val="000000"/>
          <w:spacing w:val="0"/>
          <w:w w:val="100"/>
          <w:position w:val="0"/>
        </w:rPr>
        <w:t>11</w:t>
      </w:r>
      <w:r>
        <w:rPr>
          <w:color w:val="000000"/>
          <w:spacing w:val="0"/>
          <w:w w:val="100"/>
          <w:position w:val="0"/>
        </w:rPr>
        <w:t>人合计授予</w:t>
      </w:r>
      <w:r>
        <w:rPr>
          <w:rFonts w:ascii="Times New Roman" w:eastAsia="Times New Roman" w:hAnsi="Times New Roman" w:cs="Times New Roman"/>
          <w:color w:val="000000"/>
          <w:spacing w:val="0"/>
          <w:w w:val="100"/>
          <w:position w:val="0"/>
        </w:rPr>
        <w:t>570</w:t>
      </w:r>
      <w:r>
        <w:rPr>
          <w:color w:val="000000"/>
          <w:spacing w:val="0"/>
          <w:w w:val="100"/>
          <w:position w:val="0"/>
        </w:rPr>
        <w:t>万股限制性股票，股份来源于公司从二级市场回购的公司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股普通股股票，上述股份未导致公 司总股本发生变动。</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股份变动的批准情况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、限售股份变动情况</w:t>
      </w:r>
      <w:bookmarkEnd w:id="602"/>
      <w:bookmarkEnd w:id="603"/>
      <w:bookmarkEnd w:id="605"/>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272"/>
        <w:gridCol w:w="1138"/>
        <w:gridCol w:w="1277"/>
        <w:gridCol w:w="1133"/>
        <w:gridCol w:w="1416"/>
        <w:gridCol w:w="206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按股权激励计划草案相关 规定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按股权激励计划草案相关 规定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按股权激励计划草案相关 规定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其他核心骨干 人员（</w:t>
            </w:r>
            <w:r>
              <w:rPr>
                <w:color w:val="000000"/>
                <w:spacing w:val="0"/>
                <w:w w:val="100"/>
                <w:position w:val="0"/>
              </w:rPr>
              <w:t>8</w:t>
            </w: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按股权激励计划草案相关 规定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按高管股份管理相关规定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按高管股份管理相关规定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其他离任董事、 高级管理人员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5,778,725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6,601,850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8,169,375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sz w:val="24"/>
          <w:szCs w:val="24"/>
        </w:rPr>
        <w:t>二</w:t>
      </w:r>
      <w:bookmarkEnd w:id="608"/>
      <w:r>
        <w:rPr>
          <w:color w:val="000000"/>
          <w:spacing w:val="0"/>
          <w:w w:val="100"/>
          <w:position w:val="0"/>
          <w:sz w:val="24"/>
          <w:szCs w:val="24"/>
        </w:rPr>
        <w:t>、证券发行与上市情况</w:t>
      </w:r>
      <w:bookmarkEnd w:id="606"/>
      <w:bookmarkEnd w:id="607"/>
      <w:bookmarkEnd w:id="609"/>
    </w:p>
    <w:p>
      <w:pPr>
        <w:pStyle w:val="Style34"/>
        <w:keepNext/>
        <w:keepLines/>
        <w:widowControl w:val="0"/>
        <w:shd w:val="clear" w:color="auto" w:fill="auto"/>
        <w:tabs>
          <w:tab w:pos="368" w:val="left"/>
        </w:tabs>
        <w:bidi w:val="0"/>
        <w:spacing w:before="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报告期内证券发行（不含优先股）情况</w:t>
      </w:r>
      <w:bookmarkEnd w:id="610"/>
      <w:bookmarkEnd w:id="611"/>
      <w:bookmarkEnd w:id="613"/>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公司股份总数及股东结构的变动、公司资产和负债结构的变动情况说明</w:t>
      </w:r>
      <w:bookmarkEnd w:id="614"/>
      <w:bookmarkEnd w:id="615"/>
      <w:bookmarkEnd w:id="617"/>
    </w:p>
    <w:p>
      <w:pPr>
        <w:pStyle w:val="Style23"/>
        <w:keepNext w:val="0"/>
        <w:keepLines w:val="0"/>
        <w:widowControl w:val="0"/>
        <w:numPr>
          <w:ilvl w:val="0"/>
          <w:numId w:val="29"/>
        </w:numPr>
        <w:shd w:val="clear" w:color="auto" w:fill="auto"/>
        <w:tabs>
          <w:tab w:pos="282" w:val="left"/>
        </w:tabs>
        <w:bidi w:val="0"/>
        <w:spacing w:before="0" w:after="360" w:line="240" w:lineRule="auto"/>
        <w:ind w:left="0" w:right="0" w:firstLine="0"/>
        <w:jc w:val="both"/>
      </w:pPr>
      <w:bookmarkStart w:id="618" w:name="bookmark618"/>
      <w:bookmarkEnd w:id="61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w:t>
        <w:tab/>
        <w:t>现存的内部职工股情况</w:t>
      </w:r>
      <w:bookmarkEnd w:id="619"/>
      <w:bookmarkEnd w:id="620"/>
      <w:bookmarkEnd w:id="622"/>
    </w:p>
    <w:p>
      <w:pPr>
        <w:pStyle w:val="Style23"/>
        <w:keepNext w:val="0"/>
        <w:keepLines w:val="0"/>
        <w:widowControl w:val="0"/>
        <w:numPr>
          <w:ilvl w:val="0"/>
          <w:numId w:val="29"/>
        </w:numPr>
        <w:shd w:val="clear" w:color="auto" w:fill="auto"/>
        <w:tabs>
          <w:tab w:pos="282" w:val="left"/>
        </w:tabs>
        <w:bidi w:val="0"/>
        <w:spacing w:before="0" w:after="360" w:line="240" w:lineRule="auto"/>
        <w:ind w:left="0" w:right="0" w:firstLine="0"/>
        <w:jc w:val="both"/>
      </w:pPr>
      <w:bookmarkStart w:id="623" w:name="bookmark623"/>
      <w:bookmarkEnd w:id="62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、股东和实际控制人情况</w:t>
      </w:r>
      <w:bookmarkEnd w:id="624"/>
      <w:bookmarkEnd w:id="625"/>
      <w:bookmarkEnd w:id="627"/>
    </w:p>
    <w:p>
      <w:pPr>
        <w:pStyle w:val="Style34"/>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、公司股东数量及持股情况</w:t>
      </w:r>
      <w:bookmarkEnd w:id="628"/>
      <w:bookmarkEnd w:id="629"/>
      <w:bookmarkEnd w:id="63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10"/>
        <w:gridCol w:w="994"/>
        <w:gridCol w:w="322"/>
        <w:gridCol w:w="384"/>
        <w:gridCol w:w="677"/>
        <w:gridCol w:w="317"/>
        <w:gridCol w:w="994"/>
        <w:gridCol w:w="154"/>
        <w:gridCol w:w="552"/>
        <w:gridCol w:w="528"/>
        <w:gridCol w:w="466"/>
        <w:gridCol w:w="850"/>
        <w:gridCol w:w="936"/>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51,777</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53,477</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前上一月末表决 权恢复的优先股 股东总数（如有）</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报告期末持</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报告期内增</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持有无限售</w:t>
            </w:r>
          </w:p>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84,119,291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70,935,509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84,119,291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中驰惠程企业管理有限公司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 法人</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5.77%</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46,278,466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-38,278,900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46,278,466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46,278,466</w:t>
            </w:r>
          </w:p>
        </w:tc>
      </w:tr>
      <w:tr>
        <w:trPr>
          <w:trHeight w:val="403"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46,278,466</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高华一汇丰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-GOLDMAN,SACHS&amp;CO.LL</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5,656,940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5,656,940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BANK,NATIONAL</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ASSOCIATION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5,137,285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5,137,285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5,137,285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蔡明友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4,998,200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3,906,500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4,998,200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4,301,384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4,301,384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4,301,384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吴松骏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3,699,000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3,699,000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共青城中源信投资管理合伙企</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业（有限合伙）</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 法人</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0.39%</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3,127,318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3,127,318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3,127,318</w:t>
            </w:r>
          </w:p>
        </w:tc>
      </w:tr>
      <w:tr>
        <w:trPr>
          <w:trHeight w:val="403"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3,127,318</w:t>
            </w:r>
          </w:p>
        </w:tc>
      </w:tr>
      <w:tr>
        <w:trPr>
          <w:trHeight w:val="403" w:hRule="exact"/>
        </w:trPr>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10</w:t>
            </w:r>
            <w:r>
              <w:rPr>
                <w:rFonts w:ascii="SimSun" w:eastAsia="SimSun" w:hAnsi="SimSun" w:cs="SimSun"/>
                <w:color w:val="000000"/>
                <w:spacing w:val="0"/>
                <w:w w:val="100"/>
                <w:position w:val="0"/>
              </w:rPr>
              <w:t>名股东的情况（如有）（参见注</w:t>
            </w:r>
            <w:r>
              <w:rPr>
                <w:color w:val="000000"/>
                <w:spacing w:val="0"/>
                <w:w w:val="100"/>
                <w:position w:val="0"/>
              </w:rPr>
              <w:t>3</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 的说明</w:t>
            </w:r>
          </w:p>
        </w:tc>
        <w:tc>
          <w:tcPr>
            <w:gridSpan w:val="1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共青城中源信投资管理合伙企业（有限合伙）系中驰惠程企业管理有限公司的一致行动人， 合计持股</w:t>
            </w:r>
            <w:r>
              <w:rPr>
                <w:color w:val="000000"/>
                <w:spacing w:val="0"/>
                <w:w w:val="100"/>
                <w:position w:val="0"/>
              </w:rPr>
              <w:t>49,405,784</w:t>
            </w:r>
            <w:r>
              <w:rPr>
                <w:rFonts w:ascii="SimSun" w:eastAsia="SimSun" w:hAnsi="SimSun" w:cs="SimSun"/>
                <w:color w:val="000000"/>
                <w:spacing w:val="0"/>
                <w:w w:val="100"/>
                <w:position w:val="0"/>
              </w:rPr>
              <w:t>股，占公司期末总股本</w:t>
            </w:r>
            <w:r>
              <w:rPr>
                <w:color w:val="000000"/>
                <w:spacing w:val="0"/>
                <w:w w:val="100"/>
                <w:position w:val="0"/>
              </w:rPr>
              <w:t>6.16%</w:t>
            </w:r>
            <w:r>
              <w:rPr>
                <w:rFonts w:ascii="SimSun" w:eastAsia="SimSun" w:hAnsi="SimSun" w:cs="SimSun"/>
                <w:color w:val="000000"/>
                <w:spacing w:val="0"/>
                <w:w w:val="100"/>
                <w:position w:val="0"/>
              </w:rPr>
              <w:t>；其他股东之间关系不详。</w:t>
            </w:r>
          </w:p>
        </w:tc>
      </w:tr>
      <w:tr>
        <w:trPr>
          <w:trHeight w:val="403" w:hRule="exact"/>
        </w:trPr>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受托表决权、放弃表决权情况的说明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37"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 xml:space="preserve">名股东中存在回购专户 的特别说明（如有）（参见注 </w:t>
            </w:r>
            <w:r>
              <w:rPr>
                <w:color w:val="000000"/>
                <w:spacing w:val="0"/>
                <w:w w:val="100"/>
                <w:position w:val="0"/>
              </w:rPr>
              <w:t>10</w:t>
            </w:r>
            <w:r>
              <w:rPr>
                <w:rFonts w:ascii="SimSun" w:eastAsia="SimSun" w:hAnsi="SimSun" w:cs="SimSun"/>
                <w:color w:val="000000"/>
                <w:spacing w:val="0"/>
                <w:w w:val="100"/>
                <w:position w:val="0"/>
              </w:rPr>
              <w:t>）</w:t>
            </w:r>
          </w:p>
        </w:tc>
        <w:tc>
          <w:tcPr>
            <w:gridSpan w:val="1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报告期末，深圳市惠程信息科技股份有限公司回购专用证券账户持股</w:t>
            </w:r>
            <w:r>
              <w:rPr>
                <w:color w:val="000000"/>
                <w:spacing w:val="0"/>
                <w:w w:val="100"/>
                <w:position w:val="0"/>
              </w:rPr>
              <w:t>12,066,200</w:t>
            </w:r>
            <w:r>
              <w:rPr>
                <w:rFonts w:ascii="SimSun" w:eastAsia="SimSun" w:hAnsi="SimSun" w:cs="SimSun"/>
                <w:color w:val="000000"/>
                <w:spacing w:val="0"/>
                <w:w w:val="100"/>
                <w:position w:val="0"/>
              </w:rPr>
              <w:t>股，占公 司总股本的</w:t>
            </w:r>
            <w:r>
              <w:rPr>
                <w:color w:val="000000"/>
                <w:spacing w:val="0"/>
                <w:w w:val="100"/>
                <w:position w:val="0"/>
              </w:rPr>
              <w:t>1.50%</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13"/>
        <w:gridCol w:w="1133"/>
        <w:gridCol w:w="2832"/>
        <w:gridCol w:w="1277"/>
        <w:gridCol w:w="936"/>
      </w:tblGrid>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84,119,291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84,119,291</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中驰惠程企业管理有限公司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46,278,466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46,278,466</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高华一汇丰</w:t>
            </w:r>
            <w:r>
              <w:rPr>
                <w:color w:val="000000"/>
                <w:spacing w:val="0"/>
                <w:w w:val="100"/>
                <w:position w:val="0"/>
              </w:rPr>
              <w:t>-</w:t>
            </w:r>
            <w:r>
              <w:rPr>
                <w:color w:val="000000"/>
                <w:spacing w:val="0"/>
                <w:w w:val="100"/>
                <w:position w:val="0"/>
              </w:rPr>
              <w:t>GOLDMAN,SACHS&amp;CO.LLC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5,656,940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5,656,940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JPMORGAN CHASE BANK,NATIONAL ASSOCIATION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5,137,285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5,137,285</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蔡明友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4,998,200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4,998,200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4,301,384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4,301,384</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吴松骏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3,699,000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3,699,000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共青城中源信投资管理合伙企业（有限合伙）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3,127,318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3,127,318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 xml:space="preserve">10 </w:t>
            </w:r>
            <w:r>
              <w:rPr>
                <w:rFonts w:ascii="SimSun" w:eastAsia="SimSun" w:hAnsi="SimSun" w:cs="SimSun"/>
                <w:color w:val="000000"/>
                <w:spacing w:val="0"/>
                <w:w w:val="100"/>
                <w:position w:val="0"/>
              </w:rPr>
              <w:t>名无限售流通股股东和前</w:t>
            </w:r>
            <w:r>
              <w:rPr>
                <w:color w:val="000000"/>
                <w:spacing w:val="0"/>
                <w:w w:val="100"/>
                <w:position w:val="0"/>
              </w:rPr>
              <w:t>10</w:t>
            </w:r>
            <w:r>
              <w:rPr>
                <w:rFonts w:ascii="SimSun" w:eastAsia="SimSun" w:hAnsi="SimSun" w:cs="SimSun"/>
                <w:color w:val="000000"/>
                <w:spacing w:val="0"/>
                <w:w w:val="100"/>
                <w:position w:val="0"/>
              </w:rPr>
              <w:t>名股东之间关 联关系或一致行动的说明</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共青城中源信投资管理合伙企业（有限合伙）系中驰惠程企业管理有限公司的 一致行动人，合计持股</w:t>
            </w:r>
            <w:r>
              <w:rPr>
                <w:color w:val="000000"/>
                <w:spacing w:val="0"/>
                <w:w w:val="100"/>
                <w:position w:val="0"/>
              </w:rPr>
              <w:t>49,405,784</w:t>
            </w:r>
            <w:r>
              <w:rPr>
                <w:rFonts w:ascii="SimSun" w:eastAsia="SimSun" w:hAnsi="SimSun" w:cs="SimSun"/>
                <w:color w:val="000000"/>
                <w:spacing w:val="0"/>
                <w:w w:val="100"/>
                <w:position w:val="0"/>
              </w:rPr>
              <w:t>股，占公司期末总股本</w:t>
            </w:r>
            <w:r>
              <w:rPr>
                <w:color w:val="000000"/>
                <w:spacing w:val="0"/>
                <w:w w:val="100"/>
                <w:position w:val="0"/>
              </w:rPr>
              <w:t>6.16%</w:t>
            </w:r>
            <w:r>
              <w:rPr>
                <w:rFonts w:ascii="SimSun" w:eastAsia="SimSun" w:hAnsi="SimSun" w:cs="SimSun"/>
                <w:color w:val="000000"/>
                <w:spacing w:val="0"/>
                <w:w w:val="100"/>
                <w:position w:val="0"/>
              </w:rPr>
              <w:t>；其他股东之 间关系不详。</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名普通股股东参与融资融券业务情况 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陈小毛参与融资融券业务，涉及的数量为</w:t>
            </w:r>
            <w:r>
              <w:rPr>
                <w:color w:val="000000"/>
                <w:spacing w:val="0"/>
                <w:w w:val="100"/>
                <w:position w:val="0"/>
              </w:rPr>
              <w:t>5,000,000</w:t>
            </w:r>
            <w:r>
              <w:rPr>
                <w:rFonts w:ascii="SimSun" w:eastAsia="SimSun" w:hAnsi="SimSun" w:cs="SimSun"/>
                <w:color w:val="000000"/>
                <w:spacing w:val="0"/>
                <w:w w:val="100"/>
                <w:position w:val="0"/>
              </w:rPr>
              <w:t>股。</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、公司控股股东情况</w:t>
      </w:r>
      <w:bookmarkEnd w:id="632"/>
      <w:bookmarkEnd w:id="633"/>
      <w:bookmarkEnd w:id="635"/>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控股股东性质：地方国有控股</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286"/>
        <w:gridCol w:w="1133"/>
        <w:gridCol w:w="850"/>
        <w:gridCol w:w="1982"/>
        <w:gridCol w:w="433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重庆绿发城市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r>
              <w:rPr>
                <w:color w:val="000000"/>
                <w:spacing w:val="0"/>
                <w:w w:val="100"/>
                <w:position w:val="0"/>
              </w:rPr>
              <w:t>500227MA5YN16N1G</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许可项目：房地产开发经营；建设工程施工；货物或技 术进出口 </w:t>
            </w:r>
            <w:r>
              <w:rPr>
                <w:color w:val="000000"/>
                <w:spacing w:val="0"/>
                <w:w w:val="100"/>
                <w:position w:val="0"/>
              </w:rPr>
              <w:t>（</w:t>
            </w:r>
            <w:r>
              <w:rPr>
                <w:rFonts w:ascii="SimSun" w:eastAsia="SimSun" w:hAnsi="SimSun" w:cs="SimSun"/>
                <w:color w:val="000000"/>
                <w:spacing w:val="0"/>
                <w:w w:val="100"/>
                <w:position w:val="0"/>
              </w:rPr>
              <w:t>国家禁止或涉及行政审批的货物和技术进出 口除外</w:t>
            </w:r>
            <w:r>
              <w:rPr>
                <w:color w:val="000000"/>
                <w:spacing w:val="0"/>
                <w:w w:val="100"/>
                <w:position w:val="0"/>
              </w:rPr>
              <w:t>）</w:t>
            </w:r>
            <w:r>
              <w:rPr>
                <w:rFonts w:ascii="SimSun" w:eastAsia="SimSun" w:hAnsi="SimSun" w:cs="SimSun"/>
                <w:color w:val="000000"/>
                <w:spacing w:val="0"/>
                <w:w w:val="100"/>
                <w:position w:val="0"/>
              </w:rPr>
              <w:t>，汽车租赁（不得从事出租客运和道路客货运 输经营）。（依法须经批准的项目，经相关部门批准后方 可开展经营活动，具体经营项目以相关部门批准文件或 许可证件为准）一般项目：充电桩销售；集中式快速 充电站；机动车充电销售；智能输配电及控制设备销售； 电动汽车充电基础设施运营；新能源汽车电附件销售； 新能源汽车换电设施销售；居民日常生活服务；共享自 行车服务；景观和绿地设施工程施工；市政设施管理； 物业管理（不含一级管理）；环境卫生管理；城乡市容</w:t>
            </w:r>
          </w:p>
        </w:tc>
      </w:tr>
    </w:tbl>
    <w:p>
      <w:pPr>
        <w:spacing w:lineRule="exact" w:line="1"/>
        <w:rPr>
          <w:sz w:val="2"/>
          <w:szCs w:val="2"/>
        </w:rPr>
      </w:pPr>
      <w:r>
        <w:br w:type="page"/>
      </w:r>
    </w:p>
    <w:tbl>
      <w:tblPr>
        <w:tblOverlap w:val="never"/>
        <w:jc w:val="center"/>
        <w:tblLayout w:type="fixed"/>
      </w:tblPr>
      <w:tblGrid>
        <w:gridCol w:w="1286"/>
        <w:gridCol w:w="1133"/>
        <w:gridCol w:w="850"/>
        <w:gridCol w:w="1982"/>
        <w:gridCol w:w="433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管理；游览景区管理；园林绿化工程服务；自有房屋租 赁；停车场服务；市场运营管理；酒店经营管理；国内 广告代理、制作、发布；广告装饰工程（除依法须经批 准的项目外，凭营业执照依法自主开展经营活动）。</w:t>
            </w:r>
          </w:p>
        </w:tc>
      </w:tr>
      <w:tr>
        <w:trPr>
          <w:trHeight w:val="413"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控股股东报告期内控股和参股的其他境内外上市公司的股权情况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www. cninfo. com. cn</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、公司实际控制人及其一致行动人</w:t>
      </w:r>
      <w:bookmarkEnd w:id="636"/>
      <w:bookmarkEnd w:id="637"/>
      <w:bookmarkEnd w:id="63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5"/>
        <w:gridCol w:w="2424"/>
        <w:gridCol w:w="1277"/>
        <w:gridCol w:w="1843"/>
        <w:gridCol w:w="163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侯咏梅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11500227009344635U</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实际控制人报告期内控制的其他境内外上市公司的股权情况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汪超涌、李亦非</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重庆市璧山区财政局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www. cninfo. com. cn</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bl>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73" w:bottom="1484" w:left="1054"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49"/>
        <w:keepNext w:val="0"/>
        <w:keepLines w:val="0"/>
        <w:widowControl w:val="0"/>
        <w:shd w:val="clear" w:color="auto" w:fill="auto"/>
        <w:tabs>
          <w:tab w:pos="1877" w:val="left"/>
          <w:tab w:leader="hyphen" w:pos="2208" w:val="left"/>
        </w:tabs>
        <w:bidi w:val="0"/>
        <w:spacing w:before="260" w:after="0"/>
        <w:ind w:left="0" w:right="0" w:firstLine="0"/>
        <w:jc w:val="center"/>
      </w:pPr>
      <w:r>
        <w:rPr>
          <w:spacing w:val="0"/>
          <w:w w:val="100"/>
          <w:position w:val="0"/>
        </w:rPr>
        <w:t>i</w:t>
      </w:r>
      <w:r>
        <w:rPr>
          <w:rFonts w:ascii="SimHei" w:eastAsia="SimHei" w:hAnsi="SimHei" w:cs="SimHei"/>
          <w:b w:val="0"/>
          <w:bCs w:val="0"/>
          <w:spacing w:val="0"/>
          <w:w w:val="100"/>
          <w:position w:val="0"/>
          <w:sz w:val="14"/>
          <w:szCs w:val="14"/>
        </w:rPr>
        <w:t>中国农发度盅缝@基金有限公叫</w:t>
        <w:br/>
      </w:r>
      <w:r>
        <w:rPr>
          <w:spacing w:val="0"/>
          <w:w w:val="100"/>
          <w:position w:val="0"/>
        </w:rPr>
        <w:t>93.053S” '</w:t>
        <w:tab/>
      </w:r>
      <w:r>
        <w:rPr>
          <w:color w:val="B3B3B3"/>
          <w:spacing w:val="0"/>
          <w:w w:val="100"/>
          <w:position w:val="0"/>
        </w:rPr>
        <w:t>|</w:t>
      </w:r>
      <w:r>
        <w:rPr>
          <w:spacing w:val="0"/>
          <w:w w:val="100"/>
          <w:position w:val="0"/>
        </w:rPr>
        <w:tab/>
        <w:t xml:space="preserve"> ~</w:t>
      </w:r>
      <w:r>
        <w:rPr>
          <w:spacing w:val="0"/>
          <w:w w:val="100"/>
          <w:position w:val="0"/>
        </w:rPr>
        <w:t xml:space="preserve">' </w:t>
      </w:r>
      <w:r>
        <w:rPr>
          <w:spacing w:val="0"/>
          <w:w w:val="100"/>
          <w:position w:val="0"/>
        </w:rPr>
        <w:t>6.9&lt;^~</w:t>
      </w:r>
    </w:p>
    <w:p>
      <w:pPr>
        <w:pStyle w:val="Style25"/>
        <w:keepNext w:val="0"/>
        <w:keepLines w:val="0"/>
        <w:widowControl w:val="0"/>
        <w:shd w:val="clear" w:color="auto" w:fill="auto"/>
        <w:bidi w:val="0"/>
        <w:spacing w:before="0" w:after="280" w:line="403" w:lineRule="exact"/>
        <w:ind w:left="0" w:right="0" w:firstLine="0"/>
        <w:jc w:val="center"/>
        <w:rPr>
          <w:sz w:val="14"/>
          <w:szCs w:val="14"/>
        </w:rPr>
      </w:pPr>
      <w:r>
        <w:rPr>
          <w:rFonts w:ascii="Arial" w:eastAsia="Arial" w:hAnsi="Arial" w:cs="Arial"/>
          <w:b/>
          <w:bCs/>
          <w:color w:val="8A8A8A"/>
          <w:spacing w:val="0"/>
          <w:w w:val="100"/>
          <w:position w:val="0"/>
          <w:sz w:val="12"/>
          <w:szCs w:val="12"/>
        </w:rPr>
        <w:t>4UKM</w:t>
      </w:r>
      <w:r>
        <w:rPr>
          <w:rFonts w:ascii="SimHei" w:eastAsia="SimHei" w:hAnsi="SimHei" w:cs="SimHei"/>
          <w:color w:val="8A8A8A"/>
          <w:spacing w:val="0"/>
          <w:w w:val="100"/>
          <w:position w:val="0"/>
          <w:sz w:val="14"/>
          <w:szCs w:val="14"/>
        </w:rPr>
        <w:t>及皆产妹曾传耳</w:t>
      </w:r>
      <w:r>
        <w:rPr>
          <w:rFonts w:ascii="Arial" w:eastAsia="Arial" w:hAnsi="Arial" w:cs="Arial"/>
          <w:b/>
          <w:bCs/>
          <w:color w:val="8A8A8A"/>
          <w:spacing w:val="0"/>
          <w:w w:val="100"/>
          <w:position w:val="0"/>
          <w:sz w:val="12"/>
          <w:szCs w:val="12"/>
        </w:rPr>
        <w:t>fi</w:t>
      </w:r>
      <w:r>
        <w:rPr>
          <w:rFonts w:ascii="SimHei" w:eastAsia="SimHei" w:hAnsi="SimHei" w:cs="SimHei"/>
          <w:color w:val="8A8A8A"/>
          <w:spacing w:val="0"/>
          <w:w w:val="100"/>
          <w:position w:val="0"/>
          <w:sz w:val="14"/>
          <w:szCs w:val="14"/>
        </w:rPr>
        <w:t>限公可</w:t>
      </w:r>
    </w:p>
    <w:p>
      <w:pPr>
        <w:pStyle w:val="Style49"/>
        <w:keepNext w:val="0"/>
        <w:keepLines w:val="0"/>
        <w:widowControl w:val="0"/>
        <w:pBdr>
          <w:bottom w:val="single" w:sz="4" w:space="0" w:color="auto"/>
        </w:pBdr>
        <w:shd w:val="clear" w:color="auto" w:fill="auto"/>
        <w:bidi w:val="0"/>
        <w:spacing w:before="0" w:after="0" w:line="703" w:lineRule="auto"/>
        <w:ind w:left="0" w:right="0" w:firstLine="0"/>
        <w:jc w:val="center"/>
      </w:pPr>
      <w:r>
        <w:rPr>
          <w:spacing w:val="0"/>
          <w:w w:val="100"/>
          <w:position w:val="0"/>
        </w:rPr>
        <w:t>100.00*</w:t>
      </w:r>
    </w:p>
    <w:p>
      <w:pPr>
        <w:pStyle w:val="Style49"/>
        <w:keepNext w:val="0"/>
        <w:keepLines w:val="0"/>
        <w:widowControl w:val="0"/>
        <w:shd w:val="clear" w:color="auto" w:fill="auto"/>
        <w:bidi w:val="0"/>
        <w:spacing w:before="0" w:after="280"/>
        <w:ind w:left="0" w:right="0" w:firstLine="0"/>
        <w:jc w:val="center"/>
      </w:pPr>
      <w:r>
        <w:rPr>
          <w:rFonts w:ascii="SimHei" w:eastAsia="SimHei" w:hAnsi="SimHei" w:cs="SimHei"/>
          <w:b w:val="0"/>
          <w:bCs w:val="0"/>
          <w:spacing w:val="0"/>
          <w:w w:val="100"/>
          <w:position w:val="0"/>
          <w:sz w:val="14"/>
          <w:szCs w:val="14"/>
        </w:rPr>
        <w:t>重发纹发域</w:t>
      </w:r>
      <w:r>
        <w:rPr>
          <w:rFonts w:ascii="SimSun" w:eastAsia="SimSun" w:hAnsi="SimSun" w:cs="SimSun"/>
          <w:spacing w:val="0"/>
          <w:w w:val="100"/>
          <w:position w:val="0"/>
          <w:sz w:val="14"/>
          <w:szCs w:val="14"/>
        </w:rPr>
        <w:t>，</w:t>
      </w:r>
      <w:r>
        <w:rPr>
          <w:spacing w:val="0"/>
          <w:w w:val="100"/>
          <w:position w:val="0"/>
        </w:rPr>
        <w:t>1ii£i9AIKAm</w:t>
      </w:r>
    </w:p>
    <w:p>
      <w:pPr>
        <w:pStyle w:val="Style49"/>
        <w:keepNext w:val="0"/>
        <w:keepLines w:val="0"/>
        <w:widowControl w:val="0"/>
        <w:shd w:val="clear" w:color="auto" w:fill="auto"/>
        <w:bidi w:val="0"/>
        <w:spacing w:before="0" w:after="80" w:line="240" w:lineRule="auto"/>
        <w:ind w:left="0" w:right="0" w:firstLine="0"/>
        <w:jc w:val="center"/>
      </w:pPr>
      <w:r>
        <w:rPr>
          <w:spacing w:val="0"/>
          <w:w w:val="100"/>
          <w:position w:val="0"/>
        </w:rPr>
        <w:t>10^9*</w:t>
      </w:r>
    </w:p>
    <w:p>
      <w:pPr>
        <w:pStyle w:val="Style25"/>
        <w:keepNext w:val="0"/>
        <w:keepLines w:val="0"/>
        <w:widowControl w:val="0"/>
        <w:shd w:val="clear" w:color="auto" w:fill="auto"/>
        <w:bidi w:val="0"/>
        <w:spacing w:before="0" w:after="1080" w:line="240" w:lineRule="auto"/>
        <w:ind w:left="0" w:right="0" w:firstLine="0"/>
        <w:jc w:val="center"/>
        <w:rPr>
          <w:sz w:val="12"/>
          <w:szCs w:val="12"/>
        </w:rPr>
      </w:pPr>
      <w:r>
        <w:rPr>
          <w:rFonts w:ascii="SimHei" w:eastAsia="SimHei" w:hAnsi="SimHei" w:cs="SimHei"/>
          <w:color w:val="8A8A8A"/>
          <w:spacing w:val="0"/>
          <w:w w:val="100"/>
          <w:position w:val="0"/>
          <w:sz w:val="14"/>
          <w:szCs w:val="14"/>
        </w:rPr>
        <w:t>探圳市息也</w:t>
      </w:r>
      <w:r>
        <w:rPr>
          <w:rFonts w:ascii="Arial" w:eastAsia="Arial" w:hAnsi="Arial" w:cs="Arial"/>
          <w:b/>
          <w:bCs/>
          <w:color w:val="8A8A8A"/>
          <w:spacing w:val="0"/>
          <w:w w:val="100"/>
          <w:position w:val="0"/>
          <w:sz w:val="12"/>
          <w:szCs w:val="12"/>
        </w:rPr>
        <w:t>CigH</w:t>
      </w:r>
      <w:r>
        <w:rPr>
          <w:rFonts w:ascii="SimHei" w:eastAsia="SimHei" w:hAnsi="SimHei" w:cs="SimHei"/>
          <w:color w:val="8A8A8A"/>
          <w:spacing w:val="0"/>
          <w:w w:val="100"/>
          <w:position w:val="0"/>
          <w:sz w:val="14"/>
          <w:szCs w:val="14"/>
        </w:rPr>
        <w:t>技</w:t>
      </w:r>
      <w:r>
        <w:rPr>
          <w:rFonts w:ascii="Arial" w:eastAsia="Arial" w:hAnsi="Arial" w:cs="Arial"/>
          <w:b/>
          <w:bCs/>
          <w:color w:val="8A8A8A"/>
          <w:spacing w:val="0"/>
          <w:w w:val="100"/>
          <w:position w:val="0"/>
          <w:sz w:val="12"/>
          <w:szCs w:val="12"/>
        </w:rPr>
        <w:t>Bi</w:t>
      </w:r>
      <w:r>
        <w:rPr>
          <w:rFonts w:ascii="SimHei" w:eastAsia="SimHei" w:hAnsi="SimHei" w:cs="SimHei"/>
          <w:color w:val="8A8A8A"/>
          <w:spacing w:val="0"/>
          <w:w w:val="100"/>
          <w:position w:val="0"/>
          <w:sz w:val="14"/>
          <w:szCs w:val="14"/>
        </w:rPr>
        <w:t>价有</w:t>
      </w:r>
      <w:r>
        <w:rPr>
          <w:rFonts w:ascii="Arial" w:eastAsia="Arial" w:hAnsi="Arial" w:cs="Arial"/>
          <w:b/>
          <w:bCs/>
          <w:color w:val="8A8A8A"/>
          <w:spacing w:val="0"/>
          <w:w w:val="100"/>
          <w:position w:val="0"/>
          <w:sz w:val="12"/>
          <w:szCs w:val="12"/>
        </w:rPr>
        <w:t>Hi</w:t>
      </w:r>
      <w:r>
        <w:rPr>
          <w:rFonts w:ascii="SimHei" w:eastAsia="SimHei" w:hAnsi="SimHei" w:cs="SimHei"/>
          <w:color w:val="8A8A8A"/>
          <w:spacing w:val="0"/>
          <w:w w:val="100"/>
          <w:position w:val="0"/>
          <w:sz w:val="14"/>
          <w:szCs w:val="14"/>
        </w:rPr>
        <w:t>公司</w:t>
      </w:r>
      <w:r>
        <w:rPr>
          <w:rFonts w:ascii="Arial" w:eastAsia="Arial" w:hAnsi="Arial" w:cs="Arial"/>
          <w:b/>
          <w:bCs/>
          <w:color w:val="B3B3B3"/>
          <w:spacing w:val="0"/>
          <w:w w:val="100"/>
          <w:position w:val="0"/>
          <w:sz w:val="12"/>
          <w:szCs w:val="12"/>
        </w:rPr>
        <w:t>I</w:t>
      </w:r>
    </w:p>
    <w:p>
      <w:pPr>
        <w:pStyle w:val="Style2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0"/>
      <w:bookmarkEnd w:id="641"/>
      <w:bookmarkEnd w:id="643"/>
    </w:p>
    <w:p>
      <w:pPr>
        <w:pStyle w:val="Style23"/>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4"/>
      <w:bookmarkEnd w:id="645"/>
      <w:bookmarkEnd w:id="647"/>
    </w:p>
    <w:p>
      <w:pPr>
        <w:pStyle w:val="Style23"/>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w:t>
        <w:tab/>
        <w:t>控股股东、实际控制人、重组方及其他承诺主体股份限制减持情况</w:t>
      </w:r>
      <w:bookmarkEnd w:id="648"/>
      <w:bookmarkEnd w:id="649"/>
      <w:bookmarkEnd w:id="651"/>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绿发城建于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日就关于维持公司控制权稳定性事项出具了承诺函，主要内容如下：</w:t>
      </w:r>
      <w:r>
        <w:rPr>
          <w:rFonts w:ascii="Times New Roman" w:eastAsia="Times New Roman" w:hAnsi="Times New Roman" w:cs="Times New Roman"/>
          <w:color w:val="000000"/>
          <w:spacing w:val="0"/>
          <w:w w:val="100"/>
          <w:position w:val="0"/>
        </w:rPr>
        <w:t>“</w:t>
      </w:r>
      <w:r>
        <w:rPr>
          <w:color w:val="000000"/>
          <w:spacing w:val="0"/>
          <w:w w:val="100"/>
          <w:position w:val="0"/>
        </w:rPr>
        <w:t>本公司作为深圳市惠程信 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上市公司</w:t>
      </w:r>
      <w:r>
        <w:rPr>
          <w:rFonts w:ascii="Times New Roman" w:eastAsia="Times New Roman" w:hAnsi="Times New Roman" w:cs="Times New Roman"/>
          <w:color w:val="000000"/>
          <w:spacing w:val="0"/>
          <w:w w:val="100"/>
          <w:position w:val="0"/>
        </w:rPr>
        <w:t>”</w:t>
      </w:r>
      <w:r>
        <w:rPr>
          <w:color w:val="000000"/>
          <w:spacing w:val="0"/>
          <w:w w:val="100"/>
          <w:position w:val="0"/>
        </w:rPr>
        <w:t>）第一大股东，承诺自本承诺函出具之日起</w:t>
      </w:r>
      <w:r>
        <w:rPr>
          <w:rFonts w:ascii="Times New Roman" w:eastAsia="Times New Roman" w:hAnsi="Times New Roman" w:cs="Times New Roman"/>
          <w:color w:val="000000"/>
          <w:spacing w:val="0"/>
          <w:w w:val="100"/>
          <w:position w:val="0"/>
        </w:rPr>
        <w:t>18</w:t>
      </w:r>
      <w:r>
        <w:rPr>
          <w:color w:val="000000"/>
          <w:spacing w:val="0"/>
          <w:w w:val="100"/>
          <w:position w:val="0"/>
        </w:rPr>
        <w:t>个月内，采用任何形式的合法手段 以维持本公司对上市公司的控制权，包括但不限于：</w:t>
      </w:r>
      <w:r>
        <w:rPr>
          <w:rFonts w:ascii="Times New Roman" w:eastAsia="Times New Roman" w:hAnsi="Times New Roman" w:cs="Times New Roman"/>
          <w:color w:val="000000"/>
          <w:spacing w:val="0"/>
          <w:w w:val="100"/>
          <w:position w:val="0"/>
        </w:rPr>
        <w:t>1.</w:t>
      </w:r>
      <w:r>
        <w:rPr>
          <w:color w:val="000000"/>
          <w:spacing w:val="0"/>
          <w:w w:val="100"/>
          <w:position w:val="0"/>
        </w:rPr>
        <w:t>不会主动放弃在上市公司董事会及股东大会的提名权、提案权、表决 权等权利（应当回避的除外），不会协助任何其他方增强其在上市公司董事会、股东会的表决权，不会协助任何其他方谋求 上市公司控制权；</w:t>
      </w:r>
      <w:r>
        <w:rPr>
          <w:rFonts w:ascii="Times New Roman" w:eastAsia="Times New Roman" w:hAnsi="Times New Roman" w:cs="Times New Roman"/>
          <w:color w:val="000000"/>
          <w:spacing w:val="0"/>
          <w:w w:val="100"/>
          <w:position w:val="0"/>
        </w:rPr>
        <w:t>2.</w:t>
      </w:r>
      <w:r>
        <w:rPr>
          <w:color w:val="000000"/>
          <w:spacing w:val="0"/>
          <w:w w:val="100"/>
          <w:position w:val="0"/>
        </w:rPr>
        <w:t>本公司不以任何方式转让或减持数量足以影响本公司上市公司控制权的上市公司股份，亦不委托他人管 理本公司所持有的上市公司股份；</w:t>
      </w:r>
      <w:r>
        <w:rPr>
          <w:rFonts w:ascii="Times New Roman" w:eastAsia="Times New Roman" w:hAnsi="Times New Roman" w:cs="Times New Roman"/>
          <w:color w:val="000000"/>
          <w:spacing w:val="0"/>
          <w:w w:val="100"/>
          <w:position w:val="0"/>
        </w:rPr>
        <w:t>3.</w:t>
      </w:r>
      <w:r>
        <w:rPr>
          <w:color w:val="000000"/>
          <w:spacing w:val="0"/>
          <w:w w:val="100"/>
          <w:position w:val="0"/>
        </w:rPr>
        <w:t>如有实际需要，本公司将在符合法律、法规、规章及规范性文件的前提下，通过在二级 市场以集中竞价、大宗交易等方式增持公司股份，或认购公司向特定对象发行的股份，以稳定上市公司控制权。</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目前该承诺正常履行中。</w:t>
      </w:r>
    </w:p>
    <w:p>
      <w:pPr>
        <w:pStyle w:val="Style28"/>
        <w:keepNext/>
        <w:keepLines/>
        <w:widowControl w:val="0"/>
        <w:shd w:val="clear" w:color="auto" w:fill="auto"/>
        <w:bidi w:val="0"/>
        <w:spacing w:before="0" w:after="280" w:line="240" w:lineRule="auto"/>
        <w:ind w:left="0" w:right="0" w:firstLine="0"/>
        <w:jc w:val="both"/>
      </w:pPr>
      <w:bookmarkStart w:id="652" w:name="bookmark652"/>
      <w:bookmarkStart w:id="653" w:name="bookmark653"/>
      <w:bookmarkStart w:id="654" w:name="bookmark654"/>
      <w:bookmarkStart w:id="655" w:name="bookmark655"/>
      <w:r>
        <w:rPr>
          <w:color w:val="000000"/>
          <w:spacing w:val="0"/>
          <w:w w:val="100"/>
          <w:position w:val="0"/>
          <w:sz w:val="24"/>
          <w:szCs w:val="24"/>
        </w:rPr>
        <w:t>四</w:t>
      </w:r>
      <w:bookmarkEnd w:id="654"/>
      <w:r>
        <w:rPr>
          <w:color w:val="000000"/>
          <w:spacing w:val="0"/>
          <w:w w:val="100"/>
          <w:position w:val="0"/>
          <w:sz w:val="24"/>
          <w:szCs w:val="24"/>
        </w:rPr>
        <w:t>、股份回购在报告期的具体实施情况</w:t>
      </w:r>
      <w:bookmarkEnd w:id="652"/>
      <w:bookmarkEnd w:id="653"/>
      <w:bookmarkEnd w:id="655"/>
    </w:p>
    <w:p>
      <w:pPr>
        <w:pStyle w:val="Style2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股份回购的实施进展情况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715"/>
        <w:gridCol w:w="1421"/>
        <w:gridCol w:w="850"/>
        <w:gridCol w:w="1560"/>
        <w:gridCol w:w="1560"/>
        <w:gridCol w:w="706"/>
        <w:gridCol w:w="994"/>
        <w:gridCol w:w="1781"/>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方案披 露时间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拟回购股份数量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占总股本 的比例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拟回购金额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拟回购期间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回购用 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已回购数量</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已回购数量占股权激 励计划所涉及的标的 股票的比例（如有）</w:t>
            </w:r>
          </w:p>
        </w:tc>
      </w:tr>
    </w:tbl>
    <w:p>
      <w:pPr>
        <w:spacing w:lineRule="exact" w:line="1"/>
        <w:rPr>
          <w:sz w:val="2"/>
          <w:szCs w:val="2"/>
        </w:rPr>
      </w:pPr>
      <w:r>
        <w:br w:type="page"/>
      </w:r>
    </w:p>
    <w:tbl>
      <w:tblPr>
        <w:tblOverlap w:val="never"/>
        <w:jc w:val="center"/>
        <w:tblLayout w:type="fixed"/>
      </w:tblPr>
      <w:tblGrid>
        <w:gridCol w:w="715"/>
        <w:gridCol w:w="1421"/>
        <w:gridCol w:w="850"/>
        <w:gridCol w:w="1560"/>
        <w:gridCol w:w="1560"/>
        <w:gridCol w:w="706"/>
        <w:gridCol w:w="994"/>
        <w:gridCol w:w="1781"/>
      </w:tblGrid>
      <w:tr>
        <w:trPr>
          <w:trHeight w:val="29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回购价格不超过 </w:t>
            </w:r>
            <w:r>
              <w:rPr>
                <w:color w:val="000000"/>
                <w:spacing w:val="0"/>
                <w:w w:val="100"/>
                <w:position w:val="0"/>
              </w:rPr>
              <w:t>15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股，具体回 购数量以回购期 满时实际回购的 股份数量为准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不低于人民币</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10,000</w:t>
            </w:r>
            <w:r>
              <w:rPr>
                <w:rFonts w:ascii="SimSun" w:eastAsia="SimSun" w:hAnsi="SimSun" w:cs="SimSun"/>
                <w:color w:val="000000"/>
                <w:spacing w:val="0"/>
                <w:w w:val="100"/>
                <w:position w:val="0"/>
              </w:rPr>
              <w:t xml:space="preserve">万元（含） 且不超过人民币 </w:t>
            </w:r>
            <w:r>
              <w:rPr>
                <w:color w:val="000000"/>
                <w:spacing w:val="0"/>
                <w:w w:val="100"/>
                <w:position w:val="0"/>
              </w:rPr>
              <w:t>15,000</w:t>
            </w:r>
            <w:r>
              <w:rPr>
                <w:rFonts w:ascii="SimSun" w:eastAsia="SimSun" w:hAnsi="SimSun" w:cs="SimSun"/>
                <w:color w:val="000000"/>
                <w:spacing w:val="0"/>
                <w:w w:val="100"/>
                <w:position w:val="0"/>
              </w:rPr>
              <w:t>万元（含）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本次回 购股份 全部用 于公司 股权激 励计划 或员工 持股计 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17,766,200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311.69%</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126" w:bottom="1609"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1" name="Shape 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v:textbox>
                <w10:wrap type="topAndBottom" anchorx="page"/>
              </v:shape>
            </w:pict>
          </mc:Fallback>
        </mc:AlternateContent>
      </w:r>
    </w:p>
    <w:p>
      <w:pPr>
        <w:pStyle w:val="Style23"/>
        <w:keepNext w:val="0"/>
        <w:keepLines w:val="0"/>
        <w:widowControl w:val="0"/>
        <w:shd w:val="clear" w:color="auto" w:fill="auto"/>
        <w:bidi w:val="0"/>
        <w:spacing w:before="0" w:after="120" w:line="240" w:lineRule="auto"/>
        <w:ind w:left="0" w:right="0" w:firstLine="0"/>
        <w:jc w:val="left"/>
      </w:pPr>
      <w:bookmarkStart w:id="659" w:name="bookmark65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59"/>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0" w:after="560" w:line="240" w:lineRule="auto"/>
        <w:ind w:left="0" w:right="0" w:firstLine="0"/>
        <w:jc w:val="center"/>
      </w:pPr>
      <w:bookmarkStart w:id="660" w:name="bookmark660"/>
      <w:bookmarkStart w:id="661" w:name="bookmark661"/>
      <w:bookmarkStart w:id="662" w:name="bookmark662"/>
      <w:r>
        <w:rPr>
          <w:color w:val="000000"/>
          <w:spacing w:val="0"/>
          <w:w w:val="100"/>
          <w:position w:val="0"/>
        </w:rPr>
        <w:t>第九节债券相关情况</w:t>
      </w:r>
      <w:bookmarkEnd w:id="660"/>
      <w:bookmarkEnd w:id="661"/>
      <w:bookmarkEnd w:id="662"/>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bookmarkStart w:id="663" w:name="bookmark66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3"/>
    </w:p>
    <w:p>
      <w:pPr>
        <w:pStyle w:val="Style15"/>
        <w:keepNext/>
        <w:keepLines/>
        <w:widowControl w:val="0"/>
        <w:shd w:val="clear" w:color="auto" w:fill="auto"/>
        <w:bidi w:val="0"/>
        <w:spacing w:before="560" w:after="520" w:line="240" w:lineRule="auto"/>
        <w:ind w:left="0" w:right="0" w:firstLine="0"/>
        <w:jc w:val="center"/>
      </w:pPr>
      <w:bookmarkStart w:id="664" w:name="bookmark664"/>
      <w:bookmarkStart w:id="665" w:name="bookmark665"/>
      <w:bookmarkStart w:id="666" w:name="bookmark666"/>
      <w:r>
        <w:rPr>
          <w:color w:val="000000"/>
          <w:spacing w:val="0"/>
          <w:w w:val="100"/>
          <w:position w:val="0"/>
        </w:rPr>
        <w:t>第十节财务报告</w:t>
      </w:r>
      <w:bookmarkEnd w:id="664"/>
      <w:bookmarkEnd w:id="665"/>
      <w:bookmarkEnd w:id="666"/>
    </w:p>
    <w:p>
      <w:pPr>
        <w:pStyle w:val="Style28"/>
        <w:keepNext/>
        <w:keepLines/>
        <w:widowControl w:val="0"/>
        <w:shd w:val="clear" w:color="auto" w:fill="auto"/>
        <w:bidi w:val="0"/>
        <w:spacing w:before="0" w:after="300" w:line="240" w:lineRule="auto"/>
        <w:ind w:left="0" w:right="0" w:firstLine="0"/>
        <w:jc w:val="left"/>
      </w:pPr>
      <w:bookmarkStart w:id="667" w:name="bookmark667"/>
      <w:bookmarkStart w:id="668" w:name="bookmark668"/>
      <w:bookmarkStart w:id="669" w:name="bookmark669"/>
      <w:bookmarkStart w:id="670" w:name="bookmark670"/>
      <w:bookmarkStart w:id="671" w:name="bookmark671"/>
      <w:r>
        <w:rPr>
          <w:color w:val="000000"/>
          <w:spacing w:val="0"/>
          <w:w w:val="100"/>
          <w:position w:val="0"/>
          <w:sz w:val="24"/>
          <w:szCs w:val="24"/>
        </w:rPr>
        <w:t>一</w:t>
      </w:r>
      <w:bookmarkEnd w:id="670"/>
      <w:r>
        <w:rPr>
          <w:color w:val="000000"/>
          <w:spacing w:val="0"/>
          <w:w w:val="100"/>
          <w:position w:val="0"/>
          <w:sz w:val="24"/>
          <w:szCs w:val="24"/>
        </w:rPr>
        <w:t>、审计报告</w:t>
      </w:r>
      <w:bookmarkEnd w:id="668"/>
      <w:bookmarkEnd w:id="669"/>
      <w:bookmarkEnd w:id="671"/>
      <w:bookmarkEnd w:id="6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11-00045</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蔡瑜、李敏</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3"/>
        <w:keepNext w:val="0"/>
        <w:keepLines w:val="0"/>
        <w:widowControl w:val="0"/>
        <w:shd w:val="clear" w:color="auto" w:fill="auto"/>
        <w:bidi w:val="0"/>
        <w:spacing w:before="0" w:after="100" w:line="314" w:lineRule="exact"/>
        <w:ind w:left="0" w:right="0" w:firstLine="0"/>
        <w:jc w:val="left"/>
      </w:pPr>
      <w:r>
        <w:rPr>
          <w:b/>
          <w:bCs/>
          <w:color w:val="000000"/>
          <w:spacing w:val="0"/>
          <w:w w:val="100"/>
          <w:position w:val="0"/>
        </w:rPr>
        <w:t>深圳市惠程信息科技股份有限公司全体股东：</w:t>
      </w:r>
    </w:p>
    <w:p>
      <w:pPr>
        <w:pStyle w:val="Style23"/>
        <w:keepNext w:val="0"/>
        <w:keepLines w:val="0"/>
        <w:widowControl w:val="0"/>
        <w:shd w:val="clear" w:color="auto" w:fill="auto"/>
        <w:bidi w:val="0"/>
        <w:spacing w:before="0" w:after="0" w:line="313" w:lineRule="exact"/>
        <w:ind w:left="0" w:right="0"/>
        <w:jc w:val="both"/>
      </w:pPr>
      <w:bookmarkStart w:id="672" w:name="bookmark672"/>
      <w:r>
        <w:rPr>
          <w:b/>
          <w:bCs/>
          <w:color w:val="000000"/>
          <w:spacing w:val="0"/>
          <w:w w:val="100"/>
          <w:position w:val="0"/>
        </w:rPr>
        <w:t>一</w:t>
      </w:r>
      <w:bookmarkEnd w:id="672"/>
      <w:r>
        <w:rPr>
          <w:b/>
          <w:bCs/>
          <w:color w:val="000000"/>
          <w:spacing w:val="0"/>
          <w:w w:val="100"/>
          <w:position w:val="0"/>
        </w:rPr>
        <w:t>、保留意见</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我们审计了深圳市惠程信息科技股份有限公司（以下简称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年度的合并及母公司利润表、合并及母公司现金流量表、合并及母公司股东权益变动表，以及财务报表附 注。</w:t>
      </w:r>
    </w:p>
    <w:p>
      <w:pPr>
        <w:pStyle w:val="Style23"/>
        <w:keepNext w:val="0"/>
        <w:keepLines w:val="0"/>
        <w:widowControl w:val="0"/>
        <w:shd w:val="clear" w:color="auto" w:fill="auto"/>
        <w:bidi w:val="0"/>
        <w:spacing w:before="0" w:after="300" w:line="313" w:lineRule="exact"/>
        <w:ind w:left="0" w:right="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部分所述事项产生的影响外，后附的财务报表在所有重大方面按照企业会计准则的 规定编制，公允反映了贵公司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年度的合并及母公司的经营成果和现金流 量。</w:t>
      </w:r>
    </w:p>
    <w:p>
      <w:pPr>
        <w:pStyle w:val="Style23"/>
        <w:keepNext w:val="0"/>
        <w:keepLines w:val="0"/>
        <w:widowControl w:val="0"/>
        <w:shd w:val="clear" w:color="auto" w:fill="auto"/>
        <w:tabs>
          <w:tab w:pos="891" w:val="left"/>
        </w:tabs>
        <w:bidi w:val="0"/>
        <w:spacing w:before="0" w:after="0" w:line="314" w:lineRule="exact"/>
        <w:ind w:left="0" w:right="0" w:firstLine="460"/>
        <w:jc w:val="both"/>
      </w:pPr>
      <w:bookmarkStart w:id="673" w:name="bookmark673"/>
      <w:r>
        <w:rPr>
          <w:b/>
          <w:bCs/>
          <w:color w:val="000000"/>
          <w:spacing w:val="0"/>
          <w:w w:val="100"/>
          <w:position w:val="0"/>
        </w:rPr>
        <w:t>二</w:t>
      </w:r>
      <w:bookmarkEnd w:id="673"/>
      <w:r>
        <w:rPr>
          <w:b/>
          <w:bCs/>
          <w:color w:val="000000"/>
          <w:spacing w:val="0"/>
          <w:w w:val="100"/>
          <w:position w:val="0"/>
        </w:rPr>
        <w:t>、</w:t>
        <w:tab/>
        <w:t>形成保留意见的基础</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如财务报表附注</w:t>
      </w:r>
      <w:r>
        <w:rPr>
          <w:rFonts w:ascii="Times New Roman" w:eastAsia="Times New Roman" w:hAnsi="Times New Roman" w:cs="Times New Roman"/>
          <w:color w:val="000000"/>
          <w:spacing w:val="0"/>
          <w:w w:val="100"/>
          <w:position w:val="0"/>
        </w:rPr>
        <w:t>“</w:t>
      </w:r>
      <w:r>
        <w:rPr>
          <w:color w:val="000000"/>
          <w:spacing w:val="0"/>
          <w:w w:val="100"/>
          <w:position w:val="0"/>
        </w:rPr>
        <w:t>十四、（一）前期会计差错更正</w:t>
      </w:r>
      <w:r>
        <w:rPr>
          <w:rFonts w:ascii="Times New Roman" w:eastAsia="Times New Roman" w:hAnsi="Times New Roman" w:cs="Times New Roman"/>
          <w:color w:val="000000"/>
          <w:spacing w:val="0"/>
          <w:w w:val="100"/>
          <w:position w:val="0"/>
        </w:rPr>
        <w:t>”</w:t>
      </w:r>
      <w:r>
        <w:rPr>
          <w:color w:val="000000"/>
          <w:spacing w:val="0"/>
          <w:w w:val="100"/>
          <w:position w:val="0"/>
        </w:rPr>
        <w:t>所述，贵公司对前期相关事项进行差错更正并追溯重述了财务报表， 更正内容主要为</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年度审计报告保留意见所涉事项，包括：预付游戏推广费、应付游戏分成款、商誉减值和购买子公司少 数股权。我们对更正事项进行了审计，除应付游戏分成款外，其他更正事项未能获取充分适当的审计证据，其中：</w:t>
      </w:r>
    </w:p>
    <w:p>
      <w:pPr>
        <w:pStyle w:val="Style23"/>
        <w:keepNext w:val="0"/>
        <w:keepLines w:val="0"/>
        <w:widowControl w:val="0"/>
        <w:shd w:val="clear" w:color="auto" w:fill="auto"/>
        <w:tabs>
          <w:tab w:pos="891" w:val="left"/>
        </w:tabs>
        <w:bidi w:val="0"/>
        <w:spacing w:before="0" w:after="0" w:line="314" w:lineRule="exact"/>
        <w:ind w:left="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针对预付游戏推广费，我们以更正后的数据，实施了获取贵公司与供应商的对账单、向供应商进行函证、访谈等 审计程序，但多数供应商未予确认对账单金额，也未回函或者回函不符，我们无法判断该等差错更正的恰当性，以及对前期 和本期财务报表的影响。</w:t>
      </w:r>
    </w:p>
    <w:p>
      <w:pPr>
        <w:pStyle w:val="Style23"/>
        <w:keepNext w:val="0"/>
        <w:keepLines w:val="0"/>
        <w:widowControl w:val="0"/>
        <w:shd w:val="clear" w:color="auto" w:fill="auto"/>
        <w:tabs>
          <w:tab w:pos="891" w:val="left"/>
        </w:tabs>
        <w:bidi w:val="0"/>
        <w:spacing w:before="0" w:after="0" w:line="314" w:lineRule="exact"/>
        <w:ind w:left="0" w:right="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针对商誉减值，贵公司基于预付游戏推广费更正计入相关会计期间后，重新对商誉减值进行了测试，并调整更正 了前期商誉减值金额。由于受前述预付游戏推广费差错更正恰当性的影响，我们无法判断商誉更正的合理性，以及对前期和 本期财务报表的影响。</w:t>
      </w:r>
    </w:p>
    <w:p>
      <w:pPr>
        <w:pStyle w:val="Style23"/>
        <w:keepNext w:val="0"/>
        <w:keepLines w:val="0"/>
        <w:widowControl w:val="0"/>
        <w:shd w:val="clear" w:color="auto" w:fill="auto"/>
        <w:tabs>
          <w:tab w:pos="891" w:val="left"/>
        </w:tabs>
        <w:bidi w:val="0"/>
        <w:spacing w:before="0" w:after="0" w:line="314" w:lineRule="exact"/>
        <w:ind w:left="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针对购买子公司少数股权，贵公司在</w:t>
      </w:r>
      <w:r>
        <w:rPr>
          <w:rFonts w:ascii="Times New Roman" w:eastAsia="Times New Roman" w:hAnsi="Times New Roman" w:cs="Times New Roman"/>
          <w:color w:val="000000"/>
          <w:spacing w:val="0"/>
          <w:w w:val="100"/>
          <w:position w:val="0"/>
        </w:rPr>
        <w:t>2022</w:t>
      </w:r>
      <w:r>
        <w:rPr>
          <w:color w:val="000000"/>
          <w:spacing w:val="0"/>
          <w:w w:val="100"/>
          <w:position w:val="0"/>
        </w:rPr>
        <w:t>年与交易对手实际控制人汪劲松达成协议，约定退回股权转让款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.11</w:t>
      </w:r>
      <w:r>
        <w:rPr>
          <w:color w:val="000000"/>
          <w:spacing w:val="0"/>
          <w:w w:val="100"/>
          <w:position w:val="0"/>
        </w:rPr>
        <w:t>亿 元，相应更正</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年度财务报表。我们实施了访谈、函证等程序，但无法判断该应收款项的可收回性。</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阐述了我们在这些准则下的责任。按照中国注册会计师职业道德守则，我们独立于贵公司，并履行了职业道德方面的其他责 任。</w:t>
      </w:r>
    </w:p>
    <w:p>
      <w:pPr>
        <w:pStyle w:val="Style23"/>
        <w:keepNext w:val="0"/>
        <w:keepLines w:val="0"/>
        <w:widowControl w:val="0"/>
        <w:shd w:val="clear" w:color="auto" w:fill="auto"/>
        <w:bidi w:val="0"/>
        <w:spacing w:before="0" w:after="300" w:line="314" w:lineRule="exact"/>
        <w:ind w:left="0" w:right="0"/>
        <w:jc w:val="both"/>
      </w:pPr>
      <w:r>
        <w:rPr>
          <w:color w:val="000000"/>
          <w:spacing w:val="0"/>
          <w:w w:val="100"/>
          <w:position w:val="0"/>
        </w:rPr>
        <w:t>我们相信，我们获取的审计证据是充分、适当的，为发表保留意见提供了基础。</w:t>
      </w:r>
    </w:p>
    <w:p>
      <w:pPr>
        <w:pStyle w:val="Style23"/>
        <w:keepNext w:val="0"/>
        <w:keepLines w:val="0"/>
        <w:widowControl w:val="0"/>
        <w:shd w:val="clear" w:color="auto" w:fill="auto"/>
        <w:tabs>
          <w:tab w:pos="891" w:val="left"/>
        </w:tabs>
        <w:bidi w:val="0"/>
        <w:spacing w:before="0" w:after="0" w:line="317" w:lineRule="exact"/>
        <w:ind w:left="0" w:right="0" w:firstLine="460"/>
        <w:jc w:val="both"/>
      </w:pPr>
      <w:bookmarkStart w:id="677" w:name="bookmark677"/>
      <w:r>
        <w:rPr>
          <w:b/>
          <w:bCs/>
          <w:color w:val="000000"/>
          <w:spacing w:val="0"/>
          <w:w w:val="100"/>
          <w:position w:val="0"/>
        </w:rPr>
        <w:t>三</w:t>
      </w:r>
      <w:bookmarkEnd w:id="677"/>
      <w:r>
        <w:rPr>
          <w:b/>
          <w:bCs/>
          <w:color w:val="000000"/>
          <w:spacing w:val="0"/>
          <w:w w:val="100"/>
          <w:position w:val="0"/>
        </w:rPr>
        <w:t>、</w:t>
        <w:tab/>
        <w:t>其他信息</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 报表和我们的审计报告。</w:t>
      </w:r>
    </w:p>
    <w:p>
      <w:pPr>
        <w:pStyle w:val="Style23"/>
        <w:keepNext w:val="0"/>
        <w:keepLines w:val="0"/>
        <w:widowControl w:val="0"/>
        <w:shd w:val="clear" w:color="auto" w:fill="auto"/>
        <w:bidi w:val="0"/>
        <w:spacing w:before="0" w:after="300" w:line="317" w:lineRule="exact"/>
        <w:ind w:left="0" w:right="0"/>
        <w:jc w:val="both"/>
      </w:pPr>
      <w:r>
        <w:rPr>
          <w:color w:val="000000"/>
          <w:spacing w:val="0"/>
          <w:w w:val="100"/>
          <w:position w:val="0"/>
        </w:rPr>
        <w:t>我们对财务报表发表的审计意见并不涵盖其他信息，我们也不对其他信息发表任何形式的鉴证结论。</w:t>
      </w:r>
    </w:p>
    <w:p>
      <w:pPr>
        <w:pStyle w:val="Style23"/>
        <w:keepNext w:val="0"/>
        <w:keepLines w:val="0"/>
        <w:widowControl w:val="0"/>
        <w:shd w:val="clear" w:color="auto" w:fill="auto"/>
        <w:bidi w:val="0"/>
        <w:spacing w:before="0" w:after="0" w:line="315" w:lineRule="exact"/>
        <w:ind w:left="0" w:right="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3"/>
        <w:keepNext w:val="0"/>
        <w:keepLines w:val="0"/>
        <w:widowControl w:val="0"/>
        <w:shd w:val="clear" w:color="auto" w:fill="auto"/>
        <w:bidi w:val="0"/>
        <w:spacing w:before="0" w:after="300" w:line="315" w:lineRule="exact"/>
        <w:ind w:left="0" w:right="0"/>
        <w:jc w:val="left"/>
      </w:pPr>
      <w:r>
        <w:rPr>
          <w:color w:val="000000"/>
          <w:spacing w:val="0"/>
          <w:w w:val="100"/>
          <w:position w:val="0"/>
        </w:rPr>
        <w:t>基于我们已执行的工作，如果我们确定其他信息存在重大错报，我们应当报告该事实。如上述</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部分所述，我们无法就贵公司重大前期会计差错更正事项获取充分、适当的审计证据。因此，我们无法确定与该事项相关的 其他信息是否存在重大错报。</w:t>
      </w:r>
    </w:p>
    <w:p>
      <w:pPr>
        <w:pStyle w:val="Style23"/>
        <w:keepNext w:val="0"/>
        <w:keepLines w:val="0"/>
        <w:widowControl w:val="0"/>
        <w:shd w:val="clear" w:color="auto" w:fill="auto"/>
        <w:tabs>
          <w:tab w:pos="866" w:val="left"/>
        </w:tabs>
        <w:bidi w:val="0"/>
        <w:spacing w:before="0" w:after="0" w:line="319" w:lineRule="exact"/>
        <w:ind w:left="0" w:right="0" w:firstLine="440"/>
        <w:jc w:val="left"/>
      </w:pPr>
      <w:bookmarkStart w:id="678" w:name="bookmark678"/>
      <w:r>
        <w:rPr>
          <w:b/>
          <w:bCs/>
          <w:color w:val="000000"/>
          <w:spacing w:val="0"/>
          <w:w w:val="100"/>
          <w:position w:val="0"/>
        </w:rPr>
        <w:t>四</w:t>
      </w:r>
      <w:bookmarkEnd w:id="678"/>
      <w:r>
        <w:rPr>
          <w:b/>
          <w:bCs/>
          <w:color w:val="000000"/>
          <w:spacing w:val="0"/>
          <w:w w:val="100"/>
          <w:position w:val="0"/>
        </w:rPr>
        <w:t>、</w:t>
        <w:tab/>
        <w:t>关键审计事项</w:t>
      </w:r>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部分所述事项外，我们确定下列事 项是需要在审计报告中沟通的关键审计事项。</w:t>
      </w:r>
    </w:p>
    <w:p>
      <w:pPr>
        <w:pStyle w:val="Style23"/>
        <w:keepNext w:val="0"/>
        <w:keepLines w:val="0"/>
        <w:widowControl w:val="0"/>
        <w:shd w:val="clear" w:color="auto" w:fill="auto"/>
        <w:bidi w:val="0"/>
        <w:spacing w:before="0" w:after="100" w:line="319" w:lineRule="exact"/>
        <w:ind w:left="0" w:right="0"/>
        <w:jc w:val="both"/>
      </w:pPr>
      <w:r>
        <w:rPr>
          <w:color w:val="000000"/>
          <w:spacing w:val="0"/>
          <w:w w:val="100"/>
          <w:position w:val="0"/>
        </w:rPr>
        <w:t>游戏收入的确认</w:t>
      </w:r>
    </w:p>
    <w:p>
      <w:pPr>
        <w:pStyle w:val="Style23"/>
        <w:keepNext w:val="0"/>
        <w:keepLines w:val="0"/>
        <w:widowControl w:val="0"/>
        <w:numPr>
          <w:ilvl w:val="0"/>
          <w:numId w:val="35"/>
        </w:numPr>
        <w:shd w:val="clear" w:color="auto" w:fill="auto"/>
        <w:tabs>
          <w:tab w:pos="681" w:val="left"/>
        </w:tabs>
        <w:bidi w:val="0"/>
        <w:spacing w:before="0" w:after="0"/>
        <w:ind w:left="0" w:right="0"/>
        <w:jc w:val="both"/>
      </w:pPr>
      <w:bookmarkStart w:id="679" w:name="bookmark679"/>
      <w:bookmarkEnd w:id="679"/>
      <w:r>
        <w:rPr>
          <w:color w:val="000000"/>
          <w:spacing w:val="0"/>
          <w:w w:val="100"/>
          <w:position w:val="0"/>
        </w:rPr>
        <w:t>事项描述</w:t>
      </w:r>
    </w:p>
    <w:p>
      <w:pPr>
        <w:pStyle w:val="Style23"/>
        <w:keepNext w:val="0"/>
        <w:keepLines w:val="0"/>
        <w:widowControl w:val="0"/>
        <w:shd w:val="clear" w:color="auto" w:fill="auto"/>
        <w:bidi w:val="0"/>
        <w:spacing w:before="0" w:after="100" w:line="319" w:lineRule="exact"/>
        <w:ind w:left="0" w:right="0"/>
        <w:jc w:val="both"/>
      </w:pPr>
      <w:r>
        <w:rPr>
          <w:color w:val="000000"/>
          <w:spacing w:val="0"/>
          <w:w w:val="100"/>
          <w:position w:val="0"/>
        </w:rPr>
        <w:t>贵公司营业收入主要包括游戏收入、电气事业收入和充电桩工程收入。</w:t>
      </w:r>
      <w:r>
        <w:rPr>
          <w:rFonts w:ascii="Times New Roman" w:eastAsia="Times New Roman" w:hAnsi="Times New Roman" w:cs="Times New Roman"/>
          <w:color w:val="000000"/>
          <w:spacing w:val="0"/>
          <w:w w:val="100"/>
          <w:position w:val="0"/>
        </w:rPr>
        <w:t>2021</w:t>
      </w:r>
      <w:r>
        <w:rPr>
          <w:color w:val="000000"/>
          <w:spacing w:val="0"/>
          <w:w w:val="100"/>
          <w:position w:val="0"/>
        </w:rPr>
        <w:t>年度贵公司营业收入合计</w:t>
      </w:r>
      <w:r>
        <w:rPr>
          <w:rFonts w:ascii="Times New Roman" w:eastAsia="Times New Roman" w:hAnsi="Times New Roman" w:cs="Times New Roman"/>
          <w:color w:val="000000"/>
          <w:spacing w:val="0"/>
          <w:w w:val="100"/>
          <w:position w:val="0"/>
        </w:rPr>
        <w:t>32,990.64</w:t>
      </w:r>
      <w:r>
        <w:rPr>
          <w:color w:val="000000"/>
          <w:spacing w:val="0"/>
          <w:w w:val="100"/>
          <w:position w:val="0"/>
        </w:rPr>
        <w:t>万元，其 中游戏收入</w:t>
      </w:r>
      <w:r>
        <w:rPr>
          <w:rFonts w:ascii="Times New Roman" w:eastAsia="Times New Roman" w:hAnsi="Times New Roman" w:cs="Times New Roman"/>
          <w:color w:val="000000"/>
          <w:spacing w:val="0"/>
          <w:w w:val="100"/>
          <w:position w:val="0"/>
        </w:rPr>
        <w:t>13,572.26</w:t>
      </w:r>
      <w:r>
        <w:rPr>
          <w:color w:val="000000"/>
          <w:spacing w:val="0"/>
          <w:w w:val="100"/>
          <w:position w:val="0"/>
        </w:rPr>
        <w:t>万元，占营业收入的比例为</w:t>
      </w:r>
      <w:r>
        <w:rPr>
          <w:rFonts w:ascii="Times New Roman" w:eastAsia="Times New Roman" w:hAnsi="Times New Roman" w:cs="Times New Roman"/>
          <w:color w:val="000000"/>
          <w:spacing w:val="0"/>
          <w:w w:val="100"/>
          <w:position w:val="0"/>
        </w:rPr>
        <w:t>41.14%</w:t>
      </w:r>
      <w:r>
        <w:rPr>
          <w:color w:val="000000"/>
          <w:spacing w:val="0"/>
          <w:w w:val="100"/>
          <w:position w:val="0"/>
        </w:rPr>
        <w:t>。由于游戏收入占比较高且高度依赖信息系统。因此，我们将游戏 收入的确认作为关键审计事项。</w:t>
      </w:r>
    </w:p>
    <w:p>
      <w:pPr>
        <w:pStyle w:val="Style23"/>
        <w:keepNext w:val="0"/>
        <w:keepLines w:val="0"/>
        <w:widowControl w:val="0"/>
        <w:numPr>
          <w:ilvl w:val="0"/>
          <w:numId w:val="35"/>
        </w:numPr>
        <w:shd w:val="clear" w:color="auto" w:fill="auto"/>
        <w:tabs>
          <w:tab w:pos="700" w:val="left"/>
        </w:tabs>
        <w:bidi w:val="0"/>
        <w:spacing w:before="0" w:after="0"/>
        <w:ind w:left="0" w:right="0"/>
        <w:jc w:val="both"/>
      </w:pPr>
      <w:bookmarkStart w:id="680" w:name="bookmark680"/>
      <w:bookmarkEnd w:id="680"/>
      <w:r>
        <w:rPr>
          <w:color w:val="000000"/>
          <w:spacing w:val="0"/>
          <w:w w:val="100"/>
          <w:position w:val="0"/>
        </w:rPr>
        <w:t>审计应对</w:t>
      </w:r>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我们对上述事项的确认实施的审计程序主要包括：</w:t>
      </w:r>
    </w:p>
    <w:p>
      <w:pPr>
        <w:pStyle w:val="Style23"/>
        <w:keepNext w:val="0"/>
        <w:keepLines w:val="0"/>
        <w:widowControl w:val="0"/>
        <w:shd w:val="clear" w:color="auto" w:fill="auto"/>
        <w:tabs>
          <w:tab w:pos="825" w:val="left"/>
        </w:tabs>
        <w:bidi w:val="0"/>
        <w:spacing w:before="0" w:after="0" w:line="319"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了解和评价管理层与游戏收入确认相关的关键内部控制的设计和运行有效性；</w:t>
      </w:r>
    </w:p>
    <w:p>
      <w:pPr>
        <w:pStyle w:val="Style23"/>
        <w:keepNext w:val="0"/>
        <w:keepLines w:val="0"/>
        <w:widowControl w:val="0"/>
        <w:shd w:val="clear" w:color="auto" w:fill="auto"/>
        <w:tabs>
          <w:tab w:pos="901" w:val="left"/>
        </w:tabs>
        <w:bidi w:val="0"/>
        <w:spacing w:before="0" w:after="0" w:line="319"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t>结合游戏的行业特征，区分自主运营、联合运营、授权运营和代理运营分别执行分析性复核程序，判断收入和毛 利率变动的合理性；</w:t>
      </w:r>
    </w:p>
    <w:p>
      <w:pPr>
        <w:pStyle w:val="Style23"/>
        <w:keepNext w:val="0"/>
        <w:keepLines w:val="0"/>
        <w:widowControl w:val="0"/>
        <w:shd w:val="clear" w:color="auto" w:fill="auto"/>
        <w:tabs>
          <w:tab w:pos="906" w:val="left"/>
        </w:tabs>
        <w:bidi w:val="0"/>
        <w:spacing w:before="0" w:after="0" w:line="319"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选取样本，对收入执行细节测试，包括：检查合同、游戏充值消耗流水、销售发票、银行回单以及经双方确认的 对账单与相关流水的匹配，检查收入确认是否与披露的会计政策一致；</w:t>
      </w:r>
    </w:p>
    <w:p>
      <w:pPr>
        <w:pStyle w:val="Style23"/>
        <w:keepNext w:val="0"/>
        <w:keepLines w:val="0"/>
        <w:widowControl w:val="0"/>
        <w:shd w:val="clear" w:color="auto" w:fill="auto"/>
        <w:tabs>
          <w:tab w:pos="886" w:val="left"/>
        </w:tabs>
        <w:bidi w:val="0"/>
        <w:spacing w:before="0" w:after="0" w:line="319" w:lineRule="exact"/>
        <w:ind w:left="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对收入执行截止性测试，复核贵公司对已充值未消耗的金币确认合同负债的准确性，以评估收入是否确认在恰当 的会计期间；</w:t>
      </w:r>
    </w:p>
    <w:p>
      <w:pPr>
        <w:pStyle w:val="Style23"/>
        <w:keepNext w:val="0"/>
        <w:keepLines w:val="0"/>
        <w:widowControl w:val="0"/>
        <w:shd w:val="clear" w:color="auto" w:fill="auto"/>
        <w:tabs>
          <w:tab w:pos="825" w:val="left"/>
        </w:tabs>
        <w:bidi w:val="0"/>
        <w:spacing w:before="0" w:after="0" w:line="319" w:lineRule="exact"/>
        <w:ind w:left="0" w:right="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根据不同业务模式客户交易的特点和性质，选取样本执行函证程序以确认应收账款余额和销售收入金额；</w:t>
      </w:r>
    </w:p>
    <w:p>
      <w:pPr>
        <w:pStyle w:val="Style23"/>
        <w:keepNext w:val="0"/>
        <w:keepLines w:val="0"/>
        <w:widowControl w:val="0"/>
        <w:shd w:val="clear" w:color="auto" w:fill="auto"/>
        <w:tabs>
          <w:tab w:pos="901" w:val="left"/>
        </w:tabs>
        <w:bidi w:val="0"/>
        <w:spacing w:before="0" w:after="0" w:line="319" w:lineRule="exact"/>
        <w:ind w:left="0" w:right="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利用管理层委聘的外部</w:t>
      </w:r>
      <w:r>
        <w:rPr>
          <w:rFonts w:ascii="Times New Roman" w:eastAsia="Times New Roman" w:hAnsi="Times New Roman" w:cs="Times New Roman"/>
          <w:color w:val="000000"/>
          <w:spacing w:val="0"/>
          <w:w w:val="100"/>
          <w:position w:val="0"/>
        </w:rPr>
        <w:t>IT</w:t>
      </w:r>
      <w:r>
        <w:rPr>
          <w:color w:val="000000"/>
          <w:spacing w:val="0"/>
          <w:w w:val="100"/>
          <w:position w:val="0"/>
        </w:rPr>
        <w:t>审计专家进行计算机辅助审计，评估</w:t>
      </w:r>
      <w:r>
        <w:rPr>
          <w:rFonts w:ascii="Times New Roman" w:eastAsia="Times New Roman" w:hAnsi="Times New Roman" w:cs="Times New Roman"/>
          <w:color w:val="000000"/>
          <w:spacing w:val="0"/>
          <w:w w:val="100"/>
          <w:position w:val="0"/>
        </w:rPr>
        <w:t>IT</w:t>
      </w:r>
      <w:r>
        <w:rPr>
          <w:color w:val="000000"/>
          <w:spacing w:val="0"/>
          <w:w w:val="100"/>
          <w:position w:val="0"/>
        </w:rPr>
        <w:t>信息系统的可靠性，取得异常用户清单，并核对 和异常用户的电子邮件等资料，同时我们亦对外部</w:t>
      </w:r>
      <w:r>
        <w:rPr>
          <w:rFonts w:ascii="Times New Roman" w:eastAsia="Times New Roman" w:hAnsi="Times New Roman" w:cs="Times New Roman"/>
          <w:color w:val="000000"/>
          <w:spacing w:val="0"/>
          <w:w w:val="100"/>
          <w:position w:val="0"/>
        </w:rPr>
        <w:t>IT</w:t>
      </w:r>
      <w:r>
        <w:rPr>
          <w:color w:val="000000"/>
          <w:spacing w:val="0"/>
          <w:w w:val="100"/>
          <w:position w:val="0"/>
        </w:rPr>
        <w:t>审计专家出具的《信息系统审计报告》进行复核；</w:t>
      </w:r>
    </w:p>
    <w:p>
      <w:pPr>
        <w:pStyle w:val="Style23"/>
        <w:keepNext w:val="0"/>
        <w:keepLines w:val="0"/>
        <w:widowControl w:val="0"/>
        <w:shd w:val="clear" w:color="auto" w:fill="auto"/>
        <w:tabs>
          <w:tab w:pos="825" w:val="left"/>
        </w:tabs>
        <w:bidi w:val="0"/>
        <w:spacing w:before="0" w:after="0" w:line="319" w:lineRule="exact"/>
        <w:ind w:left="0" w:right="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7</w:t>
      </w:r>
      <w:r>
        <w:rPr>
          <w:color w:val="000000"/>
          <w:spacing w:val="0"/>
          <w:w w:val="100"/>
          <w:position w:val="0"/>
        </w:rPr>
        <w:t>）</w:t>
        <w:tab/>
        <w:t>结合</w:t>
      </w:r>
      <w:r>
        <w:rPr>
          <w:rFonts w:ascii="Times New Roman" w:eastAsia="Times New Roman" w:hAnsi="Times New Roman" w:cs="Times New Roman"/>
          <w:color w:val="000000"/>
          <w:spacing w:val="0"/>
          <w:w w:val="100"/>
          <w:position w:val="0"/>
        </w:rPr>
        <w:t>IT</w:t>
      </w:r>
      <w:r>
        <w:rPr>
          <w:color w:val="000000"/>
          <w:spacing w:val="0"/>
          <w:w w:val="100"/>
          <w:position w:val="0"/>
        </w:rPr>
        <w:t>审计的《信息系统审计报告》，对贵公司系统后台的游戏流水的真实性与准确性进行确认。</w:t>
      </w:r>
    </w:p>
    <w:p>
      <w:pPr>
        <w:pStyle w:val="Style23"/>
        <w:keepNext w:val="0"/>
        <w:keepLines w:val="0"/>
        <w:widowControl w:val="0"/>
        <w:shd w:val="clear" w:color="auto" w:fill="auto"/>
        <w:tabs>
          <w:tab w:pos="825" w:val="left"/>
        </w:tabs>
        <w:bidi w:val="0"/>
        <w:spacing w:before="0" w:after="300" w:line="319" w:lineRule="exact"/>
        <w:ind w:left="0" w:right="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8</w:t>
      </w:r>
      <w:r>
        <w:rPr>
          <w:color w:val="000000"/>
          <w:spacing w:val="0"/>
          <w:w w:val="100"/>
          <w:position w:val="0"/>
        </w:rPr>
        <w:t>）</w:t>
        <w:tab/>
        <w:t>评估期末应收账款的可收回性，包括检查期后回款情况，评估客户的经营情况和还款能力。</w:t>
      </w:r>
    </w:p>
    <w:p>
      <w:pPr>
        <w:pStyle w:val="Style23"/>
        <w:keepNext w:val="0"/>
        <w:keepLines w:val="0"/>
        <w:widowControl w:val="0"/>
        <w:shd w:val="clear" w:color="auto" w:fill="auto"/>
        <w:tabs>
          <w:tab w:pos="880" w:val="left"/>
        </w:tabs>
        <w:bidi w:val="0"/>
        <w:spacing w:before="0" w:after="0" w:line="314" w:lineRule="exact"/>
        <w:ind w:left="0" w:right="0" w:firstLine="440"/>
        <w:jc w:val="both"/>
      </w:pPr>
      <w:bookmarkStart w:id="689" w:name="bookmark689"/>
      <w:r>
        <w:rPr>
          <w:b/>
          <w:bCs/>
          <w:color w:val="000000"/>
          <w:spacing w:val="0"/>
          <w:w w:val="100"/>
          <w:position w:val="0"/>
        </w:rPr>
        <w:t>五</w:t>
      </w:r>
      <w:bookmarkEnd w:id="689"/>
      <w:r>
        <w:rPr>
          <w:b/>
          <w:bCs/>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23"/>
        <w:keepNext w:val="0"/>
        <w:keepLines w:val="0"/>
        <w:widowControl w:val="0"/>
        <w:shd w:val="clear" w:color="auto" w:fill="auto"/>
        <w:bidi w:val="0"/>
        <w:spacing w:before="0" w:after="300" w:line="314" w:lineRule="exact"/>
        <w:ind w:left="0" w:right="0"/>
        <w:jc w:val="both"/>
      </w:pPr>
      <w:r>
        <w:rPr>
          <w:color w:val="000000"/>
          <w:spacing w:val="0"/>
          <w:w w:val="100"/>
          <w:position w:val="0"/>
        </w:rPr>
        <w:t>治理层负责监督贵公司的财务报告过程。</w:t>
      </w:r>
    </w:p>
    <w:p>
      <w:pPr>
        <w:pStyle w:val="Style23"/>
        <w:keepNext w:val="0"/>
        <w:keepLines w:val="0"/>
        <w:widowControl w:val="0"/>
        <w:shd w:val="clear" w:color="auto" w:fill="auto"/>
        <w:bidi w:val="0"/>
        <w:spacing w:before="0" w:after="0" w:line="312" w:lineRule="exact"/>
        <w:ind w:left="0" w:right="0"/>
        <w:jc w:val="both"/>
      </w:pPr>
      <w:bookmarkStart w:id="690" w:name="bookmark690"/>
      <w:r>
        <w:rPr>
          <w:b/>
          <w:bCs/>
          <w:color w:val="000000"/>
          <w:spacing w:val="0"/>
          <w:w w:val="100"/>
          <w:position w:val="0"/>
        </w:rPr>
        <w:t>六</w:t>
      </w:r>
      <w:bookmarkEnd w:id="690"/>
      <w:r>
        <w:rPr>
          <w:b/>
          <w:bCs/>
          <w:color w:val="000000"/>
          <w:spacing w:val="0"/>
          <w:w w:val="100"/>
          <w:position w:val="0"/>
        </w:rPr>
        <w:t>、注册会计师对财务报表审计的责任</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3"/>
        <w:keepNext w:val="0"/>
        <w:keepLines w:val="0"/>
        <w:widowControl w:val="0"/>
        <w:shd w:val="clear" w:color="auto" w:fill="auto"/>
        <w:bidi w:val="0"/>
        <w:spacing w:before="0" w:after="0" w:line="312" w:lineRule="exact"/>
        <w:ind w:left="0" w:right="0"/>
        <w:jc w:val="both"/>
      </w:pPr>
      <w:bookmarkStart w:id="691" w:name="bookmark691"/>
      <w:r>
        <w:rPr>
          <w:color w:val="000000"/>
          <w:spacing w:val="0"/>
          <w:w w:val="100"/>
          <w:position w:val="0"/>
        </w:rPr>
        <w:t>（</w:t>
      </w:r>
      <w:bookmarkEnd w:id="691"/>
      <w:r>
        <w:rPr>
          <w:color w:val="000000"/>
          <w:spacing w:val="0"/>
          <w:w w:val="100"/>
          <w:position w:val="0"/>
        </w:rPr>
        <w:t xml:space="preserve">一）识别和评估由于舞弊或错误导致的财务报表重大错报风险，设计和实施审计程序以应对这些风险，并获取充分、 </w:t>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3"/>
        <w:keepNext w:val="0"/>
        <w:keepLines w:val="0"/>
        <w:widowControl w:val="0"/>
        <w:shd w:val="clear" w:color="auto" w:fill="auto"/>
        <w:tabs>
          <w:tab w:pos="906" w:val="left"/>
        </w:tabs>
        <w:bidi w:val="0"/>
        <w:spacing w:before="0" w:after="0" w:line="312" w:lineRule="exact"/>
        <w:ind w:left="0" w:right="0"/>
        <w:jc w:val="both"/>
      </w:pPr>
      <w:bookmarkStart w:id="692" w:name="bookmark692"/>
      <w:r>
        <w:rPr>
          <w:color w:val="000000"/>
          <w:spacing w:val="0"/>
          <w:w w:val="100"/>
          <w:position w:val="0"/>
        </w:rPr>
        <w:t>（</w:t>
      </w:r>
      <w:bookmarkEnd w:id="692"/>
      <w:r>
        <w:rPr>
          <w:color w:val="000000"/>
          <w:spacing w:val="0"/>
          <w:w w:val="100"/>
          <w:position w:val="0"/>
        </w:rPr>
        <w:t>二）</w:t>
        <w:tab/>
        <w:t>了解与审计相关的内部控制，以设计恰当的审计程序。</w:t>
      </w:r>
    </w:p>
    <w:p>
      <w:pPr>
        <w:pStyle w:val="Style23"/>
        <w:keepNext w:val="0"/>
        <w:keepLines w:val="0"/>
        <w:widowControl w:val="0"/>
        <w:shd w:val="clear" w:color="auto" w:fill="auto"/>
        <w:tabs>
          <w:tab w:pos="906" w:val="left"/>
        </w:tabs>
        <w:bidi w:val="0"/>
        <w:spacing w:before="0" w:after="0" w:line="312" w:lineRule="exact"/>
        <w:ind w:left="0" w:right="0"/>
        <w:jc w:val="both"/>
      </w:pPr>
      <w:bookmarkStart w:id="693" w:name="bookmark693"/>
      <w:r>
        <w:rPr>
          <w:color w:val="000000"/>
          <w:spacing w:val="0"/>
          <w:w w:val="100"/>
          <w:position w:val="0"/>
        </w:rPr>
        <w:t>（</w:t>
      </w:r>
      <w:bookmarkEnd w:id="693"/>
      <w:r>
        <w:rPr>
          <w:color w:val="000000"/>
          <w:spacing w:val="0"/>
          <w:w w:val="100"/>
          <w:position w:val="0"/>
        </w:rPr>
        <w:t>三）</w:t>
        <w:tab/>
        <w:t>评价管理层选用会计政策的恰当性和作出会计估计及相关披露的合理性。</w:t>
      </w:r>
    </w:p>
    <w:p>
      <w:pPr>
        <w:pStyle w:val="Style23"/>
        <w:keepNext w:val="0"/>
        <w:keepLines w:val="0"/>
        <w:widowControl w:val="0"/>
        <w:shd w:val="clear" w:color="auto" w:fill="auto"/>
        <w:tabs>
          <w:tab w:pos="987" w:val="left"/>
        </w:tabs>
        <w:bidi w:val="0"/>
        <w:spacing w:before="0" w:after="0" w:line="312" w:lineRule="exact"/>
        <w:ind w:left="0" w:right="0"/>
        <w:jc w:val="both"/>
      </w:pPr>
      <w:bookmarkStart w:id="694" w:name="bookmark694"/>
      <w:r>
        <w:rPr>
          <w:color w:val="000000"/>
          <w:spacing w:val="0"/>
          <w:w w:val="100"/>
          <w:position w:val="0"/>
        </w:rPr>
        <w:t>（</w:t>
      </w:r>
      <w:bookmarkEnd w:id="694"/>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23"/>
        <w:keepNext w:val="0"/>
        <w:keepLines w:val="0"/>
        <w:widowControl w:val="0"/>
        <w:shd w:val="clear" w:color="auto" w:fill="auto"/>
        <w:tabs>
          <w:tab w:pos="906" w:val="left"/>
        </w:tabs>
        <w:bidi w:val="0"/>
        <w:spacing w:before="0" w:after="0" w:line="312" w:lineRule="exact"/>
        <w:ind w:left="0" w:right="0"/>
        <w:jc w:val="both"/>
      </w:pPr>
      <w:bookmarkStart w:id="695" w:name="bookmark695"/>
      <w:r>
        <w:rPr>
          <w:color w:val="000000"/>
          <w:spacing w:val="0"/>
          <w:w w:val="100"/>
          <w:position w:val="0"/>
        </w:rPr>
        <w:t>（</w:t>
      </w:r>
      <w:bookmarkEnd w:id="695"/>
      <w:r>
        <w:rPr>
          <w:color w:val="000000"/>
          <w:spacing w:val="0"/>
          <w:w w:val="100"/>
          <w:position w:val="0"/>
        </w:rPr>
        <w:t>五）</w:t>
        <w:tab/>
        <w:t>评价财务报表的总体列报、结构和内容，并评价财务报表是否公允反映相关交易和事项。</w:t>
      </w:r>
    </w:p>
    <w:p>
      <w:pPr>
        <w:pStyle w:val="Style23"/>
        <w:keepNext w:val="0"/>
        <w:keepLines w:val="0"/>
        <w:widowControl w:val="0"/>
        <w:shd w:val="clear" w:color="auto" w:fill="auto"/>
        <w:tabs>
          <w:tab w:pos="982" w:val="left"/>
        </w:tabs>
        <w:bidi w:val="0"/>
        <w:spacing w:before="0" w:after="0" w:line="312" w:lineRule="exact"/>
        <w:ind w:left="0" w:right="0"/>
        <w:jc w:val="both"/>
      </w:pPr>
      <w:bookmarkStart w:id="696" w:name="bookmark696"/>
      <w:r>
        <w:rPr>
          <w:color w:val="000000"/>
          <w:spacing w:val="0"/>
          <w:w w:val="100"/>
          <w:position w:val="0"/>
        </w:rPr>
        <w:t>（</w:t>
      </w:r>
      <w:bookmarkEnd w:id="696"/>
      <w:r>
        <w:rPr>
          <w:color w:val="000000"/>
          <w:spacing w:val="0"/>
          <w:w w:val="100"/>
          <w:position w:val="0"/>
        </w:rPr>
        <w:t>六）</w:t>
        <w:tab/>
        <w:t>就贵公司中实体或业务活动的财务信息获取充分、恰当的审计证据，以对财务报表发表审计意见。我们负责指导、 监督和执行集团审计，并对审计意见承担全部责任。</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23"/>
        <w:keepNext w:val="0"/>
        <w:keepLines w:val="0"/>
        <w:widowControl w:val="0"/>
        <w:shd w:val="clear" w:color="auto" w:fill="auto"/>
        <w:bidi w:val="0"/>
        <w:spacing w:before="0" w:after="1040" w:line="312"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3"/>
        <w:keepNext w:val="0"/>
        <w:keepLines w:val="0"/>
        <w:widowControl w:val="0"/>
        <w:shd w:val="clear" w:color="auto" w:fill="auto"/>
        <w:tabs>
          <w:tab w:pos="4052" w:val="left"/>
        </w:tabs>
        <w:bidi w:val="0"/>
        <w:spacing w:before="0" w:after="80" w:line="240" w:lineRule="auto"/>
        <w:ind w:left="0" w:right="0"/>
        <w:jc w:val="both"/>
      </w:pPr>
      <w:r>
        <w:rPr>
          <w:color w:val="000000"/>
          <w:spacing w:val="0"/>
          <w:w w:val="100"/>
          <w:position w:val="0"/>
        </w:rPr>
        <w:t>大信会计师事务所（特殊普通合伙）</w:t>
        <w:tab/>
        <w:t>中国注册会计师:</w:t>
      </w:r>
    </w:p>
    <w:p>
      <w:pPr>
        <w:pStyle w:val="Style23"/>
        <w:keepNext w:val="0"/>
        <w:keepLines w:val="0"/>
        <w:widowControl w:val="0"/>
        <w:shd w:val="clear" w:color="auto" w:fill="auto"/>
        <w:bidi w:val="0"/>
        <w:spacing w:before="0" w:after="420" w:line="240" w:lineRule="auto"/>
        <w:ind w:left="3400" w:right="0" w:firstLine="0"/>
        <w:jc w:val="left"/>
      </w:pPr>
      <w:r>
        <w:rPr>
          <w:color w:val="000000"/>
          <w:spacing w:val="0"/>
          <w:w w:val="100"/>
          <w:position w:val="0"/>
        </w:rPr>
        <w:t>（项目合伙人）</w:t>
      </w:r>
    </w:p>
    <w:p>
      <w:pPr>
        <w:pStyle w:val="Style23"/>
        <w:keepNext w:val="0"/>
        <w:keepLines w:val="0"/>
        <w:widowControl w:val="0"/>
        <w:shd w:val="clear" w:color="auto" w:fill="auto"/>
        <w:tabs>
          <w:tab w:pos="3682" w:val="left"/>
        </w:tabs>
        <w:bidi w:val="0"/>
        <w:spacing w:before="0" w:after="700" w:line="240" w:lineRule="auto"/>
        <w:ind w:left="110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w:t>
      </w:r>
      <w:r>
        <w:rPr>
          <w:color w:val="000000"/>
          <w:spacing w:val="0"/>
          <w:w w:val="100"/>
          <w:position w:val="0"/>
        </w:rPr>
        <w:t>。</w:t>
      </w:r>
      <w:r>
        <w:rPr>
          <w:color w:val="000000"/>
          <w:spacing w:val="0"/>
          <w:w w:val="100"/>
          <w:position w:val="0"/>
        </w:rPr>
        <w:t>二二年四月二十八日</w:t>
      </w:r>
      <w:r>
        <w:br w:type="page"/>
      </w:r>
    </w:p>
    <w:p>
      <w:pPr>
        <w:pStyle w:val="Style28"/>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二</w:t>
      </w:r>
      <w:bookmarkEnd w:id="699"/>
      <w:r>
        <w:rPr>
          <w:color w:val="000000"/>
          <w:spacing w:val="0"/>
          <w:w w:val="100"/>
          <w:position w:val="0"/>
          <w:sz w:val="24"/>
          <w:szCs w:val="24"/>
        </w:rPr>
        <w:t>、财务报表</w:t>
      </w:r>
      <w:bookmarkEnd w:id="697"/>
      <w:bookmarkEnd w:id="698"/>
      <w:bookmarkEnd w:id="70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、合并资产负债表</w:t>
      </w:r>
      <w:bookmarkEnd w:id="701"/>
      <w:bookmarkEnd w:id="702"/>
      <w:bookmarkEnd w:id="70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编制单位：深圳市惠程信息科技股份有限公司</w:t>
      </w:r>
    </w:p>
    <w:p>
      <w:pPr>
        <w:pStyle w:val="Style4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80,778,317.71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115,070,299.38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19,783,281.11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109,279,127.95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114,716,678.77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9,543,210.18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4,096,944.78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99,282,529.76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144,526,660.75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439,358,362.41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35,498,549.78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29,082,550.02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1,113,772.50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663,468.40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1,904,110.80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29,211,530.71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11,775,156.02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414,711,582.76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830,972,968.27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3,351,845.56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4,007,600.07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23,138,609.24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20,708,042.24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113,538,291.68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143,508,291.68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126,429,000.00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151,726,800.00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153,962,121.33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162,023,924.68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10,285,428.69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11,899,218.81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12,062,760.42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195,162.19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36,782,401.53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83,331,192.93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61,054,593.33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57,086,287.25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9,415,094.30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540,996,644.94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644,229,966.15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955,708,227.70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1,475,202,934.42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142,277,974.80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5,455,228.32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38,312,793.17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186,573,932.32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233,473,778.42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4,152,865.67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2,556,713.55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12,337,447.69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13,156,155.79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4,038,011.93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10,341,717.67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172,386,903.08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45,273,860.74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1,079,583.33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222,925,945.86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100,461,866.26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433,772.21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284,367.27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608,314,607.08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586,154,527.67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196,417,520.86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459,221,163.50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4,278,334.95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948,979.33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1,289,107.25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11,742,896.83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11,970,961.53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213,387,731.97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472,481,232.28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821,702,339.05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1,058,635,759.95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801,929,568.00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801,929,568.00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318,012,651.54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352,782,651.54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112,843,580.50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147,613,580.50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-19,550,419.96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9,722,612.73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94,448,815.32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94,448,815.32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-978,720,556.54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-755,865,966.75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103,276,477.86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355,404,100.34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30,729,410.79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61,163,074.13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134,005,888.65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416,567,174.47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955,708,227.70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1,475,202,934.42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692150</wp:posOffset>
                </wp:positionH>
                <wp:positionV relativeFrom="margin">
                  <wp:posOffset>2304415</wp:posOffset>
                </wp:positionV>
                <wp:extent cx="1054735" cy="149225"/>
                <wp:wrapTopAndBottom/>
                <wp:docPr id="3" name="Shape 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法定代表人：陈国庆</w:t>
                            </w:r>
                          </w:p>
                        </w:txbxContent>
                      </wps:txbx>
                      <wps:bodyPr wrap="none" lIns="0" tIns="0" rIns="0" bIns="0">
                        <a:noAutoFit/>
                      </wps:bodyPr>
                    </wps:wsp>
                  </a:graphicData>
                </a:graphic>
              </wp:anchor>
            </w:drawing>
          </mc:Choice>
          <mc:Fallback>
            <w:pict>
              <v:shape id="_x0000_s1029" type="#_x0000_t202" style="position:absolute;margin-left:54.5pt;margin-top:181.45000000000002pt;width:83.049999999999997pt;height:11.75pt;z-index:-125829373;mso-wrap-distance-left:9.pt;mso-wrap-distance-top:12.pt;mso-wrap-distance-right:405.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法定代表人：陈国庆</w:t>
                      </w:r>
                    </w:p>
                  </w:txbxContent>
                </v:textbox>
                <w10:wrap type="topAndBottom" anchorx="page" anchory="margin"/>
              </v:shape>
            </w:pict>
          </mc:Fallback>
        </mc:AlternateContent>
      </w:r>
      <w:r>
        <mc:AlternateContent>
          <mc:Choice Requires="wps">
            <w:drawing>
              <wp:anchor distT="152400" distB="3175" distL="2345690" distR="2454910" simplePos="0" relativeHeight="125829382" behindDoc="0" locked="0" layoutInCell="1" allowOverlap="1">
                <wp:simplePos x="0" y="0"/>
                <wp:positionH relativeFrom="page">
                  <wp:posOffset>2923540</wp:posOffset>
                </wp:positionH>
                <wp:positionV relativeFrom="margin">
                  <wp:posOffset>2304415</wp:posOffset>
                </wp:positionV>
                <wp:extent cx="1515110" cy="146050"/>
                <wp:wrapTopAndBottom/>
                <wp:docPr id="5" name="Shape 5"/>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主管会计工作负责人：鲁生选</w:t>
                            </w:r>
                          </w:p>
                        </w:txbxContent>
                      </wps:txbx>
                      <wps:bodyPr wrap="none" lIns="0" tIns="0" rIns="0" bIns="0">
                        <a:noAutoFit/>
                      </wps:bodyPr>
                    </wps:wsp>
                  </a:graphicData>
                </a:graphic>
              </wp:anchor>
            </w:drawing>
          </mc:Choice>
          <mc:Fallback>
            <w:pict>
              <v:shape id="_x0000_s1031" type="#_x0000_t202" style="position:absolute;margin-left:230.20000000000002pt;margin-top:181.45000000000002pt;width:119.3pt;height:11.5pt;z-index:-125829371;mso-wrap-distance-left:184.70000000000002pt;mso-wrap-distance-top:12.pt;mso-wrap-distance-right:193.30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主管会计工作负责人：鲁生选</w:t>
                      </w:r>
                    </w:p>
                  </w:txbxContent>
                </v:textbox>
                <w10:wrap type="topAndBottom" anchorx="page" anchory="margin"/>
              </v:shape>
            </w:pict>
          </mc:Fallback>
        </mc:AlternateContent>
      </w:r>
      <w:r>
        <mc:AlternateContent>
          <mc:Choice Requires="wps">
            <w:drawing>
              <wp:anchor distT="152400" distB="0" distL="5033645" distR="114935" simplePos="0" relativeHeight="125829384" behindDoc="0" locked="0" layoutInCell="1" allowOverlap="1">
                <wp:simplePos x="0" y="0"/>
                <wp:positionH relativeFrom="page">
                  <wp:posOffset>5611495</wp:posOffset>
                </wp:positionH>
                <wp:positionV relativeFrom="margin">
                  <wp:posOffset>2304415</wp:posOffset>
                </wp:positionV>
                <wp:extent cx="1167130" cy="149225"/>
                <wp:wrapTopAndBottom/>
                <wp:docPr id="7" name="Shape 7"/>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会计机构负责人：张鹏</w:t>
                            </w:r>
                          </w:p>
                        </w:txbxContent>
                      </wps:txbx>
                      <wps:bodyPr wrap="none" lIns="0" tIns="0" rIns="0" bIns="0">
                        <a:noAutoFit/>
                      </wps:bodyPr>
                    </wps:wsp>
                  </a:graphicData>
                </a:graphic>
              </wp:anchor>
            </w:drawing>
          </mc:Choice>
          <mc:Fallback>
            <w:pict>
              <v:shape id="_x0000_s1033" type="#_x0000_t202" style="position:absolute;margin-left:441.85000000000002pt;margin-top:181.45000000000002pt;width:91.900000000000006pt;height:11.75pt;z-index:-125829369;mso-wrap-distance-left:396.35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会计机构负责人：张鹏</w:t>
                      </w:r>
                    </w:p>
                  </w:txbxContent>
                </v:textbox>
                <w10:wrap type="topAndBottom" anchorx="page" anchory="margin"/>
              </v:shape>
            </w:pict>
          </mc:Fallback>
        </mc:AlternateContent>
      </w: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、母公司资产负债表</w:t>
      </w:r>
      <w:bookmarkEnd w:id="705"/>
      <w:bookmarkEnd w:id="706"/>
      <w:bookmarkEnd w:id="70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16,910,857.94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52,569,085.40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19,783,281.11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81,288,065.58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95,025,752.63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9,543,210.18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283,939.18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261,671.31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681,615,063.55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678,116,341.83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33,604,739.22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29,082,550.02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663,468.40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1,904,110.80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4,939,138.36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842,471.80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828,848,482.41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877,585,264.90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3,351,845.56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4,007,600.07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272,312,219.69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272,760,576.18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63,970,000.00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34,795,400.00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38,385,200.00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62,254,910.17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68,406,954.51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4,458,882.18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11,618,827.61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11,899,266.55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195,162.19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24,800,498.23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41,599,115.65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48,216,343.23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36,611,504.89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512,974,088.86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537,640,217.85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1,341,822,571.27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1,415,225,482.75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142,277,974.80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5,455,228.32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38,312,793.17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49,383,472.17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54,514,442.04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1,620,957.50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1,874,304.51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4,726,713.00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4,936,156.07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2,041,870.47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2,547,587.75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552,902,333.40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200,983,966.27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10,474,374.99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9,394,791.66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220,561,465.57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100,461,866.26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183,834,057.81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188,866,992.93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1,020,526,098.24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734,776,083.80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196,417,520.86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459,221,163.50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1,147,489.12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948,979.33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1,089,381.07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3,912,876.03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4,511,644.76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202,426,865.34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464,822,189.33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1,222,952,963.58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1,199,598,273.13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801,929,568.00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801,929,568.00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333,548,682.72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368,318,682.72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112,843,580.50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147,613,580.50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-20,663,120.64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5,975,875.53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-977,550,757.21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-907,432,151.45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118,869,607.69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215,627,209.62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1,341,822,571.27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1,415,225,482.75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、合并利润表</w:t>
      </w:r>
      <w:bookmarkEnd w:id="709"/>
      <w:bookmarkEnd w:id="710"/>
      <w:bookmarkEnd w:id="71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329,906,421.16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785,008,872.15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329,906,421.16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785,008,872.15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538,802,610.22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958,563,558.62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215,775,131.58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282,168,252.59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2,974,768.59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3,208,624.78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132,618,192.54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447,753,943.47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117,299,265.33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104,971,742.08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40,525,353.33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57,050,211.71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29,609,898.85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63,410,783.99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30,072,364.08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65,537,157.10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978,685.28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2,636,959.16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2,995,693.67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8,361,701.52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-3,065,469.76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3,653,096.07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-2,539,252.85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10,956,846.97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-26,083,600.00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-5,152,243.47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-14,981,354.96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24,569,890.46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-8,279,111.77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-76,474,966.90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1,854,266.80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-256,455,765.08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-218,594,819.96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3,990,586.48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7,721,755.31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6,538,199.89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2,183,261.15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-259,003,378.49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-213,056,325.80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-5,715,125.36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-19,909,357.23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-253,288,253.13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-193,146,968.57</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-253,288,253.13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-193,146,968.57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-222,854,589.79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-182,880,362.46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-30,433,663.34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-10,266,606.11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-30,509,380.30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-23,237,298.19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-30,509,380.30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-23,237,298.19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-539,380.30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-277,298.19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-900,384.13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-126,882.15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-283,797,633.43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-216,384,266.76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-253,363,970.09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-206,117,660.65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-30,433,663.34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-10,266,606.11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法定代表人：陈国庆</w:t>
        <w:tab/>
        <w:t>主管会计工作负责人：鲁生选</w:t>
        <w:tab/>
        <w:t>会计机构负责人：张鹏</w:t>
      </w:r>
    </w:p>
    <w:p>
      <w:pPr>
        <w:pStyle w:val="Style34"/>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、母公司利润表</w:t>
      </w:r>
      <w:bookmarkEnd w:id="713"/>
      <w:bookmarkEnd w:id="714"/>
      <w:bookmarkEnd w:id="716"/>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155,930,105.58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230,417,803.69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109,940,773.21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166,449,417.23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1,664,255.13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1,980,097.77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17,409,410.62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25,588,836.21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62,653,527.51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61,384,571.56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10,448,081.05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12,596,840.41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29,185,463.80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64,928,269.26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29,373,023.86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65,537,157.10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589,819.94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834,754.94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1,357,141.90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4,573,342.77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-4,005,201.83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123,978,587.85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-134,028.06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-67,722.53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pPr>
            <w:r>
              <w:rPr>
                <w:rFonts w:ascii="SimSun" w:eastAsia="SimSun" w:hAnsi="SimSun" w:cs="SimSun"/>
                <w:color w:val="000000"/>
                <w:spacing w:val="0"/>
                <w:w w:val="100"/>
                <w:position w:val="0"/>
              </w:rPr>
              <w:t>以摊余成本计量的金融资产终止确认收益</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-4,375,600.00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-3,813,900.00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-2,432,319.97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7,781,496.91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-220,492.16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-82,581,268.66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1,010,389.17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-84,037,488.63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-52,569,581.05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1,764,853.21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7,468,788.07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113,283.97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2,100,473.35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-82,385,919.39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-47,201,266.33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-12,267,313.63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-14,807,355.54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-70,118,605.76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-32,393,910.79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-70,118,605.76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-32,393,910.79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-26,638,996.17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-96,757,601.93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-32,544,326.83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、合并现金流量表</w:t>
      </w:r>
      <w:bookmarkEnd w:id="717"/>
      <w:bookmarkEnd w:id="718"/>
      <w:bookmarkEnd w:id="72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343,980,053.80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1,078,112,285.29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1,759,723.83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1,287,079.67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380,085,597.23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149,077,221.38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725,825,374.86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1,228,476,586.34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196,004,190.67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383,487,046.75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109,367,334.47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109,880,152.54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14,043,325.75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30,372,847.75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198,646,620.43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577,801,589.85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518,061,471.32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1,101,541,636.89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207,763,903.54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126,934,949.45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445,207,803.17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347,674.05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3,107,677.68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15,868,514.57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448,663,154.90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9,078,791.89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809,320.56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222,441,965.69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2,348,976.98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75,927,768.87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223,251,286.25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-60,059,254.30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225,411,868.65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12,597,000.00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140,597,000.00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515,082,000.00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28,430,794.31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80,177,427.60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7,330,059.82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108,700,000.00</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278,060,854.13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703,959,427.60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-137,463,854.13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-513,859,427.60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-1,145,235.18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185,677.15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9,095,559.93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-161,326,932.35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53,463,800.94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214,790,733.29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62,559,360.87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53,463,800.94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、母公司现金流量表</w:t>
      </w:r>
      <w:bookmarkEnd w:id="721"/>
      <w:bookmarkEnd w:id="722"/>
      <w:bookmarkEnd w:id="72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172,663,248.34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272,191,201.06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1,178,111.04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366,610,907.12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226,929,494.98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539,274,155.46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500,298,807.08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87,857,465.83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139,452,870.43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47,249,713.38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43,036,339.97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3,492,950.24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12,174,322.13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192,006,467.66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143,672,494.92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330,606,597.11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338,336,027.45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208,667,558.35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161,962,779.63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191,833.13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3,107,677.68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19,199,464.57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303,299,510.81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2,838,385.94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258,006.22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129,970,000.00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41,338,385.94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130,228,006.22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-22,138,921.37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173,071,504.59</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12,597,000.00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140,597,000.00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515,082,000.00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28,430,794.31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80,177,427.60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2,247,838.96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322,978,633.27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703,959,427.60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-182,381,633.27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-375,859,427.60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-143,061.99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3,968,659.76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-40,968,205.37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12,096,427.54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53,064,632.91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16,065,087.30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12,096,427.54</w:t>
            </w:r>
          </w:p>
        </w:tc>
      </w:tr>
    </w:tbl>
    <w:p>
      <w:pPr>
        <w:sectPr>
          <w:footnotePr>
            <w:pos w:val="pageBottom"/>
            <w:numFmt w:val="decimal"/>
            <w:numRestart w:val="continuous"/>
          </w:footnotePr>
          <w:pgSz w:w="11900" w:h="16840"/>
          <w:pgMar w:top="1383" w:right="1086" w:bottom="1436" w:left="1042"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、合并所有者权益变动表</w:t>
      </w:r>
      <w:bookmarkEnd w:id="725"/>
      <w:bookmarkEnd w:id="726"/>
      <w:bookmarkEnd w:id="72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397"/>
        <w:gridCol w:w="1181"/>
        <w:gridCol w:w="235"/>
        <w:gridCol w:w="240"/>
        <w:gridCol w:w="240"/>
        <w:gridCol w:w="1181"/>
        <w:gridCol w:w="1181"/>
        <w:gridCol w:w="1152"/>
        <w:gridCol w:w="408"/>
        <w:gridCol w:w="1090"/>
        <w:gridCol w:w="408"/>
        <w:gridCol w:w="1238"/>
        <w:gridCol w:w="408"/>
        <w:gridCol w:w="1243"/>
        <w:gridCol w:w="1181"/>
        <w:gridCol w:w="125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其他权</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一</w:t>
            </w:r>
          </w:p>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257,952,651.54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9,722,612.73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94,448,815.32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-186,913,595.78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829,526,471.31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130,001,045.50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959,527,516.81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-568,952,370.97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-474,122,370.97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-68,837,971.37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-542,960,342.34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同一控</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352,782,651.54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9,722,612.73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94,448,815.32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-755,865,966.75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355,404,100.34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61,163,074.13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416,567,174.47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-29,273,032.69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-222,854,589.79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-252,127,622.48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-30,433,663.34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-282,561,285.82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-30,509,380.30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-222,854,589.79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-253,363,970.09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-30,433,663.34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-283,797,633.43</w:t>
            </w:r>
          </w:p>
        </w:tc>
      </w:tr>
    </w:tbl>
    <w:p>
      <w:pPr>
        <w:spacing w:lineRule="exact" w:line="1"/>
        <w:rPr>
          <w:sz w:val="2"/>
          <w:szCs w:val="2"/>
        </w:rPr>
      </w:pPr>
      <w:r>
        <w:br w:type="page"/>
      </w:r>
    </w:p>
    <w:tbl>
      <w:tblPr>
        <w:tblOverlap w:val="never"/>
        <w:jc w:val="center"/>
        <w:tblLayout w:type="fixed"/>
      </w:tblPr>
      <w:tblGrid>
        <w:gridCol w:w="1397"/>
        <w:gridCol w:w="1181"/>
        <w:gridCol w:w="235"/>
        <w:gridCol w:w="240"/>
        <w:gridCol w:w="240"/>
        <w:gridCol w:w="1181"/>
        <w:gridCol w:w="1181"/>
        <w:gridCol w:w="1152"/>
        <w:gridCol w:w="408"/>
        <w:gridCol w:w="1090"/>
        <w:gridCol w:w="408"/>
        <w:gridCol w:w="1238"/>
        <w:gridCol w:w="408"/>
        <w:gridCol w:w="1243"/>
        <w:gridCol w:w="1181"/>
        <w:gridCol w:w="1253"/>
      </w:tblGrid>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1,236,347.61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1,236,347.61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1,236,347.61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1,236,347.61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7"/>
        <w:gridCol w:w="1181"/>
        <w:gridCol w:w="235"/>
        <w:gridCol w:w="240"/>
        <w:gridCol w:w="240"/>
        <w:gridCol w:w="1181"/>
        <w:gridCol w:w="1181"/>
        <w:gridCol w:w="1152"/>
        <w:gridCol w:w="408"/>
        <w:gridCol w:w="1090"/>
        <w:gridCol w:w="408"/>
        <w:gridCol w:w="1238"/>
        <w:gridCol w:w="408"/>
        <w:gridCol w:w="1243"/>
        <w:gridCol w:w="1181"/>
        <w:gridCol w:w="1253"/>
      </w:tblGrid>
      <w:tr>
        <w:trPr>
          <w:trHeight w:val="106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318,012,651.54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112,843,580.50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-19,550,419.96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-978,720,556.54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103,276,477.86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30,729,410.79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134,005,888.65</w:t>
            </w:r>
          </w:p>
        </w:tc>
      </w:tr>
    </w:tbl>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715"/>
        <w:gridCol w:w="1181"/>
        <w:gridCol w:w="374"/>
        <w:gridCol w:w="370"/>
        <w:gridCol w:w="370"/>
        <w:gridCol w:w="1181"/>
        <w:gridCol w:w="1181"/>
        <w:gridCol w:w="1152"/>
        <w:gridCol w:w="370"/>
        <w:gridCol w:w="1094"/>
        <w:gridCol w:w="370"/>
        <w:gridCol w:w="1378"/>
        <w:gridCol w:w="370"/>
        <w:gridCol w:w="1378"/>
        <w:gridCol w:w="1166"/>
        <w:gridCol w:w="138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w:t>
            </w: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300" w:after="0" w:line="240" w:lineRule="auto"/>
              <w:ind w:left="0" w:right="0" w:firstLine="0"/>
              <w:jc w:val="left"/>
            </w:pPr>
            <w:r>
              <w:rPr>
                <w:rFonts w:ascii="SimSun" w:eastAsia="SimSun" w:hAnsi="SimSun" w:cs="SimSun"/>
                <w:color w:val="000000"/>
                <w:spacing w:val="0"/>
                <w:w w:val="100"/>
                <w:position w:val="0"/>
              </w:rPr>
              <w:t>少数股东权益</w:t>
            </w:r>
          </w:p>
        </w:tc>
        <w:tc>
          <w:tcPr>
            <w:vMerge w:val="restart"/>
            <w:tcBorders>
              <w:left w:val="single" w:sz="4"/>
              <w:right w:val="single" w:sz="4"/>
            </w:tcBorders>
            <w:shd w:val="clear" w:color="auto" w:fill="D3D3D3"/>
            <w:vAlign w:val="top"/>
          </w:tcPr>
          <w:p>
            <w:pPr>
              <w:pStyle w:val="Style25"/>
              <w:keepNext w:val="0"/>
              <w:keepLines w:val="0"/>
              <w:widowControl w:val="0"/>
              <w:shd w:val="clear" w:color="auto" w:fill="auto"/>
              <w:bidi w:val="0"/>
              <w:spacing w:before="30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124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资本公积</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减：库存股</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0"/>
              <w:jc w:val="left"/>
            </w:pPr>
            <w:r>
              <w:rPr>
                <w:rFonts w:ascii="SimSun" w:eastAsia="SimSun" w:hAnsi="SimSun" w:cs="SimSun"/>
                <w:color w:val="000000"/>
                <w:spacing w:val="0"/>
                <w:w w:val="100"/>
                <w:position w:val="0"/>
              </w:rPr>
              <w:t>其他综合收益</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项 储 备</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盈余公积</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风 险 准 备</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220"/>
              <w:jc w:val="left"/>
            </w:pPr>
            <w:r>
              <w:rPr>
                <w:rFonts w:ascii="SimSun" w:eastAsia="SimSun" w:hAnsi="SimSun" w:cs="SimSun"/>
                <w:color w:val="000000"/>
                <w:spacing w:val="0"/>
                <w:w w:val="100"/>
                <w:position w:val="0"/>
              </w:rPr>
              <w:t>未分配利润</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D3D3D3"/>
            <w:vAlign w:val="top"/>
          </w:tcPr>
          <w:p>
            <w:pPr>
              <w:pStyle w:val="Style25"/>
              <w:keepNext w:val="0"/>
              <w:keepLines w:val="0"/>
              <w:widowControl w:val="0"/>
              <w:shd w:val="clear" w:color="auto" w:fill="auto"/>
              <w:bidi w:val="0"/>
              <w:spacing w:before="160" w:after="0" w:line="240" w:lineRule="auto"/>
              <w:ind w:left="0" w:right="0" w:firstLine="500"/>
              <w:jc w:val="left"/>
            </w:pPr>
            <w:r>
              <w:rPr>
                <w:rFonts w:ascii="SimSun" w:eastAsia="SimSun" w:hAnsi="SimSun" w:cs="SimSun"/>
                <w:color w:val="000000"/>
                <w:spacing w:val="0"/>
                <w:w w:val="100"/>
                <w:position w:val="0"/>
              </w:rPr>
              <w:t>小计</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368,203,739.75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32,959,910.92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94,448,815.32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773,501,086.50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1,923,429,539.99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154,111,489.57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2,077,541,029.56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715"/>
        <w:gridCol w:w="1181"/>
        <w:gridCol w:w="374"/>
        <w:gridCol w:w="370"/>
        <w:gridCol w:w="370"/>
        <w:gridCol w:w="1181"/>
        <w:gridCol w:w="1181"/>
        <w:gridCol w:w="1152"/>
        <w:gridCol w:w="370"/>
        <w:gridCol w:w="1094"/>
        <w:gridCol w:w="370"/>
        <w:gridCol w:w="1378"/>
        <w:gridCol w:w="370"/>
        <w:gridCol w:w="1378"/>
        <w:gridCol w:w="1166"/>
        <w:gridCol w:w="1387"/>
      </w:tblGrid>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会计政</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-1,346,486,690.79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-1,346,486,690.79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-62,138,367.01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-1,408,625,057.80</w:t>
            </w:r>
          </w:p>
        </w:tc>
      </w:tr>
      <w:tr>
        <w:trPr>
          <w:trHeight w:val="1339"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同一控</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制下企</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期初余</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801,929,568.00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368,203,739.75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32,959,910.92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-572,985,604.29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576,942,849.20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91,973,122.56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668,915,971.76</w:t>
            </w: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三、本期</w:t>
            </w:r>
          </w:p>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增减变</w:t>
            </w:r>
          </w:p>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动金额</w:t>
            </w:r>
          </w:p>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（减少 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-15,421,088.21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-23,237,298.19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-182,880,362.46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-221,538,748.86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-30,810,048.43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-252,348,797.29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（一）综 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-23,237,298.19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-182,880,362.46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-206,117,660.65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-10,266,606.11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-216,384,266.76</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（二）所 有者投 入和减 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-15,421,088.21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-15,421,088.21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15,421,088.21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715"/>
        <w:gridCol w:w="1181"/>
        <w:gridCol w:w="374"/>
        <w:gridCol w:w="370"/>
        <w:gridCol w:w="370"/>
        <w:gridCol w:w="1181"/>
        <w:gridCol w:w="1181"/>
        <w:gridCol w:w="1152"/>
        <w:gridCol w:w="370"/>
        <w:gridCol w:w="1094"/>
        <w:gridCol w:w="370"/>
        <w:gridCol w:w="1378"/>
        <w:gridCol w:w="370"/>
        <w:gridCol w:w="1378"/>
        <w:gridCol w:w="1166"/>
        <w:gridCol w:w="1387"/>
      </w:tblGrid>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权益工</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具持有</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者投入</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-15,421,088.21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-15,421,088.21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15,421,088.21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（三）利</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-35,964,530.53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-35,964,530.53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盈余公</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一般风</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-35,964,530.53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-35,964,530.53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715"/>
        <w:gridCol w:w="1181"/>
        <w:gridCol w:w="374"/>
        <w:gridCol w:w="370"/>
        <w:gridCol w:w="370"/>
        <w:gridCol w:w="1181"/>
        <w:gridCol w:w="1181"/>
        <w:gridCol w:w="1152"/>
        <w:gridCol w:w="370"/>
        <w:gridCol w:w="1094"/>
        <w:gridCol w:w="370"/>
        <w:gridCol w:w="1378"/>
        <w:gridCol w:w="370"/>
        <w:gridCol w:w="1378"/>
        <w:gridCol w:w="1166"/>
        <w:gridCol w:w="1387"/>
      </w:tblGrid>
      <w:tr>
        <w:trPr>
          <w:trHeight w:val="13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（四）所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.资本</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公积转</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增资本</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（或股</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 公积转 增资本</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.盈余</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公积弥</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 受益计 划变动 额结转 留存收</w:t>
            </w:r>
          </w:p>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5 </w:t>
            </w: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综合收</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益结转</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留存收</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715"/>
        <w:gridCol w:w="1181"/>
        <w:gridCol w:w="374"/>
        <w:gridCol w:w="370"/>
        <w:gridCol w:w="370"/>
        <w:gridCol w:w="1181"/>
        <w:gridCol w:w="1181"/>
        <w:gridCol w:w="1152"/>
        <w:gridCol w:w="370"/>
        <w:gridCol w:w="1094"/>
        <w:gridCol w:w="370"/>
        <w:gridCol w:w="1378"/>
        <w:gridCol w:w="370"/>
        <w:gridCol w:w="1378"/>
        <w:gridCol w:w="1166"/>
        <w:gridCol w:w="1387"/>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（六）其</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四、本期 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352,782,651.54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9,722,612.73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-755,865,966.75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355,404,100.34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61,163,074.13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416,567,174.47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、母公司所有者权益变动表</w:t>
      </w:r>
      <w:bookmarkEnd w:id="729"/>
      <w:bookmarkEnd w:id="730"/>
      <w:bookmarkEnd w:id="732"/>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766"/>
        <w:gridCol w:w="1181"/>
        <w:gridCol w:w="730"/>
        <w:gridCol w:w="734"/>
        <w:gridCol w:w="730"/>
        <w:gridCol w:w="1181"/>
        <w:gridCol w:w="1181"/>
        <w:gridCol w:w="1152"/>
        <w:gridCol w:w="912"/>
        <w:gridCol w:w="1090"/>
        <w:gridCol w:w="1238"/>
        <w:gridCol w:w="888"/>
        <w:gridCol w:w="125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368,318,682.72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5,975,875.53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-156,153,466.66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966,905,894.41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740"/>
              <w:jc w:val="both"/>
            </w:pPr>
            <w:r>
              <w:rPr>
                <w:rFonts w:ascii="SimSun" w:eastAsia="SimSun" w:hAnsi="SimSun" w:cs="SimSun"/>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-751,278,684.79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-751,278,684.79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1181"/>
        <w:gridCol w:w="730"/>
        <w:gridCol w:w="734"/>
        <w:gridCol w:w="730"/>
        <w:gridCol w:w="1181"/>
        <w:gridCol w:w="1181"/>
        <w:gridCol w:w="1152"/>
        <w:gridCol w:w="912"/>
        <w:gridCol w:w="1090"/>
        <w:gridCol w:w="1238"/>
        <w:gridCol w:w="888"/>
        <w:gridCol w:w="1253"/>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368,318,682.72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5,975,875.53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-907,432,151.45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215,627,209.62</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三、本期增减变动金 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-26,638,996.17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-70,118,605.76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-96,757,601.93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-26,638,996.17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-70,118,605.76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-96,757,601.93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1181"/>
        <w:gridCol w:w="730"/>
        <w:gridCol w:w="734"/>
        <w:gridCol w:w="730"/>
        <w:gridCol w:w="1181"/>
        <w:gridCol w:w="1181"/>
        <w:gridCol w:w="1152"/>
        <w:gridCol w:w="912"/>
        <w:gridCol w:w="1090"/>
        <w:gridCol w:w="1238"/>
        <w:gridCol w:w="888"/>
        <w:gridCol w:w="1253"/>
      </w:tblGrid>
      <w:tr>
        <w:trPr>
          <w:trHeight w:val="74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333,548,682.72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112,843,580.50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-20,663,120.64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-977,550,757.21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118,869,607.69</w:t>
            </w:r>
          </w:p>
        </w:tc>
      </w:tr>
    </w:tbl>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670"/>
        <w:gridCol w:w="1181"/>
        <w:gridCol w:w="691"/>
        <w:gridCol w:w="696"/>
        <w:gridCol w:w="696"/>
        <w:gridCol w:w="1181"/>
        <w:gridCol w:w="1181"/>
        <w:gridCol w:w="1003"/>
        <w:gridCol w:w="859"/>
        <w:gridCol w:w="1090"/>
        <w:gridCol w:w="1378"/>
        <w:gridCol w:w="1022"/>
        <w:gridCol w:w="138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368,318,682.72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6,126,291.57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425,415,052.34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1,548,624,829.45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-1,300,453,293.00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-1,300,453,293.00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368,318,682.72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6,126,291.57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-875,038,240.66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248,171,536.45</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三、本期增减变动金 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-32,393,910.79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-32,544,326.83</w:t>
            </w:r>
          </w:p>
        </w:tc>
      </w:tr>
    </w:tbl>
    <w:p>
      <w:pPr>
        <w:spacing w:lineRule="exact" w:line="1"/>
        <w:rPr>
          <w:sz w:val="2"/>
          <w:szCs w:val="2"/>
        </w:rPr>
      </w:pPr>
      <w:r>
        <w:br w:type="page"/>
      </w:r>
    </w:p>
    <w:tbl>
      <w:tblPr>
        <w:tblOverlap w:val="never"/>
        <w:jc w:val="center"/>
        <w:tblLayout w:type="fixed"/>
      </w:tblPr>
      <w:tblGrid>
        <w:gridCol w:w="1670"/>
        <w:gridCol w:w="1181"/>
        <w:gridCol w:w="691"/>
        <w:gridCol w:w="696"/>
        <w:gridCol w:w="696"/>
        <w:gridCol w:w="1181"/>
        <w:gridCol w:w="1181"/>
        <w:gridCol w:w="1003"/>
        <w:gridCol w:w="859"/>
        <w:gridCol w:w="1090"/>
        <w:gridCol w:w="1378"/>
        <w:gridCol w:w="1022"/>
        <w:gridCol w:w="1387"/>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-32,393,910.79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-32,544,326.83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0"/>
        <w:gridCol w:w="1181"/>
        <w:gridCol w:w="691"/>
        <w:gridCol w:w="696"/>
        <w:gridCol w:w="696"/>
        <w:gridCol w:w="1181"/>
        <w:gridCol w:w="1181"/>
        <w:gridCol w:w="1003"/>
        <w:gridCol w:w="859"/>
        <w:gridCol w:w="1090"/>
        <w:gridCol w:w="1378"/>
        <w:gridCol w:w="1022"/>
        <w:gridCol w:w="1387"/>
      </w:tblGrid>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368,318,682.72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5,975,875.53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94,448,815.32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-907,432,151.45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215,627,209.62</w:t>
            </w:r>
          </w:p>
        </w:tc>
      </w:tr>
    </w:tbl>
    <w:p>
      <w:pPr>
        <w:sectPr>
          <w:footnotePr>
            <w:pos w:val="pageBottom"/>
            <w:numFmt w:val="decimal"/>
            <w:numRestart w:val="continuous"/>
          </w:footnotePr>
          <w:pgSz w:w="16840" w:h="11900" w:orient="landscape"/>
          <w:pgMar w:top="1102" w:right="1402" w:bottom="1203" w:left="1402" w:header="0" w:footer="3" w:gutter="0"/>
          <w:cols w:space="720"/>
          <w:noEndnote/>
          <w:rtlGutter w:val="0"/>
          <w:docGrid w:linePitch="360"/>
        </w:sectPr>
      </w:pPr>
    </w:p>
    <w:p>
      <w:pPr>
        <w:pStyle w:val="Style28"/>
        <w:keepNext/>
        <w:keepLines/>
        <w:widowControl w:val="0"/>
        <w:shd w:val="clear" w:color="auto" w:fill="auto"/>
        <w:bidi w:val="0"/>
        <w:spacing w:before="80" w:after="26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三</w:t>
      </w:r>
      <w:bookmarkEnd w:id="735"/>
      <w:r>
        <w:rPr>
          <w:color w:val="000000"/>
          <w:spacing w:val="0"/>
          <w:w w:val="100"/>
          <w:position w:val="0"/>
          <w:sz w:val="24"/>
          <w:szCs w:val="24"/>
        </w:rPr>
        <w:t>、公司基本情况</w:t>
      </w:r>
      <w:bookmarkEnd w:id="733"/>
      <w:bookmarkEnd w:id="734"/>
      <w:bookmarkEnd w:id="736"/>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深圳市惠程信息科技股份有限公司（以下简称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）前身为深圳市惠程电气有限责任公司，曾用名</w:t>
      </w:r>
      <w:r>
        <w:rPr>
          <w:rFonts w:ascii="Times New Roman" w:eastAsia="Times New Roman" w:hAnsi="Times New Roman" w:cs="Times New Roman"/>
          <w:color w:val="000000"/>
          <w:spacing w:val="0"/>
          <w:w w:val="100"/>
          <w:position w:val="0"/>
        </w:rPr>
        <w:t>“</w:t>
      </w:r>
      <w:r>
        <w:rPr>
          <w:color w:val="000000"/>
          <w:spacing w:val="0"/>
          <w:w w:val="100"/>
          <w:position w:val="0"/>
        </w:rPr>
        <w:t>深圳 市惠程电气股份有限公司</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日经深圳市工商局核准，由吕晓义、邓树坚共同发起设立的有限责任公司。</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日，经深圳市人民政府深府股【</w:t>
      </w:r>
      <w:r>
        <w:rPr>
          <w:rFonts w:ascii="Times New Roman" w:eastAsia="Times New Roman" w:hAnsi="Times New Roman" w:cs="Times New Roman"/>
          <w:color w:val="000000"/>
          <w:spacing w:val="0"/>
          <w:w w:val="100"/>
          <w:position w:val="0"/>
        </w:rPr>
        <w:t>2002</w:t>
      </w:r>
      <w:r>
        <w:rPr>
          <w:color w:val="000000"/>
          <w:spacing w:val="0"/>
          <w:w w:val="100"/>
          <w:position w:val="0"/>
        </w:rPr>
        <w:t>】</w:t>
      </w:r>
      <w:r>
        <w:rPr>
          <w:rFonts w:ascii="Times New Roman" w:eastAsia="Times New Roman" w:hAnsi="Times New Roman" w:cs="Times New Roman"/>
          <w:color w:val="000000"/>
          <w:spacing w:val="0"/>
          <w:w w:val="100"/>
          <w:position w:val="0"/>
        </w:rPr>
        <w:t>44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关于以发起方式改组设立深圳市惠程电气股份有限公司的批复</w:t>
      </w:r>
      <w:r>
        <w:rPr>
          <w:rFonts w:ascii="Times New Roman" w:eastAsia="Times New Roman" w:hAnsi="Times New Roman" w:cs="Times New Roman"/>
          <w:color w:val="000000"/>
          <w:spacing w:val="0"/>
          <w:w w:val="100"/>
          <w:position w:val="0"/>
        </w:rPr>
        <w:t>”</w:t>
      </w:r>
      <w:r>
        <w:rPr>
          <w:color w:val="000000"/>
          <w:spacing w:val="0"/>
          <w:w w:val="100"/>
          <w:position w:val="0"/>
        </w:rPr>
        <w:t>文件批 准，并经本公司股东会决议，整体变更为股份有限公司。公司统一社会信用代码：</w:t>
      </w:r>
      <w:r>
        <w:rPr>
          <w:rFonts w:ascii="Times New Roman" w:eastAsia="Times New Roman" w:hAnsi="Times New Roman" w:cs="Times New Roman"/>
          <w:color w:val="000000"/>
          <w:spacing w:val="0"/>
          <w:w w:val="100"/>
          <w:position w:val="0"/>
        </w:rPr>
        <w:t>914403007152119019</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月在深圳 证券交易所上市。所属行业为输配电及控制设备制造业、互联网和相关服务业。</w:t>
      </w:r>
    </w:p>
    <w:p>
      <w:pPr>
        <w:pStyle w:val="Style23"/>
        <w:keepNext w:val="0"/>
        <w:keepLines w:val="0"/>
        <w:widowControl w:val="0"/>
        <w:shd w:val="clear" w:color="auto" w:fill="auto"/>
        <w:bidi w:val="0"/>
        <w:spacing w:before="0" w:after="80" w:line="315"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日，本公司股本总数为</w:t>
      </w:r>
      <w:r>
        <w:rPr>
          <w:rFonts w:ascii="Times New Roman" w:eastAsia="Times New Roman" w:hAnsi="Times New Roman" w:cs="Times New Roman"/>
          <w:color w:val="000000"/>
          <w:spacing w:val="0"/>
          <w:w w:val="100"/>
          <w:position w:val="0"/>
        </w:rPr>
        <w:t>801,929,568.00</w:t>
      </w:r>
      <w:r>
        <w:rPr>
          <w:color w:val="000000"/>
          <w:spacing w:val="0"/>
          <w:w w:val="100"/>
          <w:position w:val="0"/>
        </w:rPr>
        <w:t>股，注册资本为</w:t>
      </w:r>
      <w:r>
        <w:rPr>
          <w:rFonts w:ascii="Times New Roman" w:eastAsia="Times New Roman" w:hAnsi="Times New Roman" w:cs="Times New Roman"/>
          <w:color w:val="000000"/>
          <w:spacing w:val="0"/>
          <w:w w:val="100"/>
          <w:position w:val="0"/>
        </w:rPr>
        <w:t>801,929,568.00</w:t>
      </w:r>
      <w:r>
        <w:rPr>
          <w:color w:val="000000"/>
          <w:spacing w:val="0"/>
          <w:w w:val="100"/>
          <w:position w:val="0"/>
        </w:rPr>
        <w:t>元，注册地：深圳市坪山新区大 工业区兰景路以东、锦绣路以南惠程科技工业厂区。本公司主要经营活动为电气设备的生产销售；新能源汽车充电桩产业链； 证券、股权等相关投资；网络技术服务、电脑游戏软件开发、计算机、软件及辅助设备销售、第二类增值电信业务中的信息 服务业务（不含固定网电话信息服务和互联网信息服务）。</w:t>
      </w:r>
    </w:p>
    <w:p>
      <w:pPr>
        <w:pStyle w:val="Style23"/>
        <w:keepNext w:val="0"/>
        <w:keepLines w:val="0"/>
        <w:widowControl w:val="0"/>
        <w:shd w:val="clear" w:color="auto" w:fill="auto"/>
        <w:bidi w:val="0"/>
        <w:spacing w:before="0" w:after="80" w:line="240" w:lineRule="auto"/>
        <w:ind w:left="0" w:right="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日起，公司的实际控制人由汪超涌先生及李亦非女士变更为重庆市璧山区财政局。</w:t>
      </w:r>
    </w:p>
    <w:p>
      <w:pPr>
        <w:pStyle w:val="Style23"/>
        <w:keepNext w:val="0"/>
        <w:keepLines w:val="0"/>
        <w:widowControl w:val="0"/>
        <w:shd w:val="clear" w:color="auto" w:fill="auto"/>
        <w:bidi w:val="0"/>
        <w:spacing w:before="0" w:after="80" w:line="240" w:lineRule="auto"/>
        <w:ind w:left="0" w:right="0" w:firstLine="30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28</w:t>
      </w:r>
      <w:r>
        <w:rPr>
          <w:color w:val="000000"/>
          <w:spacing w:val="0"/>
          <w:w w:val="100"/>
          <w:position w:val="0"/>
        </w:rPr>
        <w:t>户，具体包括：</w:t>
      </w:r>
    </w:p>
    <w:tbl>
      <w:tblPr>
        <w:tblOverlap w:val="never"/>
        <w:jc w:val="center"/>
        <w:tblLayout w:type="fixed"/>
      </w:tblPr>
      <w:tblGrid>
        <w:gridCol w:w="4416"/>
        <w:gridCol w:w="1872"/>
        <w:gridCol w:w="912"/>
        <w:gridCol w:w="1162"/>
        <w:gridCol w:w="1315"/>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子公司类型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级次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表决权比例（%）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重庆惠程未来智能电气有限公司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香港惠程有限公司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深圳市惠程智能电力设备有限公司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中汇联银投资管理（北京）有限公司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中行置盛投资（北京）有限公司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中融建银投资（北京）有限公司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豪琛投资管理（上海）有限公司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鹏胤投资管理（上海）有限公司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北京中汇同盈咨询服务有限公司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喀什中汇联银创业投资有限公司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中汇联鑫股权投资管理（深圳）合伙企业（有限合伙）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铁匣电力设备（深圳）有限责任公司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深圳市一零电力设备有限责任公司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深圳市零玖电力设备有限责任公司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链接世界株式会社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成都哆可梦网络科技有限公司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成都吉乾科技有限公司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上海旭梅网络科技有限公司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上海游湛网络科技有限公司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上海华向文化传播有限公司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翔瑞科技有限公司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成都缘中缘网络科技有限公司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成都致合世纪网络科技有限公司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成都多趣网络科技有限公司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江西省高奇网络科技有限公司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重庆合盛网络科技有限公司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77.57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6"/>
                <w:szCs w:val="16"/>
              </w:rPr>
            </w:pPr>
            <w:r>
              <w:rPr>
                <w:rFonts w:ascii="SimSun" w:eastAsia="SimSun" w:hAnsi="SimSun" w:cs="SimSun"/>
                <w:color w:val="000000"/>
                <w:spacing w:val="0"/>
                <w:w w:val="100"/>
                <w:position w:val="0"/>
                <w:sz w:val="16"/>
                <w:szCs w:val="16"/>
              </w:rPr>
              <w:t xml:space="preserve">77. </w:t>
            </w:r>
            <w:r>
              <w:rPr>
                <w:rFonts w:ascii="SimSun" w:eastAsia="SimSun" w:hAnsi="SimSun" w:cs="SimSun"/>
                <w:color w:val="000000"/>
                <w:spacing w:val="0"/>
                <w:w w:val="100"/>
                <w:position w:val="0"/>
                <w:sz w:val="16"/>
                <w:szCs w:val="16"/>
              </w:rPr>
              <w:t>57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上海季娱网络科技有限公司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bl>
    <w:tbl>
      <w:tblPr>
        <w:tblOverlap w:val="never"/>
        <w:jc w:val="center"/>
        <w:tblLayout w:type="fixed"/>
      </w:tblPr>
      <w:tblGrid>
        <w:gridCol w:w="4416"/>
        <w:gridCol w:w="1872"/>
        <w:gridCol w:w="912"/>
        <w:gridCol w:w="1162"/>
        <w:gridCol w:w="1315"/>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成都珂星网络科技有限公司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w:t>
            </w:r>
          </w:p>
        </w:tc>
      </w:tr>
    </w:tbl>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报告期内，合并报表范围相比上年，新增了公司全资子公司一重庆惠程未来智能电气有限公司及控股子公司一重庆 合盛网络科技有限公司。</w:t>
      </w:r>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8"/>
        <w:keepNext/>
        <w:keepLines/>
        <w:widowControl w:val="0"/>
        <w:shd w:val="clear" w:color="auto" w:fill="auto"/>
        <w:tabs>
          <w:tab w:pos="498" w:val="left"/>
        </w:tabs>
        <w:bidi w:val="0"/>
        <w:spacing w:before="0" w:after="38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sz w:val="24"/>
          <w:szCs w:val="24"/>
        </w:rPr>
        <w:t>四</w:t>
      </w:r>
      <w:bookmarkEnd w:id="739"/>
      <w:r>
        <w:rPr>
          <w:color w:val="000000"/>
          <w:spacing w:val="0"/>
          <w:w w:val="100"/>
          <w:position w:val="0"/>
          <w:sz w:val="24"/>
          <w:szCs w:val="24"/>
        </w:rPr>
        <w:t>、</w:t>
        <w:tab/>
        <w:t>财务报表的编制基础</w:t>
      </w:r>
      <w:bookmarkEnd w:id="737"/>
      <w:bookmarkEnd w:id="738"/>
      <w:bookmarkEnd w:id="740"/>
    </w:p>
    <w:p>
      <w:pPr>
        <w:pStyle w:val="Style34"/>
        <w:keepNext/>
        <w:keepLines/>
        <w:widowControl w:val="0"/>
        <w:shd w:val="clear" w:color="auto" w:fill="auto"/>
        <w:tabs>
          <w:tab w:pos="368"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编制基础</w:t>
      </w:r>
      <w:bookmarkEnd w:id="741"/>
      <w:bookmarkEnd w:id="742"/>
      <w:bookmarkEnd w:id="744"/>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公司以持续经营为财务报表的编制基础，以权责发生制为记账基础。公司一般采用历史成本对会计要素进行计量，在保 证所确定的会计要素金额能够取得并可靠计量的前提下采用重置成本、可变现净值、现值及公允价值进行计量，根据实际发 生的交易和事项，按照财政部颁布的《企业会计准则》及相关规定，并基于本附注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 政策和会计估计编制。</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持续经营</w:t>
      </w:r>
      <w:bookmarkEnd w:id="745"/>
      <w:bookmarkEnd w:id="746"/>
      <w:bookmarkEnd w:id="748"/>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本公司无影响持续经营能力的事项，预计未来十二个月内具备持续经营的能力，本公司的财务报表系在持续经营假设的 基础上编制。</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五</w:t>
      </w:r>
      <w:bookmarkEnd w:id="751"/>
      <w:r>
        <w:rPr>
          <w:color w:val="000000"/>
          <w:spacing w:val="0"/>
          <w:w w:val="100"/>
          <w:position w:val="0"/>
          <w:sz w:val="24"/>
          <w:szCs w:val="24"/>
        </w:rPr>
        <w:t>、</w:t>
        <w:tab/>
        <w:t>重要会计政策及会计估计</w:t>
      </w:r>
      <w:bookmarkEnd w:id="749"/>
      <w:bookmarkEnd w:id="750"/>
      <w:bookmarkEnd w:id="752"/>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详见以下内容。</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遵循企业会计准则的声明</w:t>
      </w:r>
      <w:bookmarkEnd w:id="753"/>
      <w:bookmarkEnd w:id="754"/>
      <w:bookmarkEnd w:id="756"/>
    </w:p>
    <w:p>
      <w:pPr>
        <w:pStyle w:val="Style23"/>
        <w:keepNext w:val="0"/>
        <w:keepLines w:val="0"/>
        <w:widowControl w:val="0"/>
        <w:shd w:val="clear" w:color="auto" w:fill="auto"/>
        <w:bidi w:val="0"/>
        <w:spacing w:before="0" w:after="380" w:line="310" w:lineRule="exact"/>
        <w:ind w:left="0" w:right="0"/>
        <w:jc w:val="left"/>
      </w:pPr>
      <w:r>
        <w:rPr>
          <w:color w:val="000000"/>
          <w:spacing w:val="0"/>
          <w:w w:val="100"/>
          <w:position w:val="0"/>
        </w:rPr>
        <w:t>公司财务报表及附注系按财政部颁布的《企业会计准则》、应用指南、企业会计准则解释、中国证券监督管理委员会 发布的《公开发行证券的公司信息披露编报规则第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》以及相关补充规定的要求编制， 真实、完整地反映了公司的财务状况、经营成果和现金流量等有关信息。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会计期间</w:t>
      </w:r>
      <w:bookmarkEnd w:id="757"/>
      <w:bookmarkEnd w:id="758"/>
      <w:bookmarkEnd w:id="760"/>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营业周期</w:t>
      </w:r>
      <w:bookmarkEnd w:id="761"/>
      <w:bookmarkEnd w:id="762"/>
      <w:bookmarkEnd w:id="764"/>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记账本位币</w:t>
      </w:r>
      <w:bookmarkEnd w:id="765"/>
      <w:bookmarkEnd w:id="766"/>
      <w:bookmarkEnd w:id="768"/>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本公司以人民币为记账本位币。</w:t>
      </w:r>
    </w:p>
    <w:p>
      <w:pPr>
        <w:pStyle w:val="Style34"/>
        <w:keepNext/>
        <w:keepLines/>
        <w:widowControl w:val="0"/>
        <w:shd w:val="clear" w:color="auto" w:fill="auto"/>
        <w:tabs>
          <w:tab w:pos="378" w:val="left"/>
        </w:tabs>
        <w:bidi w:val="0"/>
        <w:spacing w:before="0" w:after="3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同一控制下和非同一控制下企业合并的会计处理方法</w:t>
      </w:r>
      <w:bookmarkEnd w:id="769"/>
      <w:bookmarkEnd w:id="770"/>
      <w:bookmarkEnd w:id="772"/>
    </w:p>
    <w:p>
      <w:pPr>
        <w:pStyle w:val="Style23"/>
        <w:keepNext w:val="0"/>
        <w:keepLines w:val="0"/>
        <w:widowControl w:val="0"/>
        <w:numPr>
          <w:ilvl w:val="0"/>
          <w:numId w:val="37"/>
        </w:numPr>
        <w:shd w:val="clear" w:color="auto" w:fill="auto"/>
        <w:bidi w:val="0"/>
        <w:spacing w:before="0" w:after="100"/>
        <w:ind w:left="0" w:right="0" w:firstLine="440"/>
        <w:jc w:val="both"/>
      </w:pPr>
      <w:bookmarkStart w:id="773" w:name="bookmark773"/>
      <w:bookmarkEnd w:id="773"/>
      <w:r>
        <w:rPr>
          <w:color w:val="000000"/>
          <w:spacing w:val="0"/>
          <w:w w:val="100"/>
          <w:position w:val="0"/>
        </w:rPr>
        <w:t xml:space="preserve">在同一控制下的企业合并中，公司作为购买方取得对其他参与合并企业的控制权，如以支付现金、转让非现金资产 </w:t>
      </w:r>
      <w:r>
        <w:rPr>
          <w:color w:val="000000"/>
          <w:spacing w:val="0"/>
          <w:w w:val="100"/>
          <w:position w:val="0"/>
        </w:rPr>
        <w:t>或承担债务方式作为合并对价的，在合并日按照被合并方所有者权益在最终控制方合并财务报表中的账面价值的份额作为长 期股权投资的初始投资成本，长期股权投资初始投资成本与支付的现金、转让的非现金资产以及所承担债务账面价值之间的 差额，调整资本公积；资本公积不足冲减的，调整留存收益；如以发行权益性证券作为合并对价的，在合并日按照被合并方 所有者权益在最终控制方合并财务报表中的账面价值的份额作为长期股权投资的初始投资成本，按照发行股份的面值总额作 为股本，长期股权投资初始投资成本与所发行股份面值总额之间的差额，调整资本公积，资本公积不足冲减的，调整留存收 益。为进行企业合并发生的审计、法律服务、评估咨询等中介费用以及其他相关管理费用，于发生时计入当期损益。为企业 合并发行的债券或承担其他债务支付的手续费、佣金等，应当计入所发行债券及其他债务的初始计量金额。企业合并中发行 权益性证券发生的手续费、佣金等费用，应当抵减权益性证券溢价收入，溢价收入不足冲减的，冲减留存收益。</w:t>
      </w:r>
    </w:p>
    <w:p>
      <w:pPr>
        <w:pStyle w:val="Style23"/>
        <w:keepNext w:val="0"/>
        <w:keepLines w:val="0"/>
        <w:widowControl w:val="0"/>
        <w:numPr>
          <w:ilvl w:val="0"/>
          <w:numId w:val="37"/>
        </w:numPr>
        <w:shd w:val="clear" w:color="auto" w:fill="auto"/>
        <w:tabs>
          <w:tab w:pos="719" w:val="left"/>
        </w:tabs>
        <w:bidi w:val="0"/>
        <w:spacing w:before="0" w:after="0"/>
        <w:ind w:left="0" w:right="0" w:firstLine="440"/>
        <w:jc w:val="both"/>
      </w:pPr>
      <w:bookmarkStart w:id="774" w:name="bookmark774"/>
      <w:bookmarkEnd w:id="774"/>
      <w:r>
        <w:rPr>
          <w:color w:val="000000"/>
          <w:spacing w:val="0"/>
          <w:w w:val="100"/>
          <w:position w:val="0"/>
        </w:rPr>
        <w:t>公司对外合并如属非同一控制下的企业合并，按下列情况确定长期股权投资的初始投资成本：</w:t>
      </w:r>
    </w:p>
    <w:p>
      <w:pPr>
        <w:pStyle w:val="Style23"/>
        <w:keepNext w:val="0"/>
        <w:keepLines w:val="0"/>
        <w:widowControl w:val="0"/>
        <w:numPr>
          <w:ilvl w:val="0"/>
          <w:numId w:val="39"/>
        </w:numPr>
        <w:shd w:val="clear" w:color="auto" w:fill="auto"/>
        <w:tabs>
          <w:tab w:pos="735" w:val="left"/>
        </w:tabs>
        <w:bidi w:val="0"/>
        <w:spacing w:before="0" w:after="0" w:line="313" w:lineRule="exact"/>
        <w:ind w:left="0" w:right="0" w:firstLine="440"/>
        <w:jc w:val="both"/>
      </w:pPr>
      <w:bookmarkStart w:id="775" w:name="bookmark775"/>
      <w:bookmarkEnd w:id="775"/>
      <w:r>
        <w:rPr>
          <w:color w:val="000000"/>
          <w:spacing w:val="0"/>
          <w:w w:val="100"/>
          <w:position w:val="0"/>
        </w:rPr>
        <w:t>一次交换交易实现的企业合并，长期股权投资的初始投资成本为购买方在购买日为取得对被购买方的控制权而付出 的资产、发生或承担的负债以及发行的权益性证券的公允价值；</w:t>
      </w:r>
    </w:p>
    <w:p>
      <w:pPr>
        <w:pStyle w:val="Style23"/>
        <w:keepNext w:val="0"/>
        <w:keepLines w:val="0"/>
        <w:widowControl w:val="0"/>
        <w:numPr>
          <w:ilvl w:val="0"/>
          <w:numId w:val="39"/>
        </w:numPr>
        <w:shd w:val="clear" w:color="auto" w:fill="auto"/>
        <w:tabs>
          <w:tab w:pos="771" w:val="left"/>
        </w:tabs>
        <w:bidi w:val="0"/>
        <w:spacing w:before="0" w:after="0" w:line="313" w:lineRule="exact"/>
        <w:ind w:left="0" w:right="0" w:firstLine="440"/>
        <w:jc w:val="both"/>
      </w:pPr>
      <w:bookmarkStart w:id="776" w:name="bookmark776"/>
      <w:bookmarkEnd w:id="776"/>
      <w:r>
        <w:rPr>
          <w:color w:val="000000"/>
          <w:spacing w:val="0"/>
          <w:w w:val="100"/>
          <w:position w:val="0"/>
        </w:rPr>
        <w:t>通过多次交换交易分步实现的企业合并，长期股权投资的初始投资成本为每一单项交易成本之和；</w:t>
      </w:r>
    </w:p>
    <w:p>
      <w:pPr>
        <w:pStyle w:val="Style23"/>
        <w:keepNext w:val="0"/>
        <w:keepLines w:val="0"/>
        <w:widowControl w:val="0"/>
        <w:numPr>
          <w:ilvl w:val="0"/>
          <w:numId w:val="39"/>
        </w:numPr>
        <w:shd w:val="clear" w:color="auto" w:fill="auto"/>
        <w:tabs>
          <w:tab w:pos="749" w:val="left"/>
        </w:tabs>
        <w:bidi w:val="0"/>
        <w:spacing w:before="0" w:after="0" w:line="313" w:lineRule="exact"/>
        <w:ind w:left="0" w:right="0" w:firstLine="440"/>
        <w:jc w:val="both"/>
      </w:pPr>
      <w:bookmarkStart w:id="777" w:name="bookmark777"/>
      <w:bookmarkEnd w:id="777"/>
      <w:r>
        <w:rPr>
          <w:color w:val="000000"/>
          <w:spacing w:val="0"/>
          <w:w w:val="100"/>
          <w:position w:val="0"/>
        </w:rPr>
        <w:t>为进行企业合并发生的审计、法律服务、评估咨询等中介费用以及其他相关管理费用，于发生时计入当期损益；作 为合并对价发行的权益性证券或债务性证券的交易费用，计入权益性证券或债务性证券的初始确认金额；</w:t>
      </w:r>
    </w:p>
    <w:p>
      <w:pPr>
        <w:pStyle w:val="Style23"/>
        <w:keepNext w:val="0"/>
        <w:keepLines w:val="0"/>
        <w:widowControl w:val="0"/>
        <w:numPr>
          <w:ilvl w:val="0"/>
          <w:numId w:val="39"/>
        </w:numPr>
        <w:shd w:val="clear" w:color="auto" w:fill="auto"/>
        <w:tabs>
          <w:tab w:pos="744" w:val="left"/>
        </w:tabs>
        <w:bidi w:val="0"/>
        <w:spacing w:before="0" w:after="0" w:line="313" w:lineRule="exact"/>
        <w:ind w:left="0" w:right="0" w:firstLine="440"/>
        <w:jc w:val="both"/>
      </w:pPr>
      <w:bookmarkStart w:id="778" w:name="bookmark778"/>
      <w:bookmarkEnd w:id="778"/>
      <w:r>
        <w:rPr>
          <w:color w:val="000000"/>
          <w:spacing w:val="0"/>
          <w:w w:val="100"/>
          <w:position w:val="0"/>
        </w:rPr>
        <w:t>在合并合同或协议中对可能影响合并成本的未来事项作出约定的，在购买日如果估计未来事项很可能发生并且对合 并成本的影响金额能够可靠计量的，将其计入长期股权投资的初始投资成本。</w:t>
      </w:r>
    </w:p>
    <w:p>
      <w:pPr>
        <w:pStyle w:val="Style23"/>
        <w:keepNext w:val="0"/>
        <w:keepLines w:val="0"/>
        <w:widowControl w:val="0"/>
        <w:numPr>
          <w:ilvl w:val="0"/>
          <w:numId w:val="37"/>
        </w:numPr>
        <w:shd w:val="clear" w:color="auto" w:fill="auto"/>
        <w:tabs>
          <w:tab w:pos="696" w:val="left"/>
        </w:tabs>
        <w:bidi w:val="0"/>
        <w:spacing w:before="0" w:after="0" w:line="313" w:lineRule="exact"/>
        <w:ind w:left="0" w:right="0" w:firstLine="440"/>
        <w:jc w:val="both"/>
      </w:pPr>
      <w:bookmarkStart w:id="779" w:name="bookmark779"/>
      <w:bookmarkEnd w:id="779"/>
      <w:r>
        <w:rPr>
          <w:color w:val="000000"/>
          <w:spacing w:val="0"/>
          <w:w w:val="100"/>
          <w:position w:val="0"/>
        </w:rPr>
        <w:t>公司对外合并如属非同一控制下的企业合并，对长期股权投资的初始投资成本大于合并中取得的被购买方可辨认净 资产公允价值份额的差额，确认为商誉。</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对长期股权投资的初始投资成本小于合并中取得的被购买方可辨认净资产公允价值份额的差额，按照下列方法处理：</w:t>
      </w:r>
    </w:p>
    <w:p>
      <w:pPr>
        <w:pStyle w:val="Style23"/>
        <w:keepNext w:val="0"/>
        <w:keepLines w:val="0"/>
        <w:widowControl w:val="0"/>
        <w:numPr>
          <w:ilvl w:val="0"/>
          <w:numId w:val="41"/>
        </w:numPr>
        <w:shd w:val="clear" w:color="auto" w:fill="auto"/>
        <w:tabs>
          <w:tab w:pos="771" w:val="left"/>
        </w:tabs>
        <w:bidi w:val="0"/>
        <w:spacing w:before="0" w:after="0" w:line="313" w:lineRule="exact"/>
        <w:ind w:left="0" w:right="0" w:firstLine="440"/>
        <w:jc w:val="both"/>
      </w:pPr>
      <w:bookmarkStart w:id="780" w:name="bookmark780"/>
      <w:bookmarkEnd w:id="780"/>
      <w:r>
        <w:rPr>
          <w:color w:val="000000"/>
          <w:spacing w:val="0"/>
          <w:w w:val="100"/>
          <w:position w:val="0"/>
        </w:rPr>
        <w:t>对取得的被购买方各项可辨认资产、负债及或有负债的公允价值以及合并成本的计量进行复核；</w:t>
      </w:r>
    </w:p>
    <w:p>
      <w:pPr>
        <w:pStyle w:val="Style23"/>
        <w:keepNext w:val="0"/>
        <w:keepLines w:val="0"/>
        <w:widowControl w:val="0"/>
        <w:numPr>
          <w:ilvl w:val="0"/>
          <w:numId w:val="41"/>
        </w:numPr>
        <w:shd w:val="clear" w:color="auto" w:fill="auto"/>
        <w:tabs>
          <w:tab w:pos="771" w:val="left"/>
        </w:tabs>
        <w:bidi w:val="0"/>
        <w:spacing w:before="0" w:after="400" w:line="313" w:lineRule="exact"/>
        <w:ind w:left="0" w:right="0" w:firstLine="440"/>
        <w:jc w:val="both"/>
      </w:pPr>
      <w:bookmarkStart w:id="781" w:name="bookmark781"/>
      <w:bookmarkEnd w:id="781"/>
      <w:r>
        <w:rPr>
          <w:color w:val="000000"/>
          <w:spacing w:val="0"/>
          <w:w w:val="100"/>
          <w:position w:val="0"/>
        </w:rPr>
        <w:t>经复核后合并成本仍小于合并中取得的被购买方可辨认净资产公允价值份额的，其差额应当计入当期损益。</w:t>
      </w:r>
    </w:p>
    <w:p>
      <w:pPr>
        <w:pStyle w:val="Style34"/>
        <w:keepNext/>
        <w:keepLines/>
        <w:widowControl w:val="0"/>
        <w:shd w:val="clear" w:color="auto" w:fill="auto"/>
        <w:bidi w:val="0"/>
        <w:spacing w:before="0" w:after="26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、合并财务报表的编制方法</w:t>
      </w:r>
      <w:bookmarkEnd w:id="782"/>
      <w:bookmarkEnd w:id="783"/>
      <w:bookmarkEnd w:id="785"/>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合并财务报表的合并范围以控制为基础予以确定。控制，是指投资方拥有对被投资方的权力，通过参与被投资方的相关 活动而享有可变回报，并且有能力运用对被投资方的权力影响其回报金额。</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母公司应当将其全部子公司纳入合并财务报表的合并范围。子公司，是指被公司控制的主体(含企业、被投资单位中可 分割的部分，以及企业所控制的结构化主体等)。</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如果母公司是投资性主体，则母公司应当仅将为其投资活动提供相关服务的子公司(如有)纳入合并范围并编制合并财务 报表；其他子公司不应当予以合并，母公司对其他子公司的投资应当按照公允价值计量且其变动计入当期损益。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当母公司同时满足下列条件时，该母公司属于投资性主体：</w:t>
      </w:r>
    </w:p>
    <w:p>
      <w:pPr>
        <w:pStyle w:val="Style23"/>
        <w:keepNext w:val="0"/>
        <w:keepLines w:val="0"/>
        <w:widowControl w:val="0"/>
        <w:numPr>
          <w:ilvl w:val="0"/>
          <w:numId w:val="43"/>
        </w:numPr>
        <w:shd w:val="clear" w:color="auto" w:fill="auto"/>
        <w:tabs>
          <w:tab w:pos="735" w:val="left"/>
        </w:tabs>
        <w:bidi w:val="0"/>
        <w:spacing w:before="0" w:after="0" w:line="312" w:lineRule="exact"/>
        <w:ind w:left="0" w:right="0"/>
        <w:jc w:val="both"/>
      </w:pPr>
      <w:bookmarkStart w:id="786" w:name="bookmark786"/>
      <w:bookmarkEnd w:id="786"/>
      <w:r>
        <w:rPr>
          <w:color w:val="000000"/>
          <w:spacing w:val="0"/>
          <w:w w:val="100"/>
          <w:position w:val="0"/>
        </w:rPr>
        <w:t>该母公司是以向投资者提供投资管理服务为目的，从一个或多个投资者处获取资金；</w:t>
      </w:r>
    </w:p>
    <w:p>
      <w:pPr>
        <w:pStyle w:val="Style23"/>
        <w:keepNext w:val="0"/>
        <w:keepLines w:val="0"/>
        <w:widowControl w:val="0"/>
        <w:numPr>
          <w:ilvl w:val="0"/>
          <w:numId w:val="43"/>
        </w:numPr>
        <w:shd w:val="clear" w:color="auto" w:fill="auto"/>
        <w:tabs>
          <w:tab w:pos="735" w:val="left"/>
        </w:tabs>
        <w:bidi w:val="0"/>
        <w:spacing w:before="0" w:after="0" w:line="312" w:lineRule="exact"/>
        <w:ind w:left="0" w:right="0"/>
        <w:jc w:val="both"/>
      </w:pPr>
      <w:bookmarkStart w:id="787" w:name="bookmark787"/>
      <w:bookmarkEnd w:id="787"/>
      <w:r>
        <w:rPr>
          <w:color w:val="000000"/>
          <w:spacing w:val="0"/>
          <w:w w:val="100"/>
          <w:position w:val="0"/>
        </w:rPr>
        <w:t>该母公司的唯一经营目的，是通过资本增值、投资收益或两者兼有而让投资者获得回报；</w:t>
      </w:r>
    </w:p>
    <w:p>
      <w:pPr>
        <w:pStyle w:val="Style23"/>
        <w:keepNext w:val="0"/>
        <w:keepLines w:val="0"/>
        <w:widowControl w:val="0"/>
        <w:numPr>
          <w:ilvl w:val="0"/>
          <w:numId w:val="43"/>
        </w:numPr>
        <w:shd w:val="clear" w:color="auto" w:fill="auto"/>
        <w:tabs>
          <w:tab w:pos="735" w:val="left"/>
        </w:tabs>
        <w:bidi w:val="0"/>
        <w:spacing w:before="0" w:after="0" w:line="312" w:lineRule="exact"/>
        <w:ind w:left="0" w:right="0"/>
        <w:jc w:val="both"/>
      </w:pPr>
      <w:bookmarkStart w:id="788" w:name="bookmark788"/>
      <w:bookmarkEnd w:id="788"/>
      <w:r>
        <w:rPr>
          <w:color w:val="000000"/>
          <w:spacing w:val="0"/>
          <w:w w:val="100"/>
          <w:position w:val="0"/>
        </w:rPr>
        <w:t>该母公司按照公允价值对几乎所有投资的业绩进行考量和评价。</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编制合并报表时，公司与被合并子公司采用统一的会计政策和期间。合并财务报表以公司和子公司的财务报表为基础， 在抵销公司与子公司、子公司相互之间发生的内部交易对合并财务报表的影响后，由公司合并编制。公司在报告期内因同一 控制下企业合并增加的子公司，编制合并资产负债表时，调整合并资产负债表的年初数。因非同一控制下企业合并增加的子 公司，编制合并资产负债表时，不调整合并资产负债表的年初数。公司在报告期内因同一控制下企业合并增加的子公司，将 该子公司合并当期年初至报告期末的收入、费用、利润及现金流量纳入合并利润表及现金流量表。因非同一控制下企业合并 增加的子公司，将该子公司购买日至报告期末的收入、费用、利润及现金流量纳入合并利润表及现金流量表。公司在报告期 内处置子公司，将该子公司年初至处置日的收入、费用、利润及现金流量纳入合并利润表及现金流量表。</w:t>
      </w:r>
    </w:p>
    <w:p>
      <w:pPr>
        <w:pStyle w:val="Style23"/>
        <w:keepNext w:val="0"/>
        <w:keepLines w:val="0"/>
        <w:widowControl w:val="0"/>
        <w:shd w:val="clear" w:color="auto" w:fill="auto"/>
        <w:bidi w:val="0"/>
        <w:spacing w:before="0" w:after="60" w:line="312" w:lineRule="exact"/>
        <w:ind w:left="0" w:right="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 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 本公积不足冲减的，调整留存收益。</w:t>
      </w:r>
    </w:p>
    <w:p>
      <w:pPr>
        <w:pStyle w:val="Style23"/>
        <w:keepNext w:val="0"/>
        <w:keepLines w:val="0"/>
        <w:widowControl w:val="0"/>
        <w:shd w:val="clear" w:color="auto" w:fill="auto"/>
        <w:bidi w:val="0"/>
        <w:spacing w:before="0" w:after="380" w:line="315" w:lineRule="exact"/>
        <w:ind w:left="0" w:right="0"/>
        <w:jc w:val="both"/>
      </w:pPr>
      <w:r>
        <w:rPr>
          <w:color w:val="000000"/>
          <w:spacing w:val="0"/>
          <w:w w:val="100"/>
          <w:position w:val="0"/>
        </w:rPr>
        <w:t>企业因处置部分股权投资等原因丧失了对被投资方的控制权的，在编制合并财务报表时，对于剩余股权，应当按照其在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子公司自购买日或合并日开始持续计算的净资产的份额之间的差额，计入丧失控制权当期的投资收益，同时冲减商誉。与原 有子公司股权投资相关的其他综合收益等，应当在丧失控制权时转为当期投资收益，由于被投资方重新计量设定受益计划净 负债或净资产变动而产生的其他综合收益除外。</w:t>
      </w:r>
    </w:p>
    <w:p>
      <w:pPr>
        <w:pStyle w:val="Style34"/>
        <w:keepNext/>
        <w:keepLines/>
        <w:widowControl w:val="0"/>
        <w:shd w:val="clear" w:color="auto" w:fill="auto"/>
        <w:tabs>
          <w:tab w:pos="373"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7</w:t>
      </w:r>
      <w:bookmarkEnd w:id="791"/>
      <w:r>
        <w:rPr>
          <w:color w:val="000000"/>
          <w:spacing w:val="0"/>
          <w:w w:val="100"/>
          <w:position w:val="0"/>
        </w:rPr>
        <w:t>、</w:t>
        <w:tab/>
        <w:t>合营安排分类及共同经营会计处理方法</w:t>
      </w:r>
      <w:bookmarkEnd w:id="789"/>
      <w:bookmarkEnd w:id="790"/>
      <w:bookmarkEnd w:id="792"/>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合营安排分为共同经营和合营企业。</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共同经营，是指合营方享有该安排相关资产且承担该安排相关负债的合营安排。公司确认其与共同经营中利益份额相 关的下列项目，并按照相关企业会计准则的规定进行会计处理：</w:t>
      </w:r>
    </w:p>
    <w:p>
      <w:pPr>
        <w:pStyle w:val="Style23"/>
        <w:keepNext w:val="0"/>
        <w:keepLines w:val="0"/>
        <w:widowControl w:val="0"/>
        <w:numPr>
          <w:ilvl w:val="0"/>
          <w:numId w:val="45"/>
        </w:numPr>
        <w:shd w:val="clear" w:color="auto" w:fill="auto"/>
        <w:tabs>
          <w:tab w:pos="837" w:val="left"/>
        </w:tabs>
        <w:bidi w:val="0"/>
        <w:spacing w:before="0" w:after="0" w:line="312" w:lineRule="exact"/>
        <w:ind w:left="0" w:right="0" w:firstLine="440"/>
        <w:jc w:val="both"/>
      </w:pPr>
      <w:bookmarkStart w:id="793" w:name="bookmark793"/>
      <w:bookmarkEnd w:id="793"/>
      <w:r>
        <w:rPr>
          <w:color w:val="000000"/>
          <w:spacing w:val="0"/>
          <w:w w:val="100"/>
          <w:position w:val="0"/>
        </w:rPr>
        <w:t>确认单独所持有的资产，以及按其份额确认共同持有的资产；</w:t>
      </w:r>
    </w:p>
    <w:p>
      <w:pPr>
        <w:pStyle w:val="Style23"/>
        <w:keepNext w:val="0"/>
        <w:keepLines w:val="0"/>
        <w:widowControl w:val="0"/>
        <w:numPr>
          <w:ilvl w:val="0"/>
          <w:numId w:val="45"/>
        </w:numPr>
        <w:shd w:val="clear" w:color="auto" w:fill="auto"/>
        <w:tabs>
          <w:tab w:pos="837" w:val="left"/>
        </w:tabs>
        <w:bidi w:val="0"/>
        <w:spacing w:before="0" w:after="0" w:line="312" w:lineRule="exact"/>
        <w:ind w:left="0" w:right="0" w:firstLine="440"/>
        <w:jc w:val="both"/>
      </w:pPr>
      <w:bookmarkStart w:id="794" w:name="bookmark794"/>
      <w:bookmarkEnd w:id="794"/>
      <w:r>
        <w:rPr>
          <w:color w:val="000000"/>
          <w:spacing w:val="0"/>
          <w:w w:val="100"/>
          <w:position w:val="0"/>
        </w:rPr>
        <w:t>确认单独所承担的负债，以及按其份额确认共同承担的负债；</w:t>
      </w:r>
    </w:p>
    <w:p>
      <w:pPr>
        <w:pStyle w:val="Style23"/>
        <w:keepNext w:val="0"/>
        <w:keepLines w:val="0"/>
        <w:widowControl w:val="0"/>
        <w:numPr>
          <w:ilvl w:val="0"/>
          <w:numId w:val="45"/>
        </w:numPr>
        <w:shd w:val="clear" w:color="auto" w:fill="auto"/>
        <w:tabs>
          <w:tab w:pos="837" w:val="left"/>
        </w:tabs>
        <w:bidi w:val="0"/>
        <w:spacing w:before="0" w:after="0" w:line="312" w:lineRule="exact"/>
        <w:ind w:left="0" w:right="0" w:firstLine="440"/>
        <w:jc w:val="both"/>
      </w:pPr>
      <w:bookmarkStart w:id="795" w:name="bookmark795"/>
      <w:bookmarkEnd w:id="795"/>
      <w:r>
        <w:rPr>
          <w:color w:val="000000"/>
          <w:spacing w:val="0"/>
          <w:w w:val="100"/>
          <w:position w:val="0"/>
        </w:rPr>
        <w:t>确认出售其享有的共同经营产出份额所产生的收入；</w:t>
      </w:r>
    </w:p>
    <w:p>
      <w:pPr>
        <w:pStyle w:val="Style23"/>
        <w:keepNext w:val="0"/>
        <w:keepLines w:val="0"/>
        <w:widowControl w:val="0"/>
        <w:numPr>
          <w:ilvl w:val="0"/>
          <w:numId w:val="45"/>
        </w:numPr>
        <w:shd w:val="clear" w:color="auto" w:fill="auto"/>
        <w:tabs>
          <w:tab w:pos="837" w:val="left"/>
        </w:tabs>
        <w:bidi w:val="0"/>
        <w:spacing w:before="0" w:after="0" w:line="312" w:lineRule="exact"/>
        <w:ind w:left="0" w:right="0" w:firstLine="440"/>
        <w:jc w:val="both"/>
      </w:pPr>
      <w:bookmarkStart w:id="796" w:name="bookmark796"/>
      <w:bookmarkEnd w:id="796"/>
      <w:r>
        <w:rPr>
          <w:color w:val="000000"/>
          <w:spacing w:val="0"/>
          <w:w w:val="100"/>
          <w:position w:val="0"/>
        </w:rPr>
        <w:t>按其份额确认共同经营因出售产出所产生的收入；</w:t>
      </w:r>
    </w:p>
    <w:p>
      <w:pPr>
        <w:pStyle w:val="Style23"/>
        <w:keepNext w:val="0"/>
        <w:keepLines w:val="0"/>
        <w:widowControl w:val="0"/>
        <w:numPr>
          <w:ilvl w:val="0"/>
          <w:numId w:val="45"/>
        </w:numPr>
        <w:shd w:val="clear" w:color="auto" w:fill="auto"/>
        <w:tabs>
          <w:tab w:pos="837" w:val="left"/>
        </w:tabs>
        <w:bidi w:val="0"/>
        <w:spacing w:before="0" w:after="0" w:line="312" w:lineRule="exact"/>
        <w:ind w:left="0" w:right="0" w:firstLine="440"/>
        <w:jc w:val="both"/>
      </w:pPr>
      <w:bookmarkStart w:id="797" w:name="bookmark797"/>
      <w:bookmarkEnd w:id="797"/>
      <w:r>
        <w:rPr>
          <w:color w:val="000000"/>
          <w:spacing w:val="0"/>
          <w:w w:val="100"/>
          <w:position w:val="0"/>
        </w:rPr>
        <w:t>确认单独所发生的费用，以及按其份额确认共同经营发生的费用。</w:t>
      </w:r>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合营企业，是指合营方仅对该安排的净资产享有权利的合营安排。公司按照权益法对合营企业的投资进行会计处理。</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8</w:t>
      </w:r>
      <w:bookmarkEnd w:id="800"/>
      <w:r>
        <w:rPr>
          <w:color w:val="000000"/>
          <w:spacing w:val="0"/>
          <w:w w:val="100"/>
          <w:position w:val="0"/>
        </w:rPr>
        <w:t>、</w:t>
        <w:tab/>
        <w:t>现金及现金等价物的确定标准</w:t>
      </w:r>
      <w:bookmarkEnd w:id="798"/>
      <w:bookmarkEnd w:id="799"/>
      <w:bookmarkEnd w:id="801"/>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现金是指库存现金以及可以随时用于支付的存款。现金等价物是指公司持有的期限短、流动性强、易于转换为已知金 额现金、价值变动风险很小的投资。</w:t>
      </w:r>
    </w:p>
    <w:p>
      <w:pPr>
        <w:pStyle w:val="Style34"/>
        <w:keepNext/>
        <w:keepLines/>
        <w:widowControl w:val="0"/>
        <w:shd w:val="clear" w:color="auto" w:fill="auto"/>
        <w:tabs>
          <w:tab w:pos="378"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9</w:t>
      </w:r>
      <w:bookmarkEnd w:id="804"/>
      <w:r>
        <w:rPr>
          <w:color w:val="000000"/>
          <w:spacing w:val="0"/>
          <w:w w:val="100"/>
          <w:position w:val="0"/>
        </w:rPr>
        <w:t>、</w:t>
        <w:tab/>
        <w:t>外币业务和外币报表折算</w:t>
      </w:r>
      <w:bookmarkEnd w:id="802"/>
      <w:bookmarkEnd w:id="803"/>
      <w:bookmarkEnd w:id="805"/>
    </w:p>
    <w:p>
      <w:pPr>
        <w:pStyle w:val="Style23"/>
        <w:keepNext w:val="0"/>
        <w:keepLines w:val="0"/>
        <w:widowControl w:val="0"/>
        <w:numPr>
          <w:ilvl w:val="0"/>
          <w:numId w:val="47"/>
        </w:numPr>
        <w:shd w:val="clear" w:color="auto" w:fill="auto"/>
        <w:tabs>
          <w:tab w:pos="848" w:val="left"/>
        </w:tabs>
        <w:bidi w:val="0"/>
        <w:spacing w:before="0" w:after="0" w:line="309" w:lineRule="exact"/>
        <w:ind w:left="0" w:right="0" w:firstLine="440"/>
        <w:jc w:val="left"/>
      </w:pPr>
      <w:bookmarkStart w:id="806" w:name="bookmark806"/>
      <w:bookmarkEnd w:id="806"/>
      <w:r>
        <w:rPr>
          <w:color w:val="000000"/>
          <w:spacing w:val="0"/>
          <w:w w:val="100"/>
          <w:position w:val="0"/>
        </w:rPr>
        <w:t>外币交易在初始确认时，采用交易发生当日中国人民银行公布的人民币外汇牌价中间价将外币金额折算为人民币金 额。</w:t>
      </w:r>
    </w:p>
    <w:p>
      <w:pPr>
        <w:pStyle w:val="Style23"/>
        <w:keepNext w:val="0"/>
        <w:keepLines w:val="0"/>
        <w:widowControl w:val="0"/>
        <w:numPr>
          <w:ilvl w:val="0"/>
          <w:numId w:val="47"/>
        </w:numPr>
        <w:shd w:val="clear" w:color="auto" w:fill="auto"/>
        <w:tabs>
          <w:tab w:pos="837" w:val="left"/>
        </w:tabs>
        <w:bidi w:val="0"/>
        <w:spacing w:before="0" w:after="0" w:line="309" w:lineRule="exact"/>
        <w:ind w:left="0" w:right="0" w:firstLine="440"/>
        <w:jc w:val="left"/>
      </w:pPr>
      <w:bookmarkStart w:id="807" w:name="bookmark807"/>
      <w:bookmarkEnd w:id="807"/>
      <w:r>
        <w:rPr>
          <w:color w:val="000000"/>
          <w:spacing w:val="0"/>
          <w:w w:val="100"/>
          <w:position w:val="0"/>
        </w:rPr>
        <w:t>于资产负债表日，按照下列方法对外币货币性项目和外币非货币性项目进行处理：</w:t>
      </w:r>
    </w:p>
    <w:p>
      <w:pPr>
        <w:pStyle w:val="Style23"/>
        <w:keepNext w:val="0"/>
        <w:keepLines w:val="0"/>
        <w:widowControl w:val="0"/>
        <w:numPr>
          <w:ilvl w:val="0"/>
          <w:numId w:val="49"/>
        </w:numPr>
        <w:shd w:val="clear" w:color="auto" w:fill="auto"/>
        <w:tabs>
          <w:tab w:pos="790" w:val="left"/>
        </w:tabs>
        <w:bidi w:val="0"/>
        <w:spacing w:before="0" w:after="0" w:line="309" w:lineRule="exact"/>
        <w:ind w:left="0" w:right="0" w:firstLine="440"/>
        <w:jc w:val="left"/>
      </w:pPr>
      <w:bookmarkStart w:id="808" w:name="bookmark808"/>
      <w:bookmarkEnd w:id="808"/>
      <w:r>
        <w:rPr>
          <w:color w:val="000000"/>
          <w:spacing w:val="0"/>
          <w:w w:val="100"/>
          <w:position w:val="0"/>
        </w:rPr>
        <w:t>外币货币性项目，采用资产负债表日中国人民银行公布的人民币外汇牌价中间价折算。因资产负债表日即期汇率与 初始确认时或者前一资产负债表日即期汇率不同而产生的汇兑差额，计入当期损益。</w:t>
      </w:r>
    </w:p>
    <w:p>
      <w:pPr>
        <w:pStyle w:val="Style23"/>
        <w:keepNext w:val="0"/>
        <w:keepLines w:val="0"/>
        <w:widowControl w:val="0"/>
        <w:numPr>
          <w:ilvl w:val="0"/>
          <w:numId w:val="49"/>
        </w:numPr>
        <w:shd w:val="clear" w:color="auto" w:fill="auto"/>
        <w:tabs>
          <w:tab w:pos="790" w:val="left"/>
        </w:tabs>
        <w:bidi w:val="0"/>
        <w:spacing w:before="0" w:after="0" w:line="309" w:lineRule="exact"/>
        <w:ind w:left="0" w:right="0" w:firstLine="440"/>
        <w:jc w:val="left"/>
      </w:pPr>
      <w:bookmarkStart w:id="809" w:name="bookmark809"/>
      <w:bookmarkEnd w:id="809"/>
      <w:r>
        <w:rPr>
          <w:color w:val="000000"/>
          <w:spacing w:val="0"/>
          <w:w w:val="100"/>
          <w:position w:val="0"/>
        </w:rPr>
        <w:t>以历史成本计量的外币非货币性项目，仍采用交易发生日的即期汇率折算，不改变其记账本位币金额；以公允价值 计量的外币非货币性项目，采用公允价值确定日的即期汇率折算，折算后的记账本位币金额与原记账本位币金额的差额，作 为公允价值变动(含汇率变动)处理，并根据非货币性项目的性质计入当期损益或其他综合收益。</w:t>
      </w:r>
    </w:p>
    <w:p>
      <w:pPr>
        <w:pStyle w:val="Style23"/>
        <w:keepNext w:val="0"/>
        <w:keepLines w:val="0"/>
        <w:widowControl w:val="0"/>
        <w:shd w:val="clear" w:color="auto" w:fill="auto"/>
        <w:bidi w:val="0"/>
        <w:spacing w:before="0" w:after="0" w:line="309" w:lineRule="exact"/>
        <w:ind w:left="0" w:right="0" w:firstLine="440"/>
        <w:jc w:val="left"/>
      </w:pPr>
      <w:r>
        <w:rPr>
          <w:color w:val="000000"/>
          <w:spacing w:val="0"/>
          <w:w w:val="100"/>
          <w:position w:val="0"/>
        </w:rPr>
        <w:t>货币性项目，是指公司持有的货币资金和将以固定或可确定的金额收取的资产或者偿付的负债。非货币性项目，是指 货币性项目以外的项目。</w:t>
      </w:r>
    </w:p>
    <w:p>
      <w:pPr>
        <w:pStyle w:val="Style23"/>
        <w:keepNext w:val="0"/>
        <w:keepLines w:val="0"/>
        <w:widowControl w:val="0"/>
        <w:shd w:val="clear" w:color="auto" w:fill="auto"/>
        <w:bidi w:val="0"/>
        <w:spacing w:before="0" w:after="0" w:line="309" w:lineRule="exact"/>
        <w:ind w:left="0" w:right="0" w:firstLine="440"/>
        <w:jc w:val="left"/>
      </w:pPr>
      <w:r>
        <w:rPr>
          <w:color w:val="000000"/>
          <w:spacing w:val="0"/>
          <w:w w:val="100"/>
          <w:position w:val="0"/>
        </w:rPr>
        <w:t xml:space="preserve">(3 </w:t>
      </w:r>
      <w:r>
        <w:rPr>
          <w:color w:val="000000"/>
          <w:spacing w:val="0"/>
          <w:w w:val="100"/>
          <w:position w:val="0"/>
        </w:rPr>
        <w:t>)境外经营实体的外币财务报表的折算方法：</w:t>
      </w:r>
    </w:p>
    <w:p>
      <w:pPr>
        <w:pStyle w:val="Style23"/>
        <w:keepNext w:val="0"/>
        <w:keepLines w:val="0"/>
        <w:widowControl w:val="0"/>
        <w:numPr>
          <w:ilvl w:val="0"/>
          <w:numId w:val="51"/>
        </w:numPr>
        <w:shd w:val="clear" w:color="auto" w:fill="auto"/>
        <w:tabs>
          <w:tab w:pos="790" w:val="left"/>
        </w:tabs>
        <w:bidi w:val="0"/>
        <w:spacing w:before="0" w:after="0" w:line="309" w:lineRule="exact"/>
        <w:ind w:left="0" w:right="0" w:firstLine="440"/>
        <w:jc w:val="left"/>
      </w:pPr>
      <w:bookmarkStart w:id="810" w:name="bookmark810"/>
      <w:bookmarkEnd w:id="810"/>
      <w:r>
        <w:rPr>
          <w:color w:val="000000"/>
          <w:spacing w:val="0"/>
          <w:w w:val="100"/>
          <w:position w:val="0"/>
        </w:rPr>
        <w:t>资产负债表中的资产和负债项目，采用资产负债表日的即期汇率折算，所有者权益项目除“未分配利润”项目外， 其他项目采用发生时的即期汇率折算；</w:t>
      </w:r>
    </w:p>
    <w:p>
      <w:pPr>
        <w:pStyle w:val="Style23"/>
        <w:keepNext w:val="0"/>
        <w:keepLines w:val="0"/>
        <w:widowControl w:val="0"/>
        <w:numPr>
          <w:ilvl w:val="0"/>
          <w:numId w:val="51"/>
        </w:numPr>
        <w:shd w:val="clear" w:color="auto" w:fill="auto"/>
        <w:tabs>
          <w:tab w:pos="790" w:val="left"/>
        </w:tabs>
        <w:bidi w:val="0"/>
        <w:spacing w:before="0" w:after="0" w:line="309" w:lineRule="exact"/>
        <w:ind w:left="0" w:right="0" w:firstLine="440"/>
        <w:jc w:val="left"/>
      </w:pPr>
      <w:bookmarkStart w:id="811" w:name="bookmark811"/>
      <w:bookmarkEnd w:id="811"/>
      <w:r>
        <w:rPr>
          <w:color w:val="000000"/>
          <w:spacing w:val="0"/>
          <w:w w:val="100"/>
          <w:position w:val="0"/>
        </w:rPr>
        <w:t>利润表中的收入和费用项目，采用交易发生日的即期汇率折算(或采用按照系统合理的方法确定的、与交易发生日即 期汇率近似的汇率折算)；</w:t>
      </w:r>
    </w:p>
    <w:p>
      <w:pPr>
        <w:pStyle w:val="Style23"/>
        <w:keepNext w:val="0"/>
        <w:keepLines w:val="0"/>
        <w:widowControl w:val="0"/>
        <w:numPr>
          <w:ilvl w:val="0"/>
          <w:numId w:val="51"/>
        </w:numPr>
        <w:shd w:val="clear" w:color="auto" w:fill="auto"/>
        <w:tabs>
          <w:tab w:pos="813" w:val="left"/>
        </w:tabs>
        <w:bidi w:val="0"/>
        <w:spacing w:before="0" w:after="0" w:line="309" w:lineRule="exact"/>
        <w:ind w:left="0" w:right="0" w:firstLine="440"/>
        <w:jc w:val="left"/>
      </w:pPr>
      <w:bookmarkStart w:id="812" w:name="bookmark812"/>
      <w:bookmarkEnd w:id="812"/>
      <w:r>
        <w:rPr>
          <w:color w:val="000000"/>
          <w:spacing w:val="0"/>
          <w:w w:val="100"/>
          <w:position w:val="0"/>
        </w:rPr>
        <w:t>按照上述①、②折算产生的外币财务报表折算差额，在资产负债表中所有者权益项目下单独列示。</w:t>
      </w:r>
    </w:p>
    <w:p>
      <w:pPr>
        <w:pStyle w:val="Style23"/>
        <w:keepNext w:val="0"/>
        <w:keepLines w:val="0"/>
        <w:widowControl w:val="0"/>
        <w:numPr>
          <w:ilvl w:val="0"/>
          <w:numId w:val="43"/>
        </w:numPr>
        <w:shd w:val="clear" w:color="auto" w:fill="auto"/>
        <w:bidi w:val="0"/>
        <w:spacing w:before="0" w:after="140" w:line="309" w:lineRule="exact"/>
        <w:ind w:left="0" w:right="0" w:firstLine="440"/>
        <w:jc w:val="both"/>
      </w:pPr>
      <w:bookmarkStart w:id="813" w:name="bookmark813"/>
      <w:bookmarkEnd w:id="813"/>
      <w:r>
        <w:rPr>
          <w:color w:val="000000"/>
          <w:spacing w:val="0"/>
          <w:w w:val="100"/>
          <w:position w:val="0"/>
        </w:rPr>
        <w:t>公司对处于恶性通货膨胀经济中的境外经营的财务报表，按照下列方法进行折算：</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对资产负债表项目运用一般物价指数予以重述，对利润表项目运用一般物价指数变动予以重述，再按照最近资产负债 表日的即期汇率进行折算。</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在境外经营不再处于恶性通货膨胀经济中时，停止重述，按照停止之日的价格水平重述的财务报表进行折算。</w:t>
      </w:r>
    </w:p>
    <w:p>
      <w:pPr>
        <w:pStyle w:val="Style23"/>
        <w:keepNext w:val="0"/>
        <w:keepLines w:val="0"/>
        <w:widowControl w:val="0"/>
        <w:shd w:val="clear" w:color="auto" w:fill="auto"/>
        <w:bidi w:val="0"/>
        <w:spacing w:before="0" w:after="400" w:line="314" w:lineRule="exact"/>
        <w:ind w:left="0" w:right="0" w:firstLine="440"/>
        <w:jc w:val="left"/>
      </w:pPr>
      <w:bookmarkStart w:id="814" w:name="bookmark814"/>
      <w:r>
        <w:rPr>
          <w:color w:val="000000"/>
          <w:spacing w:val="0"/>
          <w:w w:val="100"/>
          <w:position w:val="0"/>
        </w:rPr>
        <w:t>（</w:t>
      </w:r>
      <w:bookmarkEnd w:id="814"/>
      <w:r>
        <w:rPr>
          <w:color w:val="000000"/>
          <w:spacing w:val="0"/>
          <w:w w:val="100"/>
          <w:position w:val="0"/>
        </w:rPr>
        <w:t>5）</w:t>
      </w:r>
      <w:r>
        <w:rPr>
          <w:color w:val="000000"/>
          <w:spacing w:val="0"/>
          <w:w w:val="100"/>
          <w:position w:val="0"/>
        </w:rPr>
        <w:t>公司在处置境外经营时，将资产负债表中所有者权益项目下列示的、与该境外经营相关的外币财务报表折算差额， 自所有者权益项目转入处置当期损益；部分处置境外经营的，按处置的比例计算处置部分的外币财务报表折算差额，转入处 置当期损益。</w:t>
      </w:r>
    </w:p>
    <w:p>
      <w:pPr>
        <w:pStyle w:val="Style34"/>
        <w:keepNext/>
        <w:keepLines/>
        <w:widowControl w:val="0"/>
        <w:shd w:val="clear" w:color="auto" w:fill="auto"/>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5"/>
      <w:bookmarkEnd w:id="816"/>
      <w:bookmarkEnd w:id="818"/>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金融工具，是指形成一方的金融资产并形成其他方的金融负债或权益工具的合同。当公司成为金融工具合同的一方时， 确认相关的金融资产或金融负债。</w:t>
      </w:r>
    </w:p>
    <w:p>
      <w:pPr>
        <w:pStyle w:val="Style23"/>
        <w:keepNext w:val="0"/>
        <w:keepLines w:val="0"/>
        <w:widowControl w:val="0"/>
        <w:shd w:val="clear" w:color="auto" w:fill="auto"/>
        <w:bidi w:val="0"/>
        <w:spacing w:before="0" w:after="0" w:line="313"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1）</w:t>
      </w:r>
      <w:r>
        <w:rPr>
          <w:color w:val="000000"/>
          <w:spacing w:val="0"/>
          <w:w w:val="100"/>
          <w:position w:val="0"/>
        </w:rPr>
        <w:t>金融资产</w:t>
      </w:r>
    </w:p>
    <w:p>
      <w:pPr>
        <w:pStyle w:val="Style23"/>
        <w:keepNext w:val="0"/>
        <w:keepLines w:val="0"/>
        <w:widowControl w:val="0"/>
        <w:numPr>
          <w:ilvl w:val="0"/>
          <w:numId w:val="53"/>
        </w:numPr>
        <w:shd w:val="clear" w:color="auto" w:fill="auto"/>
        <w:bidi w:val="0"/>
        <w:spacing w:before="0" w:after="0" w:line="313" w:lineRule="exact"/>
        <w:ind w:left="0" w:right="0" w:firstLine="440"/>
        <w:jc w:val="both"/>
      </w:pPr>
      <w:bookmarkStart w:id="820" w:name="bookmark820"/>
      <w:bookmarkEnd w:id="820"/>
      <w:r>
        <w:rPr>
          <w:color w:val="000000"/>
          <w:spacing w:val="0"/>
          <w:w w:val="100"/>
          <w:position w:val="0"/>
        </w:rPr>
        <w:t>分类和初始计量</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公司根据管理金融资产的业务模式和金融资产的合同现金流量特征，将金融资产划分为：</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以摊余成本计量的金融资产；</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以公允价值计量且其变动计入其他综合收益的金融资产；</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考虑重大融资成分的应收账款或应收票据，公司按照预期有权收取的对价金额作为初始确认金额。</w:t>
      </w:r>
    </w:p>
    <w:p>
      <w:pPr>
        <w:pStyle w:val="Style23"/>
        <w:keepNext w:val="0"/>
        <w:keepLines w:val="0"/>
        <w:widowControl w:val="0"/>
        <w:shd w:val="clear" w:color="auto" w:fill="auto"/>
        <w:tabs>
          <w:tab w:pos="750" w:val="left"/>
        </w:tabs>
        <w:bidi w:val="0"/>
        <w:spacing w:before="0" w:after="0" w:line="313" w:lineRule="exact"/>
        <w:ind w:left="0" w:right="0" w:firstLine="440"/>
        <w:jc w:val="both"/>
      </w:pPr>
      <w:bookmarkStart w:id="821" w:name="bookmark821"/>
      <w:r>
        <w:rPr>
          <w:color w:val="000000"/>
          <w:spacing w:val="0"/>
          <w:w w:val="100"/>
          <w:position w:val="0"/>
        </w:rPr>
        <w:t>1</w:t>
      </w:r>
      <w:bookmarkEnd w:id="821"/>
      <w:r>
        <w:rPr>
          <w:color w:val="000000"/>
          <w:spacing w:val="0"/>
          <w:w w:val="100"/>
          <w:position w:val="0"/>
        </w:rPr>
        <w:t>）</w:t>
        <w:tab/>
      </w:r>
      <w:r>
        <w:rPr>
          <w:color w:val="000000"/>
          <w:spacing w:val="0"/>
          <w:w w:val="100"/>
          <w:position w:val="0"/>
        </w:rPr>
        <w:t>债务工具</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公司持有的债务工具是指从发行方角度分析符合金融负债定义的工具，分别采用以下三种方式进行计量：</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&lt;1&gt;</w:t>
      </w:r>
      <w:r>
        <w:rPr>
          <w:color w:val="000000"/>
          <w:spacing w:val="0"/>
          <w:w w:val="100"/>
          <w:position w:val="0"/>
        </w:rPr>
        <w:t>以摊余成本计量：</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公司管理此类金融资产的业务模式为以收取合同现金流量为目标，且此类金融资产的合同现金流量特征与基本借贷安 排相一致，即在特定日期产生的现金流量，仅为对本金和以未偿付本金金额为基础的利息的支付。公司对于此类金融资产按 照实际利率法确认利息收入。此类金融资产主要包括货币资金、应收票据及应收账款、其他应收款、债权投资和长期应收款 等。公司将自资产负债表日起一年内（含一年）到期的债权投资和长期应收款，列示为一年内到期的非流动资产；取得时期限 在一年内（含一年）的债权投资列示为其他流动资产。</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&lt;2&gt;</w:t>
      </w:r>
      <w:r>
        <w:rPr>
          <w:color w:val="000000"/>
          <w:spacing w:val="0"/>
          <w:w w:val="100"/>
          <w:position w:val="0"/>
        </w:rPr>
        <w:t>以公允价值计量且其变动计入其他综合收益：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公司管理此类金融资产的业务模式为既以收取合同现金流量为目标又以出售为目标，且此类金融资产的合同现金流量 特征与基本借贷安排相一致。此类金融资产按照公允价值计量且其变动计入其他综合收益，但减值损失或利得、汇兑损益和 按照实际利率法计算的利息收入计入当期损益。此类金融资产列示为其他债权投资，自资产负债表日起一年内（含一年）到期 的其他债权投资，列示为一年内到期的非流动资产；取得时期限在一年内（含一年）的其他债权投资列示为其他流动资产。</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&lt;3&gt;</w:t>
      </w:r>
      <w:r>
        <w:rPr>
          <w:color w:val="000000"/>
          <w:spacing w:val="0"/>
          <w:w w:val="100"/>
          <w:position w:val="0"/>
        </w:rPr>
        <w:t>以公允价值计量且其变动计入当期损益：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公司将持有的未划分为以摊余成本计量和以公允价值计量且其变动计入其他综合收益的债务工具，以公允价值计量且 其变动计入当期损益，列示为交易性金融资产。在初始确认时，公司为了消除或显著减少会计错配，将部分金融资产指定为 以公允价值计量且其变动计入当期损益的金融资产。自资产负债表日起超过一年到期且预期持有超过一年的，列示为其他非 流动金融资产。</w:t>
      </w:r>
    </w:p>
    <w:p>
      <w:pPr>
        <w:pStyle w:val="Style23"/>
        <w:keepNext w:val="0"/>
        <w:keepLines w:val="0"/>
        <w:widowControl w:val="0"/>
        <w:shd w:val="clear" w:color="auto" w:fill="auto"/>
        <w:tabs>
          <w:tab w:pos="760" w:val="left"/>
        </w:tabs>
        <w:bidi w:val="0"/>
        <w:spacing w:before="0" w:after="0" w:line="312" w:lineRule="exact"/>
        <w:ind w:left="0" w:right="0" w:firstLine="440"/>
        <w:jc w:val="both"/>
      </w:pPr>
      <w:bookmarkStart w:id="822" w:name="bookmark822"/>
      <w:r>
        <w:rPr>
          <w:color w:val="000000"/>
          <w:spacing w:val="0"/>
          <w:w w:val="100"/>
          <w:position w:val="0"/>
        </w:rPr>
        <w:t>2</w:t>
      </w:r>
      <w:bookmarkEnd w:id="822"/>
      <w:r>
        <w:rPr>
          <w:color w:val="000000"/>
          <w:spacing w:val="0"/>
          <w:w w:val="100"/>
          <w:position w:val="0"/>
        </w:rPr>
        <w:t>）</w:t>
        <w:tab/>
      </w:r>
      <w:r>
        <w:rPr>
          <w:color w:val="000000"/>
          <w:spacing w:val="0"/>
          <w:w w:val="100"/>
          <w:position w:val="0"/>
        </w:rPr>
        <w:t>权益工具</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公司将对其没有控制、共同控制和重大影响的权益工具投资按照公允价值计量且其变动计入当期损益，列示为交易性 金融资产；自资产负债表日起预期持有超过一年的，列示为其他非流动金融资产。</w:t>
      </w:r>
    </w:p>
    <w:p>
      <w:pPr>
        <w:pStyle w:val="Style2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此外，公司将部分非交易性权益工具投资指定为以公允价值计量且其变动计入其他综合收益的金融资产，列示为其他 权益工具投资。该类金融资产的相关股利收入计入当期损益。该指定一经做出，不得撤销。本公司在非同一控制下的企业合 并中确认的或有对价构成金融资产的，该金融资产分类为以公允价值计量且其变动计入当期损益的金融资产。</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对于非交易性权益工具投资，公司可在初始确认时将其不可撤销地指定为以公允价值计量且其变动计入其他综合收益 的金融资产。该指定在单项投资的基础上作出，且相关投资从发行者的角度符合权益工具的定义。</w:t>
      </w:r>
    </w:p>
    <w:p>
      <w:pPr>
        <w:pStyle w:val="Style23"/>
        <w:keepNext w:val="0"/>
        <w:keepLines w:val="0"/>
        <w:widowControl w:val="0"/>
        <w:numPr>
          <w:ilvl w:val="0"/>
          <w:numId w:val="53"/>
        </w:numPr>
        <w:shd w:val="clear" w:color="auto" w:fill="auto"/>
        <w:bidi w:val="0"/>
        <w:spacing w:before="0" w:after="0" w:line="314" w:lineRule="exact"/>
        <w:ind w:left="0" w:right="0" w:firstLine="440"/>
        <w:jc w:val="both"/>
      </w:pPr>
      <w:bookmarkStart w:id="823" w:name="bookmark823"/>
      <w:bookmarkEnd w:id="823"/>
      <w:r>
        <w:rPr>
          <w:color w:val="000000"/>
          <w:spacing w:val="0"/>
          <w:w w:val="100"/>
          <w:position w:val="0"/>
        </w:rPr>
        <w:t>减值</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公司对于以摊余成本计量的金融资产、以公允价值计量且其变动计入其他综合收益的债务工具投资和财务担保合同等， 以预期信用损失为基础确认损失准备。公司考虑有关过去事项、当前状况以及对未来经济状况的预测等合理且有依据的信息， 以发生违约的风险为权重，计算合同应收的现金流量与预期能收到的现金流量之间差额的现值的概率加权金额，确认预期信 用损失。</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于每个资产负债表日，公司对于处于不同阶段的金融工具的预期信用损失分别进行计量。金融工具自初始确认后信用 风险未显著增加的，处于第一阶段，公司按照未来</w:t>
      </w:r>
      <w:r>
        <w:rPr>
          <w:color w:val="000000"/>
          <w:spacing w:val="0"/>
          <w:w w:val="100"/>
          <w:position w:val="0"/>
        </w:rPr>
        <w:t>12</w:t>
      </w:r>
      <w:r>
        <w:rPr>
          <w:color w:val="000000"/>
          <w:spacing w:val="0"/>
          <w:w w:val="100"/>
          <w:position w:val="0"/>
        </w:rPr>
        <w:t>个月内的预期信用损失计量损失准备；金融工具自初始确认后信用风险 已显著增加但尚未发生信用减值的，处于第二阶段，公司按照该工具整个存续期的预期信用损失计量损失准备；金融工具自 初始确认后已经发生信用减值的，处于第三阶段，公司按照该工具整个存续期的预期信用损失计量损失准备。</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对于在资产负债表日具有较低信用风险的金融工具，公司假设其信用风险自初始确认后并未显著增加，按照未来</w:t>
      </w:r>
      <w:r>
        <w:rPr>
          <w:color w:val="000000"/>
          <w:spacing w:val="0"/>
          <w:w w:val="100"/>
          <w:position w:val="0"/>
        </w:rPr>
        <w:t>12</w:t>
      </w:r>
      <w:r>
        <w:rPr>
          <w:color w:val="000000"/>
          <w:spacing w:val="0"/>
          <w:w w:val="100"/>
          <w:position w:val="0"/>
        </w:rPr>
        <w:t>个 月内的预期信用损失计量损失准备。</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对于应收票据及应收账款和合同资产，无论是否存在重大融资成分，公司均可以按照整个存续期的预期信用损失计量 损失准备。</w:t>
      </w:r>
    </w:p>
    <w:p>
      <w:pPr>
        <w:pStyle w:val="Style23"/>
        <w:keepNext w:val="0"/>
        <w:keepLines w:val="0"/>
        <w:widowControl w:val="0"/>
        <w:shd w:val="clear" w:color="auto" w:fill="auto"/>
        <w:tabs>
          <w:tab w:pos="765" w:val="left"/>
        </w:tabs>
        <w:bidi w:val="0"/>
        <w:spacing w:before="0" w:after="0" w:line="314" w:lineRule="exact"/>
        <w:ind w:left="0" w:right="0" w:firstLine="440"/>
        <w:jc w:val="left"/>
      </w:pPr>
      <w:bookmarkStart w:id="824" w:name="bookmark824"/>
      <w:r>
        <w:rPr>
          <w:color w:val="000000"/>
          <w:spacing w:val="0"/>
          <w:w w:val="100"/>
          <w:position w:val="0"/>
        </w:rPr>
        <w:t>1</w:t>
      </w:r>
      <w:bookmarkEnd w:id="824"/>
      <w:r>
        <w:rPr>
          <w:color w:val="000000"/>
          <w:spacing w:val="0"/>
          <w:w w:val="100"/>
          <w:position w:val="0"/>
        </w:rPr>
        <w:t>）</w:t>
        <w:tab/>
      </w:r>
      <w:r>
        <w:rPr>
          <w:color w:val="000000"/>
          <w:spacing w:val="0"/>
          <w:w w:val="100"/>
          <w:position w:val="0"/>
        </w:rPr>
        <w:t>信用风险显著增加判断标准</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公司在每个资产负债表日评估相关金融工具的信用风险自初始确认后是否已显著增加。</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在确定信用风险自初始确认后是否显著增加时，公司考虑在无须付出不必要的额外成本或努力即可获得合理且有依据 的信息，包括基于公司历史数据的定性和定量分析、外部信用风险评级以及前瞻性信息。公司以单项金融工具或者具有相似 信用风险特征的金融工具组合为基础，通过比较金融工具在资产负债表日发生违约的风险与在初始确认日发生违约的风险， 以确定金融工具预计存续期内发生违约风险的变化情况。</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当触发以下一个或多个定量或定性标准时，公司认为金融工具的信用风险已发生显著增加：</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&lt;1&gt;</w:t>
      </w:r>
      <w:r>
        <w:rPr>
          <w:color w:val="000000"/>
          <w:spacing w:val="0"/>
          <w:w w:val="100"/>
          <w:position w:val="0"/>
        </w:rPr>
        <w:t>定量标准主要为报告日剩余存续期违约概率较初始确认时上升超过一定比例。</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&lt;2&gt;</w:t>
      </w:r>
      <w:r>
        <w:rPr>
          <w:color w:val="000000"/>
          <w:spacing w:val="0"/>
          <w:w w:val="100"/>
          <w:position w:val="0"/>
        </w:rPr>
        <w:t>定性标准主要为债务人经营或财务情况出现重大不利变化、预警客户清单等。</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&lt;3&gt;</w:t>
      </w:r>
      <w:r>
        <w:rPr>
          <w:color w:val="000000"/>
          <w:spacing w:val="0"/>
          <w:w w:val="100"/>
          <w:position w:val="0"/>
        </w:rPr>
        <w:t>上限指标为债务人合同付款（包括本金和利息）一般逾期超过</w:t>
      </w:r>
      <w:r>
        <w:rPr>
          <w:color w:val="000000"/>
          <w:spacing w:val="0"/>
          <w:w w:val="100"/>
          <w:position w:val="0"/>
        </w:rPr>
        <w:t>30</w:t>
      </w:r>
      <w:r>
        <w:rPr>
          <w:color w:val="000000"/>
          <w:spacing w:val="0"/>
          <w:w w:val="100"/>
          <w:position w:val="0"/>
        </w:rPr>
        <w:t>天，最长不超过</w:t>
      </w:r>
      <w:r>
        <w:rPr>
          <w:color w:val="000000"/>
          <w:spacing w:val="0"/>
          <w:w w:val="100"/>
          <w:position w:val="0"/>
        </w:rPr>
        <w:t>90</w:t>
      </w:r>
      <w:r>
        <w:rPr>
          <w:color w:val="000000"/>
          <w:spacing w:val="0"/>
          <w:w w:val="100"/>
          <w:position w:val="0"/>
        </w:rPr>
        <w:t>天。</w:t>
      </w:r>
    </w:p>
    <w:p>
      <w:pPr>
        <w:pStyle w:val="Style23"/>
        <w:keepNext w:val="0"/>
        <w:keepLines w:val="0"/>
        <w:widowControl w:val="0"/>
        <w:shd w:val="clear" w:color="auto" w:fill="auto"/>
        <w:tabs>
          <w:tab w:pos="774" w:val="left"/>
        </w:tabs>
        <w:bidi w:val="0"/>
        <w:spacing w:before="0" w:after="0" w:line="314" w:lineRule="exact"/>
        <w:ind w:left="0" w:right="0" w:firstLine="440"/>
        <w:jc w:val="both"/>
      </w:pPr>
      <w:bookmarkStart w:id="825" w:name="bookmark825"/>
      <w:r>
        <w:rPr>
          <w:color w:val="000000"/>
          <w:spacing w:val="0"/>
          <w:w w:val="100"/>
          <w:position w:val="0"/>
        </w:rPr>
        <w:t>2</w:t>
      </w:r>
      <w:bookmarkEnd w:id="825"/>
      <w:r>
        <w:rPr>
          <w:color w:val="000000"/>
          <w:spacing w:val="0"/>
          <w:w w:val="100"/>
          <w:position w:val="0"/>
        </w:rPr>
        <w:t>）</w:t>
        <w:tab/>
      </w:r>
      <w:r>
        <w:rPr>
          <w:color w:val="000000"/>
          <w:spacing w:val="0"/>
          <w:w w:val="100"/>
          <w:position w:val="0"/>
        </w:rPr>
        <w:t>已发生信用减值资产的定义</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为确定是否发生信用减值，公司所采用的界定标准，与内部针对相关金融工具的信用风险管理目标保持一致，同时考 虑定量、定性指标。公司评估债务人是否发生信用减值时，主要考虑以下因素：</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&lt;1&gt;</w:t>
      </w:r>
      <w:r>
        <w:rPr>
          <w:color w:val="000000"/>
          <w:spacing w:val="0"/>
          <w:w w:val="100"/>
          <w:position w:val="0"/>
        </w:rPr>
        <w:t>发行方或债务人发生重大财务困难；</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&lt;2&gt;</w:t>
      </w:r>
      <w:r>
        <w:rPr>
          <w:color w:val="000000"/>
          <w:spacing w:val="0"/>
          <w:w w:val="100"/>
          <w:position w:val="0"/>
        </w:rPr>
        <w:t>债务人违反合同，如偿付利息或本金违约或逾期等；</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&lt;3&gt;</w:t>
      </w:r>
      <w:r>
        <w:rPr>
          <w:color w:val="000000"/>
          <w:spacing w:val="0"/>
          <w:w w:val="100"/>
          <w:position w:val="0"/>
        </w:rPr>
        <w:t>债权人出于与债务人财务困难有关的经济或合同考虑，给予债务人在任何其他情况下都不会做出的让步；</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&lt;4&gt;</w:t>
      </w:r>
      <w:r>
        <w:rPr>
          <w:color w:val="000000"/>
          <w:spacing w:val="0"/>
          <w:w w:val="100"/>
          <w:position w:val="0"/>
        </w:rPr>
        <w:t>债务人很可能破产或进行其他财务重组；</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&lt;5&gt;</w:t>
      </w:r>
      <w:r>
        <w:rPr>
          <w:color w:val="000000"/>
          <w:spacing w:val="0"/>
          <w:w w:val="100"/>
          <w:position w:val="0"/>
        </w:rPr>
        <w:t>发行方或债务人财务困难导致该金融资产的活跃市场消失；</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&lt;6&gt;</w:t>
      </w:r>
      <w:r>
        <w:rPr>
          <w:color w:val="000000"/>
          <w:spacing w:val="0"/>
          <w:w w:val="100"/>
          <w:position w:val="0"/>
        </w:rPr>
        <w:t>以大幅折扣购买或源生一项金融资产，该折扣反映了发生信用损失的事实；</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&lt;7&gt;</w:t>
      </w:r>
      <w:r>
        <w:rPr>
          <w:color w:val="000000"/>
          <w:spacing w:val="0"/>
          <w:w w:val="100"/>
          <w:position w:val="0"/>
        </w:rPr>
        <w:t>金融资产发生信用减值，有可能是多个事件的共同作用所致，未必是可单独识别的事件所致。</w:t>
      </w:r>
    </w:p>
    <w:p>
      <w:pPr>
        <w:pStyle w:val="Style23"/>
        <w:keepNext w:val="0"/>
        <w:keepLines w:val="0"/>
        <w:widowControl w:val="0"/>
        <w:shd w:val="clear" w:color="auto" w:fill="auto"/>
        <w:tabs>
          <w:tab w:pos="774" w:val="left"/>
        </w:tabs>
        <w:bidi w:val="0"/>
        <w:spacing w:before="0" w:after="0" w:line="314" w:lineRule="exact"/>
        <w:ind w:left="0" w:right="0" w:firstLine="440"/>
        <w:jc w:val="both"/>
      </w:pPr>
      <w:bookmarkStart w:id="826" w:name="bookmark826"/>
      <w:r>
        <w:rPr>
          <w:color w:val="000000"/>
          <w:spacing w:val="0"/>
          <w:w w:val="100"/>
          <w:position w:val="0"/>
        </w:rPr>
        <w:t>3</w:t>
      </w:r>
      <w:bookmarkEnd w:id="826"/>
      <w:r>
        <w:rPr>
          <w:color w:val="000000"/>
          <w:spacing w:val="0"/>
          <w:w w:val="100"/>
          <w:position w:val="0"/>
        </w:rPr>
        <w:t>）</w:t>
        <w:tab/>
      </w:r>
      <w:r>
        <w:rPr>
          <w:color w:val="000000"/>
          <w:spacing w:val="0"/>
          <w:w w:val="100"/>
          <w:position w:val="0"/>
        </w:rPr>
        <w:t>预期信用损失计量的参数</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根据信用风险是否发生显著增加以及是否已发生信用减值，公司对不同的资产分别以</w:t>
      </w:r>
      <w:r>
        <w:rPr>
          <w:color w:val="000000"/>
          <w:spacing w:val="0"/>
          <w:w w:val="100"/>
          <w:position w:val="0"/>
        </w:rPr>
        <w:t>12</w:t>
      </w:r>
      <w:r>
        <w:rPr>
          <w:color w:val="000000"/>
          <w:spacing w:val="0"/>
          <w:w w:val="100"/>
          <w:position w:val="0"/>
        </w:rPr>
        <w:t>个月或整个存续期的预期信用 损失计量减值准备。预期信用损失计量的关键参数包括违约概率、违约损失率和违约风险敞口。公司考虑历史统计数据（如 交易对手评级、担保方式及抵质押物类别、还款方式等）的定量分析及前瞻性信息，建立违约概率、违约损失率及违约风险 敞口模型。</w:t>
      </w:r>
    </w:p>
    <w:p>
      <w:pPr>
        <w:pStyle w:val="Style23"/>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相关定义如下：</w:t>
      </w:r>
    </w:p>
    <w:p>
      <w:pPr>
        <w:pStyle w:val="Style2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&lt;1&gt;</w:t>
      </w: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个月或在整个剩余存续期，无法履行其偿付义务的可能性。公司的违约概率以历史信</w:t>
        <w:br w:type="page"/>
      </w:r>
      <w:r>
        <w:rPr>
          <w:color w:val="000000"/>
          <w:spacing w:val="0"/>
          <w:w w:val="100"/>
          <w:position w:val="0"/>
        </w:rPr>
        <w:t>用损失模型结果为基础进行调整，加入前瞻性信息，以反映当前宏观经济环境下债务人违约概率；</w:t>
      </w:r>
    </w:p>
    <w:p>
      <w:pPr>
        <w:pStyle w:val="Style23"/>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违约损失率是指公司对违约风险暴露发生损失程度作出的预期。根据交易对手的类型、追索的方式和优先级，以及 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个月内或整个存续期为 基准进行计算；</w:t>
      </w:r>
    </w:p>
    <w:p>
      <w:pPr>
        <w:pStyle w:val="Style23"/>
        <w:keepNext w:val="0"/>
        <w:keepLines w:val="0"/>
        <w:widowControl w:val="0"/>
        <w:shd w:val="clear" w:color="auto" w:fill="auto"/>
        <w:bidi w:val="0"/>
        <w:spacing w:before="0" w:after="100" w:line="312"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个月或在整个剩余存续期中，在违约发生时，公司应被偿付的金额。</w:t>
      </w:r>
    </w:p>
    <w:p>
      <w:pPr>
        <w:pStyle w:val="Style23"/>
        <w:keepNext w:val="0"/>
        <w:keepLines w:val="0"/>
        <w:widowControl w:val="0"/>
        <w:shd w:val="clear" w:color="auto" w:fill="auto"/>
        <w:bidi w:val="0"/>
        <w:spacing w:before="0" w:after="0"/>
        <w:ind w:left="0" w:right="0" w:firstLine="440"/>
        <w:jc w:val="left"/>
      </w:pPr>
      <w:bookmarkStart w:id="827" w:name="bookmark827"/>
      <w:r>
        <w:rPr>
          <w:rFonts w:ascii="Times New Roman" w:eastAsia="Times New Roman" w:hAnsi="Times New Roman" w:cs="Times New Roman"/>
          <w:color w:val="000000"/>
          <w:spacing w:val="0"/>
          <w:w w:val="100"/>
          <w:position w:val="0"/>
        </w:rPr>
        <w:t>4</w:t>
      </w:r>
      <w:bookmarkEnd w:id="827"/>
      <w:r>
        <w:rPr>
          <w:rFonts w:ascii="Times New Roman" w:eastAsia="Times New Roman" w:hAnsi="Times New Roman" w:cs="Times New Roman"/>
          <w:color w:val="000000"/>
          <w:spacing w:val="0"/>
          <w:w w:val="100"/>
          <w:position w:val="0"/>
        </w:rPr>
        <w:t>）</w:t>
      </w:r>
      <w:r>
        <w:rPr>
          <w:color w:val="000000"/>
          <w:spacing w:val="0"/>
          <w:w w:val="100"/>
          <w:position w:val="0"/>
        </w:rPr>
        <w:t>前瞻性信息</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信用风险显著增加的评估及预期信用损失的计算均涉及前瞻性信息。公司通过进行历史数据分析，识别出影响各业务 类型信用风险及预期信用损失的关键经济指标。</w:t>
      </w:r>
    </w:p>
    <w:p>
      <w:pPr>
        <w:pStyle w:val="Style2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当单项金融资产无法以合理成本评估预期信用损失的信息时，公司依据信用风险特征将应收款项划分为若干组合，在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组合基础上计算预期信用损失，确定组合的依据如下:</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应收票据组合：</w:t>
      </w:r>
    </w:p>
    <w:tbl>
      <w:tblPr>
        <w:tblOverlap w:val="never"/>
        <w:jc w:val="center"/>
        <w:tblLayout w:type="fixed"/>
      </w:tblPr>
      <w:tblGrid>
        <w:gridCol w:w="1142"/>
        <w:gridCol w:w="2266"/>
        <w:gridCol w:w="6240"/>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正常情况下，信用程度较高。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一般不计提预期信用损失。</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正常情况下，信用程度低于 银行承兑汇票。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参考历史信用损失经验，结合当前状况以及对未来经济状况的预测，通过违约风 险敞口和未来</w:t>
            </w:r>
            <w:r>
              <w:rPr>
                <w:color w:val="000000"/>
                <w:spacing w:val="0"/>
                <w:w w:val="100"/>
                <w:position w:val="0"/>
              </w:rPr>
              <w:t>12</w:t>
            </w:r>
            <w:r>
              <w:rPr>
                <w:rFonts w:ascii="SimSun" w:eastAsia="SimSun" w:hAnsi="SimSun" w:cs="SimSun"/>
                <w:color w:val="000000"/>
                <w:spacing w:val="0"/>
                <w:w w:val="100"/>
                <w:position w:val="0"/>
              </w:rPr>
              <w:t>个月内或整个存续期预期信用损失率，计算预期信用损失。</w:t>
            </w:r>
          </w:p>
        </w:tc>
      </w:tr>
    </w:tbl>
    <w:p>
      <w:pPr>
        <w:pStyle w:val="Style30"/>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应收账款组合:</w:t>
      </w:r>
    </w:p>
    <w:p>
      <w:pPr>
        <w:widowControl w:val="0"/>
        <w:spacing w:after="179" w:line="1" w:lineRule="exact"/>
      </w:pPr>
    </w:p>
    <w:p>
      <w:pPr>
        <w:pStyle w:val="Style30"/>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1848"/>
        <w:gridCol w:w="2923"/>
        <w:gridCol w:w="4877"/>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正常情况下，所有应收关联方款项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一般不计提预期信用损失。</w:t>
            </w:r>
          </w:p>
        </w:tc>
      </w:tr>
      <w:tr>
        <w:trPr>
          <w:trHeight w:val="98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信用风险特征组合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参考历史信用损失经验，结合当前状况以及对未来经济状况的 预测，编制应收账款逾期天数与整个存续期预期信用损失率对 照表，计算预期信用损失。</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w:t>
      </w:r>
      <w:r>
        <w:rPr>
          <w:color w:val="000000"/>
          <w:spacing w:val="0"/>
          <w:w w:val="100"/>
          <w:position w:val="0"/>
        </w:rPr>
        <w:t>一</w:t>
      </w:r>
      <w:r>
        <w:rPr>
          <w:color w:val="000000"/>
          <w:spacing w:val="0"/>
          <w:w w:val="100"/>
          <w:position w:val="0"/>
        </w:rPr>
        <w:t>信用风险特征组合的账龄与整个存续期预期信用损失率对照表</w:t>
      </w:r>
    </w:p>
    <w:tbl>
      <w:tblPr>
        <w:tblOverlap w:val="never"/>
        <w:jc w:val="center"/>
        <w:tblLayout w:type="fixed"/>
      </w:tblPr>
      <w:tblGrid>
        <w:gridCol w:w="2131"/>
        <w:gridCol w:w="3754"/>
        <w:gridCol w:w="3763"/>
      </w:tblGrid>
      <w:tr>
        <w:trPr>
          <w:trHeight w:val="35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应收账款预期信用损失率（</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游戏行业</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电气及其他</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6</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 xml:space="preserve">— </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61.89</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其他应收款组合:</w:t>
      </w:r>
    </w:p>
    <w:tbl>
      <w:tblPr>
        <w:tblOverlap w:val="never"/>
        <w:jc w:val="center"/>
        <w:tblLayout w:type="fixed"/>
      </w:tblPr>
      <w:tblGrid>
        <w:gridCol w:w="2136"/>
        <w:gridCol w:w="2971"/>
        <w:gridCol w:w="4541"/>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正常情况下，所有应收关联方款项。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一般不计提预期信用损失。</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全额计提预期信用损失。</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广告费、保证金组合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一般不计提预期信用损失。</w:t>
            </w:r>
          </w:p>
        </w:tc>
      </w:tr>
      <w:tr>
        <w:trPr>
          <w:trHeight w:val="97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除上述组合、单项计提坏账准备的款 项以外的应收款项。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参考历史信用损失经验，结合当前状况以及对未来经济状 况的预测，通过违约风险敞口和未来</w:t>
            </w:r>
            <w:r>
              <w:rPr>
                <w:color w:val="000000"/>
                <w:spacing w:val="0"/>
                <w:w w:val="100"/>
                <w:position w:val="0"/>
              </w:rPr>
              <w:t>12</w:t>
            </w:r>
            <w:r>
              <w:rPr>
                <w:rFonts w:ascii="SimSun" w:eastAsia="SimSun" w:hAnsi="SimSun" w:cs="SimSun"/>
                <w:color w:val="000000"/>
                <w:spacing w:val="0"/>
                <w:w w:val="100"/>
                <w:position w:val="0"/>
              </w:rPr>
              <w:t>个月内或整个存续 期预期信用损失率，计算预期信用损失。</w:t>
            </w:r>
          </w:p>
        </w:tc>
      </w:tr>
    </w:tbl>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为反映金融工具的信用风险自初始确认后的变化，公司及其子公司在每个资产负债表日重新计量预期信用损失，由此 形成的损失准备的增加或转回金额，应当作为减值损失或利得计入当期损益。对于以摊余成本计量的金融资产，损失准备抵 减该金融资产在资产负债表中列示的账面价值；对于以公允价值计量且其变动计入其他综合收益的债权投资，公司及其子公 司在其他综合收益中确认其损失准备，不抵减该金融资产的账面价值。</w:t>
      </w:r>
    </w:p>
    <w:p>
      <w:pPr>
        <w:pStyle w:val="Style23"/>
        <w:keepNext w:val="0"/>
        <w:keepLines w:val="0"/>
        <w:widowControl w:val="0"/>
        <w:numPr>
          <w:ilvl w:val="0"/>
          <w:numId w:val="53"/>
        </w:numPr>
        <w:shd w:val="clear" w:color="auto" w:fill="auto"/>
        <w:tabs>
          <w:tab w:pos="785" w:val="left"/>
        </w:tabs>
        <w:bidi w:val="0"/>
        <w:spacing w:before="0" w:after="0" w:line="313" w:lineRule="exact"/>
        <w:ind w:left="0" w:right="0" w:firstLine="440"/>
        <w:jc w:val="both"/>
      </w:pPr>
      <w:bookmarkStart w:id="828" w:name="bookmark828"/>
      <w:bookmarkEnd w:id="828"/>
      <w:r>
        <w:rPr>
          <w:color w:val="000000"/>
          <w:spacing w:val="0"/>
          <w:w w:val="100"/>
          <w:position w:val="0"/>
        </w:rPr>
        <w:t>终止确认</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金融资产满足下列条件之一的，予以终止确认：</w:t>
      </w:r>
    </w:p>
    <w:p>
      <w:pPr>
        <w:pStyle w:val="Style23"/>
        <w:keepNext w:val="0"/>
        <w:keepLines w:val="0"/>
        <w:widowControl w:val="0"/>
        <w:shd w:val="clear" w:color="auto" w:fill="auto"/>
        <w:tabs>
          <w:tab w:pos="809" w:val="left"/>
        </w:tabs>
        <w:bidi w:val="0"/>
        <w:spacing w:before="0" w:after="0" w:line="313"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1）</w:t>
        <w:tab/>
      </w:r>
      <w:r>
        <w:rPr>
          <w:color w:val="000000"/>
          <w:spacing w:val="0"/>
          <w:w w:val="100"/>
          <w:position w:val="0"/>
        </w:rPr>
        <w:t>收取该金融资产现金流量的合同权利终止；</w:t>
      </w:r>
    </w:p>
    <w:p>
      <w:pPr>
        <w:pStyle w:val="Style23"/>
        <w:keepNext w:val="0"/>
        <w:keepLines w:val="0"/>
        <w:widowControl w:val="0"/>
        <w:shd w:val="clear" w:color="auto" w:fill="auto"/>
        <w:tabs>
          <w:tab w:pos="809" w:val="left"/>
        </w:tabs>
        <w:bidi w:val="0"/>
        <w:spacing w:before="0" w:after="0" w:line="313"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2）</w:t>
        <w:tab/>
      </w:r>
      <w:r>
        <w:rPr>
          <w:color w:val="000000"/>
          <w:spacing w:val="0"/>
          <w:w w:val="100"/>
          <w:position w:val="0"/>
        </w:rPr>
        <w:t>该金融资产已转移，且公司将金融资产所有权上几乎所有的风险和报酬转移给转入方；</w:t>
      </w:r>
    </w:p>
    <w:p>
      <w:pPr>
        <w:pStyle w:val="Style23"/>
        <w:keepNext w:val="0"/>
        <w:keepLines w:val="0"/>
        <w:widowControl w:val="0"/>
        <w:shd w:val="clear" w:color="auto" w:fill="auto"/>
        <w:tabs>
          <w:tab w:pos="815" w:val="left"/>
        </w:tabs>
        <w:bidi w:val="0"/>
        <w:spacing w:before="0" w:after="0" w:line="313"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3）</w:t>
        <w:tab/>
      </w:r>
      <w:r>
        <w:rPr>
          <w:color w:val="000000"/>
          <w:spacing w:val="0"/>
          <w:w w:val="100"/>
          <w:position w:val="0"/>
        </w:rPr>
        <w:t>该金融资产已转移，虽然公司既没有转移也没有保留金融资产所有权上几乎所有的风险和报酬，但是放弃了对该金 融资产控制。</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其他权益工具投资终止确认时，其账面价值与收到的对价以及原直接计入其他综合收益的公允价值变动累计额之和的 差额，计入留存收益；其余金融资产终止确认时，其账面价值与收到的对价以及原直接计入其他综合收益的公允价值变动累 计额之和的差额，计入当期损益。</w:t>
      </w:r>
    </w:p>
    <w:p>
      <w:pPr>
        <w:pStyle w:val="Style23"/>
        <w:keepNext w:val="0"/>
        <w:keepLines w:val="0"/>
        <w:widowControl w:val="0"/>
        <w:numPr>
          <w:ilvl w:val="0"/>
          <w:numId w:val="53"/>
        </w:numPr>
        <w:shd w:val="clear" w:color="auto" w:fill="auto"/>
        <w:tabs>
          <w:tab w:pos="785" w:val="left"/>
        </w:tabs>
        <w:bidi w:val="0"/>
        <w:spacing w:before="0" w:after="0" w:line="313" w:lineRule="exact"/>
        <w:ind w:left="0" w:right="0" w:firstLine="440"/>
        <w:jc w:val="both"/>
      </w:pPr>
      <w:bookmarkStart w:id="832" w:name="bookmark832"/>
      <w:bookmarkEnd w:id="832"/>
      <w:r>
        <w:rPr>
          <w:color w:val="000000"/>
          <w:spacing w:val="0"/>
          <w:w w:val="100"/>
          <w:position w:val="0"/>
        </w:rPr>
        <w:t>核销</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如果公司及其子公司不再合理预期金融资产合同现金流量能够全部或部分收回，则直接减记该金融资产的账面余额。 这种减记构成相关金融资产的终止确认。这种情况通常发生在公司及其子公司确定债务人没有资产或收入来源可产生足够的 现金流量以偿还将被减记的金额。但是，按照公司及其子公司收回到期款项的程序，被减记的金融资产仍可能受到执行活动 的影响。</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已减记的金融资产以后又收回的，作为减值损失的转回计入收回当期的损益。</w:t>
      </w:r>
    </w:p>
    <w:p>
      <w:pPr>
        <w:pStyle w:val="Style23"/>
        <w:keepNext w:val="0"/>
        <w:keepLines w:val="0"/>
        <w:widowControl w:val="0"/>
        <w:shd w:val="clear" w:color="auto" w:fill="auto"/>
        <w:tabs>
          <w:tab w:pos="809" w:val="left"/>
        </w:tabs>
        <w:bidi w:val="0"/>
        <w:spacing w:before="0" w:after="0" w:line="313"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2）</w:t>
        <w:tab/>
      </w:r>
      <w:r>
        <w:rPr>
          <w:color w:val="000000"/>
          <w:spacing w:val="0"/>
          <w:w w:val="100"/>
          <w:position w:val="0"/>
        </w:rPr>
        <w:t>金融负债</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金融负债于初始确认时分类为以摊余成本计量的金融负债和以公允价值计量且其变动计入当期损益的金融负债。除下 列各项外，公司将金融负债分类为以摊余成本计量的金融负债：</w:t>
      </w:r>
    </w:p>
    <w:p>
      <w:pPr>
        <w:pStyle w:val="Style23"/>
        <w:keepNext w:val="0"/>
        <w:keepLines w:val="0"/>
        <w:widowControl w:val="0"/>
        <w:shd w:val="clear" w:color="auto" w:fill="auto"/>
        <w:tabs>
          <w:tab w:pos="724" w:val="left"/>
        </w:tabs>
        <w:bidi w:val="0"/>
        <w:spacing w:before="0" w:after="0" w:line="313" w:lineRule="exact"/>
        <w:ind w:left="0" w:right="0" w:firstLine="440"/>
        <w:jc w:val="both"/>
      </w:pPr>
      <w:bookmarkStart w:id="834" w:name="bookmark834"/>
      <w:r>
        <w:rPr>
          <w:color w:val="000000"/>
          <w:spacing w:val="0"/>
          <w:w w:val="100"/>
          <w:position w:val="0"/>
        </w:rPr>
        <w:t>1</w:t>
      </w:r>
      <w:bookmarkEnd w:id="834"/>
      <w:r>
        <w:rPr>
          <w:color w:val="000000"/>
          <w:spacing w:val="0"/>
          <w:w w:val="100"/>
          <w:position w:val="0"/>
        </w:rPr>
        <w:t>）</w:t>
        <w:tab/>
      </w:r>
      <w:r>
        <w:rPr>
          <w:color w:val="000000"/>
          <w:spacing w:val="0"/>
          <w:w w:val="100"/>
          <w:position w:val="0"/>
        </w:rPr>
        <w:t>以公允价值计量且其变动计入当期损益的金融负债，包括交易性金融负债（含属于金融负债的衍生工具）和指定为以 公允价值计量且其变动计入当期损益的金融负债。</w:t>
      </w:r>
    </w:p>
    <w:p>
      <w:pPr>
        <w:pStyle w:val="Style23"/>
        <w:keepNext w:val="0"/>
        <w:keepLines w:val="0"/>
        <w:widowControl w:val="0"/>
        <w:shd w:val="clear" w:color="auto" w:fill="auto"/>
        <w:tabs>
          <w:tab w:pos="747" w:val="left"/>
        </w:tabs>
        <w:bidi w:val="0"/>
        <w:spacing w:before="0" w:after="0" w:line="313" w:lineRule="exact"/>
        <w:ind w:left="0" w:right="0" w:firstLine="440"/>
        <w:jc w:val="both"/>
      </w:pPr>
      <w:bookmarkStart w:id="835" w:name="bookmark835"/>
      <w:r>
        <w:rPr>
          <w:color w:val="000000"/>
          <w:spacing w:val="0"/>
          <w:w w:val="100"/>
          <w:position w:val="0"/>
        </w:rPr>
        <w:t>2</w:t>
      </w:r>
      <w:bookmarkEnd w:id="835"/>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3"/>
        <w:keepNext w:val="0"/>
        <w:keepLines w:val="0"/>
        <w:widowControl w:val="0"/>
        <w:shd w:val="clear" w:color="auto" w:fill="auto"/>
        <w:tabs>
          <w:tab w:pos="729" w:val="left"/>
        </w:tabs>
        <w:bidi w:val="0"/>
        <w:spacing w:before="0" w:after="0" w:line="313" w:lineRule="exact"/>
        <w:ind w:left="0" w:right="0" w:firstLine="440"/>
        <w:jc w:val="both"/>
      </w:pPr>
      <w:bookmarkStart w:id="836" w:name="bookmark836"/>
      <w:r>
        <w:rPr>
          <w:color w:val="000000"/>
          <w:spacing w:val="0"/>
          <w:w w:val="100"/>
          <w:position w:val="0"/>
        </w:rPr>
        <w:t>3</w:t>
      </w:r>
      <w:bookmarkEnd w:id="836"/>
      <w:r>
        <w:rPr>
          <w:color w:val="000000"/>
          <w:spacing w:val="0"/>
          <w:w w:val="100"/>
          <w:position w:val="0"/>
        </w:rPr>
        <w:t>）</w:t>
        <w:tab/>
      </w:r>
      <w:r>
        <w:rPr>
          <w:color w:val="000000"/>
          <w:spacing w:val="0"/>
          <w:w w:val="100"/>
          <w:position w:val="0"/>
        </w:rPr>
        <w:t>不属于本条第</w:t>
      </w:r>
      <w:r>
        <w:rPr>
          <w:color w:val="000000"/>
          <w:spacing w:val="0"/>
          <w:w w:val="100"/>
          <w:position w:val="0"/>
        </w:rPr>
        <w:t>1）</w:t>
      </w:r>
      <w:r>
        <w:rPr>
          <w:color w:val="000000"/>
          <w:spacing w:val="0"/>
          <w:w w:val="100"/>
          <w:position w:val="0"/>
        </w:rPr>
        <w:t>项或第</w:t>
      </w:r>
      <w:r>
        <w:rPr>
          <w:color w:val="000000"/>
          <w:spacing w:val="0"/>
          <w:w w:val="100"/>
          <w:position w:val="0"/>
        </w:rPr>
        <w:t>2）</w:t>
      </w:r>
      <w:r>
        <w:rPr>
          <w:color w:val="000000"/>
          <w:spacing w:val="0"/>
          <w:w w:val="100"/>
          <w:position w:val="0"/>
        </w:rPr>
        <w:t>项情形的财务担保合同，以及不属于本条第</w:t>
      </w:r>
      <w:r>
        <w:rPr>
          <w:color w:val="000000"/>
          <w:spacing w:val="0"/>
          <w:w w:val="100"/>
          <w:position w:val="0"/>
        </w:rPr>
        <w:t>1）</w:t>
      </w:r>
      <w:r>
        <w:rPr>
          <w:color w:val="000000"/>
          <w:spacing w:val="0"/>
          <w:w w:val="100"/>
          <w:position w:val="0"/>
        </w:rPr>
        <w:t>项情形的以低于市场利率贷款的贷款承诺。 在非同一控制下的企业合并中，公司作为购买方确认的或有对价形成金融负债的，该金融负债按照以公允价值计量且其变动 计入当期损益进行会计处理。</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在初始确认时，为了提供更相关的会计信息，公司可以将金融负债指定为以公允价值计量且其变动计入当期损益的金 融负债，该指定满足下列条件之一：</w:t>
      </w:r>
    </w:p>
    <w:p>
      <w:pPr>
        <w:pStyle w:val="Style23"/>
        <w:keepNext w:val="0"/>
        <w:keepLines w:val="0"/>
        <w:widowControl w:val="0"/>
        <w:shd w:val="clear" w:color="auto" w:fill="auto"/>
        <w:tabs>
          <w:tab w:pos="737" w:val="left"/>
        </w:tabs>
        <w:bidi w:val="0"/>
        <w:spacing w:before="0" w:after="0" w:line="313" w:lineRule="exact"/>
        <w:ind w:left="0" w:right="0" w:firstLine="440"/>
        <w:jc w:val="both"/>
      </w:pPr>
      <w:bookmarkStart w:id="837" w:name="bookmark837"/>
      <w:r>
        <w:rPr>
          <w:color w:val="000000"/>
          <w:spacing w:val="0"/>
          <w:w w:val="100"/>
          <w:position w:val="0"/>
        </w:rPr>
        <w:t>1</w:t>
      </w:r>
      <w:bookmarkEnd w:id="837"/>
      <w:r>
        <w:rPr>
          <w:color w:val="000000"/>
          <w:spacing w:val="0"/>
          <w:w w:val="100"/>
          <w:position w:val="0"/>
        </w:rPr>
        <w:t>）</w:t>
        <w:tab/>
      </w:r>
      <w:r>
        <w:rPr>
          <w:color w:val="000000"/>
          <w:spacing w:val="0"/>
          <w:w w:val="100"/>
          <w:position w:val="0"/>
        </w:rPr>
        <w:t>能够消除或显著减少会计错配。</w:t>
      </w:r>
    </w:p>
    <w:p>
      <w:pPr>
        <w:pStyle w:val="Style23"/>
        <w:keepNext w:val="0"/>
        <w:keepLines w:val="0"/>
        <w:widowControl w:val="0"/>
        <w:shd w:val="clear" w:color="auto" w:fill="auto"/>
        <w:tabs>
          <w:tab w:pos="729" w:val="left"/>
        </w:tabs>
        <w:bidi w:val="0"/>
        <w:spacing w:before="0" w:after="0" w:line="313" w:lineRule="exact"/>
        <w:ind w:left="0" w:right="0" w:firstLine="440"/>
        <w:jc w:val="both"/>
      </w:pPr>
      <w:bookmarkStart w:id="838" w:name="bookmark838"/>
      <w:r>
        <w:rPr>
          <w:color w:val="000000"/>
          <w:spacing w:val="0"/>
          <w:w w:val="100"/>
          <w:position w:val="0"/>
        </w:rPr>
        <w:t>2</w:t>
      </w:r>
      <w:bookmarkEnd w:id="838"/>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根据正式书面文件载明的企业风险管理或投资策略，以公允价值为基础对金融负债组合或金融资产和金融负债组合 进行管理和业绩评价，并在公司内部以此为基础向关键管理人员报告。该指定一经做出，不得撤销。</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公司的金融负债主要为以摊余成本计量的金融负债，包括应付票据及应付账款、其他应付款、借款及应付债券等。该 类金融负债按其公允价值扣除交易费用后的金额进行初始计量，并采用实际利率法进行后续计量。期限在一年以下（含一年） 的，列示为流动负债；期限在一年以上但自资产负债表日起一年内（含一年）到期的，列示为一年内到期的非流动负债；其余 列示为非流动负债。</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当金融负债的现时义务全部或部分已经解除时，公司终止确认该金融负债或义务已解除的部分。终止确认部分的账面 价值与支付的对价之间的差额，计入当期损益。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金融负债（或其一部分）的现时义务已经解除的，公司终止确认该金融负债（或该部分金融负债）。</w:t>
      </w:r>
    </w:p>
    <w:p>
      <w:pPr>
        <w:pStyle w:val="Style23"/>
        <w:keepNext w:val="0"/>
        <w:keepLines w:val="0"/>
        <w:widowControl w:val="0"/>
        <w:shd w:val="clear" w:color="auto" w:fill="auto"/>
        <w:tabs>
          <w:tab w:pos="809" w:val="left"/>
        </w:tabs>
        <w:bidi w:val="0"/>
        <w:spacing w:before="0" w:after="0" w:line="313" w:lineRule="exact"/>
        <w:ind w:left="0" w:right="0" w:firstLine="440"/>
        <w:jc w:val="both"/>
      </w:pPr>
      <w:bookmarkStart w:id="839" w:name="bookmark839"/>
      <w:r>
        <w:rPr>
          <w:color w:val="000000"/>
          <w:spacing w:val="0"/>
          <w:w w:val="100"/>
          <w:position w:val="0"/>
        </w:rPr>
        <w:t>（</w:t>
      </w:r>
      <w:bookmarkEnd w:id="839"/>
      <w:r>
        <w:rPr>
          <w:color w:val="000000"/>
          <w:spacing w:val="0"/>
          <w:w w:val="100"/>
          <w:position w:val="0"/>
        </w:rPr>
        <w:t>3</w:t>
      </w:r>
      <w:r>
        <w:rPr>
          <w:color w:val="000000"/>
          <w:spacing w:val="0"/>
          <w:w w:val="100"/>
          <w:position w:val="0"/>
        </w:rPr>
        <w:t>）</w:t>
        <w:tab/>
        <w:t>金融工具的公允价值确定</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存在活跃市场的金融工具，以活跃市场中的报价确定其公允价值。不存在活跃市场的金融工具，采用估值技术确定其 公允价值。在估值时，公司采用在当前情况下适用并且有足够可利用数据和其他信息支持的估值技术，选择与市场参与者在 相关资产或负债的交易中所考虑的资产或负债特征相一致的输入值，并尽可能优先使用相关可观察输入值。在相关可观察输 </w:t>
      </w:r>
      <w:r>
        <w:rPr>
          <w:color w:val="000000"/>
          <w:spacing w:val="0"/>
          <w:w w:val="100"/>
          <w:position w:val="0"/>
        </w:rPr>
        <w:t>入值无法取得或取得不切实可行的情况下，使用不可观察输入值。</w:t>
      </w:r>
    </w:p>
    <w:p>
      <w:pPr>
        <w:pStyle w:val="Style23"/>
        <w:keepNext w:val="0"/>
        <w:keepLines w:val="0"/>
        <w:widowControl w:val="0"/>
        <w:shd w:val="clear" w:color="auto" w:fill="auto"/>
        <w:bidi w:val="0"/>
        <w:spacing w:before="0" w:after="0" w:line="312" w:lineRule="exact"/>
        <w:ind w:left="0" w:right="0" w:firstLine="440"/>
        <w:jc w:val="left"/>
      </w:pPr>
      <w:bookmarkStart w:id="840" w:name="bookmark840"/>
      <w:r>
        <w:rPr>
          <w:color w:val="000000"/>
          <w:spacing w:val="0"/>
          <w:w w:val="100"/>
          <w:position w:val="0"/>
        </w:rPr>
        <w:t>（</w:t>
      </w:r>
      <w:bookmarkEnd w:id="840"/>
      <w:r>
        <w:rPr>
          <w:color w:val="000000"/>
          <w:spacing w:val="0"/>
          <w:w w:val="100"/>
          <w:position w:val="0"/>
        </w:rPr>
        <w:t>4）</w:t>
      </w:r>
      <w:r>
        <w:rPr>
          <w:color w:val="000000"/>
          <w:spacing w:val="0"/>
          <w:w w:val="100"/>
          <w:position w:val="0"/>
        </w:rPr>
        <w:t>后续计量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初始确认后，公司对不同类别的金融资产，分别以摊余成本、以公允价值计量且其变动计入其他综合收益或以公允价 值计量且其变动计入当期损益进行后续计量。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初始确认后，公司对不同类别的金融负债，分别以摊余成本、以公允价值计量且其变动计入当期损益或以其他适当方 法进行后续计量。</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金融资产或金融负债的摊余成本，以该金融资产或金融负债的初始确认金额经下列调整后的结果确定：</w:t>
      </w:r>
    </w:p>
    <w:p>
      <w:pPr>
        <w:pStyle w:val="Style23"/>
        <w:keepNext w:val="0"/>
        <w:keepLines w:val="0"/>
        <w:widowControl w:val="0"/>
        <w:shd w:val="clear" w:color="auto" w:fill="auto"/>
        <w:tabs>
          <w:tab w:pos="765" w:val="left"/>
        </w:tabs>
        <w:bidi w:val="0"/>
        <w:spacing w:before="0" w:after="0" w:line="312" w:lineRule="exact"/>
        <w:ind w:left="0" w:right="0" w:firstLine="440"/>
        <w:jc w:val="left"/>
      </w:pPr>
      <w:bookmarkStart w:id="841" w:name="bookmark841"/>
      <w:r>
        <w:rPr>
          <w:color w:val="000000"/>
          <w:spacing w:val="0"/>
          <w:w w:val="100"/>
          <w:position w:val="0"/>
        </w:rPr>
        <w:t>1</w:t>
      </w:r>
      <w:bookmarkEnd w:id="841"/>
      <w:r>
        <w:rPr>
          <w:color w:val="000000"/>
          <w:spacing w:val="0"/>
          <w:w w:val="100"/>
          <w:position w:val="0"/>
        </w:rPr>
        <w:t>）</w:t>
        <w:tab/>
      </w:r>
      <w:r>
        <w:rPr>
          <w:color w:val="000000"/>
          <w:spacing w:val="0"/>
          <w:w w:val="100"/>
          <w:position w:val="0"/>
        </w:rPr>
        <w:t>扣除已偿还的本金。</w:t>
      </w:r>
    </w:p>
    <w:p>
      <w:pPr>
        <w:pStyle w:val="Style23"/>
        <w:keepNext w:val="0"/>
        <w:keepLines w:val="0"/>
        <w:widowControl w:val="0"/>
        <w:shd w:val="clear" w:color="auto" w:fill="auto"/>
        <w:tabs>
          <w:tab w:pos="774" w:val="left"/>
        </w:tabs>
        <w:bidi w:val="0"/>
        <w:spacing w:before="0" w:after="0" w:line="312" w:lineRule="exact"/>
        <w:ind w:left="0" w:right="0" w:firstLine="440"/>
        <w:jc w:val="left"/>
      </w:pPr>
      <w:bookmarkStart w:id="842" w:name="bookmark842"/>
      <w:r>
        <w:rPr>
          <w:color w:val="000000"/>
          <w:spacing w:val="0"/>
          <w:w w:val="100"/>
          <w:position w:val="0"/>
        </w:rPr>
        <w:t>2</w:t>
      </w:r>
      <w:bookmarkEnd w:id="842"/>
      <w:r>
        <w:rPr>
          <w:color w:val="000000"/>
          <w:spacing w:val="0"/>
          <w:w w:val="100"/>
          <w:position w:val="0"/>
        </w:rPr>
        <w:t>）</w:t>
        <w:tab/>
      </w:r>
      <w:r>
        <w:rPr>
          <w:color w:val="000000"/>
          <w:spacing w:val="0"/>
          <w:w w:val="100"/>
          <w:position w:val="0"/>
        </w:rPr>
        <w:t>加上或减去采用实际利率法将该初始确认金额与到期日金额之间的差额进行摊销形成的累计摊销额。</w:t>
      </w:r>
    </w:p>
    <w:p>
      <w:pPr>
        <w:pStyle w:val="Style23"/>
        <w:keepNext w:val="0"/>
        <w:keepLines w:val="0"/>
        <w:widowControl w:val="0"/>
        <w:shd w:val="clear" w:color="auto" w:fill="auto"/>
        <w:tabs>
          <w:tab w:pos="774" w:val="left"/>
        </w:tabs>
        <w:bidi w:val="0"/>
        <w:spacing w:before="0" w:after="0" w:line="312" w:lineRule="exact"/>
        <w:ind w:left="0" w:right="0" w:firstLine="440"/>
        <w:jc w:val="left"/>
      </w:pPr>
      <w:bookmarkStart w:id="843" w:name="bookmark843"/>
      <w:r>
        <w:rPr>
          <w:color w:val="000000"/>
          <w:spacing w:val="0"/>
          <w:w w:val="100"/>
          <w:position w:val="0"/>
        </w:rPr>
        <w:t>3</w:t>
      </w:r>
      <w:bookmarkEnd w:id="843"/>
      <w:r>
        <w:rPr>
          <w:color w:val="000000"/>
          <w:spacing w:val="0"/>
          <w:w w:val="100"/>
          <w:position w:val="0"/>
        </w:rPr>
        <w:t>）</w:t>
        <w:tab/>
      </w:r>
      <w:r>
        <w:rPr>
          <w:color w:val="000000"/>
          <w:spacing w:val="0"/>
          <w:w w:val="100"/>
          <w:position w:val="0"/>
        </w:rPr>
        <w:t>扣除累计计提的损失准备（仅适用于金融资产）。</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公司按照实际利率法确认利息收入。利息收入根据金融资产账面余额乘以实际利率计算确定，但下列情况除外：</w:t>
      </w:r>
    </w:p>
    <w:p>
      <w:pPr>
        <w:pStyle w:val="Style23"/>
        <w:keepNext w:val="0"/>
        <w:keepLines w:val="0"/>
        <w:widowControl w:val="0"/>
        <w:shd w:val="clear" w:color="auto" w:fill="auto"/>
        <w:bidi w:val="0"/>
        <w:spacing w:before="0" w:after="0" w:line="283" w:lineRule="exact"/>
        <w:ind w:left="0" w:right="0" w:firstLine="440"/>
        <w:jc w:val="both"/>
      </w:pPr>
      <w:r>
        <w:rPr>
          <w:color w:val="000000"/>
          <w:spacing w:val="0"/>
          <w:w w:val="100"/>
          <w:position w:val="0"/>
        </w:rPr>
        <w:t>1）</w:t>
      </w:r>
      <w:r>
        <w:rPr>
          <w:color w:val="000000"/>
          <w:spacing w:val="0"/>
          <w:w w:val="100"/>
          <w:position w:val="0"/>
        </w:rPr>
        <w:t>对于购入或源生的已发生信用减值的金融资产，公司自初始确认起，按照该金融资产的摊余成本和经信用调整的实 际利率计算确定其利息收入。</w:t>
      </w:r>
    </w:p>
    <w:p>
      <w:pPr>
        <w:pStyle w:val="Style23"/>
        <w:keepNext w:val="0"/>
        <w:keepLines w:val="0"/>
        <w:widowControl w:val="0"/>
        <w:shd w:val="clear" w:color="auto" w:fill="auto"/>
        <w:bidi w:val="0"/>
        <w:spacing w:before="0" w:after="380" w:line="318"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18"/>
          <w:szCs w:val="18"/>
        </w:rPr>
        <w:t>对于购入或源生的未发生信用减值、但在后续期间成为已发生信用减值的金融资产，公司在后续期间，按照该金融资产的 摊余成本和实际利率计算确定其利息收入。公司按照上述政策对金融资产的摊余成本运用实际利率法计算利息收入的，若 该金融工具在后续期间因其信用风险有所改善而不再存在信用减值，并且这一改善在客观上可与应用上述政策之后发生的 某一事件相联系（如债务人的信用评级被上调），公司转按实际利率乘以该金融资产账面余额来计算确定利息收入</w:t>
      </w:r>
      <w:r>
        <w:rPr>
          <w:color w:val="000000"/>
          <w:spacing w:val="0"/>
          <w:w w:val="100"/>
          <w:position w:val="0"/>
          <w:sz w:val="20"/>
          <w:szCs w:val="20"/>
        </w:rPr>
        <w:t>。</w:t>
      </w:r>
    </w:p>
    <w:p>
      <w:pPr>
        <w:pStyle w:val="Style34"/>
        <w:keepNext/>
        <w:keepLines/>
        <w:widowControl w:val="0"/>
        <w:shd w:val="clear" w:color="auto" w:fill="auto"/>
        <w:tabs>
          <w:tab w:pos="481" w:val="left"/>
        </w:tabs>
        <w:bidi w:val="0"/>
        <w:spacing w:before="0" w:after="28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4"/>
      <w:bookmarkEnd w:id="845"/>
      <w:bookmarkEnd w:id="847"/>
    </w:p>
    <w:p>
      <w:pPr>
        <w:pStyle w:val="Style23"/>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应收票据的预期信用损失的确定方法及会计处理详见附注五、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81"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8"/>
      <w:bookmarkEnd w:id="849"/>
      <w:bookmarkEnd w:id="851"/>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应收账款的预期信用损失的确定方法及会计处理详见附注五、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81"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2"/>
      <w:bookmarkEnd w:id="853"/>
      <w:bookmarkEnd w:id="855"/>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应收账款融资的预期信用损失的确定方法及会计处理详见附注五、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81"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6"/>
      <w:bookmarkEnd w:id="857"/>
      <w:bookmarkEnd w:id="859"/>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其他应收款的预期信用损失的确定方法及会计处理详见附注五、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81" w:val="left"/>
        </w:tabs>
        <w:bidi w:val="0"/>
        <w:spacing w:before="0" w:after="3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0"/>
      <w:bookmarkEnd w:id="861"/>
      <w:bookmarkEnd w:id="863"/>
    </w:p>
    <w:p>
      <w:pPr>
        <w:pStyle w:val="Style23"/>
        <w:keepNext w:val="0"/>
        <w:keepLines w:val="0"/>
        <w:widowControl w:val="0"/>
        <w:numPr>
          <w:ilvl w:val="0"/>
          <w:numId w:val="55"/>
        </w:numPr>
        <w:shd w:val="clear" w:color="auto" w:fill="auto"/>
        <w:tabs>
          <w:tab w:pos="741" w:val="left"/>
        </w:tabs>
        <w:bidi w:val="0"/>
        <w:spacing w:before="0" w:after="0"/>
        <w:ind w:left="0" w:right="0" w:firstLine="440"/>
        <w:jc w:val="left"/>
      </w:pPr>
      <w:bookmarkStart w:id="864" w:name="bookmark864"/>
      <w:bookmarkEnd w:id="864"/>
      <w:r>
        <w:rPr>
          <w:color w:val="000000"/>
          <w:spacing w:val="0"/>
          <w:w w:val="100"/>
          <w:position w:val="0"/>
        </w:rPr>
        <w:t>存货的分类</w:t>
      </w:r>
    </w:p>
    <w:p>
      <w:pPr>
        <w:pStyle w:val="Style2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中耗用的材料和物料等。主要包括原材料、低值易耗品、在产品、自制半成品、库存商品、包装物以及发出商品等。</w:t>
      </w:r>
    </w:p>
    <w:p>
      <w:pPr>
        <w:pStyle w:val="Style23"/>
        <w:keepNext w:val="0"/>
        <w:keepLines w:val="0"/>
        <w:widowControl w:val="0"/>
        <w:numPr>
          <w:ilvl w:val="0"/>
          <w:numId w:val="55"/>
        </w:numPr>
        <w:shd w:val="clear" w:color="auto" w:fill="auto"/>
        <w:tabs>
          <w:tab w:pos="760" w:val="left"/>
        </w:tabs>
        <w:bidi w:val="0"/>
        <w:spacing w:before="0" w:after="0"/>
        <w:ind w:left="0" w:right="0" w:firstLine="440"/>
        <w:jc w:val="left"/>
      </w:pPr>
      <w:bookmarkStart w:id="865" w:name="bookmark865"/>
      <w:bookmarkEnd w:id="865"/>
      <w:r>
        <w:rPr>
          <w:color w:val="000000"/>
          <w:spacing w:val="0"/>
          <w:w w:val="100"/>
          <w:position w:val="0"/>
        </w:rPr>
        <w:t>发出存货的计价方法</w:t>
      </w:r>
    </w:p>
    <w:p>
      <w:pPr>
        <w:pStyle w:val="Style23"/>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发出存货时按加权平均法计价。</w:t>
      </w:r>
    </w:p>
    <w:p>
      <w:pPr>
        <w:pStyle w:val="Style23"/>
        <w:keepNext w:val="0"/>
        <w:keepLines w:val="0"/>
        <w:widowControl w:val="0"/>
        <w:numPr>
          <w:ilvl w:val="0"/>
          <w:numId w:val="55"/>
        </w:numPr>
        <w:shd w:val="clear" w:color="auto" w:fill="auto"/>
        <w:tabs>
          <w:tab w:pos="760" w:val="left"/>
        </w:tabs>
        <w:bidi w:val="0"/>
        <w:spacing w:before="0" w:after="0"/>
        <w:ind w:left="0" w:right="0" w:firstLine="440"/>
        <w:jc w:val="left"/>
      </w:pPr>
      <w:bookmarkStart w:id="866" w:name="bookmark866"/>
      <w:bookmarkEnd w:id="866"/>
      <w:r>
        <w:rPr>
          <w:color w:val="000000"/>
          <w:spacing w:val="0"/>
          <w:w w:val="100"/>
          <w:position w:val="0"/>
        </w:rPr>
        <w:t>存货可变现净值的确定依据及存货跌价准备的计提方法</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于资产负债表日，存货按照成本与可变现净值孰低计量，存货成本高于其可变现净值的，应当计提存货跌价准备，计 </w:t>
      </w:r>
      <w:r>
        <w:rPr>
          <w:color w:val="000000"/>
          <w:spacing w:val="0"/>
          <w:w w:val="100"/>
          <w:position w:val="0"/>
        </w:rPr>
        <w:t>入当期损益。可变现净值，是指在日常活动中，存货的估计售价减去至完工时估计将要发生的成本、估计的销售费用以及相 关税费后的金额。</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各类存货可变现净值的确定依据如下：</w:t>
      </w:r>
    </w:p>
    <w:p>
      <w:pPr>
        <w:pStyle w:val="Style23"/>
        <w:keepNext w:val="0"/>
        <w:keepLines w:val="0"/>
        <w:widowControl w:val="0"/>
        <w:numPr>
          <w:ilvl w:val="0"/>
          <w:numId w:val="57"/>
        </w:numPr>
        <w:shd w:val="clear" w:color="auto" w:fill="auto"/>
        <w:tabs>
          <w:tab w:pos="795" w:val="left"/>
        </w:tabs>
        <w:bidi w:val="0"/>
        <w:spacing w:before="0" w:after="0" w:line="313" w:lineRule="exact"/>
        <w:ind w:left="0" w:right="0" w:firstLine="440"/>
        <w:jc w:val="both"/>
      </w:pPr>
      <w:bookmarkStart w:id="867" w:name="bookmark867"/>
      <w:bookmarkEnd w:id="867"/>
      <w:r>
        <w:rPr>
          <w:color w:val="000000"/>
          <w:spacing w:val="0"/>
          <w:w w:val="100"/>
          <w:position w:val="0"/>
        </w:rPr>
        <w:t>产成品、商品和用于出售的材料等直接用于出售的商品存货，在正常生产经营过程中，以该存货的估计售价减去估 计的销售费用和相关税费后的金额，确定其可变现净值。</w:t>
      </w:r>
    </w:p>
    <w:p>
      <w:pPr>
        <w:pStyle w:val="Style23"/>
        <w:keepNext w:val="0"/>
        <w:keepLines w:val="0"/>
        <w:widowControl w:val="0"/>
        <w:numPr>
          <w:ilvl w:val="0"/>
          <w:numId w:val="57"/>
        </w:numPr>
        <w:shd w:val="clear" w:color="auto" w:fill="auto"/>
        <w:tabs>
          <w:tab w:pos="795" w:val="left"/>
        </w:tabs>
        <w:bidi w:val="0"/>
        <w:spacing w:before="0" w:after="0" w:line="313" w:lineRule="exact"/>
        <w:ind w:left="0" w:right="0" w:firstLine="440"/>
        <w:jc w:val="both"/>
      </w:pPr>
      <w:bookmarkStart w:id="868" w:name="bookmark868"/>
      <w:bookmarkEnd w:id="868"/>
      <w:r>
        <w:rPr>
          <w:color w:val="000000"/>
          <w:spacing w:val="0"/>
          <w:w w:val="100"/>
          <w:position w:val="0"/>
        </w:rPr>
        <w:t>需要经过加工的材料存货，在正常生产经营过程中，以所生产的产成品的估计售价减去至完工时估计将要发生的成 本、估计的销售费用和相关税费后的金额，确定其可变现净值。</w:t>
      </w:r>
    </w:p>
    <w:p>
      <w:pPr>
        <w:pStyle w:val="Style23"/>
        <w:keepNext w:val="0"/>
        <w:keepLines w:val="0"/>
        <w:widowControl w:val="0"/>
        <w:numPr>
          <w:ilvl w:val="0"/>
          <w:numId w:val="57"/>
        </w:numPr>
        <w:shd w:val="clear" w:color="auto" w:fill="auto"/>
        <w:tabs>
          <w:tab w:pos="790" w:val="left"/>
        </w:tabs>
        <w:bidi w:val="0"/>
        <w:spacing w:before="0" w:after="0" w:line="313" w:lineRule="exact"/>
        <w:ind w:left="0" w:right="0" w:firstLine="440"/>
        <w:jc w:val="both"/>
      </w:pPr>
      <w:bookmarkStart w:id="869" w:name="bookmark869"/>
      <w:bookmarkEnd w:id="869"/>
      <w:r>
        <w:rPr>
          <w:color w:val="000000"/>
          <w:spacing w:val="0"/>
          <w:w w:val="100"/>
          <w:position w:val="0"/>
        </w:rPr>
        <w:t>资产负债表日，同一项存货中一部分有合同价格约定、其他部分不存在合同价格的，应当分别确定其可变现净值， 并与其相对应的成本进行比较，分别确定存货跌价准备的计提或转回的金额。</w:t>
      </w:r>
    </w:p>
    <w:p>
      <w:pPr>
        <w:pStyle w:val="Style2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存货跌价准备按单个存货项目</w:t>
      </w:r>
      <w:r>
        <w:rPr>
          <w:rFonts w:ascii="Times New Roman" w:eastAsia="Times New Roman" w:hAnsi="Times New Roman" w:cs="Times New Roman"/>
          <w:color w:val="000000"/>
          <w:spacing w:val="0"/>
          <w:w w:val="100"/>
          <w:position w:val="0"/>
        </w:rPr>
        <w:t>（</w:t>
      </w:r>
      <w:r>
        <w:rPr>
          <w:color w:val="000000"/>
          <w:spacing w:val="0"/>
          <w:w w:val="100"/>
          <w:position w:val="0"/>
        </w:rPr>
        <w:t>或存货类别</w:t>
      </w:r>
      <w:r>
        <w:rPr>
          <w:rFonts w:ascii="Times New Roman" w:eastAsia="Times New Roman" w:hAnsi="Times New Roman" w:cs="Times New Roman"/>
          <w:color w:val="000000"/>
          <w:spacing w:val="0"/>
          <w:w w:val="100"/>
          <w:position w:val="0"/>
        </w:rPr>
        <w:t>）</w:t>
      </w:r>
      <w:r>
        <w:rPr>
          <w:color w:val="000000"/>
          <w:spacing w:val="0"/>
          <w:w w:val="100"/>
          <w:position w:val="0"/>
        </w:rPr>
        <w:t>计提，与在同一地区生产和销售的产品系列相关、具有相同或类似最终用途 或目的，且难以与其他项目分开计量的存货，合并计提存货跌价准备。</w:t>
      </w:r>
    </w:p>
    <w:p>
      <w:pPr>
        <w:pStyle w:val="Style23"/>
        <w:keepNext w:val="0"/>
        <w:keepLines w:val="0"/>
        <w:widowControl w:val="0"/>
        <w:shd w:val="clear" w:color="auto" w:fill="auto"/>
        <w:tabs>
          <w:tab w:pos="842" w:val="left"/>
        </w:tabs>
        <w:bidi w:val="0"/>
        <w:spacing w:before="0" w:after="0"/>
        <w:ind w:left="0" w:right="0" w:firstLine="440"/>
        <w:jc w:val="both"/>
      </w:pPr>
      <w:bookmarkStart w:id="870" w:name="bookmark870"/>
      <w:r>
        <w:rPr>
          <w:rFonts w:ascii="Times New Roman" w:eastAsia="Times New Roman" w:hAnsi="Times New Roman" w:cs="Times New Roman"/>
          <w:color w:val="000000"/>
          <w:spacing w:val="0"/>
          <w:w w:val="100"/>
          <w:position w:val="0"/>
        </w:rPr>
        <w:t>（</w:t>
      </w:r>
      <w:bookmarkEnd w:id="870"/>
      <w:r>
        <w:rPr>
          <w:rFonts w:ascii="Times New Roman" w:eastAsia="Times New Roman" w:hAnsi="Times New Roman" w:cs="Times New Roman"/>
          <w:color w:val="000000"/>
          <w:spacing w:val="0"/>
          <w:w w:val="100"/>
          <w:position w:val="0"/>
        </w:rPr>
        <w:t>4）</w:t>
        <w:tab/>
      </w:r>
      <w:r>
        <w:rPr>
          <w:color w:val="000000"/>
          <w:spacing w:val="0"/>
          <w:w w:val="100"/>
          <w:position w:val="0"/>
        </w:rPr>
        <w:t>存货的盘存制度</w:t>
      </w:r>
    </w:p>
    <w:p>
      <w:pPr>
        <w:pStyle w:val="Style2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存货的盘存制度采用永续盘存制。</w:t>
      </w:r>
    </w:p>
    <w:p>
      <w:pPr>
        <w:pStyle w:val="Style23"/>
        <w:keepNext w:val="0"/>
        <w:keepLines w:val="0"/>
        <w:widowControl w:val="0"/>
        <w:shd w:val="clear" w:color="auto" w:fill="auto"/>
        <w:tabs>
          <w:tab w:pos="842" w:val="left"/>
        </w:tabs>
        <w:bidi w:val="0"/>
        <w:spacing w:before="0" w:after="0"/>
        <w:ind w:left="0" w:right="0" w:firstLine="440"/>
        <w:jc w:val="both"/>
      </w:pPr>
      <w:bookmarkStart w:id="871" w:name="bookmark871"/>
      <w:r>
        <w:rPr>
          <w:rFonts w:ascii="Times New Roman" w:eastAsia="Times New Roman" w:hAnsi="Times New Roman" w:cs="Times New Roman"/>
          <w:color w:val="000000"/>
          <w:spacing w:val="0"/>
          <w:w w:val="100"/>
          <w:position w:val="0"/>
        </w:rPr>
        <w:t>（</w:t>
      </w:r>
      <w:bookmarkEnd w:id="871"/>
      <w:r>
        <w:rPr>
          <w:rFonts w:ascii="Times New Roman" w:eastAsia="Times New Roman" w:hAnsi="Times New Roman" w:cs="Times New Roman"/>
          <w:color w:val="000000"/>
          <w:spacing w:val="0"/>
          <w:w w:val="100"/>
          <w:position w:val="0"/>
        </w:rPr>
        <w:t>5）</w:t>
        <w:tab/>
      </w:r>
      <w:r>
        <w:rPr>
          <w:color w:val="000000"/>
          <w:spacing w:val="0"/>
          <w:w w:val="100"/>
          <w:position w:val="0"/>
        </w:rPr>
        <w:t>低值易耗品和包装物的摊销方法</w:t>
      </w:r>
    </w:p>
    <w:p>
      <w:pPr>
        <w:pStyle w:val="Style23"/>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对低值易耗品采用分次转销法进行摊销。对包装物采用一次转销法。</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72"/>
      <w:bookmarkEnd w:id="873"/>
      <w:bookmarkEnd w:id="875"/>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本公司将已向客户转让商品或服务而有权收取对价的权利（且该权利取决于时间流逝之外的其他因素）作为合同资产列 示。合同资产的减值准备计提参照金融工具预期信用损失法。对于不包含重大融资成分的合同资产，本公司采用简化方法计 量损失准备。对于包含重大融资成分的合同资产，本公司按照一般方法计量损失准备。</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合同资产发生减值损失，按应减记金额，借记“资产减值损失”，贷记合同资产减值准备；转回已计提的资产减值准 备时，做相反分录。</w:t>
      </w:r>
    </w:p>
    <w:p>
      <w:pPr>
        <w:pStyle w:val="Style23"/>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合同资产的预期信用损失的确定方法及会计处理详见附注五、</w:t>
      </w:r>
      <w:r>
        <w:rPr>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7</w:t>
      </w:r>
      <w:r>
        <w:rPr>
          <w:color w:val="000000"/>
          <w:spacing w:val="0"/>
          <w:w w:val="100"/>
          <w:position w:val="0"/>
        </w:rPr>
        <w:t>、</w:t>
        <w:tab/>
        <w:t>长期应收款</w:t>
      </w:r>
      <w:bookmarkEnd w:id="876"/>
      <w:bookmarkEnd w:id="877"/>
      <w:bookmarkEnd w:id="879"/>
    </w:p>
    <w:p>
      <w:pPr>
        <w:pStyle w:val="Style2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长期应收款的预期信用损失的确定方法及会计处理详见附注五、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880"/>
      <w:bookmarkEnd w:id="881"/>
      <w:bookmarkEnd w:id="883"/>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长期股权投资是指公司对被投资单位实施控制、重大影响的权益性投资，以及对其合营企业的投资。</w:t>
      </w:r>
    </w:p>
    <w:p>
      <w:pPr>
        <w:pStyle w:val="Style23"/>
        <w:keepNext w:val="0"/>
        <w:keepLines w:val="0"/>
        <w:widowControl w:val="0"/>
        <w:shd w:val="clear" w:color="auto" w:fill="auto"/>
        <w:tabs>
          <w:tab w:pos="880" w:val="left"/>
        </w:tabs>
        <w:bidi w:val="0"/>
        <w:spacing w:before="0" w:after="0" w:line="314" w:lineRule="exact"/>
        <w:ind w:left="0" w:right="0" w:firstLine="44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投资成本确定</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除对外合并形成的长期股权投资以外，其他方式取得的长期股权投资，按照下列规定确定其初始投资成本：</w:t>
      </w:r>
    </w:p>
    <w:p>
      <w:pPr>
        <w:pStyle w:val="Style23"/>
        <w:keepNext w:val="0"/>
        <w:keepLines w:val="0"/>
        <w:widowControl w:val="0"/>
        <w:numPr>
          <w:ilvl w:val="0"/>
          <w:numId w:val="59"/>
        </w:numPr>
        <w:shd w:val="clear" w:color="auto" w:fill="auto"/>
        <w:tabs>
          <w:tab w:pos="790" w:val="left"/>
        </w:tabs>
        <w:bidi w:val="0"/>
        <w:spacing w:before="0" w:after="0" w:line="314" w:lineRule="exact"/>
        <w:ind w:left="0" w:right="0" w:firstLine="440"/>
        <w:jc w:val="left"/>
      </w:pPr>
      <w:bookmarkStart w:id="885" w:name="bookmark885"/>
      <w:bookmarkEnd w:id="885"/>
      <w:r>
        <w:rPr>
          <w:color w:val="000000"/>
          <w:spacing w:val="0"/>
          <w:w w:val="100"/>
          <w:position w:val="0"/>
        </w:rPr>
        <w:t>以支付现金取得的长期股权投资，按照实际支付的购买价款作为初始投资成本。初始投资成本包括与取得长期股权 投资直接相关的费用、税金及其他必要支出；</w:t>
      </w:r>
    </w:p>
    <w:p>
      <w:pPr>
        <w:pStyle w:val="Style23"/>
        <w:keepNext w:val="0"/>
        <w:keepLines w:val="0"/>
        <w:widowControl w:val="0"/>
        <w:numPr>
          <w:ilvl w:val="0"/>
          <w:numId w:val="59"/>
        </w:numPr>
        <w:shd w:val="clear" w:color="auto" w:fill="auto"/>
        <w:tabs>
          <w:tab w:pos="813" w:val="left"/>
        </w:tabs>
        <w:bidi w:val="0"/>
        <w:spacing w:before="0" w:after="0" w:line="314" w:lineRule="exact"/>
        <w:ind w:left="0" w:right="0" w:firstLine="440"/>
        <w:jc w:val="both"/>
      </w:pPr>
      <w:bookmarkStart w:id="886" w:name="bookmark886"/>
      <w:bookmarkEnd w:id="886"/>
      <w:r>
        <w:rPr>
          <w:color w:val="000000"/>
          <w:spacing w:val="0"/>
          <w:w w:val="100"/>
          <w:position w:val="0"/>
        </w:rPr>
        <w:t>以发行权益性证券取得的长期股权投资，按照发行权益性证券的公允价值作为初始投资成本；</w:t>
      </w:r>
    </w:p>
    <w:p>
      <w:pPr>
        <w:pStyle w:val="Style23"/>
        <w:keepNext w:val="0"/>
        <w:keepLines w:val="0"/>
        <w:widowControl w:val="0"/>
        <w:numPr>
          <w:ilvl w:val="0"/>
          <w:numId w:val="59"/>
        </w:numPr>
        <w:shd w:val="clear" w:color="auto" w:fill="auto"/>
        <w:tabs>
          <w:tab w:pos="795" w:val="left"/>
        </w:tabs>
        <w:bidi w:val="0"/>
        <w:spacing w:before="0" w:after="0" w:line="314" w:lineRule="exact"/>
        <w:ind w:left="0" w:right="0" w:firstLine="440"/>
        <w:jc w:val="both"/>
      </w:pPr>
      <w:bookmarkStart w:id="887" w:name="bookmark887"/>
      <w:bookmarkEnd w:id="887"/>
      <w:r>
        <w:rPr>
          <w:color w:val="000000"/>
          <w:spacing w:val="0"/>
          <w:w w:val="100"/>
          <w:position w:val="0"/>
        </w:rPr>
        <w:t>通过非货币性资产交换取得的长期股权投资，其初始投资成本应当按照《企业会计准则第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 确定；</w:t>
      </w:r>
    </w:p>
    <w:p>
      <w:pPr>
        <w:pStyle w:val="Style23"/>
        <w:keepNext w:val="0"/>
        <w:keepLines w:val="0"/>
        <w:widowControl w:val="0"/>
        <w:numPr>
          <w:ilvl w:val="0"/>
          <w:numId w:val="59"/>
        </w:numPr>
        <w:shd w:val="clear" w:color="auto" w:fill="auto"/>
        <w:tabs>
          <w:tab w:pos="813" w:val="left"/>
        </w:tabs>
        <w:bidi w:val="0"/>
        <w:spacing w:before="0" w:after="0" w:line="314" w:lineRule="exact"/>
        <w:ind w:left="0" w:right="0" w:firstLine="440"/>
        <w:jc w:val="both"/>
      </w:pPr>
      <w:bookmarkStart w:id="888" w:name="bookmark888"/>
      <w:bookmarkEnd w:id="888"/>
      <w:r>
        <w:rPr>
          <w:color w:val="000000"/>
          <w:spacing w:val="0"/>
          <w:w w:val="100"/>
          <w:position w:val="0"/>
        </w:rPr>
        <w:t>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债务重组》确定。</w:t>
      </w:r>
    </w:p>
    <w:p>
      <w:pPr>
        <w:pStyle w:val="Style23"/>
        <w:keepNext w:val="0"/>
        <w:keepLines w:val="0"/>
        <w:widowControl w:val="0"/>
        <w:shd w:val="clear" w:color="auto" w:fill="auto"/>
        <w:tabs>
          <w:tab w:pos="880" w:val="left"/>
        </w:tabs>
        <w:bidi w:val="0"/>
        <w:spacing w:before="0" w:after="0" w:line="314" w:lineRule="exact"/>
        <w:ind w:left="0" w:right="0" w:firstLine="4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23"/>
        <w:keepNext w:val="0"/>
        <w:keepLines w:val="0"/>
        <w:widowControl w:val="0"/>
        <w:numPr>
          <w:ilvl w:val="0"/>
          <w:numId w:val="61"/>
        </w:numPr>
        <w:shd w:val="clear" w:color="auto" w:fill="auto"/>
        <w:bidi w:val="0"/>
        <w:spacing w:before="0" w:after="0" w:line="314" w:lineRule="exact"/>
        <w:ind w:left="0" w:right="0" w:firstLine="440"/>
        <w:jc w:val="both"/>
      </w:pPr>
      <w:bookmarkStart w:id="890" w:name="bookmark890"/>
      <w:bookmarkEnd w:id="890"/>
      <w:r>
        <w:rPr>
          <w:color w:val="000000"/>
          <w:spacing w:val="0"/>
          <w:w w:val="100"/>
          <w:position w:val="0"/>
        </w:rPr>
        <w:t>下列长期股权投资采用成本法核算：</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公司能够对被投资单位实施控制的长期股权投资。</w:t>
      </w:r>
    </w:p>
    <w:p>
      <w:pPr>
        <w:pStyle w:val="Style2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采用成本法核算的长期股权投资按照初始投资成本计价。追加或收回投资应当调整长期股权投资的成本。被投资单位 宣告分派的现金股利或利润，确认为当期投资收益。</w:t>
      </w:r>
    </w:p>
    <w:p>
      <w:pPr>
        <w:pStyle w:val="Style23"/>
        <w:keepNext w:val="0"/>
        <w:keepLines w:val="0"/>
        <w:widowControl w:val="0"/>
        <w:numPr>
          <w:ilvl w:val="0"/>
          <w:numId w:val="61"/>
        </w:numPr>
        <w:shd w:val="clear" w:color="auto" w:fill="auto"/>
        <w:bidi w:val="0"/>
        <w:spacing w:before="0" w:after="0" w:line="313" w:lineRule="exact"/>
        <w:ind w:left="0" w:right="0" w:firstLine="440"/>
        <w:jc w:val="both"/>
      </w:pPr>
      <w:bookmarkStart w:id="891" w:name="bookmark891"/>
      <w:bookmarkEnd w:id="891"/>
      <w:r>
        <w:rPr>
          <w:color w:val="000000"/>
          <w:spacing w:val="0"/>
          <w:w w:val="100"/>
          <w:position w:val="0"/>
        </w:rPr>
        <w:t>对被投资单位具有共同控制</w:t>
      </w:r>
      <w:r>
        <w:rPr>
          <w:rFonts w:ascii="Times New Roman" w:eastAsia="Times New Roman" w:hAnsi="Times New Roman" w:cs="Times New Roman"/>
          <w:color w:val="000000"/>
          <w:spacing w:val="0"/>
          <w:w w:val="100"/>
          <w:position w:val="0"/>
        </w:rPr>
        <w:t>（</w:t>
      </w:r>
      <w:r>
        <w:rPr>
          <w:color w:val="000000"/>
          <w:spacing w:val="0"/>
          <w:w w:val="100"/>
          <w:position w:val="0"/>
        </w:rPr>
        <w:t>指合营企业</w:t>
      </w:r>
      <w:r>
        <w:rPr>
          <w:rFonts w:ascii="Times New Roman" w:eastAsia="Times New Roman" w:hAnsi="Times New Roman" w:cs="Times New Roman"/>
          <w:color w:val="000000"/>
          <w:spacing w:val="0"/>
          <w:w w:val="100"/>
          <w:position w:val="0"/>
        </w:rPr>
        <w:t>）</w:t>
      </w:r>
      <w:r>
        <w:rPr>
          <w:color w:val="000000"/>
          <w:spacing w:val="0"/>
          <w:w w:val="100"/>
          <w:position w:val="0"/>
        </w:rPr>
        <w:t>或重大影响的长期股权投资，按照采用权益法核算。</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长期股权投资采用权益法核算时，对长期股权投资的投资成本大于投资时应享有被投资单位可辨认净资产公允价值份 额的，不调整长期股权投资的投资成本；对长期股权投资的投资成本小于投资时应享有被投资单位可辨认净资产公允价值份 额的，对长期股权投资的账面价值进行调整，差额计入投资当期的损益。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在权益法核算时，当取得长期股权投资后，按照应享有或应分担的被投资单位实现的净损益和其他综合收益的份额， 分别确认投资损益和其他综合收益，并调整长期股权投资的账面价值。投资企业按照被投资单位宣告分派的利润或现金股利 计算应分得的部分，相应减少长期股权投资的账面价值。投资方对于被投资单位除净损益、其他综合收益和利润分配以外所 有者权益的其他变动，应当调整长期股权投资的账面价值并计入所有者权益。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确认被投资单位发生的净亏损，以长期股权投资的账面价值以及其他实质上构成对被投资单位净投资的长期权益减记 至零为限，公司对被投资企业负有承担额外损失义务的除外。被投资单位以后实现净利润的，投资企业在其收益分享额弥补 未确认的亏损分担额后，恢复确认收益分享额。</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对于被投资单位除净损益、其他综合收益和利润分配以外所有者权益的其他变动，调整长期股权投资的账面价值并计 入所有者权益。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长期股权投资按照权益法核算在确认投资损益时，先对被投资单位的净利润进行取得投资时被投资单位各项可辨认资 产等的公允价值、会计政策和会计期间方面的调整，再按应享有或应分担的被投资单位的净损益份额确认当期投资损益。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与联营企业及合营企业之间发生的未实现内部交易损益按照持股比例计算归属于本公司的部分，在抵销基础上确认投 资损益。</w:t>
      </w:r>
    </w:p>
    <w:p>
      <w:pPr>
        <w:pStyle w:val="Style23"/>
        <w:keepNext w:val="0"/>
        <w:keepLines w:val="0"/>
        <w:widowControl w:val="0"/>
        <w:shd w:val="clear" w:color="auto" w:fill="auto"/>
        <w:bidi w:val="0"/>
        <w:spacing w:before="0" w:after="0" w:line="313" w:lineRule="exact"/>
        <w:ind w:left="0" w:right="0" w:firstLine="44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意后才能决策。在判断是否存在共同控制时，首先判断所有参与方或参与方组合是否集体控制该安排，如果所有参与方或一 组参与方必须一致行动才能决定某项安排的相关活动，则认为所有参与方或一组参与方集体控制该安排。其次再判断该安排 相关活动的决策是否必须经过这些集体控制该安排的参与方一致同意。如果存在两个或两个以上的参与方组合能够集体控制 某项安排的，不构成共同控制。判断是否存在共同控制时，不考虑享有的保护性权利。</w:t>
      </w:r>
    </w:p>
    <w:p>
      <w:pPr>
        <w:pStyle w:val="Style23"/>
        <w:keepNext w:val="0"/>
        <w:keepLines w:val="0"/>
        <w:widowControl w:val="0"/>
        <w:shd w:val="clear" w:color="auto" w:fill="auto"/>
        <w:bidi w:val="0"/>
        <w:spacing w:before="0" w:after="400" w:line="313" w:lineRule="exact"/>
        <w:ind w:left="0" w:right="0" w:firstLine="300"/>
        <w:jc w:val="both"/>
      </w:pPr>
      <w:r>
        <w:rPr>
          <w:color w:val="000000"/>
          <w:spacing w:val="0"/>
          <w:w w:val="100"/>
          <w:position w:val="0"/>
        </w:rPr>
        <w:t>重大影响，是指对一个企业的财务和经营政策有参与决策的权力，但并不能够控制或者与其他方一起共同控制这些政策 的制定。在确定能否对被投资单位施加重大影响时，考虑投资方直接或间接持有被投资单位的表决权股份以及投资方及其他 方持有的当期可执行潜在表决权在假定转换为对被投资方单位的股权后产生的影响，包括被投资单位发行的当期可转换的认 股权证、股份期权及可转换公司债券等的影响。</w:t>
      </w:r>
    </w:p>
    <w:p>
      <w:pPr>
        <w:pStyle w:val="Style34"/>
        <w:keepNext/>
        <w:keepLines/>
        <w:widowControl w:val="0"/>
        <w:shd w:val="clear" w:color="auto" w:fill="auto"/>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893"/>
      <w:bookmarkEnd w:id="894"/>
      <w:bookmarkEnd w:id="896"/>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公允价值计量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选择公允价值计量的依据</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后转让的土地使用权、已出租的建筑物。投资性房地产应当按照成本进行初始计量，公司在资产负债表日采用公允价值模式 进行后续计量。</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本公司采用公允价值模式对投资性房地产进行后续计量，会计政策选择的依据为：</w:t>
      </w:r>
    </w:p>
    <w:p>
      <w:pPr>
        <w:pStyle w:val="Style23"/>
        <w:keepNext w:val="0"/>
        <w:keepLines w:val="0"/>
        <w:widowControl w:val="0"/>
        <w:shd w:val="clear" w:color="auto" w:fill="auto"/>
        <w:tabs>
          <w:tab w:pos="839" w:val="left"/>
        </w:tabs>
        <w:bidi w:val="0"/>
        <w:spacing w:before="0" w:after="0" w:line="313"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投资性房地产所在地有活跃的房地产交易市场。</w:t>
      </w:r>
    </w:p>
    <w:p>
      <w:pPr>
        <w:pStyle w:val="Style23"/>
        <w:keepNext w:val="0"/>
        <w:keepLines w:val="0"/>
        <w:widowControl w:val="0"/>
        <w:shd w:val="clear" w:color="auto" w:fill="auto"/>
        <w:bidi w:val="0"/>
        <w:spacing w:before="0" w:after="0" w:line="313" w:lineRule="exact"/>
        <w:ind w:left="0" w:right="0" w:firstLine="44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 本公司能够从房地产交易市场上取得同类或类似房地产的市场价格及其他相关信息，从而对投资性房地产的公允 价值作出合理的估计。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本公司不对投资性房地产计提折旧或进行摊销，以资产负债表日投资性房地产的公允价值为基础调整其账面价值，公 允价值与原账面价值之间的差额计入当期损益。</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确定投资性房地产的公允价值时，参照活跃市场上同类或类似房地产的现行市场价格；无法取得同类或类似房地产的 现行市场价格的，参照活跃市场上同类或类似房地产的最近交易价格，并考虑交易情况、交易日期、所在区域等因素，从而 </w:t>
      </w:r>
      <w:r>
        <w:rPr>
          <w:color w:val="000000"/>
          <w:spacing w:val="0"/>
          <w:w w:val="100"/>
          <w:position w:val="0"/>
        </w:rPr>
        <w:t>对投资性房地产的公允价值作出合理的估计；或基于预计未来获得的租金收益和有关现金流量的现值确定其公允价值。</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自用房地产或存货转换为投资性房地产时，按照转换当日的公允价值计价，转换当日的公允价值小于原账面价值的， 其差额计入当期损益；转换当日的公允价值大于原账面价值的，其差额确认为其他综合收益。投资性房地产转换为自用房地 产时，以转换当日的公允价值作为自用房地产的账面价值，公允价值与原账面价值的差额计入当期损益。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途改变为赚取租金或资本增值时，自改变之日起，将固定资产或无形资产转换为投资性房地产。发生转换时，以转换日的公 允价值作为转换后的入账价值。</w:t>
      </w:r>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4"/>
        <w:keepNext/>
        <w:keepLines/>
        <w:widowControl w:val="0"/>
        <w:shd w:val="clear" w:color="auto" w:fill="auto"/>
        <w:bidi w:val="0"/>
        <w:spacing w:before="0" w:after="3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99"/>
      <w:bookmarkEnd w:id="900"/>
      <w:bookmarkEnd w:id="902"/>
    </w:p>
    <w:p>
      <w:pPr>
        <w:pStyle w:val="Style34"/>
        <w:keepNext/>
        <w:keepLines/>
        <w:widowControl w:val="0"/>
        <w:shd w:val="clear" w:color="auto" w:fill="auto"/>
        <w:bidi w:val="0"/>
        <w:spacing w:before="0" w:after="280" w:line="240" w:lineRule="auto"/>
        <w:ind w:left="0" w:right="0" w:firstLine="0"/>
        <w:jc w:val="both"/>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9"/>
      <w:bookmarkEnd w:id="900"/>
      <w:bookmarkEnd w:id="904"/>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固定资产指为生产商品、提供劳务、出租或经营管理而持有，并且使用寿命超过一个会计年度的有形资产。固定资产同 时满足下列条件的，才能予以确认：</w:t>
      </w:r>
    </w:p>
    <w:p>
      <w:pPr>
        <w:pStyle w:val="Style23"/>
        <w:keepNext w:val="0"/>
        <w:keepLines w:val="0"/>
        <w:widowControl w:val="0"/>
        <w:numPr>
          <w:ilvl w:val="0"/>
          <w:numId w:val="63"/>
        </w:numPr>
        <w:shd w:val="clear" w:color="auto" w:fill="auto"/>
        <w:tabs>
          <w:tab w:pos="739" w:val="left"/>
        </w:tabs>
        <w:bidi w:val="0"/>
        <w:spacing w:before="0" w:line="312" w:lineRule="exact"/>
        <w:ind w:left="0" w:right="0"/>
        <w:jc w:val="both"/>
      </w:pPr>
      <w:bookmarkStart w:id="905" w:name="bookmark905"/>
      <w:bookmarkEnd w:id="905"/>
      <w:r>
        <w:rPr>
          <w:color w:val="000000"/>
          <w:spacing w:val="0"/>
          <w:w w:val="100"/>
          <w:position w:val="0"/>
        </w:rPr>
        <w:t>与该固定资产有关的经济利益很可能流入企业；</w:t>
      </w:r>
    </w:p>
    <w:p>
      <w:pPr>
        <w:pStyle w:val="Style23"/>
        <w:keepNext w:val="0"/>
        <w:keepLines w:val="0"/>
        <w:widowControl w:val="0"/>
        <w:numPr>
          <w:ilvl w:val="0"/>
          <w:numId w:val="63"/>
        </w:numPr>
        <w:shd w:val="clear" w:color="auto" w:fill="auto"/>
        <w:tabs>
          <w:tab w:pos="739" w:val="left"/>
        </w:tabs>
        <w:bidi w:val="0"/>
        <w:spacing w:before="0" w:after="380" w:line="312" w:lineRule="exact"/>
        <w:ind w:left="0" w:right="0"/>
        <w:jc w:val="both"/>
      </w:pPr>
      <w:bookmarkStart w:id="906" w:name="bookmark906"/>
      <w:bookmarkEnd w:id="906"/>
      <w:r>
        <w:rPr>
          <w:color w:val="000000"/>
          <w:spacing w:val="0"/>
          <w:w w:val="100"/>
          <w:position w:val="0"/>
        </w:rPr>
        <w:t>该固定资产的成本能够可靠地计量。</w:t>
      </w:r>
    </w:p>
    <w:p>
      <w:pPr>
        <w:pStyle w:val="Style34"/>
        <w:keepNext/>
        <w:keepLines/>
        <w:widowControl w:val="0"/>
        <w:shd w:val="clear" w:color="auto" w:fill="auto"/>
        <w:bidi w:val="0"/>
        <w:spacing w:before="0" w:after="320" w:line="240" w:lineRule="auto"/>
        <w:ind w:left="0" w:right="0" w:firstLine="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7"/>
      <w:bookmarkEnd w:id="908"/>
      <w:bookmarkEnd w:id="91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w:t>
            </w: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4.50%</w:t>
            </w:r>
            <w:r>
              <w:rPr>
                <w:rFonts w:ascii="SimSun" w:eastAsia="SimSun" w:hAnsi="SimSun" w:cs="SimSun"/>
                <w:color w:val="000000"/>
                <w:spacing w:val="0"/>
                <w:w w:val="100"/>
                <w:position w:val="0"/>
              </w:rPr>
              <w:t>、</w:t>
            </w: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w:t>
            </w: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r>
              <w:rPr>
                <w:rFonts w:ascii="SimSun" w:eastAsia="SimSun" w:hAnsi="SimSun" w:cs="SimSun"/>
                <w:color w:val="000000"/>
                <w:spacing w:val="0"/>
                <w:w w:val="100"/>
                <w:position w:val="0"/>
              </w:rPr>
              <w:t>、</w:t>
            </w:r>
            <w:r>
              <w:rPr>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w:t>
            </w: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本公司固定资产主要分为：房屋及建筑物、机器设备、运输设备、电子及其他设备、模具等。根据各类固定资产的性质 和使用情况，确定固定资产的使用寿命和预计净残值。并在年度终了，对固定资产的使用寿命、预计净残值和折旧方法进行 复核，如与原先估计数存在差异的，进行相应的调整。除已提足折旧仍继续使用的固定资产和单独计价入账的土地之外，本 公司对所有固定资产计提折旧。</w:t>
      </w:r>
    </w:p>
    <w:p>
      <w:pPr>
        <w:pStyle w:val="Style34"/>
        <w:keepNext/>
        <w:keepLines/>
        <w:widowControl w:val="0"/>
        <w:shd w:val="clear" w:color="auto" w:fill="auto"/>
        <w:tabs>
          <w:tab w:pos="496" w:val="left"/>
        </w:tabs>
        <w:bidi w:val="0"/>
        <w:spacing w:before="0" w:after="28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11"/>
      <w:bookmarkEnd w:id="912"/>
      <w:bookmarkEnd w:id="914"/>
    </w:p>
    <w:p>
      <w:pPr>
        <w:pStyle w:val="Style23"/>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在建工程项目按建造该项资产达到预定可使用状态前所发生的必要支出，作为固定资产的入账价值。所建造的固定资 产在建工程已达到预定可使用状态，但尚未办理竣工决算的，自达到预定可使用状态之日起，根据工程预算、造价或者工程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实际成本等，按估计的价值转入固定资产，并按本公司固定资产折旧政策计提固定资产的折旧，待办理竣工决算后，再按实 际成本调整原来的暂估价值，但不调整原已计提的折旧额。</w:t>
      </w:r>
    </w:p>
    <w:p>
      <w:pPr>
        <w:pStyle w:val="Style34"/>
        <w:keepNext/>
        <w:keepLines/>
        <w:widowControl w:val="0"/>
        <w:shd w:val="clear" w:color="auto" w:fill="auto"/>
        <w:tabs>
          <w:tab w:pos="496" w:val="left"/>
        </w:tabs>
        <w:bidi w:val="0"/>
        <w:spacing w:before="0" w:after="28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15"/>
      <w:bookmarkEnd w:id="916"/>
      <w:bookmarkEnd w:id="918"/>
    </w:p>
    <w:p>
      <w:pPr>
        <w:pStyle w:val="Style23"/>
        <w:keepNext w:val="0"/>
        <w:keepLines w:val="0"/>
        <w:widowControl w:val="0"/>
        <w:shd w:val="clear" w:color="auto" w:fill="auto"/>
        <w:bidi w:val="0"/>
        <w:spacing w:before="0" w:after="100" w:line="312" w:lineRule="exact"/>
        <w:ind w:left="0" w:right="0" w:firstLine="440"/>
        <w:jc w:val="both"/>
      </w:pPr>
      <w:bookmarkStart w:id="919" w:name="bookmark919"/>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公司发生的借款费用，可直接归属于符合资本化条件的资产的购建或者生产的，予以资本化，计入相关资产成本。 符合资本化条件的资产，是指需要经过相当长的时间的</w:t>
      </w:r>
      <w:r>
        <w:rPr>
          <w:rFonts w:ascii="Times New Roman" w:eastAsia="Times New Roman" w:hAnsi="Times New Roman" w:cs="Times New Roman"/>
          <w:color w:val="000000"/>
          <w:spacing w:val="0"/>
          <w:w w:val="100"/>
          <w:position w:val="0"/>
        </w:rPr>
        <w:t>（</w:t>
      </w:r>
      <w:r>
        <w:rPr>
          <w:color w:val="000000"/>
          <w:spacing w:val="0"/>
          <w:w w:val="100"/>
          <w:position w:val="0"/>
        </w:rPr>
        <w:t>通常是指</w:t>
      </w:r>
      <w:r>
        <w:rPr>
          <w:rFonts w:ascii="Times New Roman" w:eastAsia="Times New Roman" w:hAnsi="Times New Roman" w:cs="Times New Roman"/>
          <w:color w:val="000000"/>
          <w:spacing w:val="0"/>
          <w:w w:val="100"/>
          <w:position w:val="0"/>
        </w:rPr>
        <w:t>1</w:t>
      </w:r>
      <w:r>
        <w:rPr>
          <w:color w:val="000000"/>
          <w:spacing w:val="0"/>
          <w:w w:val="100"/>
          <w:position w:val="0"/>
        </w:rPr>
        <w:t>年及</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 xml:space="preserve">购建或者生产活动才能达到预定可使用可销 </w:t>
      </w:r>
      <w:r>
        <w:rPr>
          <w:color w:val="000000"/>
          <w:spacing w:val="0"/>
          <w:w w:val="100"/>
          <w:position w:val="0"/>
        </w:rPr>
        <w:t>售状态的固定资产、投资性房地产和存货等资产。其他借款费用，应当在发生时根据其发生额确认为费用，计入当期损益。 借款费用包括借款利息、折价或者溢价的摊销、辅助费用以及因外币借款而发生的汇兑差额等。</w:t>
      </w:r>
    </w:p>
    <w:p>
      <w:pPr>
        <w:pStyle w:val="Style23"/>
        <w:keepNext w:val="0"/>
        <w:keepLines w:val="0"/>
        <w:widowControl w:val="0"/>
        <w:shd w:val="clear" w:color="auto" w:fill="auto"/>
        <w:tabs>
          <w:tab w:pos="836" w:val="left"/>
        </w:tabs>
        <w:bidi w:val="0"/>
        <w:spacing w:before="0" w:after="0"/>
        <w:ind w:left="0" w:right="0" w:firstLine="440"/>
        <w:jc w:val="left"/>
      </w:pPr>
      <w:bookmarkStart w:id="920" w:name="bookmark920"/>
      <w:r>
        <w:rPr>
          <w:rFonts w:ascii="Times New Roman" w:eastAsia="Times New Roman" w:hAnsi="Times New Roman" w:cs="Times New Roman"/>
          <w:color w:val="000000"/>
          <w:spacing w:val="0"/>
          <w:w w:val="100"/>
          <w:position w:val="0"/>
        </w:rPr>
        <w:t>（</w:t>
      </w:r>
      <w:bookmarkEnd w:id="920"/>
      <w:r>
        <w:rPr>
          <w:rFonts w:ascii="Times New Roman" w:eastAsia="Times New Roman" w:hAnsi="Times New Roman" w:cs="Times New Roman"/>
          <w:color w:val="000000"/>
          <w:spacing w:val="0"/>
          <w:w w:val="100"/>
          <w:position w:val="0"/>
        </w:rPr>
        <w:t>2）</w:t>
        <w:tab/>
      </w:r>
      <w:r>
        <w:rPr>
          <w:color w:val="000000"/>
          <w:spacing w:val="0"/>
          <w:w w:val="100"/>
          <w:position w:val="0"/>
        </w:rPr>
        <w:t>借款费用同时满足下列条件的，开始资本化：</w:t>
      </w:r>
    </w:p>
    <w:p>
      <w:pPr>
        <w:pStyle w:val="Style23"/>
        <w:keepNext w:val="0"/>
        <w:keepLines w:val="0"/>
        <w:widowControl w:val="0"/>
        <w:numPr>
          <w:ilvl w:val="0"/>
          <w:numId w:val="65"/>
        </w:numPr>
        <w:shd w:val="clear" w:color="auto" w:fill="auto"/>
        <w:tabs>
          <w:tab w:pos="780" w:val="left"/>
        </w:tabs>
        <w:bidi w:val="0"/>
        <w:spacing w:before="0" w:after="0" w:line="315" w:lineRule="exact"/>
        <w:ind w:left="0" w:right="0" w:firstLine="440"/>
        <w:jc w:val="left"/>
      </w:pPr>
      <w:bookmarkStart w:id="921" w:name="bookmark921"/>
      <w:bookmarkEnd w:id="921"/>
      <w:r>
        <w:rPr>
          <w:color w:val="000000"/>
          <w:spacing w:val="0"/>
          <w:w w:val="100"/>
          <w:position w:val="0"/>
        </w:rPr>
        <w:t>资产支出已发生，资产支出包括为购建或者生产符合资本化条件的资产而支付的现金、转移非现金资产或者承担带 息债务形式发生的支出；</w:t>
      </w:r>
    </w:p>
    <w:p>
      <w:pPr>
        <w:pStyle w:val="Style23"/>
        <w:keepNext w:val="0"/>
        <w:keepLines w:val="0"/>
        <w:widowControl w:val="0"/>
        <w:numPr>
          <w:ilvl w:val="0"/>
          <w:numId w:val="65"/>
        </w:numPr>
        <w:shd w:val="clear" w:color="auto" w:fill="auto"/>
        <w:tabs>
          <w:tab w:pos="807" w:val="left"/>
        </w:tabs>
        <w:bidi w:val="0"/>
        <w:spacing w:before="0" w:after="0" w:line="315" w:lineRule="exact"/>
        <w:ind w:left="0" w:right="0" w:firstLine="440"/>
        <w:jc w:val="left"/>
      </w:pPr>
      <w:bookmarkStart w:id="922" w:name="bookmark922"/>
      <w:bookmarkEnd w:id="922"/>
      <w:r>
        <w:rPr>
          <w:color w:val="000000"/>
          <w:spacing w:val="0"/>
          <w:w w:val="100"/>
          <w:position w:val="0"/>
        </w:rPr>
        <w:t>借款费用已经发生；</w:t>
      </w:r>
    </w:p>
    <w:p>
      <w:pPr>
        <w:pStyle w:val="Style23"/>
        <w:keepNext w:val="0"/>
        <w:keepLines w:val="0"/>
        <w:widowControl w:val="0"/>
        <w:numPr>
          <w:ilvl w:val="0"/>
          <w:numId w:val="65"/>
        </w:numPr>
        <w:shd w:val="clear" w:color="auto" w:fill="auto"/>
        <w:tabs>
          <w:tab w:pos="807" w:val="left"/>
        </w:tabs>
        <w:bidi w:val="0"/>
        <w:spacing w:before="0" w:after="0" w:line="315" w:lineRule="exact"/>
        <w:ind w:left="0" w:right="0" w:firstLine="440"/>
        <w:jc w:val="left"/>
      </w:pPr>
      <w:bookmarkStart w:id="923" w:name="bookmark923"/>
      <w:bookmarkEnd w:id="923"/>
      <w:r>
        <w:rPr>
          <w:color w:val="000000"/>
          <w:spacing w:val="0"/>
          <w:w w:val="100"/>
          <w:position w:val="0"/>
        </w:rPr>
        <w:t>为使资产达到预定可使用或者可销售状态所必要的购建或者生产活动已经开始。</w:t>
      </w:r>
    </w:p>
    <w:p>
      <w:pPr>
        <w:pStyle w:val="Style2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购建或者生产符合资本化条件的资产达到预定可使用或者可销售状态时，借款费用停止资本化。</w:t>
      </w:r>
    </w:p>
    <w:p>
      <w:pPr>
        <w:pStyle w:val="Style23"/>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产的符合资本化条件的资产达到预定可使用或可销售状态必要的程序，借款费用的资本化则继续进行。</w:t>
      </w:r>
    </w:p>
    <w:p>
      <w:pPr>
        <w:pStyle w:val="Style23"/>
        <w:keepNext w:val="0"/>
        <w:keepLines w:val="0"/>
        <w:widowControl w:val="0"/>
        <w:shd w:val="clear" w:color="auto" w:fill="auto"/>
        <w:tabs>
          <w:tab w:pos="836" w:val="left"/>
        </w:tabs>
        <w:bidi w:val="0"/>
        <w:spacing w:before="0" w:after="0"/>
        <w:ind w:left="0" w:right="0" w:firstLine="440"/>
        <w:jc w:val="left"/>
      </w:pPr>
      <w:bookmarkStart w:id="924" w:name="bookmark924"/>
      <w:r>
        <w:rPr>
          <w:rFonts w:ascii="Times New Roman" w:eastAsia="Times New Roman" w:hAnsi="Times New Roman" w:cs="Times New Roman"/>
          <w:color w:val="000000"/>
          <w:spacing w:val="0"/>
          <w:w w:val="100"/>
          <w:position w:val="0"/>
        </w:rPr>
        <w:t>（</w:t>
      </w:r>
      <w:bookmarkEnd w:id="924"/>
      <w:r>
        <w:rPr>
          <w:rFonts w:ascii="Times New Roman" w:eastAsia="Times New Roman" w:hAnsi="Times New Roman" w:cs="Times New Roman"/>
          <w:color w:val="000000"/>
          <w:spacing w:val="0"/>
          <w:w w:val="100"/>
          <w:position w:val="0"/>
        </w:rPr>
        <w:t>3）</w:t>
        <w:tab/>
      </w:r>
      <w:r>
        <w:rPr>
          <w:color w:val="000000"/>
          <w:spacing w:val="0"/>
          <w:w w:val="100"/>
          <w:position w:val="0"/>
        </w:rPr>
        <w:t>在资本化期间内，每一会计期间的利息</w:t>
      </w:r>
      <w:r>
        <w:rPr>
          <w:rFonts w:ascii="Times New Roman" w:eastAsia="Times New Roman" w:hAnsi="Times New Roman" w:cs="Times New Roman"/>
          <w:color w:val="000000"/>
          <w:spacing w:val="0"/>
          <w:w w:val="100"/>
          <w:position w:val="0"/>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资本化金额，按照下列规定确定：</w:t>
      </w:r>
    </w:p>
    <w:p>
      <w:pPr>
        <w:pStyle w:val="Style23"/>
        <w:keepNext w:val="0"/>
        <w:keepLines w:val="0"/>
        <w:widowControl w:val="0"/>
        <w:numPr>
          <w:ilvl w:val="0"/>
          <w:numId w:val="67"/>
        </w:numPr>
        <w:shd w:val="clear" w:color="auto" w:fill="auto"/>
        <w:tabs>
          <w:tab w:pos="784" w:val="left"/>
        </w:tabs>
        <w:bidi w:val="0"/>
        <w:spacing w:before="0" w:after="0" w:line="315" w:lineRule="exact"/>
        <w:ind w:left="0" w:right="0" w:firstLine="440"/>
        <w:jc w:val="left"/>
      </w:pPr>
      <w:bookmarkStart w:id="925" w:name="bookmark925"/>
      <w:bookmarkEnd w:id="925"/>
      <w:r>
        <w:rPr>
          <w:color w:val="000000"/>
          <w:spacing w:val="0"/>
          <w:w w:val="100"/>
          <w:position w:val="0"/>
        </w:rPr>
        <w:t>为购建或者生产符合资本化条件的资产而借入专门借款的，以专门借款当期实际发生的利息费用，减去尚未动用的 借款资金存入银行取得的利息收入或进行暂时性投资取得的投资收益后的金额确定。</w:t>
      </w:r>
    </w:p>
    <w:p>
      <w:pPr>
        <w:pStyle w:val="Style23"/>
        <w:keepNext w:val="0"/>
        <w:keepLines w:val="0"/>
        <w:widowControl w:val="0"/>
        <w:numPr>
          <w:ilvl w:val="0"/>
          <w:numId w:val="67"/>
        </w:numPr>
        <w:shd w:val="clear" w:color="auto" w:fill="auto"/>
        <w:tabs>
          <w:tab w:pos="789" w:val="left"/>
        </w:tabs>
        <w:bidi w:val="0"/>
        <w:spacing w:before="0" w:after="0" w:line="315" w:lineRule="exact"/>
        <w:ind w:left="0" w:right="0" w:firstLine="440"/>
        <w:jc w:val="left"/>
      </w:pPr>
      <w:bookmarkStart w:id="926" w:name="bookmark926"/>
      <w:bookmarkEnd w:id="926"/>
      <w:r>
        <w:rPr>
          <w:color w:val="000000"/>
          <w:spacing w:val="0"/>
          <w:w w:val="100"/>
          <w:position w:val="0"/>
        </w:rPr>
        <w:t>为购建或者生产符合资本化条件的资产而占用了一般借款的，根据累计资产支出超过专门借款部分的资产支出加权 平均数乘以所占用的一般借款的资本化率，计算确定一般借款应予资本化的利息金额。资本化率根据一般借款加权平均利率 确定。</w:t>
      </w:r>
    </w:p>
    <w:p>
      <w:pPr>
        <w:pStyle w:val="Style2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借款存在折价或溢价的，按照实际利率法确定每一会计期间相应摊销的折价或者溢价的金额，调整每期利息金额。在 资本化期间内，每一会计期间的利息资本化金额，不超过当期相关借款实际发生的利息金额。</w:t>
      </w:r>
    </w:p>
    <w:p>
      <w:pPr>
        <w:pStyle w:val="Style23"/>
        <w:keepNext w:val="0"/>
        <w:keepLines w:val="0"/>
        <w:widowControl w:val="0"/>
        <w:shd w:val="clear" w:color="auto" w:fill="auto"/>
        <w:tabs>
          <w:tab w:pos="813" w:val="left"/>
        </w:tabs>
        <w:bidi w:val="0"/>
        <w:spacing w:before="0" w:after="380" w:line="315" w:lineRule="exact"/>
        <w:ind w:left="0" w:right="0" w:firstLine="440"/>
        <w:jc w:val="left"/>
      </w:pPr>
      <w:bookmarkStart w:id="927" w:name="bookmark927"/>
      <w:r>
        <w:rPr>
          <w:rFonts w:ascii="Times New Roman" w:eastAsia="Times New Roman" w:hAnsi="Times New Roman" w:cs="Times New Roman"/>
          <w:color w:val="000000"/>
          <w:spacing w:val="0"/>
          <w:w w:val="100"/>
          <w:position w:val="0"/>
        </w:rPr>
        <w:t>（</w:t>
      </w:r>
      <w:bookmarkEnd w:id="927"/>
      <w:r>
        <w:rPr>
          <w:rFonts w:ascii="Times New Roman" w:eastAsia="Times New Roman" w:hAnsi="Times New Roman" w:cs="Times New Roman"/>
          <w:color w:val="000000"/>
          <w:spacing w:val="0"/>
          <w:w w:val="100"/>
          <w:position w:val="0"/>
        </w:rPr>
        <w:t>4）</w:t>
        <w:tab/>
      </w:r>
      <w:r>
        <w:rPr>
          <w:color w:val="000000"/>
          <w:spacing w:val="0"/>
          <w:w w:val="100"/>
          <w:position w:val="0"/>
        </w:rPr>
        <w:t>专门借款发生的辅助费用，在所购建或者生产的符合资本化条件的资产达到预定可使用或者可销售状态之前发生的， 在发生时根据其发生额予以资本化，计入符合资本化条件的资产的成本；在所购建或者生产的符合资本化条件的资产达到预 定可使用或者可销售状态之后发生的，在发生时根据其发生额确认为费用，计入当期损益。一般借款发生的辅助费用，在发 生时根据其发生额确认为费用，计入当期损益。</w:t>
      </w:r>
    </w:p>
    <w:p>
      <w:pPr>
        <w:pStyle w:val="Style34"/>
        <w:keepNext/>
        <w:keepLines/>
        <w:widowControl w:val="0"/>
        <w:shd w:val="clear" w:color="auto" w:fill="auto"/>
        <w:tabs>
          <w:tab w:pos="477"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使用权资产</w:t>
      </w:r>
      <w:bookmarkEnd w:id="928"/>
      <w:bookmarkEnd w:id="929"/>
      <w:bookmarkEnd w:id="931"/>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使用权资产，是指承租人可在租赁期内使用租赁资产的权利。在租赁期开始日。使用权资产按照成本进行初始计量。 该成本包括：①租赁负债的初始计量金额；②在租赁期开始日或之前支付的租赁付款额，存在租赁激励的，扣除已享受的租 赁激励相关金额；③承租人发生的初始直接费用；④承租人为拆卸及移除租赁资产、复原租赁资产所在场地或将租赁资产恢 复至租赁条款约定状态预计将发生的成本。</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本公司使用权资产折旧采用年限平均法计提。对于能合理确定租赁期届满时将会取得租赁资产所有权的，在租赁资产 预计剩余使用寿命内计提折旧；对于无法合理确定租赁期届满时将会取得租赁资产所有权的，在租赁期与租赁资产剩余使用 寿命两者孰短的期间内计提折旧。</w:t>
      </w:r>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资产减值》的相关规定来确定使用权资产是否已发生减值并进行会计处理。</w:t>
      </w:r>
    </w:p>
    <w:p>
      <w:pPr>
        <w:pStyle w:val="Style34"/>
        <w:keepNext/>
        <w:keepLines/>
        <w:widowControl w:val="0"/>
        <w:shd w:val="clear" w:color="auto" w:fill="auto"/>
        <w:tabs>
          <w:tab w:pos="477" w:val="left"/>
        </w:tabs>
        <w:bidi w:val="0"/>
        <w:spacing w:before="0" w:after="3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932"/>
      <w:bookmarkEnd w:id="933"/>
      <w:bookmarkEnd w:id="935"/>
    </w:p>
    <w:p>
      <w:pPr>
        <w:pStyle w:val="Style34"/>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2"/>
      <w:bookmarkEnd w:id="933"/>
      <w:bookmarkEnd w:id="937"/>
    </w:p>
    <w:p>
      <w:pPr>
        <w:pStyle w:val="Style23"/>
        <w:keepNext w:val="0"/>
        <w:keepLines w:val="0"/>
        <w:widowControl w:val="0"/>
        <w:numPr>
          <w:ilvl w:val="0"/>
          <w:numId w:val="69"/>
        </w:numPr>
        <w:shd w:val="clear" w:color="auto" w:fill="auto"/>
        <w:tabs>
          <w:tab w:pos="784" w:val="left"/>
        </w:tabs>
        <w:bidi w:val="0"/>
        <w:spacing w:before="0" w:after="0" w:line="312" w:lineRule="exact"/>
        <w:ind w:left="0" w:right="0" w:firstLine="440"/>
        <w:jc w:val="both"/>
      </w:pPr>
      <w:bookmarkStart w:id="938" w:name="bookmark938"/>
      <w:bookmarkEnd w:id="938"/>
      <w:r>
        <w:rPr>
          <w:color w:val="000000"/>
          <w:spacing w:val="0"/>
          <w:w w:val="100"/>
          <w:position w:val="0"/>
        </w:rPr>
        <w:t>无形资产，是指企业拥有或者控制的没有实物形态的可辨认非货币性资产。无形资产按照成本进行初始计量。于取 得无形资产时分析判断其使用寿命。</w:t>
      </w:r>
    </w:p>
    <w:p>
      <w:pPr>
        <w:pStyle w:val="Style23"/>
        <w:keepNext w:val="0"/>
        <w:keepLines w:val="0"/>
        <w:widowControl w:val="0"/>
        <w:numPr>
          <w:ilvl w:val="0"/>
          <w:numId w:val="69"/>
        </w:numPr>
        <w:shd w:val="clear" w:color="auto" w:fill="auto"/>
        <w:tabs>
          <w:tab w:pos="807" w:val="left"/>
        </w:tabs>
        <w:bidi w:val="0"/>
        <w:spacing w:before="0" w:after="100" w:line="312" w:lineRule="exact"/>
        <w:ind w:left="0" w:right="0" w:firstLine="440"/>
        <w:jc w:val="both"/>
      </w:pPr>
      <w:bookmarkStart w:id="939" w:name="bookmark939"/>
      <w:bookmarkEnd w:id="939"/>
      <w:r>
        <w:rPr>
          <w:color w:val="000000"/>
          <w:spacing w:val="0"/>
          <w:w w:val="100"/>
          <w:position w:val="0"/>
        </w:rPr>
        <w:t>公司确定无形资产使用寿命通常考虑的因素：</w:t>
      </w:r>
    </w:p>
    <w:p>
      <w:pPr>
        <w:pStyle w:val="Style23"/>
        <w:keepNext w:val="0"/>
        <w:keepLines w:val="0"/>
        <w:widowControl w:val="0"/>
        <w:shd w:val="clear" w:color="auto" w:fill="auto"/>
        <w:tabs>
          <w:tab w:pos="783" w:val="left"/>
        </w:tabs>
        <w:bidi w:val="0"/>
        <w:spacing w:before="0" w:after="0"/>
        <w:ind w:left="0" w:right="0" w:firstLine="440"/>
        <w:jc w:val="both"/>
      </w:pPr>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运用该资产生产的产品通常的寿命周期、可获得的类似资产使用寿命的信息；</w:t>
      </w:r>
    </w:p>
    <w:p>
      <w:pPr>
        <w:pStyle w:val="Style23"/>
        <w:keepNext w:val="0"/>
        <w:keepLines w:val="0"/>
        <w:widowControl w:val="0"/>
        <w:shd w:val="clear" w:color="auto" w:fill="auto"/>
        <w:tabs>
          <w:tab w:pos="802" w:val="left"/>
        </w:tabs>
        <w:bidi w:val="0"/>
        <w:spacing w:before="0" w:after="0"/>
        <w:ind w:left="0" w:right="0" w:firstLine="440"/>
        <w:jc w:val="both"/>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技术、工艺等方面的现阶段情况及对未来发展趋势的估计；</w:t>
      </w:r>
    </w:p>
    <w:p>
      <w:pPr>
        <w:pStyle w:val="Style23"/>
        <w:keepNext w:val="0"/>
        <w:keepLines w:val="0"/>
        <w:widowControl w:val="0"/>
        <w:shd w:val="clear" w:color="auto" w:fill="auto"/>
        <w:tabs>
          <w:tab w:pos="792" w:val="left"/>
        </w:tabs>
        <w:bidi w:val="0"/>
        <w:spacing w:before="0" w:after="280"/>
        <w:ind w:left="0" w:right="0" w:firstLine="440"/>
        <w:jc w:val="both"/>
      </w:pPr>
      <w:bookmarkStart w:id="942" w:name="bookmark942"/>
      <w:r>
        <w:rPr>
          <w:rFonts w:ascii="Times New Roman" w:eastAsia="Times New Roman" w:hAnsi="Times New Roman" w:cs="Times New Roman"/>
          <w:color w:val="000000"/>
          <w:spacing w:val="0"/>
          <w:w w:val="100"/>
          <w:position w:val="0"/>
        </w:rPr>
        <w:t>3</w:t>
      </w:r>
      <w:bookmarkEnd w:id="942"/>
      <w:r>
        <w:rPr>
          <w:color w:val="000000"/>
          <w:spacing w:val="0"/>
          <w:w w:val="100"/>
          <w:position w:val="0"/>
        </w:rPr>
        <w:t>）</w:t>
        <w:tab/>
        <w:t>以该资产生产的产品或提供服务的市场需求情况；</w:t>
      </w:r>
    </w:p>
    <w:p>
      <w:pPr>
        <w:pStyle w:val="Style23"/>
        <w:keepNext w:val="0"/>
        <w:keepLines w:val="0"/>
        <w:widowControl w:val="0"/>
        <w:shd w:val="clear" w:color="auto" w:fill="auto"/>
        <w:tabs>
          <w:tab w:pos="808" w:val="left"/>
        </w:tabs>
        <w:bidi w:val="0"/>
        <w:spacing w:before="0" w:after="80" w:line="240" w:lineRule="auto"/>
        <w:ind w:left="0" w:right="0" w:firstLine="440"/>
        <w:jc w:val="both"/>
      </w:pPr>
      <w:bookmarkStart w:id="943" w:name="bookmark943"/>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现在或潜在的竞争者预期采取的行动；</w:t>
      </w:r>
    </w:p>
    <w:p>
      <w:pPr>
        <w:pStyle w:val="Style23"/>
        <w:keepNext w:val="0"/>
        <w:keepLines w:val="0"/>
        <w:widowControl w:val="0"/>
        <w:shd w:val="clear" w:color="auto" w:fill="auto"/>
        <w:tabs>
          <w:tab w:pos="808" w:val="left"/>
        </w:tabs>
        <w:bidi w:val="0"/>
        <w:spacing w:before="0" w:after="80" w:line="240" w:lineRule="auto"/>
        <w:ind w:left="0" w:right="0" w:firstLine="440"/>
        <w:jc w:val="both"/>
      </w:pPr>
      <w:bookmarkStart w:id="944" w:name="bookmark944"/>
      <w:r>
        <w:rPr>
          <w:rFonts w:ascii="Times New Roman" w:eastAsia="Times New Roman" w:hAnsi="Times New Roman" w:cs="Times New Roman"/>
          <w:color w:val="000000"/>
          <w:spacing w:val="0"/>
          <w:w w:val="100"/>
          <w:position w:val="0"/>
        </w:rPr>
        <w:t>5</w:t>
      </w:r>
      <w:bookmarkEnd w:id="944"/>
      <w:r>
        <w:rPr>
          <w:color w:val="000000"/>
          <w:spacing w:val="0"/>
          <w:w w:val="100"/>
          <w:position w:val="0"/>
        </w:rPr>
        <w:t>）</w:t>
        <w:tab/>
        <w:t>为维持该资产带来经济利益能力的预期维护支出，以及公司预计支付有关支出的能力；</w:t>
      </w:r>
    </w:p>
    <w:p>
      <w:pPr>
        <w:pStyle w:val="Style23"/>
        <w:keepNext w:val="0"/>
        <w:keepLines w:val="0"/>
        <w:widowControl w:val="0"/>
        <w:shd w:val="clear" w:color="auto" w:fill="auto"/>
        <w:bidi w:val="0"/>
        <w:spacing w:before="0" w:after="80" w:line="240" w:lineRule="auto"/>
        <w:ind w:left="0" w:right="0" w:firstLine="440"/>
        <w:jc w:val="both"/>
      </w:pPr>
      <w:bookmarkStart w:id="945" w:name="bookmark945"/>
      <w:r>
        <w:rPr>
          <w:rFonts w:ascii="Times New Roman" w:eastAsia="Times New Roman" w:hAnsi="Times New Roman" w:cs="Times New Roman"/>
          <w:color w:val="000000"/>
          <w:spacing w:val="0"/>
          <w:w w:val="100"/>
          <w:position w:val="0"/>
        </w:rPr>
        <w:t>6</w:t>
      </w:r>
      <w:bookmarkEnd w:id="945"/>
      <w:r>
        <w:rPr>
          <w:color w:val="000000"/>
          <w:spacing w:val="0"/>
          <w:w w:val="100"/>
          <w:position w:val="0"/>
        </w:rPr>
        <w:t>） 对该资产控制期限的相关法律规定或类似限制，如特许使用期、租赁期等；</w:t>
      </w:r>
    </w:p>
    <w:p>
      <w:pPr>
        <w:pStyle w:val="Style23"/>
        <w:keepNext w:val="0"/>
        <w:keepLines w:val="0"/>
        <w:widowControl w:val="0"/>
        <w:shd w:val="clear" w:color="auto" w:fill="auto"/>
        <w:tabs>
          <w:tab w:pos="808" w:val="left"/>
        </w:tabs>
        <w:bidi w:val="0"/>
        <w:spacing w:before="0" w:after="80" w:line="240" w:lineRule="auto"/>
        <w:ind w:left="0" w:right="0" w:firstLine="440"/>
        <w:jc w:val="both"/>
      </w:pPr>
      <w:bookmarkStart w:id="946" w:name="bookmark946"/>
      <w:r>
        <w:rPr>
          <w:rFonts w:ascii="Times New Roman" w:eastAsia="Times New Roman" w:hAnsi="Times New Roman" w:cs="Times New Roman"/>
          <w:color w:val="000000"/>
          <w:spacing w:val="0"/>
          <w:w w:val="100"/>
          <w:position w:val="0"/>
        </w:rPr>
        <w:t>7</w:t>
      </w:r>
      <w:bookmarkEnd w:id="946"/>
      <w:r>
        <w:rPr>
          <w:color w:val="000000"/>
          <w:spacing w:val="0"/>
          <w:w w:val="100"/>
          <w:position w:val="0"/>
        </w:rPr>
        <w:t>）</w:t>
        <w:tab/>
        <w:t>与企业持有其他资产使用寿命的关联性等。</w:t>
      </w:r>
    </w:p>
    <w:p>
      <w:pPr>
        <w:pStyle w:val="Style2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无法预见无形资产为公司带来经济利益期限的，视为使用寿命不确定的无形资产。</w:t>
      </w:r>
    </w:p>
    <w:p>
      <w:pPr>
        <w:pStyle w:val="Style23"/>
        <w:keepNext w:val="0"/>
        <w:keepLines w:val="0"/>
        <w:widowControl w:val="0"/>
        <w:numPr>
          <w:ilvl w:val="0"/>
          <w:numId w:val="69"/>
        </w:numPr>
        <w:shd w:val="clear" w:color="auto" w:fill="auto"/>
        <w:bidi w:val="0"/>
        <w:spacing w:before="0" w:after="80" w:line="240" w:lineRule="auto"/>
        <w:ind w:left="0" w:right="0" w:firstLine="440"/>
        <w:jc w:val="both"/>
      </w:pPr>
      <w:bookmarkStart w:id="947" w:name="bookmark947"/>
      <w:bookmarkEnd w:id="947"/>
      <w:r>
        <w:rPr>
          <w:color w:val="000000"/>
          <w:spacing w:val="0"/>
          <w:w w:val="100"/>
          <w:position w:val="0"/>
        </w:rPr>
        <w:t>对于使用寿命有限的无形资产，在使用寿命内系统合理</w:t>
      </w:r>
      <w:r>
        <w:rPr>
          <w:rFonts w:ascii="Times New Roman" w:eastAsia="Times New Roman" w:hAnsi="Times New Roman" w:cs="Times New Roman"/>
          <w:color w:val="000000"/>
          <w:spacing w:val="0"/>
          <w:w w:val="100"/>
          <w:position w:val="0"/>
        </w:rPr>
        <w:t>（</w:t>
      </w:r>
      <w:r>
        <w:rPr>
          <w:color w:val="000000"/>
          <w:spacing w:val="0"/>
          <w:w w:val="100"/>
          <w:position w:val="0"/>
        </w:rPr>
        <w:t>或者直线法</w:t>
      </w:r>
      <w:r>
        <w:rPr>
          <w:rFonts w:ascii="Times New Roman" w:eastAsia="Times New Roman" w:hAnsi="Times New Roman" w:cs="Times New Roman"/>
          <w:color w:val="000000"/>
          <w:spacing w:val="0"/>
          <w:w w:val="100"/>
          <w:position w:val="0"/>
        </w:rPr>
        <w:t>）</w:t>
      </w:r>
      <w:r>
        <w:rPr>
          <w:color w:val="000000"/>
          <w:spacing w:val="0"/>
          <w:w w:val="100"/>
          <w:position w:val="0"/>
        </w:rPr>
        <w:t>摊销。公司于每年年度终了，对使用寿命有限的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无形资产的使用寿命及摊销方法进行复核。无形资产的使用寿命及摊销方法与以前估计不同的，将改变摊销期限和摊销方法。</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对于使用寿命有限的无形资产，在采用直线法计算摊销额时，各项无形资产的使用寿命、预计净残值率如下</w:t>
      </w:r>
    </w:p>
    <w:tbl>
      <w:tblPr>
        <w:tblOverlap w:val="never"/>
        <w:jc w:val="center"/>
        <w:tblLayout w:type="fixed"/>
      </w:tblPr>
      <w:tblGrid>
        <w:gridCol w:w="3288"/>
        <w:gridCol w:w="3264"/>
        <w:gridCol w:w="3096"/>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使用寿命（年）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预计净残值率</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专有技术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8"/>
      <w:bookmarkEnd w:id="949"/>
      <w:bookmarkEnd w:id="951"/>
    </w:p>
    <w:p>
      <w:pPr>
        <w:pStyle w:val="Style23"/>
        <w:keepNext w:val="0"/>
        <w:keepLines w:val="0"/>
        <w:widowControl w:val="0"/>
        <w:numPr>
          <w:ilvl w:val="0"/>
          <w:numId w:val="71"/>
        </w:numPr>
        <w:shd w:val="clear" w:color="auto" w:fill="auto"/>
        <w:tabs>
          <w:tab w:pos="813" w:val="left"/>
        </w:tabs>
        <w:bidi w:val="0"/>
        <w:spacing w:before="0" w:after="0" w:line="316" w:lineRule="exact"/>
        <w:ind w:left="0" w:right="0" w:firstLine="440"/>
        <w:jc w:val="both"/>
      </w:pPr>
      <w:bookmarkStart w:id="952" w:name="bookmark952"/>
      <w:bookmarkEnd w:id="952"/>
      <w:r>
        <w:rPr>
          <w:color w:val="000000"/>
          <w:spacing w:val="0"/>
          <w:w w:val="100"/>
          <w:position w:val="0"/>
        </w:rPr>
        <w:t>内部研究开发项目的支出，包括研究阶段支出与开发阶段支出，其中：</w:t>
      </w:r>
    </w:p>
    <w:p>
      <w:pPr>
        <w:pStyle w:val="Style23"/>
        <w:keepNext w:val="0"/>
        <w:keepLines w:val="0"/>
        <w:widowControl w:val="0"/>
        <w:shd w:val="clear" w:color="auto" w:fill="auto"/>
        <w:tabs>
          <w:tab w:pos="789" w:val="left"/>
        </w:tabs>
        <w:bidi w:val="0"/>
        <w:spacing w:before="0" w:after="0" w:line="316" w:lineRule="exact"/>
        <w:ind w:left="0" w:right="0" w:firstLine="440"/>
        <w:jc w:val="both"/>
      </w:pPr>
      <w:bookmarkStart w:id="953" w:name="bookmark953"/>
      <w:r>
        <w:rPr>
          <w:rFonts w:ascii="Times New Roman" w:eastAsia="Times New Roman" w:hAnsi="Times New Roman" w:cs="Times New Roman"/>
          <w:color w:val="000000"/>
          <w:spacing w:val="0"/>
          <w:w w:val="100"/>
          <w:position w:val="0"/>
        </w:rPr>
        <w:t>1</w:t>
      </w:r>
      <w:bookmarkEnd w:id="953"/>
      <w:r>
        <w:rPr>
          <w:color w:val="000000"/>
          <w:spacing w:val="0"/>
          <w:w w:val="100"/>
          <w:position w:val="0"/>
        </w:rPr>
        <w:t>）</w:t>
        <w:tab/>
        <w:t>研究是指为获取并理解新的科学或技术知识而进行的独创性的有计划调查。</w:t>
      </w:r>
    </w:p>
    <w:p>
      <w:pPr>
        <w:pStyle w:val="Style23"/>
        <w:keepNext w:val="0"/>
        <w:keepLines w:val="0"/>
        <w:widowControl w:val="0"/>
        <w:shd w:val="clear" w:color="auto" w:fill="auto"/>
        <w:bidi w:val="0"/>
        <w:spacing w:before="0" w:after="0" w:line="316" w:lineRule="exact"/>
        <w:ind w:left="0" w:right="0" w:firstLine="440"/>
        <w:jc w:val="both"/>
      </w:pPr>
      <w:bookmarkStart w:id="954" w:name="bookmark954"/>
      <w:r>
        <w:rPr>
          <w:rFonts w:ascii="Times New Roman" w:eastAsia="Times New Roman" w:hAnsi="Times New Roman" w:cs="Times New Roman"/>
          <w:color w:val="000000"/>
          <w:spacing w:val="0"/>
          <w:w w:val="100"/>
          <w:position w:val="0"/>
        </w:rPr>
        <w:t>2</w:t>
      </w:r>
      <w:bookmarkEnd w:id="954"/>
      <w:r>
        <w:rPr>
          <w:color w:val="000000"/>
          <w:spacing w:val="0"/>
          <w:w w:val="100"/>
          <w:position w:val="0"/>
        </w:rPr>
        <w:t>） 开发是指在进行商业性生产或使用前，将研究成果或其他知识应用于某项计划或设计，以生产出新的或具有实质性 改进的材料、装置、产品等。</w:t>
      </w:r>
    </w:p>
    <w:p>
      <w:pPr>
        <w:pStyle w:val="Style23"/>
        <w:keepNext w:val="0"/>
        <w:keepLines w:val="0"/>
        <w:widowControl w:val="0"/>
        <w:numPr>
          <w:ilvl w:val="0"/>
          <w:numId w:val="71"/>
        </w:numPr>
        <w:shd w:val="clear" w:color="auto" w:fill="auto"/>
        <w:tabs>
          <w:tab w:pos="786" w:val="left"/>
        </w:tabs>
        <w:bidi w:val="0"/>
        <w:spacing w:before="0" w:after="0" w:line="316" w:lineRule="exact"/>
        <w:ind w:left="0" w:right="0" w:firstLine="440"/>
        <w:jc w:val="both"/>
      </w:pPr>
      <w:bookmarkStart w:id="955" w:name="bookmark955"/>
      <w:bookmarkEnd w:id="955"/>
      <w:r>
        <w:rPr>
          <w:color w:val="000000"/>
          <w:spacing w:val="0"/>
          <w:w w:val="100"/>
          <w:position w:val="0"/>
        </w:rPr>
        <w:t>内部研究开发项目在研究阶段的支出于发生时计入当期损益；开发阶段的支出，同时满足下列条件的，确认为无形 资产：</w:t>
      </w:r>
    </w:p>
    <w:p>
      <w:pPr>
        <w:pStyle w:val="Style23"/>
        <w:keepNext w:val="0"/>
        <w:keepLines w:val="0"/>
        <w:widowControl w:val="0"/>
        <w:shd w:val="clear" w:color="auto" w:fill="auto"/>
        <w:tabs>
          <w:tab w:pos="781" w:val="left"/>
        </w:tabs>
        <w:bidi w:val="0"/>
        <w:spacing w:before="0" w:after="0" w:line="316" w:lineRule="exact"/>
        <w:ind w:left="0" w:right="0" w:firstLine="440"/>
        <w:jc w:val="both"/>
      </w:pPr>
      <w:bookmarkStart w:id="956" w:name="bookmark956"/>
      <w:r>
        <w:rPr>
          <w:rFonts w:ascii="Times New Roman" w:eastAsia="Times New Roman" w:hAnsi="Times New Roman" w:cs="Times New Roman"/>
          <w:color w:val="000000"/>
          <w:spacing w:val="0"/>
          <w:w w:val="100"/>
          <w:position w:val="0"/>
        </w:rPr>
        <w:t>1</w:t>
      </w:r>
      <w:bookmarkEnd w:id="956"/>
      <w:r>
        <w:rPr>
          <w:color w:val="000000"/>
          <w:spacing w:val="0"/>
          <w:w w:val="100"/>
          <w:position w:val="0"/>
        </w:rPr>
        <w:t>）</w:t>
        <w:tab/>
        <w:t>公司对该项目方案所采用技术的分析，从技术的角度讲是完全能够生产出产品的，且公司已经对该项目方案所需采 用的技术进行了充分的分析论证和测试，即该项目从技术的角度来讲完全是可行的；</w:t>
      </w:r>
    </w:p>
    <w:p>
      <w:pPr>
        <w:pStyle w:val="Style23"/>
        <w:keepNext w:val="0"/>
        <w:keepLines w:val="0"/>
        <w:widowControl w:val="0"/>
        <w:shd w:val="clear" w:color="auto" w:fill="auto"/>
        <w:bidi w:val="0"/>
        <w:spacing w:before="0" w:after="0" w:line="316" w:lineRule="exact"/>
        <w:ind w:left="0" w:right="0" w:firstLine="440"/>
        <w:jc w:val="both"/>
      </w:pPr>
      <w:bookmarkStart w:id="957" w:name="bookmark957"/>
      <w:r>
        <w:rPr>
          <w:rFonts w:ascii="Times New Roman" w:eastAsia="Times New Roman" w:hAnsi="Times New Roman" w:cs="Times New Roman"/>
          <w:color w:val="000000"/>
          <w:spacing w:val="0"/>
          <w:w w:val="100"/>
          <w:position w:val="0"/>
        </w:rPr>
        <w:t>2</w:t>
      </w:r>
      <w:bookmarkEnd w:id="957"/>
      <w:r>
        <w:rPr>
          <w:color w:val="000000"/>
          <w:spacing w:val="0"/>
          <w:w w:val="100"/>
          <w:position w:val="0"/>
        </w:rPr>
        <w:t>） 公司在完成项目方案的开发，取得技术成功并形成样品后交由部分下游客户试用，能够带来稳定的经济效益。对于 经济效益的评价，公司在确认直接经济效益达到或超过项目投入（包括项目研发阶段和项目市场化开发阶段）的所有成本时， 认为该项目的市场化开发达到预定的经济效益；</w:t>
      </w:r>
    </w:p>
    <w:p>
      <w:pPr>
        <w:pStyle w:val="Style23"/>
        <w:keepNext w:val="0"/>
        <w:keepLines w:val="0"/>
        <w:widowControl w:val="0"/>
        <w:shd w:val="clear" w:color="auto" w:fill="auto"/>
        <w:tabs>
          <w:tab w:pos="808" w:val="left"/>
        </w:tabs>
        <w:bidi w:val="0"/>
        <w:spacing w:before="0" w:after="0" w:line="316" w:lineRule="exact"/>
        <w:ind w:left="0" w:right="0" w:firstLine="440"/>
        <w:jc w:val="both"/>
      </w:pPr>
      <w:bookmarkStart w:id="958" w:name="bookmark958"/>
      <w:r>
        <w:rPr>
          <w:rFonts w:ascii="Times New Roman" w:eastAsia="Times New Roman" w:hAnsi="Times New Roman" w:cs="Times New Roman"/>
          <w:color w:val="000000"/>
          <w:spacing w:val="0"/>
          <w:w w:val="100"/>
          <w:position w:val="0"/>
        </w:rPr>
        <w:t>3</w:t>
      </w:r>
      <w:bookmarkEnd w:id="958"/>
      <w:r>
        <w:rPr>
          <w:color w:val="000000"/>
          <w:spacing w:val="0"/>
          <w:w w:val="100"/>
          <w:position w:val="0"/>
        </w:rPr>
        <w:t>）</w:t>
        <w:tab/>
        <w:t>本公司市场部通过市场调研，确认该项目方案进入市场化开发阶段后三年内，能够持续为本公司带来稳定的收益；</w:t>
      </w:r>
    </w:p>
    <w:p>
      <w:pPr>
        <w:pStyle w:val="Style23"/>
        <w:keepNext w:val="0"/>
        <w:keepLines w:val="0"/>
        <w:widowControl w:val="0"/>
        <w:shd w:val="clear" w:color="auto" w:fill="auto"/>
        <w:bidi w:val="0"/>
        <w:spacing w:before="0" w:after="0" w:line="316" w:lineRule="exact"/>
        <w:ind w:left="0" w:right="0" w:firstLine="440"/>
        <w:jc w:val="both"/>
      </w:pPr>
      <w:bookmarkStart w:id="959" w:name="bookmark959"/>
      <w:r>
        <w:rPr>
          <w:rFonts w:ascii="Times New Roman" w:eastAsia="Times New Roman" w:hAnsi="Times New Roman" w:cs="Times New Roman"/>
          <w:color w:val="000000"/>
          <w:spacing w:val="0"/>
          <w:w w:val="100"/>
          <w:position w:val="0"/>
        </w:rPr>
        <w:t>4</w:t>
      </w:r>
      <w:bookmarkEnd w:id="959"/>
      <w:r>
        <w:rPr>
          <w:color w:val="000000"/>
          <w:spacing w:val="0"/>
          <w:w w:val="100"/>
          <w:position w:val="0"/>
        </w:rPr>
        <w:t>） 本公司研发中心、市场部配备专业人员来完成开发和推广，同时本公司财务部门在年度的预算中也为项目技术方案 开发及市场化开发阶段提供了资金预算，从人、财、物上保证项目的顺利开发；</w:t>
      </w:r>
    </w:p>
    <w:p>
      <w:pPr>
        <w:pStyle w:val="Style23"/>
        <w:keepNext w:val="0"/>
        <w:keepLines w:val="0"/>
        <w:widowControl w:val="0"/>
        <w:shd w:val="clear" w:color="auto" w:fill="auto"/>
        <w:bidi w:val="0"/>
        <w:spacing w:before="0" w:after="0" w:line="316" w:lineRule="exact"/>
        <w:ind w:left="0" w:right="0" w:firstLine="440"/>
        <w:jc w:val="both"/>
      </w:pPr>
      <w:bookmarkStart w:id="960" w:name="bookmark960"/>
      <w:r>
        <w:rPr>
          <w:rFonts w:ascii="Times New Roman" w:eastAsia="Times New Roman" w:hAnsi="Times New Roman" w:cs="Times New Roman"/>
          <w:color w:val="000000"/>
          <w:spacing w:val="0"/>
          <w:w w:val="100"/>
          <w:position w:val="0"/>
        </w:rPr>
        <w:t>5</w:t>
      </w:r>
      <w:bookmarkEnd w:id="960"/>
      <w:r>
        <w:rPr>
          <w:color w:val="000000"/>
          <w:spacing w:val="0"/>
          <w:w w:val="100"/>
          <w:position w:val="0"/>
        </w:rPr>
        <w:t>） 本公司对各个研发项目方案，已经按照直接人工、直接材料投入、设计费、试制费、折旧摊销、调试费等费用明细 进行归集，在核算过程中，如果发生的某笔费用系为多个项目而发生，能够按照一定比例分摊的，分摊后归集到该项目中， 不能够按照一定比例分摊的，则直接计入当期管理费用。</w:t>
      </w:r>
    </w:p>
    <w:p>
      <w:pPr>
        <w:pStyle w:val="Style23"/>
        <w:keepNext w:val="0"/>
        <w:keepLines w:val="0"/>
        <w:widowControl w:val="0"/>
        <w:shd w:val="clear" w:color="auto" w:fill="auto"/>
        <w:bidi w:val="0"/>
        <w:spacing w:before="0" w:after="380" w:line="316" w:lineRule="exact"/>
        <w:ind w:left="0" w:right="0"/>
        <w:jc w:val="both"/>
      </w:pPr>
      <w:r>
        <w:rPr>
          <w:color w:val="000000"/>
          <w:spacing w:val="0"/>
          <w:w w:val="100"/>
          <w:position w:val="0"/>
        </w:rPr>
        <w:t>只有同时符合以上五个条件，公司才将开发阶段的支出资本化，不满足上述条件的开发支出，计入当期损益。</w:t>
      </w:r>
    </w:p>
    <w:p>
      <w:pPr>
        <w:pStyle w:val="Style34"/>
        <w:keepNext/>
        <w:keepLines/>
        <w:widowControl w:val="0"/>
        <w:shd w:val="clear" w:color="auto" w:fill="auto"/>
        <w:bidi w:val="0"/>
        <w:spacing w:before="0" w:after="26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61"/>
      <w:bookmarkEnd w:id="962"/>
      <w:bookmarkEnd w:id="964"/>
    </w:p>
    <w:p>
      <w:pPr>
        <w:pStyle w:val="Style23"/>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业的长期股权投资等非流动非金融资产，公司于资产负债表日判断是否存在减值迹象。如存在减值迹象的，则估计其可收回 金额，进行减值测试。商誉、使用寿命不确定的无形资产和尚未达到可使用状态的无形资产，无论是否存在减值迹象，每年 均进行减值测试。</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w:t>
      </w:r>
      <w:r>
        <w:rPr>
          <w:color w:val="000000"/>
          <w:spacing w:val="0"/>
          <w:w w:val="100"/>
          <w:position w:val="0"/>
        </w:rPr>
        <w:t>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难以分摊至相关的资产组的，将其分摊至相关的资产组组合。相关的资产组或资产组组合，是能够从企业合并的协同效应中 受益的资产组或者资产组组合，且不大于本集团确定的报告分部。</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对包含商誉的相关资产组或者资产组组合进行减值测试时，如与商誉相关的资产组或者资产组组合存在减值迹象的， 首先对不包含商誉的资产组或者资产组组合进行减值测试，计算可收回金额，确认相应的减值损失。然后对包含商誉的资产 组或者资产组组合进行减值测试，比较其账面价值与可收回金额，如可收回金额低于账面价值的，减值损失金额首先抵减分 摊至资产组或资产组组合中商誉的账面价值，再根据资产组或资产组组合中除商誉之外的其他各项资产的账面价值所占比 重，按比例抵减其他各项资产的账面价值，但抵减后的各资产的账面价值不得低于该资产的公允价值减去处置费用后的净 额（如可确定的）和该资产预计未来现金流量的现值（如可确定的）两者之间较高者，同时也不低于零。</w:t>
      </w:r>
    </w:p>
    <w:p>
      <w:pPr>
        <w:pStyle w:val="Style23"/>
        <w:keepNext w:val="0"/>
        <w:keepLines w:val="0"/>
        <w:widowControl w:val="0"/>
        <w:shd w:val="clear" w:color="auto" w:fill="auto"/>
        <w:bidi w:val="0"/>
        <w:spacing w:before="0" w:after="380" w:line="311" w:lineRule="exact"/>
        <w:ind w:left="0" w:right="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62" w:val="left"/>
        </w:tabs>
        <w:bidi w:val="0"/>
        <w:spacing w:before="0" w:after="28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65"/>
      <w:bookmarkEnd w:id="966"/>
      <w:bookmarkEnd w:id="968"/>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长期待摊费用是公司已经发生但应由本期和以后各期负担的分摊期限在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的各项费用。长期待摊费用在 受益期内平均摊销，如果长期待摊费用项目不能使以后会计期间受益的，则将其尚未摊销的摊余价值全部转入当期损益。</w:t>
      </w:r>
    </w:p>
    <w:p>
      <w:pPr>
        <w:pStyle w:val="Style34"/>
        <w:keepNext/>
        <w:keepLines/>
        <w:widowControl w:val="0"/>
        <w:shd w:val="clear" w:color="auto" w:fill="auto"/>
        <w:tabs>
          <w:tab w:pos="462" w:val="left"/>
        </w:tabs>
        <w:bidi w:val="0"/>
        <w:spacing w:before="0" w:after="280" w:line="240"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69"/>
      <w:bookmarkEnd w:id="970"/>
      <w:bookmarkEnd w:id="972"/>
    </w:p>
    <w:p>
      <w:pPr>
        <w:pStyle w:val="Style23"/>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公司已收或应收客户对价而应向客户转让商品或服务的义务作为合同负债。</w:t>
      </w:r>
    </w:p>
    <w:p>
      <w:pPr>
        <w:pStyle w:val="Style23"/>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 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4"/>
        <w:keepNext/>
        <w:keepLines/>
        <w:widowControl w:val="0"/>
        <w:shd w:val="clear" w:color="auto" w:fill="auto"/>
        <w:tabs>
          <w:tab w:pos="462" w:val="left"/>
        </w:tabs>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73"/>
      <w:bookmarkEnd w:id="974"/>
      <w:bookmarkEnd w:id="976"/>
    </w:p>
    <w:p>
      <w:pPr>
        <w:pStyle w:val="Style34"/>
        <w:keepNext/>
        <w:keepLines/>
        <w:widowControl w:val="0"/>
        <w:shd w:val="clear" w:color="auto" w:fill="auto"/>
        <w:tabs>
          <w:tab w:pos="472" w:val="left"/>
        </w:tabs>
        <w:bidi w:val="0"/>
        <w:spacing w:before="0" w:after="28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3"/>
      <w:bookmarkEnd w:id="974"/>
      <w:bookmarkEnd w:id="978"/>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短期薪酬是指公司在职工提供相关服务的年度报告期间结束后十二个月内需要全部予以支付的职工薪酬。</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短期薪酬包括职工工资、奖金、津贴和补贴，职工福利费、医疗保险费、工伤保险费和生育保险费等社会保险费，住 房公积金、工会经费和职工教育经费，短期带薪缺勤、短期利润分享计划，非货币性福利以及其他短期薪酬。</w:t>
      </w:r>
    </w:p>
    <w:p>
      <w:pPr>
        <w:pStyle w:val="Style2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短期薪酬在职工为公司提供服务的会计期间，将实际发生的短期薪酬确认为负债，并计入当期损益或相关资产成本。</w:t>
      </w:r>
    </w:p>
    <w:p>
      <w:pPr>
        <w:pStyle w:val="Style34"/>
        <w:keepNext/>
        <w:keepLines/>
        <w:widowControl w:val="0"/>
        <w:shd w:val="clear" w:color="auto" w:fill="auto"/>
        <w:tabs>
          <w:tab w:pos="472"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9"/>
      <w:bookmarkEnd w:id="980"/>
      <w:bookmarkEnd w:id="982"/>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离职后福利是指公司为获得员工提供的服务而在职工退休或与公司解除劳动关系后，提供的各种形式的报酬和福利， 短期薪酬和辞退福利除外。</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离职后福利计划包括设定提存计划和设定受益计划。其中，设定提存计划，是指向独立的基金缴存固定费用后，公司 不再承担进一步支付义务的离职后福利计划；设定受益计划，是指除设定提存计划以外的离职后福利计划。</w:t>
      </w:r>
    </w:p>
    <w:p>
      <w:pPr>
        <w:pStyle w:val="Style2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设定提存计划包括基本养老保险、失业保险等。在职工提供服务的会计期间，根据设定提存计划计算的应缴存金额确 认为负债，并计入当期损益或相关资产成本。</w:t>
      </w:r>
    </w:p>
    <w:p>
      <w:pPr>
        <w:pStyle w:val="Style34"/>
        <w:keepNext/>
        <w:keepLines/>
        <w:widowControl w:val="0"/>
        <w:shd w:val="clear" w:color="auto" w:fill="auto"/>
        <w:tabs>
          <w:tab w:pos="493" w:val="left"/>
        </w:tabs>
        <w:bidi w:val="0"/>
        <w:spacing w:before="0" w:after="280" w:line="311" w:lineRule="exact"/>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3"/>
      <w:bookmarkEnd w:id="984"/>
      <w:bookmarkEnd w:id="986"/>
    </w:p>
    <w:p>
      <w:pPr>
        <w:pStyle w:val="Style23"/>
        <w:keepNext w:val="0"/>
        <w:keepLines w:val="0"/>
        <w:widowControl w:val="0"/>
        <w:shd w:val="clear" w:color="auto" w:fill="auto"/>
        <w:bidi w:val="0"/>
        <w:spacing w:before="0" w:after="280" w:line="312" w:lineRule="exact"/>
        <w:ind w:left="0" w:right="0"/>
        <w:jc w:val="left"/>
      </w:pPr>
      <w:r>
        <w:rPr>
          <w:color w:val="000000"/>
          <w:spacing w:val="0"/>
          <w:w w:val="100"/>
          <w:position w:val="0"/>
        </w:rPr>
        <w:t>辞退福利是指公司在职工劳动合同到期之前解除与职工的劳动关系，或者为鼓励职工自愿接受裁减而给予职工的补偿。 公司向职工提供辞退福利的，在下列两者孰早日确认辞退福利产生的职工薪酬负债，并计入当期损益：公司不能单方面撤回 因解除劳动关系计划或裁减建议所提供的辞退福利时；公司确认与涉及支付辞退福利的重组相关的成本或费用时。</w:t>
      </w:r>
    </w:p>
    <w:p>
      <w:pPr>
        <w:pStyle w:val="Style34"/>
        <w:keepNext/>
        <w:keepLines/>
        <w:widowControl w:val="0"/>
        <w:shd w:val="clear" w:color="auto" w:fill="auto"/>
        <w:tabs>
          <w:tab w:pos="493" w:val="left"/>
        </w:tabs>
        <w:bidi w:val="0"/>
        <w:spacing w:before="0" w:after="280" w:line="311"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7"/>
      <w:bookmarkEnd w:id="988"/>
      <w:bookmarkEnd w:id="990"/>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2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企业向职工提供的其他长期职工福利，符合设定提存计划条件的，适用于上述设定提存计划的有关规定进行处理。</w:t>
      </w:r>
    </w:p>
    <w:p>
      <w:pPr>
        <w:pStyle w:val="Style34"/>
        <w:keepNext/>
        <w:keepLines/>
        <w:widowControl w:val="0"/>
        <w:shd w:val="clear" w:color="auto" w:fill="auto"/>
        <w:tabs>
          <w:tab w:pos="483" w:val="left"/>
        </w:tabs>
        <w:bidi w:val="0"/>
        <w:spacing w:before="0" w:after="280" w:line="311" w:lineRule="exact"/>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9</w:t>
      </w:r>
      <w:r>
        <w:rPr>
          <w:color w:val="000000"/>
          <w:spacing w:val="0"/>
          <w:w w:val="100"/>
          <w:position w:val="0"/>
        </w:rPr>
        <w:t>、</w:t>
        <w:tab/>
        <w:t>租赁负债</w:t>
      </w:r>
      <w:bookmarkEnd w:id="991"/>
      <w:bookmarkEnd w:id="992"/>
      <w:bookmarkEnd w:id="994"/>
    </w:p>
    <w:p>
      <w:pPr>
        <w:pStyle w:val="Style61"/>
        <w:keepNext w:val="0"/>
        <w:keepLines w:val="0"/>
        <w:widowControl w:val="0"/>
        <w:shd w:val="clear" w:color="auto" w:fill="auto"/>
        <w:bidi w:val="0"/>
        <w:spacing w:before="0" w:after="0"/>
        <w:ind w:left="0" w:right="0"/>
        <w:jc w:val="both"/>
      </w:pPr>
      <w:r>
        <w:rPr>
          <w:color w:val="000000"/>
          <w:spacing w:val="0"/>
          <w:w w:val="100"/>
          <w:position w:val="0"/>
        </w:rPr>
        <w:t>租赁负债按照租赁期开始日尚未支付的租赁付款额的现值进行初始计量。租赁付款额包括：①固定付 款额（包括实质固定付款额），存在租赁激励的，扣除租赁激励相关金额；②取决于指数或比率的可变租 赁付款额；③根据承租人提供的担保余值预计应支付的款项；④购买选择权的行权价格，前提是承租人合 理确定将行使该选择权；⑤行使终止租赁选择权需支付的款项，前提是租赁期反映出承租人将行使终止租 赁选择权；</w:t>
      </w:r>
    </w:p>
    <w:p>
      <w:pPr>
        <w:pStyle w:val="Style61"/>
        <w:keepNext w:val="0"/>
        <w:keepLines w:val="0"/>
        <w:widowControl w:val="0"/>
        <w:shd w:val="clear" w:color="auto" w:fill="auto"/>
        <w:bidi w:val="0"/>
        <w:spacing w:before="0" w:after="0"/>
        <w:ind w:left="0" w:right="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61"/>
        <w:keepNext w:val="0"/>
        <w:keepLines w:val="0"/>
        <w:widowControl w:val="0"/>
        <w:shd w:val="clear" w:color="auto" w:fill="auto"/>
        <w:bidi w:val="0"/>
        <w:spacing w:before="0" w:after="0"/>
        <w:ind w:left="0" w:right="0"/>
        <w:jc w:val="both"/>
      </w:pPr>
      <w:r>
        <w:rPr>
          <w:color w:val="000000"/>
          <w:spacing w:val="0"/>
          <w:w w:val="100"/>
          <w:position w:val="0"/>
        </w:rPr>
        <w:t>未纳入租赁负债计量的可变租赁付款额在实际发生时计入当期损益。</w:t>
      </w:r>
    </w:p>
    <w:p>
      <w:pPr>
        <w:pStyle w:val="Style61"/>
        <w:keepNext w:val="0"/>
        <w:keepLines w:val="0"/>
        <w:widowControl w:val="0"/>
        <w:shd w:val="clear" w:color="auto" w:fill="auto"/>
        <w:bidi w:val="0"/>
        <w:spacing w:before="0"/>
        <w:ind w:left="0" w:right="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34"/>
        <w:keepNext/>
        <w:keepLines/>
        <w:widowControl w:val="0"/>
        <w:shd w:val="clear" w:color="auto" w:fill="auto"/>
        <w:tabs>
          <w:tab w:pos="483" w:val="left"/>
        </w:tabs>
        <w:bidi w:val="0"/>
        <w:spacing w:before="0" w:after="280" w:line="311"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995"/>
      <w:bookmarkEnd w:id="996"/>
      <w:bookmarkEnd w:id="998"/>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与或有事项相关的义务同时满足下列条件的，确认为预计负债：</w:t>
      </w:r>
    </w:p>
    <w:p>
      <w:pPr>
        <w:pStyle w:val="Style23"/>
        <w:keepNext w:val="0"/>
        <w:keepLines w:val="0"/>
        <w:widowControl w:val="0"/>
        <w:shd w:val="clear" w:color="auto" w:fill="auto"/>
        <w:tabs>
          <w:tab w:pos="880" w:val="left"/>
        </w:tabs>
        <w:bidi w:val="0"/>
        <w:spacing w:before="0" w:after="0" w:line="307" w:lineRule="exact"/>
        <w:ind w:left="0" w:right="0" w:firstLine="44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该义务是企业承担的现时义务；</w:t>
      </w:r>
    </w:p>
    <w:p>
      <w:pPr>
        <w:pStyle w:val="Style23"/>
        <w:keepNext w:val="0"/>
        <w:keepLines w:val="0"/>
        <w:widowControl w:val="0"/>
        <w:shd w:val="clear" w:color="auto" w:fill="auto"/>
        <w:tabs>
          <w:tab w:pos="880" w:val="left"/>
        </w:tabs>
        <w:bidi w:val="0"/>
        <w:spacing w:before="0" w:after="0" w:line="307" w:lineRule="exact"/>
        <w:ind w:left="0" w:right="0" w:firstLine="44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履行该义务很可能导致经济利益流出企业；</w:t>
      </w:r>
    </w:p>
    <w:p>
      <w:pPr>
        <w:pStyle w:val="Style23"/>
        <w:keepNext w:val="0"/>
        <w:keepLines w:val="0"/>
        <w:widowControl w:val="0"/>
        <w:shd w:val="clear" w:color="auto" w:fill="auto"/>
        <w:tabs>
          <w:tab w:pos="880" w:val="left"/>
        </w:tabs>
        <w:bidi w:val="0"/>
        <w:spacing w:before="0" w:after="0" w:line="307" w:lineRule="exact"/>
        <w:ind w:left="0" w:right="0" w:firstLine="44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预计负债应当按照履行相关现时义务所需支出的最佳估计数进行初始计量。</w:t>
      </w:r>
    </w:p>
    <w:p>
      <w:pPr>
        <w:pStyle w:val="Style23"/>
        <w:keepNext w:val="0"/>
        <w:keepLines w:val="0"/>
        <w:widowControl w:val="0"/>
        <w:shd w:val="clear" w:color="auto" w:fill="auto"/>
        <w:bidi w:val="0"/>
        <w:spacing w:before="0" w:after="280" w:line="307" w:lineRule="exact"/>
        <w:ind w:left="0" w:right="0"/>
        <w:jc w:val="both"/>
      </w:pPr>
      <w:r>
        <w:rPr>
          <w:color w:val="000000"/>
          <w:spacing w:val="0"/>
          <w:w w:val="100"/>
          <w:position w:val="0"/>
        </w:rPr>
        <w:t>本公司在确定最佳估计数时，综合考虑与或有事项有关的风险、不确定性和货币时间价值等因素对于货币时间价值影响 重大的，通过对相关未来现金流出进行折现后确定最佳估计数。</w:t>
      </w:r>
    </w:p>
    <w:p>
      <w:pPr>
        <w:pStyle w:val="Style34"/>
        <w:keepNext/>
        <w:keepLines/>
        <w:widowControl w:val="0"/>
        <w:shd w:val="clear" w:color="auto" w:fill="auto"/>
        <w:tabs>
          <w:tab w:pos="483" w:val="left"/>
        </w:tabs>
        <w:bidi w:val="0"/>
        <w:spacing w:before="0" w:after="280" w:line="311" w:lineRule="exact"/>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1002"/>
      <w:bookmarkEnd w:id="1003"/>
      <w:bookmarkEnd w:id="1005"/>
    </w:p>
    <w:p>
      <w:pPr>
        <w:pStyle w:val="Style2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本公司的股份支付是为了获取职工提供服务而授予权益工具或者承担以权益工具为基础确定的负债的交易。本公司的 股份支付为以权益结算的股份支付。</w:t>
      </w:r>
    </w:p>
    <w:p>
      <w:pPr>
        <w:pStyle w:val="Style23"/>
        <w:keepNext w:val="0"/>
        <w:keepLines w:val="0"/>
        <w:widowControl w:val="0"/>
        <w:shd w:val="clear" w:color="auto" w:fill="auto"/>
        <w:bidi w:val="0"/>
        <w:spacing w:before="0" w:after="0" w:line="312"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）权益工具公允价值的确定方法</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以权益结算的股份支付换取职工提供服务的，以授予职工权益工具的公允价值计量。授予后立即可行权的，在授予日 按照公允价值计入相关成本或费用，相应增加资本公积；完成等待期内的服务或达到规定业绩条件才可行权的，在等待期内 </w:t>
      </w:r>
      <w:r>
        <w:rPr>
          <w:color w:val="000000"/>
          <w:spacing w:val="0"/>
          <w:w w:val="100"/>
          <w:position w:val="0"/>
        </w:rPr>
        <w:t>每个资产负债表日，本公司根据最新取得的可行权职工人数变动、是否达到规定业绩条件等后续信息对可行权权益工具数量 作出最佳估计，以此为基础，按照授予日的公允价值，将当期取得的服务计入相关成本或费用，相应计入资本公积。权益工 具的公允价值采用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模型确定。</w:t>
      </w:r>
    </w:p>
    <w:p>
      <w:pPr>
        <w:pStyle w:val="Style23"/>
        <w:keepNext w:val="0"/>
        <w:keepLines w:val="0"/>
        <w:widowControl w:val="0"/>
        <w:shd w:val="clear" w:color="auto" w:fill="auto"/>
        <w:tabs>
          <w:tab w:pos="880" w:val="left"/>
        </w:tabs>
        <w:bidi w:val="0"/>
        <w:spacing w:before="0" w:after="0" w:line="311"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确认可行权权益工具最佳估计的依据</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在满足业绩条件或服务期限条件的期间，应确认以权益结算的股份支付的成本或费用，并相应增加资本公积。可行权 日之前，于每个资产负债表日为以权益结算的股份支付确认的累计金额反映了等待期已届满的部分以及本公司对最终可行权 的权益工具数量的最佳估计。</w:t>
      </w:r>
    </w:p>
    <w:p>
      <w:pPr>
        <w:pStyle w:val="Style23"/>
        <w:keepNext w:val="0"/>
        <w:keepLines w:val="0"/>
        <w:widowControl w:val="0"/>
        <w:shd w:val="clear" w:color="auto" w:fill="auto"/>
        <w:tabs>
          <w:tab w:pos="880" w:val="left"/>
        </w:tabs>
        <w:bidi w:val="0"/>
        <w:spacing w:before="0" w:after="0" w:line="311"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w:t>
        <w:tab/>
        <w:t>实施、修改、终止股份支付计划的相关会计处理</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如果修改了以权益结算的股份支付的条款，至少按照未修改条款的情况确认取得的服务。此外，任何增加所授予权益 工具公允价值的修改，或在修改日对职工有利的变更，均确认取得服务的增加。</w:t>
      </w:r>
    </w:p>
    <w:p>
      <w:pPr>
        <w:pStyle w:val="Style2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如果取消了以权益结算的股份支付，则于取消日作为加速行权处理，立即确认尚未确认的金额。职工或其他方能够选 择满足非可行权条件但在等待期内未满足的，作为取消以权益结算的股份支付处理。但是，如果授予新的权益工具，并在新 权益工具授予日认定所授予的新权益工具是用于替代被取消的权益工具的，则以与处理原权益工具条款和条件修改相同的方 式，对所授予的替代权益工具进行处理。</w:t>
      </w:r>
    </w:p>
    <w:p>
      <w:pPr>
        <w:pStyle w:val="Style34"/>
        <w:keepNext/>
        <w:keepLines/>
        <w:widowControl w:val="0"/>
        <w:shd w:val="clear" w:color="auto" w:fill="auto"/>
        <w:bidi w:val="0"/>
        <w:spacing w:before="0" w:after="26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1009"/>
      <w:bookmarkEnd w:id="1010"/>
      <w:bookmarkEnd w:id="1012"/>
    </w:p>
    <w:p>
      <w:pPr>
        <w:pStyle w:val="Style23"/>
        <w:keepNext w:val="0"/>
        <w:keepLines w:val="0"/>
        <w:widowControl w:val="0"/>
        <w:shd w:val="clear" w:color="auto" w:fill="auto"/>
        <w:bidi w:val="0"/>
        <w:spacing w:before="0" w:after="60" w:line="31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3"/>
        <w:keepNext w:val="0"/>
        <w:keepLines w:val="0"/>
        <w:widowControl w:val="0"/>
        <w:shd w:val="clear" w:color="auto" w:fill="auto"/>
        <w:tabs>
          <w:tab w:pos="774" w:val="left"/>
        </w:tabs>
        <w:bidi w:val="0"/>
        <w:spacing w:before="0" w:after="0" w:line="312" w:lineRule="exact"/>
        <w:ind w:left="0" w:right="0" w:firstLine="440"/>
        <w:jc w:val="both"/>
      </w:pPr>
      <w:bookmarkStart w:id="1013" w:name="bookmark1013"/>
      <w:r>
        <w:rPr>
          <w:color w:val="000000"/>
          <w:spacing w:val="0"/>
          <w:w w:val="100"/>
          <w:position w:val="0"/>
        </w:rPr>
        <w:t>1</w:t>
      </w:r>
      <w:bookmarkEnd w:id="1013"/>
      <w:r>
        <w:rPr>
          <w:color w:val="000000"/>
          <w:spacing w:val="0"/>
          <w:w w:val="100"/>
          <w:position w:val="0"/>
        </w:rPr>
        <w:t>、</w:t>
        <w:tab/>
        <w:t>一般原则</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本公司在履行了合同中的履约义务，即在客户取得相关商品或服务控制权时，按照分摊至该项履约义务的交易价格确 认收入。取得相关商品控制权，是指能够主导该商品的使用并从中获得几乎全部的经济利益。履约义务是指合同中本公司向 客户转让可明确区分商品的承诺。交易价格是指本公司因向客户转让商品而预期有权收取的对价金额，不包括代第三方收取 的款项以及本公司预期将退还给客户的款项。</w:t>
      </w:r>
    </w:p>
    <w:p>
      <w:pPr>
        <w:pStyle w:val="Style23"/>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履约义务是在某一时段内履行、还是在某一时点履行，取决于合同条款及相关法律规定。满足下列条件之一时，本公 司属于在某一时段内履行履约义务；否则，属于在某一时点履行履约义务：</w:t>
      </w:r>
    </w:p>
    <w:p>
      <w:pPr>
        <w:pStyle w:val="Style23"/>
        <w:keepNext w:val="0"/>
        <w:keepLines w:val="0"/>
        <w:widowControl w:val="0"/>
        <w:numPr>
          <w:ilvl w:val="0"/>
          <w:numId w:val="73"/>
        </w:numPr>
        <w:shd w:val="clear" w:color="auto" w:fill="auto"/>
        <w:tabs>
          <w:tab w:pos="813" w:val="left"/>
        </w:tabs>
        <w:bidi w:val="0"/>
        <w:spacing w:before="0" w:after="0" w:line="240" w:lineRule="auto"/>
        <w:ind w:left="0" w:right="0" w:firstLine="440"/>
        <w:jc w:val="left"/>
      </w:pPr>
      <w:bookmarkStart w:id="1014" w:name="bookmark1014"/>
      <w:bookmarkEnd w:id="1014"/>
      <w:r>
        <w:rPr>
          <w:color w:val="000000"/>
          <w:spacing w:val="0"/>
          <w:w w:val="100"/>
          <w:position w:val="0"/>
        </w:rPr>
        <w:t>客户在本公司履约的同时即取得并消耗本公司履约所带来的经济利益。</w:t>
      </w:r>
    </w:p>
    <w:p>
      <w:pPr>
        <w:pStyle w:val="Style23"/>
        <w:keepNext w:val="0"/>
        <w:keepLines w:val="0"/>
        <w:widowControl w:val="0"/>
        <w:numPr>
          <w:ilvl w:val="0"/>
          <w:numId w:val="73"/>
        </w:numPr>
        <w:shd w:val="clear" w:color="auto" w:fill="auto"/>
        <w:tabs>
          <w:tab w:pos="813" w:val="left"/>
        </w:tabs>
        <w:bidi w:val="0"/>
        <w:spacing w:before="0" w:after="0" w:line="310" w:lineRule="exact"/>
        <w:ind w:left="0" w:right="0" w:firstLine="440"/>
        <w:jc w:val="both"/>
      </w:pPr>
      <w:bookmarkStart w:id="1015" w:name="bookmark1015"/>
      <w:bookmarkEnd w:id="1015"/>
      <w:r>
        <w:rPr>
          <w:color w:val="000000"/>
          <w:spacing w:val="0"/>
          <w:w w:val="100"/>
          <w:position w:val="0"/>
        </w:rPr>
        <w:t>客户能够控制本公司履约过程中在建的商品。</w:t>
      </w:r>
    </w:p>
    <w:p>
      <w:pPr>
        <w:pStyle w:val="Style23"/>
        <w:keepNext w:val="0"/>
        <w:keepLines w:val="0"/>
        <w:widowControl w:val="0"/>
        <w:numPr>
          <w:ilvl w:val="0"/>
          <w:numId w:val="73"/>
        </w:numPr>
        <w:shd w:val="clear" w:color="auto" w:fill="auto"/>
        <w:tabs>
          <w:tab w:pos="786" w:val="left"/>
        </w:tabs>
        <w:bidi w:val="0"/>
        <w:spacing w:before="0" w:after="0" w:line="310" w:lineRule="exact"/>
        <w:ind w:left="0" w:right="0" w:firstLine="440"/>
        <w:jc w:val="both"/>
      </w:pPr>
      <w:bookmarkStart w:id="1016" w:name="bookmark1016"/>
      <w:bookmarkEnd w:id="1016"/>
      <w:r>
        <w:rPr>
          <w:color w:val="000000"/>
          <w:spacing w:val="0"/>
          <w:w w:val="100"/>
          <w:position w:val="0"/>
        </w:rPr>
        <w:t>本公司履约过程中所产出的商品具有不可替代用途，且本公司在整个合同期间内有权就累计至今已完成的履约部分 收取款项。</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对于在某一时段内履行的履约义务，本公司在该段时间内按照履约进度确认收入。履约进度不能合理确定时，本公司 已经发生的成本预计能够得到补偿的，按照已经发生的成本金额确认收入，直到履约进度能够合理确定为止。</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对于在某一时点履行的履约义务，本公司在客户取得相关商品或服务控制权时点确认收入。在判断客户是否已取得商 品或服务控制权时，本公司会考虑下列迹象：</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17" w:name="bookmark1017"/>
      <w:bookmarkEnd w:id="1017"/>
      <w:r>
        <w:rPr>
          <w:color w:val="000000"/>
          <w:spacing w:val="0"/>
          <w:w w:val="100"/>
          <w:position w:val="0"/>
        </w:rPr>
        <w:t>本公司就该商品或服务享有现时收款权利，即客户就该商品负有现时付款义务。</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18" w:name="bookmark1018"/>
      <w:bookmarkEnd w:id="1018"/>
      <w:r>
        <w:rPr>
          <w:color w:val="000000"/>
          <w:spacing w:val="0"/>
          <w:w w:val="100"/>
          <w:position w:val="0"/>
        </w:rPr>
        <w:t>本公司已将该商品的法定所有权转移给客户，即客户已拥有该商品的法定所有权。</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19" w:name="bookmark1019"/>
      <w:bookmarkEnd w:id="1019"/>
      <w:r>
        <w:rPr>
          <w:color w:val="000000"/>
          <w:spacing w:val="0"/>
          <w:w w:val="100"/>
          <w:position w:val="0"/>
        </w:rPr>
        <w:t>本公司已将该商品的实物转移给客户，即客户已实物占有该商品。</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20" w:name="bookmark1020"/>
      <w:bookmarkEnd w:id="1020"/>
      <w:r>
        <w:rPr>
          <w:color w:val="000000"/>
          <w:spacing w:val="0"/>
          <w:w w:val="100"/>
          <w:position w:val="0"/>
        </w:rPr>
        <w:t>本公司已将该商品所有权上的主要风险和报酬转移给客户，即客户已取得该商品所有权上的主要风险和报酬。</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21" w:name="bookmark1021"/>
      <w:bookmarkEnd w:id="1021"/>
      <w:r>
        <w:rPr>
          <w:color w:val="000000"/>
          <w:spacing w:val="0"/>
          <w:w w:val="100"/>
          <w:position w:val="0"/>
        </w:rPr>
        <w:t>客户已接受该商品或服务。</w:t>
      </w:r>
    </w:p>
    <w:p>
      <w:pPr>
        <w:pStyle w:val="Style23"/>
        <w:keepNext w:val="0"/>
        <w:keepLines w:val="0"/>
        <w:widowControl w:val="0"/>
        <w:numPr>
          <w:ilvl w:val="0"/>
          <w:numId w:val="75"/>
        </w:numPr>
        <w:shd w:val="clear" w:color="auto" w:fill="auto"/>
        <w:tabs>
          <w:tab w:pos="813" w:val="left"/>
        </w:tabs>
        <w:bidi w:val="0"/>
        <w:spacing w:before="0" w:after="0" w:line="310" w:lineRule="exact"/>
        <w:ind w:left="0" w:right="0" w:firstLine="440"/>
        <w:jc w:val="both"/>
      </w:pPr>
      <w:bookmarkStart w:id="1022" w:name="bookmark1022"/>
      <w:bookmarkEnd w:id="1022"/>
      <w:r>
        <w:rPr>
          <w:color w:val="000000"/>
          <w:spacing w:val="0"/>
          <w:w w:val="100"/>
          <w:position w:val="0"/>
        </w:rPr>
        <w:t>其他表明客户已取得商品控制权的迹象。</w:t>
      </w:r>
    </w:p>
    <w:p>
      <w:pPr>
        <w:pStyle w:val="Style23"/>
        <w:keepNext w:val="0"/>
        <w:keepLines w:val="0"/>
        <w:widowControl w:val="0"/>
        <w:shd w:val="clear" w:color="auto" w:fill="auto"/>
        <w:tabs>
          <w:tab w:pos="784" w:val="left"/>
        </w:tabs>
        <w:bidi w:val="0"/>
        <w:spacing w:before="0" w:after="0" w:line="310" w:lineRule="exact"/>
        <w:ind w:left="0" w:right="0" w:firstLine="440"/>
        <w:jc w:val="both"/>
      </w:pPr>
      <w:bookmarkStart w:id="1023" w:name="bookmark1023"/>
      <w:r>
        <w:rPr>
          <w:color w:val="000000"/>
          <w:spacing w:val="0"/>
          <w:w w:val="100"/>
          <w:position w:val="0"/>
        </w:rPr>
        <w:t>2</w:t>
      </w:r>
      <w:bookmarkEnd w:id="1023"/>
      <w:r>
        <w:rPr>
          <w:color w:val="000000"/>
          <w:spacing w:val="0"/>
          <w:w w:val="100"/>
          <w:position w:val="0"/>
        </w:rPr>
        <w:t>、</w:t>
        <w:tab/>
        <w:t>公司的收入类型及具体收入确认方法</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本公司销售商品收入包括电力行业产品（电力设备类）销售和游戏行业销售及充电桩业务销售。</w:t>
      </w:r>
    </w:p>
    <w:p>
      <w:pPr>
        <w:pStyle w:val="Style23"/>
        <w:keepNext w:val="0"/>
        <w:keepLines w:val="0"/>
        <w:widowControl w:val="0"/>
        <w:shd w:val="clear" w:color="auto" w:fill="auto"/>
        <w:bidi w:val="0"/>
        <w:spacing w:before="0" w:after="0" w:line="310" w:lineRule="exact"/>
        <w:ind w:left="0" w:right="0" w:firstLine="440"/>
        <w:jc w:val="both"/>
      </w:pPr>
      <w:bookmarkStart w:id="1024" w:name="bookmark1024"/>
      <w:r>
        <w:rPr>
          <w:color w:val="000000"/>
          <w:spacing w:val="0"/>
          <w:w w:val="100"/>
          <w:position w:val="0"/>
        </w:rPr>
        <w:t>（</w:t>
      </w:r>
      <w:bookmarkEnd w:id="1024"/>
      <w:r>
        <w:rPr>
          <w:color w:val="000000"/>
          <w:spacing w:val="0"/>
          <w:w w:val="100"/>
          <w:position w:val="0"/>
        </w:rPr>
        <w:t>1</w:t>
      </w:r>
      <w:r>
        <w:rPr>
          <w:color w:val="000000"/>
          <w:spacing w:val="0"/>
          <w:w w:val="100"/>
          <w:position w:val="0"/>
        </w:rPr>
        <w:t>）电力行业产品（电力设备类）销售确认方式</w:t>
      </w:r>
    </w:p>
    <w:p>
      <w:pPr>
        <w:pStyle w:val="Style23"/>
        <w:keepNext w:val="0"/>
        <w:keepLines w:val="0"/>
        <w:widowControl w:val="0"/>
        <w:numPr>
          <w:ilvl w:val="0"/>
          <w:numId w:val="77"/>
        </w:numPr>
        <w:shd w:val="clear" w:color="auto" w:fill="auto"/>
        <w:tabs>
          <w:tab w:pos="787" w:val="left"/>
        </w:tabs>
        <w:bidi w:val="0"/>
        <w:spacing w:before="0" w:after="0" w:line="312" w:lineRule="exact"/>
        <w:ind w:left="0" w:right="0" w:firstLine="440"/>
        <w:jc w:val="left"/>
      </w:pPr>
      <w:bookmarkStart w:id="1025" w:name="bookmark1025"/>
      <w:bookmarkEnd w:id="1025"/>
      <w:r>
        <w:rPr>
          <w:color w:val="000000"/>
          <w:spacing w:val="0"/>
          <w:w w:val="100"/>
          <w:position w:val="0"/>
        </w:rPr>
        <w:t>国内销售：</w:t>
      </w:r>
    </w:p>
    <w:p>
      <w:pPr>
        <w:pStyle w:val="Style23"/>
        <w:keepNext w:val="0"/>
        <w:keepLines w:val="0"/>
        <w:widowControl w:val="0"/>
        <w:shd w:val="clear" w:color="auto" w:fill="auto"/>
        <w:tabs>
          <w:tab w:pos="755" w:val="left"/>
        </w:tabs>
        <w:bidi w:val="0"/>
        <w:spacing w:before="0" w:after="0" w:line="312" w:lineRule="exact"/>
        <w:ind w:left="0" w:right="0" w:firstLine="440"/>
        <w:jc w:val="left"/>
      </w:pPr>
      <w:bookmarkStart w:id="1026" w:name="bookmark1026"/>
      <w:r>
        <w:rPr>
          <w:color w:val="000000"/>
          <w:spacing w:val="0"/>
          <w:w w:val="100"/>
          <w:position w:val="0"/>
        </w:rPr>
        <w:t>1</w:t>
      </w:r>
      <w:bookmarkEnd w:id="1026"/>
      <w:r>
        <w:rPr>
          <w:color w:val="000000"/>
          <w:spacing w:val="0"/>
          <w:w w:val="100"/>
          <w:position w:val="0"/>
        </w:rPr>
        <w:t>）</w:t>
        <w:tab/>
        <w:t>非工程项目类：合同商品已移交给客户，客户验收合格后，与本公司确认商品数量及结算金额，本公司获得收取货 款权利后确认收入实现。</w:t>
      </w:r>
    </w:p>
    <w:p>
      <w:pPr>
        <w:pStyle w:val="Style23"/>
        <w:keepNext w:val="0"/>
        <w:keepLines w:val="0"/>
        <w:widowControl w:val="0"/>
        <w:shd w:val="clear" w:color="auto" w:fill="auto"/>
        <w:tabs>
          <w:tab w:pos="755" w:val="left"/>
        </w:tabs>
        <w:bidi w:val="0"/>
        <w:spacing w:before="0" w:after="0" w:line="312" w:lineRule="exact"/>
        <w:ind w:left="0" w:right="0" w:firstLine="440"/>
        <w:jc w:val="left"/>
      </w:pPr>
      <w:bookmarkStart w:id="1027" w:name="bookmark1027"/>
      <w:r>
        <w:rPr>
          <w:color w:val="000000"/>
          <w:spacing w:val="0"/>
          <w:w w:val="100"/>
          <w:position w:val="0"/>
        </w:rPr>
        <w:t>2</w:t>
      </w:r>
      <w:bookmarkEnd w:id="1027"/>
      <w:r>
        <w:rPr>
          <w:color w:val="000000"/>
          <w:spacing w:val="0"/>
          <w:w w:val="100"/>
          <w:position w:val="0"/>
        </w:rPr>
        <w:t>）</w:t>
        <w:tab/>
        <w:t>工程项目类：合同商品已移交给购买方施工单位并进行安装调试后，与本公司确认商品数量及结算金额，本公司获 得收取货款权利后确认收入实现。</w:t>
      </w:r>
    </w:p>
    <w:p>
      <w:pPr>
        <w:pStyle w:val="Style23"/>
        <w:keepNext w:val="0"/>
        <w:keepLines w:val="0"/>
        <w:widowControl w:val="0"/>
        <w:numPr>
          <w:ilvl w:val="0"/>
          <w:numId w:val="77"/>
        </w:numPr>
        <w:shd w:val="clear" w:color="auto" w:fill="auto"/>
        <w:tabs>
          <w:tab w:pos="787" w:val="left"/>
        </w:tabs>
        <w:bidi w:val="0"/>
        <w:spacing w:before="0" w:after="0" w:line="312" w:lineRule="exact"/>
        <w:ind w:left="0" w:right="0" w:firstLine="440"/>
        <w:jc w:val="left"/>
      </w:pPr>
      <w:bookmarkStart w:id="1028" w:name="bookmark1028"/>
      <w:bookmarkEnd w:id="1028"/>
      <w:r>
        <w:rPr>
          <w:color w:val="000000"/>
          <w:spacing w:val="0"/>
          <w:w w:val="100"/>
          <w:position w:val="0"/>
        </w:rPr>
        <w:t>国外销售：以出口报关时间为销售收入的确认时间。</w:t>
      </w:r>
    </w:p>
    <w:p>
      <w:pPr>
        <w:pStyle w:val="Style23"/>
        <w:keepNext w:val="0"/>
        <w:keepLines w:val="0"/>
        <w:widowControl w:val="0"/>
        <w:shd w:val="clear" w:color="auto" w:fill="auto"/>
        <w:tabs>
          <w:tab w:pos="854" w:val="left"/>
        </w:tabs>
        <w:bidi w:val="0"/>
        <w:spacing w:before="0" w:after="0" w:line="312" w:lineRule="exact"/>
        <w:ind w:left="0" w:right="0" w:firstLine="440"/>
        <w:jc w:val="left"/>
      </w:pPr>
      <w:bookmarkStart w:id="1029" w:name="bookmark1029"/>
      <w:r>
        <w:rPr>
          <w:color w:val="000000"/>
          <w:spacing w:val="0"/>
          <w:w w:val="100"/>
          <w:position w:val="0"/>
        </w:rPr>
        <w:t>（</w:t>
      </w:r>
      <w:bookmarkEnd w:id="1029"/>
      <w:r>
        <w:rPr>
          <w:color w:val="000000"/>
          <w:spacing w:val="0"/>
          <w:w w:val="100"/>
          <w:position w:val="0"/>
        </w:rPr>
        <w:t>2</w:t>
      </w:r>
      <w:r>
        <w:rPr>
          <w:color w:val="000000"/>
          <w:spacing w:val="0"/>
          <w:w w:val="100"/>
          <w:position w:val="0"/>
        </w:rPr>
        <w:t>）</w:t>
        <w:tab/>
        <w:t>游戏行业销售确认方式</w:t>
      </w:r>
    </w:p>
    <w:p>
      <w:pPr>
        <w:pStyle w:val="Style23"/>
        <w:keepNext w:val="0"/>
        <w:keepLines w:val="0"/>
        <w:widowControl w:val="0"/>
        <w:numPr>
          <w:ilvl w:val="0"/>
          <w:numId w:val="79"/>
        </w:numPr>
        <w:shd w:val="clear" w:color="auto" w:fill="auto"/>
        <w:tabs>
          <w:tab w:pos="750" w:val="left"/>
        </w:tabs>
        <w:bidi w:val="0"/>
        <w:spacing w:before="0" w:after="0" w:line="312" w:lineRule="exact"/>
        <w:ind w:left="0" w:right="0" w:firstLine="440"/>
        <w:jc w:val="left"/>
      </w:pPr>
      <w:bookmarkStart w:id="1030" w:name="bookmark1030"/>
      <w:bookmarkEnd w:id="1030"/>
      <w:r>
        <w:rPr>
          <w:color w:val="000000"/>
          <w:spacing w:val="0"/>
          <w:w w:val="100"/>
          <w:position w:val="0"/>
        </w:rPr>
        <w:t>自主运营模式下，针对公司的自研游戏产品，玩家通过第三方支付渠道进行充值获得游戏虚拟货币，并在游戏过程 中使用游戏币购买虚拟道具；公司在玩家实际充值并使用游戏货币购买游戏虚拟道具消费时确认营业收入；</w:t>
      </w:r>
    </w:p>
    <w:p>
      <w:pPr>
        <w:pStyle w:val="Style23"/>
        <w:keepNext w:val="0"/>
        <w:keepLines w:val="0"/>
        <w:widowControl w:val="0"/>
        <w:numPr>
          <w:ilvl w:val="0"/>
          <w:numId w:val="79"/>
        </w:numPr>
        <w:shd w:val="clear" w:color="auto" w:fill="auto"/>
        <w:tabs>
          <w:tab w:pos="765" w:val="left"/>
        </w:tabs>
        <w:bidi w:val="0"/>
        <w:spacing w:before="0" w:after="0" w:line="312" w:lineRule="exact"/>
        <w:ind w:left="0" w:right="0" w:firstLine="440"/>
        <w:jc w:val="left"/>
      </w:pPr>
      <w:bookmarkStart w:id="1031" w:name="bookmark1031"/>
      <w:bookmarkEnd w:id="1031"/>
      <w:r>
        <w:rPr>
          <w:color w:val="000000"/>
          <w:spacing w:val="0"/>
          <w:w w:val="100"/>
          <w:position w:val="0"/>
        </w:rPr>
        <w:t>联合运营模式下，针对公司的自研游戏产品，游戏玩家通过平台商支付系统进行充值获得游戏虚拟货币，并在游戏 过程中使用游戏币购买虚拟道具；公司定期与合作平台对账确认玩家充值金额并按约定分成比例从合作平台商处获得游戏分 成；公司根据在与合作平台对账后确认营业收入。</w:t>
      </w:r>
    </w:p>
    <w:p>
      <w:pPr>
        <w:pStyle w:val="Style23"/>
        <w:keepNext w:val="0"/>
        <w:keepLines w:val="0"/>
        <w:widowControl w:val="0"/>
        <w:numPr>
          <w:ilvl w:val="0"/>
          <w:numId w:val="79"/>
        </w:numPr>
        <w:shd w:val="clear" w:color="auto" w:fill="auto"/>
        <w:tabs>
          <w:tab w:pos="770" w:val="left"/>
        </w:tabs>
        <w:bidi w:val="0"/>
        <w:spacing w:before="0" w:after="0" w:line="312" w:lineRule="exact"/>
        <w:ind w:left="0" w:right="0" w:firstLine="440"/>
        <w:jc w:val="left"/>
      </w:pPr>
      <w:bookmarkStart w:id="1032" w:name="bookmark1032"/>
      <w:bookmarkEnd w:id="1032"/>
      <w:r>
        <w:rPr>
          <w:color w:val="000000"/>
          <w:spacing w:val="0"/>
          <w:w w:val="100"/>
          <w:position w:val="0"/>
        </w:rPr>
        <w:t>授权运营模式下，公司将拥有的游戏产品交由运营商进行运营，游戏玩家通过运营商平台注册、充值、消费活动，游 戏玩家在运营商游戏版本中获取并使用游戏虚拟货币，公司定期与合作平台对账确认玩家充值金额并按约定分成比例从运营 商处获得游戏分成。该模式下，公司收入通常由版权金收入及游戏分成收入两部分构成，游戏分成在与游戏运营商核对确认 游戏分成款后确认；版权金在授权期限内分摊确认收入。</w:t>
      </w:r>
    </w:p>
    <w:p>
      <w:pPr>
        <w:pStyle w:val="Style23"/>
        <w:keepNext w:val="0"/>
        <w:keepLines w:val="0"/>
        <w:widowControl w:val="0"/>
        <w:numPr>
          <w:ilvl w:val="0"/>
          <w:numId w:val="79"/>
        </w:numPr>
        <w:shd w:val="clear" w:color="auto" w:fill="auto"/>
        <w:tabs>
          <w:tab w:pos="765" w:val="left"/>
        </w:tabs>
        <w:bidi w:val="0"/>
        <w:spacing w:before="0" w:after="0" w:line="312" w:lineRule="exact"/>
        <w:ind w:left="0" w:right="0" w:firstLine="440"/>
        <w:jc w:val="left"/>
      </w:pPr>
      <w:bookmarkStart w:id="1033" w:name="bookmark1033"/>
      <w:bookmarkEnd w:id="1033"/>
      <w:r>
        <w:rPr>
          <w:color w:val="000000"/>
          <w:spacing w:val="0"/>
          <w:w w:val="100"/>
          <w:position w:val="0"/>
        </w:rPr>
        <w:t>代理运营模式，公司代理运营其他游戏开发商提供的游戏，玩家在公司平台进行注册并通过公司的支付系统进行充 值，并在游戏开发商提供给公司游戏版本中获取并使用游戏虚拟货币，公司定期与游戏开发商对账确认玩家充值金额并按约 定分成比例向游戏开发商支付游戏分成；公司与游戏开发商确定充值金额后，将充值款确认为收入，将对游戏开发商的分成 款确认为成本。（公司作为独家代理时，还可将独家代理的游戏授权给平台商和运营商联合运营，游戏玩家通过平台商系统 或运营商平台进行充值获得游戏虚拟货币，并在游戏过程中使用游戏币购买虚拟道具；公司与游戏开发商确定充值金额后， 根据该金额与合作平台对账确认并按约定分成比例从合作平台商处获得游戏收入分成款并确认收入，根据玩家充值金额按约 定分成比例向游戏开发商支付游戏分成并确认为成本。）</w:t>
      </w:r>
    </w:p>
    <w:p>
      <w:pPr>
        <w:pStyle w:val="Style23"/>
        <w:keepNext w:val="0"/>
        <w:keepLines w:val="0"/>
        <w:widowControl w:val="0"/>
        <w:numPr>
          <w:ilvl w:val="0"/>
          <w:numId w:val="79"/>
        </w:numPr>
        <w:shd w:val="clear" w:color="auto" w:fill="auto"/>
        <w:tabs>
          <w:tab w:pos="787" w:val="left"/>
        </w:tabs>
        <w:bidi w:val="0"/>
        <w:spacing w:before="0" w:after="0" w:line="312" w:lineRule="exact"/>
        <w:ind w:left="0" w:right="0" w:firstLine="440"/>
        <w:jc w:val="left"/>
      </w:pPr>
      <w:bookmarkStart w:id="1034" w:name="bookmark1034"/>
      <w:bookmarkEnd w:id="1034"/>
      <w:r>
        <w:rPr>
          <w:color w:val="000000"/>
          <w:spacing w:val="0"/>
          <w:w w:val="100"/>
          <w:position w:val="0"/>
        </w:rPr>
        <w:t>游戏软件著作权的转让收入：公司按照合同条款将游戏产品交付对方后，于对方验收合格后收取转让费用。</w:t>
      </w:r>
    </w:p>
    <w:p>
      <w:pPr>
        <w:pStyle w:val="Style23"/>
        <w:keepNext w:val="0"/>
        <w:keepLines w:val="0"/>
        <w:widowControl w:val="0"/>
        <w:shd w:val="clear" w:color="auto" w:fill="auto"/>
        <w:tabs>
          <w:tab w:pos="854" w:val="left"/>
        </w:tabs>
        <w:bidi w:val="0"/>
        <w:spacing w:before="0" w:after="0" w:line="312"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3</w:t>
      </w:r>
      <w:r>
        <w:rPr>
          <w:color w:val="000000"/>
          <w:spacing w:val="0"/>
          <w:w w:val="100"/>
          <w:position w:val="0"/>
        </w:rPr>
        <w:t>）</w:t>
        <w:tab/>
        <w:t>充电桩业务收入确认模式</w:t>
      </w:r>
    </w:p>
    <w:p>
      <w:pPr>
        <w:pStyle w:val="Style23"/>
        <w:keepNext w:val="0"/>
        <w:keepLines w:val="0"/>
        <w:widowControl w:val="0"/>
        <w:numPr>
          <w:ilvl w:val="0"/>
          <w:numId w:val="81"/>
        </w:numPr>
        <w:shd w:val="clear" w:color="auto" w:fill="auto"/>
        <w:tabs>
          <w:tab w:pos="765" w:val="left"/>
        </w:tabs>
        <w:bidi w:val="0"/>
        <w:spacing w:before="0" w:after="0" w:line="312" w:lineRule="exact"/>
        <w:ind w:left="0" w:right="0" w:firstLine="440"/>
        <w:jc w:val="both"/>
      </w:pPr>
      <w:bookmarkStart w:id="1036" w:name="bookmark1036"/>
      <w:bookmarkEnd w:id="1036"/>
      <w:r>
        <w:rPr>
          <w:color w:val="000000"/>
          <w:spacing w:val="0"/>
          <w:w w:val="100"/>
          <w:position w:val="0"/>
        </w:rPr>
        <w:t>充电桩销售：国内销售为合同商品已移交给客户，客户验收合格后，与本公司确认商品数量及结算金额，本公司获 得收取货款权利后确认收入实现。国外销售以出口报关时间为销售收入的确认时间。</w:t>
      </w:r>
    </w:p>
    <w:p>
      <w:pPr>
        <w:pStyle w:val="Style23"/>
        <w:keepNext w:val="0"/>
        <w:keepLines w:val="0"/>
        <w:widowControl w:val="0"/>
        <w:numPr>
          <w:ilvl w:val="0"/>
          <w:numId w:val="81"/>
        </w:numPr>
        <w:shd w:val="clear" w:color="auto" w:fill="auto"/>
        <w:tabs>
          <w:tab w:pos="750" w:val="left"/>
        </w:tabs>
        <w:bidi w:val="0"/>
        <w:spacing w:before="0" w:after="380" w:line="312" w:lineRule="exact"/>
        <w:ind w:left="0" w:right="0" w:firstLine="440"/>
        <w:jc w:val="both"/>
      </w:pPr>
      <w:bookmarkStart w:id="1037" w:name="bookmark1037"/>
      <w:bookmarkEnd w:id="1037"/>
      <w:r>
        <w:rPr>
          <w:color w:val="000000"/>
          <w:spacing w:val="0"/>
          <w:w w:val="100"/>
          <w:position w:val="0"/>
        </w:rPr>
        <w:t>充电桩工程：本公司与客户根据工程进度确认结算单，经第三方监理方签字和盖章确认后、按完工进度法结转对应 的收入、成本；项目完工后和客户确认竣工验收清单和竣工报告等。</w:t>
      </w:r>
    </w:p>
    <w:p>
      <w:pPr>
        <w:pStyle w:val="Style34"/>
        <w:keepNext/>
        <w:keepLines/>
        <w:widowControl w:val="0"/>
        <w:shd w:val="clear" w:color="auto" w:fill="auto"/>
        <w:bidi w:val="0"/>
        <w:spacing w:before="0" w:after="30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038"/>
      <w:bookmarkEnd w:id="1039"/>
      <w:bookmarkEnd w:id="1041"/>
    </w:p>
    <w:p>
      <w:pPr>
        <w:pStyle w:val="Style23"/>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政府补助的类型及会计处理</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政府补助，是公司从政府无偿取得的货币性资产与非货币性资产。分为与资产相关的政府补助和与收益相关的政府补 助。</w:t>
      </w:r>
    </w:p>
    <w:p>
      <w:pPr>
        <w:pStyle w:val="Style23"/>
        <w:keepNext w:val="0"/>
        <w:keepLines w:val="0"/>
        <w:widowControl w:val="0"/>
        <w:shd w:val="clear" w:color="auto" w:fill="auto"/>
        <w:tabs>
          <w:tab w:pos="854" w:val="left"/>
        </w:tabs>
        <w:bidi w:val="0"/>
        <w:spacing w:before="0" w:after="0" w:line="310" w:lineRule="exact"/>
        <w:ind w:left="0" w:right="0" w:firstLine="4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p>
    <w:p>
      <w:pPr>
        <w:pStyle w:val="Style2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与资产相关的政府补助，是指企业取得的、用于购建或以其他方式形成长期资产的政府补助。</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与资产相关的政府补助，公司确认为递延收益，在相关资产使用寿命内按照合理、系统的方法分期计入损益。按照名 义金额计量的政府补助，直接计入当期损益。</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2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与公司日常活动相关的政府补助，应当按照经济业务实质，计入其他收益。与公司日常活动无关的政府补助，计入营 业外收支。</w:t>
      </w:r>
    </w:p>
    <w:p>
      <w:pPr>
        <w:pStyle w:val="Style23"/>
        <w:keepNext w:val="0"/>
        <w:keepLines w:val="0"/>
        <w:widowControl w:val="0"/>
        <w:shd w:val="clear" w:color="auto" w:fill="auto"/>
        <w:tabs>
          <w:tab w:pos="854" w:val="left"/>
        </w:tabs>
        <w:bidi w:val="0"/>
        <w:spacing w:before="0" w:after="0" w:line="310" w:lineRule="exact"/>
        <w:ind w:left="0" w:right="0" w:firstLine="44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与收益相关的政府补助，是指除与资产相关的政府补助之外的政府补助。</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公司对于综合性项目的政府补助，需要将其分解为与资产相关的部分和与收益相关的部分，分别进行会计处理；难以 区分的，应当整体归类为与收益相关的政府补助。</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与收益相关的政府补助，用于补偿公司以后期间的相关费用或损失的，取得时确认为递延收益，并在确认相关成本费 用或损失的期间，计入当期损益；用于补偿公司已发生的相关费用或损失的，直接计入当期损益。</w:t>
      </w:r>
    </w:p>
    <w:p>
      <w:pPr>
        <w:pStyle w:val="Style23"/>
        <w:keepNext w:val="0"/>
        <w:keepLines w:val="0"/>
        <w:widowControl w:val="0"/>
        <w:shd w:val="clear" w:color="auto" w:fill="auto"/>
        <w:bidi w:val="0"/>
        <w:spacing w:before="0" w:after="0" w:line="312" w:lineRule="exact"/>
        <w:ind w:left="0" w:right="0" w:firstLine="44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）政府补助的确认时点</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政府补助为货币性资产的，应当按照收到或应收的金额计量。按照应收金额计量的政府补助，在期末有确凿证据表明 能够符合财政扶持政策规定的相关条件且预计能够收到财政扶持资金时予以确认；政府补助为非货币性资产的，应当按照取 得非货币性资产所有权风险和报酬转移时确认政府补助实现。其中非货币性资产按公允价值计量;公允价值不能可靠取得的， 按照名义金额计量。</w:t>
      </w:r>
    </w:p>
    <w:p>
      <w:pPr>
        <w:pStyle w:val="Style2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34"/>
        <w:keepNext/>
        <w:keepLines/>
        <w:widowControl w:val="0"/>
        <w:shd w:val="clear" w:color="auto" w:fill="auto"/>
        <w:tabs>
          <w:tab w:pos="476" w:val="left"/>
        </w:tabs>
        <w:bidi w:val="0"/>
        <w:spacing w:before="0" w:after="200" w:line="326"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5"/>
      <w:bookmarkEnd w:id="1046"/>
      <w:bookmarkEnd w:id="1048"/>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所得税采用资产负债表债务法进行核算。于资产负债表日，分析比较资产、负债的账面价值与其计税基础，两者之间存 在差异的，确认递延所得税资产、递延所得税负债及相应的递延所得税费用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。在计算确定当期所得税</w:t>
      </w:r>
      <w:r>
        <w:rPr>
          <w:rFonts w:ascii="Times New Roman" w:eastAsia="Times New Roman" w:hAnsi="Times New Roman" w:cs="Times New Roman"/>
          <w:color w:val="000000"/>
          <w:spacing w:val="0"/>
          <w:w w:val="100"/>
          <w:position w:val="0"/>
        </w:rPr>
        <w:t>（</w:t>
      </w:r>
      <w:r>
        <w:rPr>
          <w:color w:val="000000"/>
          <w:spacing w:val="0"/>
          <w:w w:val="100"/>
          <w:position w:val="0"/>
        </w:rPr>
        <w:t>即当期应交所 得税</w:t>
      </w:r>
      <w:r>
        <w:rPr>
          <w:rFonts w:ascii="Times New Roman" w:eastAsia="Times New Roman" w:hAnsi="Times New Roman" w:cs="Times New Roman"/>
          <w:color w:val="000000"/>
          <w:spacing w:val="0"/>
          <w:w w:val="100"/>
          <w:position w:val="0"/>
        </w:rPr>
        <w:t>）</w:t>
      </w:r>
      <w:r>
        <w:rPr>
          <w:color w:val="000000"/>
          <w:spacing w:val="0"/>
          <w:w w:val="100"/>
          <w:position w:val="0"/>
        </w:rPr>
        <w:t>以及递延所得税费用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的基础上，将两者之和确认为利润表中的所得税费用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，但不包括直接计入所有者 权益的交易或事项的所得税影响。</w:t>
      </w:r>
    </w:p>
    <w:p>
      <w:pPr>
        <w:pStyle w:val="Style23"/>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资产负债表日，对递延所得税资产的账面价值进行复核。如果未来期间很可能无法获得足够的应纳税所得额用以抵扣递 延所得税资产的利益，应当减记递延所得税资产的账面价值。</w:t>
      </w:r>
    </w:p>
    <w:p>
      <w:pPr>
        <w:pStyle w:val="Style34"/>
        <w:keepNext/>
        <w:keepLines/>
        <w:widowControl w:val="0"/>
        <w:shd w:val="clear" w:color="auto" w:fill="auto"/>
        <w:tabs>
          <w:tab w:pos="476" w:val="left"/>
        </w:tabs>
        <w:bidi w:val="0"/>
        <w:spacing w:before="0" w:after="200" w:line="326"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1049"/>
      <w:bookmarkEnd w:id="1050"/>
      <w:bookmarkEnd w:id="1052"/>
    </w:p>
    <w:p>
      <w:pPr>
        <w:pStyle w:val="Style34"/>
        <w:keepNext/>
        <w:keepLines/>
        <w:widowControl w:val="0"/>
        <w:shd w:val="clear" w:color="auto" w:fill="auto"/>
        <w:tabs>
          <w:tab w:pos="485" w:val="left"/>
        </w:tabs>
        <w:bidi w:val="0"/>
        <w:spacing w:before="0" w:after="280" w:line="312" w:lineRule="exact"/>
        <w:ind w:left="0" w:right="0" w:firstLine="0"/>
        <w:jc w:val="left"/>
      </w:pPr>
      <w:bookmarkStart w:id="1049" w:name="bookmark1049"/>
      <w:bookmarkStart w:id="1050" w:name="bookmark1050"/>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9"/>
      <w:bookmarkEnd w:id="1050"/>
      <w:bookmarkEnd w:id="1054"/>
    </w:p>
    <w:p>
      <w:pPr>
        <w:pStyle w:val="Style61"/>
        <w:keepNext w:val="0"/>
        <w:keepLines w:val="0"/>
        <w:widowControl w:val="0"/>
        <w:shd w:val="clear" w:color="auto" w:fill="auto"/>
        <w:bidi w:val="0"/>
        <w:spacing w:before="0" w:line="310" w:lineRule="exact"/>
        <w:ind w:left="0" w:right="0"/>
        <w:jc w:val="both"/>
      </w:pPr>
      <w:r>
        <w:rPr>
          <w:color w:val="000000"/>
          <w:spacing w:val="0"/>
          <w:w w:val="100"/>
          <w:position w:val="0"/>
        </w:rPr>
        <w:t>本公司在租赁期内各个期间采用直线法，将经营租赁的租赁收款额确认为租金收入。本公司将发生的 与经营租赁有关的初始直接费用予以资本化，在租赁期内按照与租金收入相同的确认基础分期计入当期收 益。</w:t>
      </w:r>
    </w:p>
    <w:p>
      <w:pPr>
        <w:pStyle w:val="Style34"/>
        <w:keepNext/>
        <w:keepLines/>
        <w:widowControl w:val="0"/>
        <w:shd w:val="clear" w:color="auto" w:fill="auto"/>
        <w:tabs>
          <w:tab w:pos="485" w:val="left"/>
        </w:tabs>
        <w:bidi w:val="0"/>
        <w:spacing w:before="0" w:after="280" w:line="312" w:lineRule="exact"/>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5"/>
      <w:bookmarkEnd w:id="1056"/>
      <w:bookmarkEnd w:id="1058"/>
    </w:p>
    <w:p>
      <w:pPr>
        <w:pStyle w:val="Style61"/>
        <w:keepNext w:val="0"/>
        <w:keepLines w:val="0"/>
        <w:widowControl w:val="0"/>
        <w:shd w:val="clear" w:color="auto" w:fill="auto"/>
        <w:bidi w:val="0"/>
        <w:spacing w:before="0" w:after="380" w:line="314" w:lineRule="exact"/>
        <w:ind w:left="0" w:right="0"/>
        <w:jc w:val="both"/>
      </w:pPr>
      <w:r>
        <w:rPr>
          <w:color w:val="000000"/>
          <w:spacing w:val="0"/>
          <w:w w:val="100"/>
          <w:position w:val="0"/>
        </w:rPr>
        <w:t>本公司在租赁开始日，将应收融资租赁款，未担保余值之和与其现值的差额确认为未实现融资收益， 在将来收到租金的各期间内确认为租赁收入。本公司发生的与出租交易相关的初始直接费用，计入应收融 资租赁款的初始入账价值中。</w:t>
      </w:r>
    </w:p>
    <w:p>
      <w:pPr>
        <w:pStyle w:val="Style34"/>
        <w:keepNext/>
        <w:keepLines/>
        <w:widowControl w:val="0"/>
        <w:shd w:val="clear" w:color="auto" w:fill="auto"/>
        <w:tabs>
          <w:tab w:pos="476" w:val="left"/>
        </w:tabs>
        <w:bidi w:val="0"/>
        <w:spacing w:before="0" w:after="200" w:line="326"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1059"/>
      <w:bookmarkEnd w:id="1060"/>
      <w:bookmarkEnd w:id="1062"/>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分部报告</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公司以内部组织结构、管理要求、内部报告制度为依据确定经营分部，以经营分部为基础确定报告分部。并在财务报 表附注中披露各报告分部的财务信息，包括主营业务收入，主营业务成本，资产总额，负债总额等。公司不能披露各报告分 部的资产总额和负债总额的，应说明原因。</w:t>
      </w:r>
    </w:p>
    <w:p>
      <w:pPr>
        <w:pStyle w:val="Style23"/>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经营分部，是指公司内同时满足下列条件的组成部分：</w:t>
      </w:r>
    </w:p>
    <w:p>
      <w:pPr>
        <w:pStyle w:val="Style23"/>
        <w:keepNext w:val="0"/>
        <w:keepLines w:val="0"/>
        <w:widowControl w:val="0"/>
        <w:shd w:val="clear" w:color="auto" w:fill="auto"/>
        <w:tabs>
          <w:tab w:pos="834" w:val="left"/>
        </w:tabs>
        <w:bidi w:val="0"/>
        <w:spacing w:before="0" w:after="0"/>
        <w:ind w:left="0" w:right="0" w:firstLine="440"/>
        <w:jc w:val="both"/>
      </w:pPr>
      <w:bookmarkStart w:id="1063" w:name="bookmark1063"/>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1）</w:t>
        <w:tab/>
      </w:r>
      <w:r>
        <w:rPr>
          <w:color w:val="000000"/>
          <w:spacing w:val="0"/>
          <w:w w:val="100"/>
          <w:position w:val="0"/>
        </w:rPr>
        <w:t>该组成部分能够在日常活动中产生收入、发生费用；</w:t>
      </w:r>
    </w:p>
    <w:p>
      <w:pPr>
        <w:pStyle w:val="Style23"/>
        <w:keepNext w:val="0"/>
        <w:keepLines w:val="0"/>
        <w:widowControl w:val="0"/>
        <w:shd w:val="clear" w:color="auto" w:fill="auto"/>
        <w:tabs>
          <w:tab w:pos="834" w:val="left"/>
        </w:tabs>
        <w:bidi w:val="0"/>
        <w:spacing w:before="0" w:after="200"/>
        <w:ind w:left="0" w:right="0" w:firstLine="440"/>
        <w:jc w:val="both"/>
      </w:pPr>
      <w:bookmarkStart w:id="1064" w:name="bookmark1064"/>
      <w:r>
        <w:rPr>
          <w:rFonts w:ascii="Times New Roman" w:eastAsia="Times New Roman" w:hAnsi="Times New Roman" w:cs="Times New Roman"/>
          <w:color w:val="000000"/>
          <w:spacing w:val="0"/>
          <w:w w:val="100"/>
          <w:position w:val="0"/>
        </w:rPr>
        <w:t>（</w:t>
      </w:r>
      <w:bookmarkEnd w:id="1064"/>
      <w:r>
        <w:rPr>
          <w:rFonts w:ascii="Times New Roman" w:eastAsia="Times New Roman" w:hAnsi="Times New Roman" w:cs="Times New Roman"/>
          <w:color w:val="000000"/>
          <w:spacing w:val="0"/>
          <w:w w:val="100"/>
          <w:position w:val="0"/>
        </w:rPr>
        <w:t>2）</w:t>
        <w:tab/>
      </w:r>
      <w:r>
        <w:rPr>
          <w:color w:val="000000"/>
          <w:spacing w:val="0"/>
          <w:w w:val="100"/>
          <w:position w:val="0"/>
        </w:rPr>
        <w:t>企业管理层能够定期评价该组成部分的经营成果，以决定向其配置资源、评价其业绩；</w:t>
      </w:r>
    </w:p>
    <w:p>
      <w:pPr>
        <w:pStyle w:val="Style23"/>
        <w:keepNext w:val="0"/>
        <w:keepLines w:val="0"/>
        <w:widowControl w:val="0"/>
        <w:shd w:val="clear" w:color="auto" w:fill="auto"/>
        <w:bidi w:val="0"/>
        <w:spacing w:before="0" w:after="380" w:line="240" w:lineRule="auto"/>
        <w:ind w:left="0" w:right="0" w:firstLine="440"/>
        <w:jc w:val="both"/>
      </w:pPr>
      <w:bookmarkStart w:id="1065" w:name="bookmark1065"/>
      <w:r>
        <w:rPr>
          <w:rFonts w:ascii="Times New Roman" w:eastAsia="Times New Roman" w:hAnsi="Times New Roman" w:cs="Times New Roman"/>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企业能够取得该组成部分的财务状况、经营成果和现金流量等有关会计信息。</w:t>
      </w:r>
    </w:p>
    <w:p>
      <w:pPr>
        <w:pStyle w:val="Style34"/>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1066"/>
      <w:bookmarkEnd w:id="1067"/>
      <w:bookmarkEnd w:id="1069"/>
    </w:p>
    <w:p>
      <w:pPr>
        <w:pStyle w:val="Style34"/>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6"/>
      <w:bookmarkEnd w:id="1067"/>
      <w:bookmarkEnd w:id="1071"/>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02"/>
        <w:gridCol w:w="4536"/>
        <w:gridCol w:w="64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月颁布了《企业会计准则第</w:t>
            </w:r>
            <w:r>
              <w:rPr>
                <w:color w:val="000000"/>
                <w:spacing w:val="0"/>
                <w:w w:val="100"/>
                <w:position w:val="0"/>
              </w:rPr>
              <w:t>21</w:t>
            </w:r>
            <w:r>
              <w:rPr>
                <w:rFonts w:ascii="SimSun" w:eastAsia="SimSun" w:hAnsi="SimSun" w:cs="SimSun"/>
                <w:color w:val="000000"/>
                <w:spacing w:val="0"/>
                <w:w w:val="100"/>
                <w:position w:val="0"/>
              </w:rPr>
              <w:t>号 ——租赁（</w:t>
            </w:r>
            <w:r>
              <w:rPr>
                <w:color w:val="000000"/>
                <w:spacing w:val="0"/>
                <w:w w:val="100"/>
                <w:position w:val="0"/>
              </w:rPr>
              <w:t>2018</w:t>
            </w:r>
            <w:r>
              <w:rPr>
                <w:rFonts w:ascii="SimSun" w:eastAsia="SimSun" w:hAnsi="SimSun" w:cs="SimSun"/>
                <w:color w:val="000000"/>
                <w:spacing w:val="0"/>
                <w:w w:val="100"/>
                <w:position w:val="0"/>
              </w:rPr>
              <w:t>年修订）》（以下简称</w:t>
            </w:r>
            <w:r>
              <w:rPr>
                <w:color w:val="000000"/>
                <w:spacing w:val="0"/>
                <w:w w:val="100"/>
                <w:position w:val="0"/>
              </w:rPr>
              <w:t>“</w:t>
            </w:r>
            <w:r>
              <w:rPr>
                <w:rFonts w:ascii="SimSun" w:eastAsia="SimSun" w:hAnsi="SimSun" w:cs="SimSun"/>
                <w:color w:val="000000"/>
                <w:spacing w:val="0"/>
                <w:w w:val="100"/>
                <w:position w:val="0"/>
              </w:rPr>
              <w:t>新租赁准则</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日第七届董事会第四次会议、第七届监事 会第二次会议审议通过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0"/>
        <w:keepNext w:val="0"/>
        <w:keepLines w:val="0"/>
        <w:widowControl w:val="0"/>
        <w:shd w:val="clear" w:color="auto" w:fill="auto"/>
        <w:bidi w:val="0"/>
        <w:spacing w:before="0" w:after="0" w:line="307" w:lineRule="exact"/>
        <w:ind w:left="1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年颁布了新租赁准则，要求其他执行企业会计准则编制财务报表的企业，自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日起施行。本公司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日起执行新租赁准则，对会计政策相关内容进行了调整。</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根据公司现有承租资产情况，符合短期租赁或低价值资产租赁条件的，继续按现有模式，将租赁付款额在租赁期内各个 期间按照直线法计入当期损益或相关资产成本。不符合短期租赁或低价值资产租赁条件的承租业务，则按照新租赁准则规定， 确认使用权资产、租赁负债，计提折旧和利息费用。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2"/>
      <w:bookmarkEnd w:id="1073"/>
      <w:bookmarkEnd w:id="1075"/>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6"/>
      <w:bookmarkEnd w:id="1077"/>
      <w:bookmarkEnd w:id="1079"/>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是否需要调整年初资产负债表科目</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合并资产负债表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693"/>
        <w:gridCol w:w="2410"/>
        <w:gridCol w:w="14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115,070,299.38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115,070,299.38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114,716,678.77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114,716,678.77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99,282,529.76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99,282,529.76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439,358,362.41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439,358,362.41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29,082,550.02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29,082,550.02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1,904,110.80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1,904,110.80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11,775,156.02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11,775,156.02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830,972,968.27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830,972,968.27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4,007,600.07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4,007,600.07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20,708,042.24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20,708,042.24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143,508,291.68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143,508,291.68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151,726,800.00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151,726,800.00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162,023,924.68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162,023,924.68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14,575,980.47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14,575,980.47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12,062,760.42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12,062,760.42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83,331,192.93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83,331,192.93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57,086,287.25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57,086,287.25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9,415,094.30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9,415,094.30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644,229,966.15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658,805,946.62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14,575,980.47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1,475,202,934.42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1,489,778,914.89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14,575,980.47</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142,277,974.80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142,277,974.80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38,312,793.17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38,312,793.17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233,473,778.42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233,312,639.21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-161,139.21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2,556,713.55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2,556,713.55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13,156,155.79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13,156,155.79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10,341,717.67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10,341,717.67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45,273,860.74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45,273,860.74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100,461,866.26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105,759,211.98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5,297,345.72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284,367.27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284,367.27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586,154,527.67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591,290,734.18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5,136,206.51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459,221,163.50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459,221,163.50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9,439,773.96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9,439,773.96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1,289,107.25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1,289,107.25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11,970,961.53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11,970,961.53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472,481,232.28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472,481,232.28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9,439,773.96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1,058,635,759.95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1,073,211,740.42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14,575,980.47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801,929,568.00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801,929,568.00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352,782,651.54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352,782,651.54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147,613,580.50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9,722,612.73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9,722,612.73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94,448,815.32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-755,865,966.75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-755,865,966.75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355,404,100.34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355,404,100.34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61,163,074.13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61,163,074.13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416,567,174.47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416,567,174.47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1,475,202,934.42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1,489,778,914.89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14,575,980.47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52,569,085.40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52,569,085.40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19,783,281.11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19,783,281.11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95,025,752.63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95,025,752.63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261,671.31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261,671.31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678,116,341.83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678,116,341.83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29,082,550.02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29,082,550.02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1,904,110.80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842,471.80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877,585,264.90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877,585,264.90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4,007,600.07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4,007,600.07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272,760,576.18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272,760,576.18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63,970,000.00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38,385,200.00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38,385,200.00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68,406,954.51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68,406,954.51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1,267,700.99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1,267,700.99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11,899,266.55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11,899,266.55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41,599,115.65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41,599,115.65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36,611,504.89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36,611,504.89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537,640,217.85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537,640,217.85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1,267,700.99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1,415,225,482.75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1,416,493,183.74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1,267,700.99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142,277,974.80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142,277,974.80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38,312,793.17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38,312,793.17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54,514,442.04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54,514,442.04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1,874,304.51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1,874,304.51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4,936,156.07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4,936,156.07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2,547,587.75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2,547,587.75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200,983,966.27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200,983,966.27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9,394,791.66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9,394,791.66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100,461,866.26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100,859,712.54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397,846.28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188,866,992.93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188,866,992.93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734,776,083.80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735,173,930.08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397,846.28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459,221,163.50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459,221,163.50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869,854.71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869,854.71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1,089,381.07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1,089,381.07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4,511,644.76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4,511,644.76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464,822,189.33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465,692,044.04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869,854.71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1,199,598,273.13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1,200,865,974.12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1,267,700.99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801,929,568.00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801,929,568.00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368,318,682.72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368,318,682.72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147,613,580.50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986"/>
        <w:gridCol w:w="2693"/>
        <w:gridCol w:w="2410"/>
        <w:gridCol w:w="14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5,975,875.53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5,975,875.53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94,448,815.32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-907,432,151.45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-907,432,151.45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215,627,209.62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215,627,209.62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1,415,225,482.75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1,416,493,183.74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1,267,700.99</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SimHei" w:eastAsia="SimHei" w:hAnsi="SimHei" w:cs="SimHei"/>
          <w:color w:val="000000"/>
          <w:spacing w:val="0"/>
          <w:w w:val="100"/>
          <w:position w:val="0"/>
        </w:rPr>
        <w:t>一一</w:t>
      </w:r>
      <w:r>
        <w:rPr>
          <w:color w:val="000000"/>
          <w:spacing w:val="0"/>
          <w:w w:val="100"/>
          <w:position w:val="0"/>
        </w:rPr>
        <w:t>租赁》。</w:t>
      </w:r>
    </w:p>
    <w:p>
      <w:pPr>
        <w:pStyle w:val="Style34"/>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80"/>
      <w:bookmarkEnd w:id="1081"/>
      <w:bookmarkEnd w:id="1083"/>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sz w:val="24"/>
          <w:szCs w:val="24"/>
        </w:rPr>
        <w:t>六</w:t>
      </w:r>
      <w:bookmarkEnd w:id="1086"/>
      <w:r>
        <w:rPr>
          <w:color w:val="000000"/>
          <w:spacing w:val="0"/>
          <w:w w:val="100"/>
          <w:position w:val="0"/>
          <w:sz w:val="24"/>
          <w:szCs w:val="24"/>
        </w:rPr>
        <w:t>、税项</w:t>
      </w:r>
      <w:bookmarkEnd w:id="1084"/>
      <w:bookmarkEnd w:id="1085"/>
      <w:bookmarkEnd w:id="1087"/>
    </w:p>
    <w:p>
      <w:pPr>
        <w:pStyle w:val="Style34"/>
        <w:keepNext/>
        <w:keepLines/>
        <w:widowControl w:val="0"/>
        <w:shd w:val="clear" w:color="auto" w:fill="auto"/>
        <w:bidi w:val="0"/>
        <w:spacing w:before="0" w:after="30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88"/>
      <w:bookmarkEnd w:id="1089"/>
      <w:bookmarkEnd w:id="109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见下表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喀什中汇联银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惠程智能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香港惠程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翔瑞科技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北京中汇联银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中汇联鑫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中行置盛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中融建银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鹏胤投资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豪琛投资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中汇同盈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华向文化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游湛网络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上海季娱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珂星网络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铁匣电力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一零电力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零玖电力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缘中缘网络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致合世纪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高奇网络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多趣网络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吉乾科技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旭梅网络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重庆合盛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重庆惠程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链接世界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91"/>
      <w:bookmarkEnd w:id="1092"/>
      <w:bookmarkEnd w:id="1093"/>
    </w:p>
    <w:p>
      <w:pPr>
        <w:pStyle w:val="Style23"/>
        <w:keepNext w:val="0"/>
        <w:keepLines w:val="0"/>
        <w:widowControl w:val="0"/>
        <w:shd w:val="clear" w:color="auto" w:fill="auto"/>
        <w:bidi w:val="0"/>
        <w:spacing w:before="0" w:after="0" w:line="315" w:lineRule="exact"/>
        <w:ind w:left="0" w:right="0"/>
        <w:jc w:val="left"/>
      </w:pPr>
      <w:bookmarkStart w:id="1094" w:name="bookmark1094"/>
      <w:r>
        <w:rPr>
          <w:color w:val="000000"/>
          <w:spacing w:val="0"/>
          <w:w w:val="100"/>
          <w:position w:val="0"/>
        </w:rPr>
        <w:t>（</w:t>
      </w:r>
      <w:bookmarkEnd w:id="1094"/>
      <w:r>
        <w:rPr>
          <w:color w:val="000000"/>
          <w:spacing w:val="0"/>
          <w:w w:val="100"/>
          <w:position w:val="0"/>
        </w:rPr>
        <w:t xml:space="preserve">1） </w:t>
      </w: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日通过审核取得深圳市科技创新委员会、深圳市财政局、国家税务总局深圳市税务局联合 颁发的《高新技术企业证书》，证书编号：</w:t>
      </w:r>
      <w:r>
        <w:rPr>
          <w:color w:val="000000"/>
          <w:spacing w:val="0"/>
          <w:w w:val="100"/>
          <w:position w:val="0"/>
        </w:rPr>
        <w:t>GR202044204473；</w:t>
      </w:r>
      <w:r>
        <w:rPr>
          <w:color w:val="000000"/>
          <w:spacing w:val="0"/>
          <w:w w:val="100"/>
          <w:position w:val="0"/>
        </w:rPr>
        <w:t>根据高新技术企业所得税优惠政策，本公司</w:t>
      </w:r>
      <w:r>
        <w:rPr>
          <w:color w:val="000000"/>
          <w:spacing w:val="0"/>
          <w:w w:val="100"/>
          <w:position w:val="0"/>
        </w:rPr>
        <w:t>2021</w:t>
      </w:r>
      <w:r>
        <w:rPr>
          <w:color w:val="000000"/>
          <w:spacing w:val="0"/>
          <w:w w:val="100"/>
          <w:position w:val="0"/>
        </w:rPr>
        <w:t>年度按</w:t>
      </w:r>
      <w:r>
        <w:rPr>
          <w:color w:val="000000"/>
          <w:spacing w:val="0"/>
          <w:w w:val="100"/>
          <w:position w:val="0"/>
        </w:rPr>
        <w:t>15%</w:t>
      </w:r>
      <w:r>
        <w:rPr>
          <w:color w:val="000000"/>
          <w:spacing w:val="0"/>
          <w:w w:val="100"/>
          <w:position w:val="0"/>
        </w:rPr>
        <w:t>的 税率缴纳企业所得税。</w:t>
      </w:r>
    </w:p>
    <w:p>
      <w:pPr>
        <w:pStyle w:val="Style23"/>
        <w:keepNext w:val="0"/>
        <w:keepLines w:val="0"/>
        <w:widowControl w:val="0"/>
        <w:shd w:val="clear" w:color="auto" w:fill="auto"/>
        <w:tabs>
          <w:tab w:pos="841" w:val="left"/>
        </w:tabs>
        <w:bidi w:val="0"/>
        <w:spacing w:before="0" w:after="0" w:line="315" w:lineRule="exact"/>
        <w:ind w:left="0" w:right="0"/>
        <w:jc w:val="left"/>
      </w:pPr>
      <w:bookmarkStart w:id="1095" w:name="bookmark1095"/>
      <w:r>
        <w:rPr>
          <w:color w:val="000000"/>
          <w:spacing w:val="0"/>
          <w:w w:val="100"/>
          <w:position w:val="0"/>
        </w:rPr>
        <w:t>（</w:t>
      </w:r>
      <w:bookmarkEnd w:id="1095"/>
      <w:r>
        <w:rPr>
          <w:color w:val="000000"/>
          <w:spacing w:val="0"/>
          <w:w w:val="100"/>
          <w:position w:val="0"/>
        </w:rPr>
        <w:t>2）</w:t>
        <w:tab/>
      </w:r>
      <w:r>
        <w:rPr>
          <w:color w:val="000000"/>
          <w:spacing w:val="0"/>
          <w:w w:val="100"/>
          <w:position w:val="0"/>
        </w:rPr>
        <w:t>成都哆可梦网络科技有限公司（以下简称''哆可梦”）于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日取得由四川省科学技术厅、四川省财政局、 四川省国家税务局和四川省地方税务局批准颁发的高新技术企业证书，证书编号：</w:t>
      </w:r>
      <w:r>
        <w:rPr>
          <w:color w:val="000000"/>
          <w:spacing w:val="0"/>
          <w:w w:val="100"/>
          <w:position w:val="0"/>
        </w:rPr>
        <w:t>GR201851001239,</w:t>
      </w:r>
      <w:r>
        <w:rPr>
          <w:color w:val="000000"/>
          <w:spacing w:val="0"/>
          <w:w w:val="100"/>
          <w:position w:val="0"/>
        </w:rPr>
        <w:t>认定为高新技术企业。 之后于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日再次取得由四川省科学技术厅、四川省财政局、国家税务总局四川省税务局批准颁发的高新技术企业 证书，证书编号</w:t>
      </w:r>
      <w:r>
        <w:rPr>
          <w:color w:val="000000"/>
          <w:spacing w:val="0"/>
          <w:w w:val="100"/>
          <w:position w:val="0"/>
        </w:rPr>
        <w:t>：</w:t>
      </w:r>
      <w:r>
        <w:rPr>
          <w:color w:val="000000"/>
          <w:spacing w:val="0"/>
          <w:w w:val="100"/>
          <w:position w:val="0"/>
        </w:rPr>
        <w:t>GR202151002408,</w:t>
      </w:r>
      <w:r>
        <w:rPr>
          <w:color w:val="000000"/>
          <w:spacing w:val="0"/>
          <w:w w:val="100"/>
          <w:position w:val="0"/>
        </w:rPr>
        <w:t>认定为高新技术企业。根据《中华人民共和国企业所得税法》以及国家对高新技术企业 的相关税收规定，经有关部门认定为高新技术企业的，可连续三年减按</w:t>
      </w:r>
      <w:r>
        <w:rPr>
          <w:color w:val="000000"/>
          <w:spacing w:val="0"/>
          <w:w w:val="100"/>
          <w:position w:val="0"/>
        </w:rPr>
        <w:t>15%</w:t>
      </w:r>
      <w:r>
        <w:rPr>
          <w:color w:val="000000"/>
          <w:spacing w:val="0"/>
          <w:w w:val="100"/>
          <w:position w:val="0"/>
        </w:rPr>
        <w:t>的税率征收所得税。哆可梦</w:t>
      </w:r>
      <w:r>
        <w:rPr>
          <w:color w:val="000000"/>
          <w:spacing w:val="0"/>
          <w:w w:val="100"/>
          <w:position w:val="0"/>
        </w:rPr>
        <w:t>2021</w:t>
      </w:r>
      <w:r>
        <w:rPr>
          <w:color w:val="000000"/>
          <w:spacing w:val="0"/>
          <w:w w:val="100"/>
          <w:position w:val="0"/>
        </w:rPr>
        <w:t>年度实际按</w:t>
      </w:r>
      <w:r>
        <w:rPr>
          <w:color w:val="000000"/>
          <w:spacing w:val="0"/>
          <w:w w:val="100"/>
          <w:position w:val="0"/>
        </w:rPr>
        <w:t xml:space="preserve">15% </w:t>
      </w:r>
      <w:r>
        <w:rPr>
          <w:color w:val="000000"/>
          <w:spacing w:val="0"/>
          <w:w w:val="100"/>
          <w:position w:val="0"/>
        </w:rPr>
        <w:t>的税率缴纳企业所得税。</w:t>
      </w:r>
    </w:p>
    <w:p>
      <w:pPr>
        <w:pStyle w:val="Style23"/>
        <w:keepNext w:val="0"/>
        <w:keepLines w:val="0"/>
        <w:widowControl w:val="0"/>
        <w:shd w:val="clear" w:color="auto" w:fill="auto"/>
        <w:tabs>
          <w:tab w:pos="841" w:val="left"/>
        </w:tabs>
        <w:bidi w:val="0"/>
        <w:spacing w:before="0" w:after="0" w:line="315" w:lineRule="exact"/>
        <w:ind w:left="0" w:right="0"/>
        <w:jc w:val="left"/>
      </w:pPr>
      <w:bookmarkStart w:id="1096" w:name="bookmark1096"/>
      <w:r>
        <w:rPr>
          <w:color w:val="000000"/>
          <w:spacing w:val="0"/>
          <w:w w:val="100"/>
          <w:position w:val="0"/>
        </w:rPr>
        <w:t>（</w:t>
      </w:r>
      <w:bookmarkEnd w:id="1096"/>
      <w:r>
        <w:rPr>
          <w:color w:val="000000"/>
          <w:spacing w:val="0"/>
          <w:w w:val="100"/>
          <w:position w:val="0"/>
        </w:rPr>
        <w:t>3）</w:t>
        <w:tab/>
      </w:r>
      <w:r>
        <w:rPr>
          <w:color w:val="000000"/>
          <w:spacing w:val="0"/>
          <w:w w:val="100"/>
          <w:position w:val="0"/>
        </w:rPr>
        <w:t>成都吉乾科技有限公司，以下简称“吉乾科技”</w:t>
      </w:r>
      <w:r>
        <w:rPr>
          <w:color w:val="000000"/>
          <w:spacing w:val="0"/>
          <w:w w:val="100"/>
          <w:position w:val="0"/>
        </w:rPr>
        <w:t>，</w:t>
      </w:r>
      <w:r>
        <w:rPr>
          <w:color w:val="000000"/>
          <w:spacing w:val="0"/>
          <w:w w:val="100"/>
          <w:position w:val="0"/>
        </w:rPr>
        <w:t>吉乾科技于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日取得由四川省科学技术厅、四川省财 政局、四川省国家税务局和四川省地方税务局批准颁发的高新技术企业证书，证书编号：</w:t>
      </w:r>
      <w:r>
        <w:rPr>
          <w:color w:val="000000"/>
          <w:spacing w:val="0"/>
          <w:w w:val="100"/>
          <w:position w:val="0"/>
        </w:rPr>
        <w:t>GF201651000123,</w:t>
      </w:r>
      <w:r>
        <w:rPr>
          <w:color w:val="000000"/>
          <w:spacing w:val="0"/>
          <w:w w:val="100"/>
          <w:position w:val="0"/>
        </w:rPr>
        <w:t>认定为高新技术 企业。吉乾科技于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日再次取得由四川省科学技术厅、四川省财政局、国家税务总局四川省税务局批准办法的高 新技术企业证书，证书编号</w:t>
      </w:r>
      <w:r>
        <w:rPr>
          <w:color w:val="000000"/>
          <w:spacing w:val="0"/>
          <w:w w:val="100"/>
          <w:position w:val="0"/>
        </w:rPr>
        <w:t>：</w:t>
      </w:r>
      <w:r>
        <w:rPr>
          <w:color w:val="000000"/>
          <w:spacing w:val="0"/>
          <w:w w:val="100"/>
          <w:position w:val="0"/>
        </w:rPr>
        <w:t>GR201951001782,</w:t>
      </w:r>
      <w:r>
        <w:rPr>
          <w:color w:val="000000"/>
          <w:spacing w:val="0"/>
          <w:w w:val="100"/>
          <w:position w:val="0"/>
        </w:rPr>
        <w:t>认定为高新技术企业。根据《中华人民共和国企业所得税法》以及国家对高 新技术企业的相关税收规定，经有关部门认定为高新技术企业的，可连续三年减按</w:t>
      </w:r>
      <w:r>
        <w:rPr>
          <w:color w:val="000000"/>
          <w:spacing w:val="0"/>
          <w:w w:val="100"/>
          <w:position w:val="0"/>
        </w:rPr>
        <w:t>15%</w:t>
      </w:r>
      <w:r>
        <w:rPr>
          <w:color w:val="000000"/>
          <w:spacing w:val="0"/>
          <w:w w:val="100"/>
          <w:position w:val="0"/>
        </w:rPr>
        <w:t>的税率征收企业所得税，</w:t>
      </w:r>
      <w:r>
        <w:rPr>
          <w:color w:val="000000"/>
          <w:spacing w:val="0"/>
          <w:w w:val="100"/>
          <w:position w:val="0"/>
        </w:rPr>
        <w:t>2020</w:t>
      </w:r>
      <w:r>
        <w:rPr>
          <w:color w:val="000000"/>
          <w:spacing w:val="0"/>
          <w:w w:val="100"/>
          <w:position w:val="0"/>
        </w:rPr>
        <w:t>年和</w:t>
      </w:r>
      <w:r>
        <w:rPr>
          <w:color w:val="000000"/>
          <w:spacing w:val="0"/>
          <w:w w:val="100"/>
          <w:position w:val="0"/>
        </w:rPr>
        <w:t xml:space="preserve">2021 </w:t>
      </w:r>
      <w:r>
        <w:rPr>
          <w:color w:val="000000"/>
          <w:spacing w:val="0"/>
          <w:w w:val="100"/>
          <w:position w:val="0"/>
        </w:rPr>
        <w:t>年度实际按</w:t>
      </w:r>
      <w:r>
        <w:rPr>
          <w:color w:val="000000"/>
          <w:spacing w:val="0"/>
          <w:w w:val="100"/>
          <w:position w:val="0"/>
        </w:rPr>
        <w:t>15%</w:t>
      </w:r>
      <w:r>
        <w:rPr>
          <w:color w:val="000000"/>
          <w:spacing w:val="0"/>
          <w:w w:val="100"/>
          <w:position w:val="0"/>
        </w:rPr>
        <w:t>的税率缴纳企业所得税。</w:t>
      </w:r>
    </w:p>
    <w:p>
      <w:pPr>
        <w:pStyle w:val="Style23"/>
        <w:keepNext w:val="0"/>
        <w:keepLines w:val="0"/>
        <w:widowControl w:val="0"/>
        <w:shd w:val="clear" w:color="auto" w:fill="auto"/>
        <w:tabs>
          <w:tab w:pos="841" w:val="left"/>
        </w:tabs>
        <w:bidi w:val="0"/>
        <w:spacing w:before="0" w:after="0" w:line="315" w:lineRule="exact"/>
        <w:ind w:left="0" w:right="0"/>
        <w:jc w:val="left"/>
      </w:pPr>
      <w:bookmarkStart w:id="1097" w:name="bookmark1097"/>
      <w:r>
        <w:rPr>
          <w:color w:val="000000"/>
          <w:spacing w:val="0"/>
          <w:w w:val="100"/>
          <w:position w:val="0"/>
        </w:rPr>
        <w:t>（</w:t>
      </w:r>
      <w:bookmarkEnd w:id="1097"/>
      <w:r>
        <w:rPr>
          <w:color w:val="000000"/>
          <w:spacing w:val="0"/>
          <w:w w:val="100"/>
          <w:position w:val="0"/>
        </w:rPr>
        <w:t>4）</w:t>
        <w:tab/>
      </w:r>
      <w:r>
        <w:rPr>
          <w:color w:val="000000"/>
          <w:spacing w:val="0"/>
          <w:w w:val="100"/>
          <w:position w:val="0"/>
        </w:rPr>
        <w:t>上海华向文化传播有限公司（以下简称“华向文化”</w:t>
      </w:r>
      <w:r>
        <w:rPr>
          <w:color w:val="000000"/>
          <w:spacing w:val="0"/>
          <w:w w:val="100"/>
          <w:position w:val="0"/>
        </w:rPr>
        <w:t>）</w:t>
      </w:r>
      <w:r>
        <w:rPr>
          <w:color w:val="000000"/>
          <w:spacing w:val="0"/>
          <w:w w:val="100"/>
          <w:position w:val="0"/>
        </w:rPr>
        <w:t>成立时间为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月，根据财税</w:t>
      </w:r>
      <w:r>
        <w:rPr>
          <w:color w:val="000000"/>
          <w:spacing w:val="0"/>
          <w:w w:val="100"/>
          <w:position w:val="0"/>
        </w:rPr>
        <w:t>［2012］</w:t>
      </w:r>
      <w:r>
        <w:rPr>
          <w:color w:val="000000"/>
          <w:spacing w:val="0"/>
          <w:w w:val="100"/>
          <w:position w:val="0"/>
        </w:rPr>
        <w:t>第</w:t>
      </w:r>
      <w:r>
        <w:rPr>
          <w:color w:val="000000"/>
          <w:spacing w:val="0"/>
          <w:w w:val="100"/>
          <w:position w:val="0"/>
        </w:rPr>
        <w:t>27</w:t>
      </w:r>
      <w:r>
        <w:rPr>
          <w:color w:val="000000"/>
          <w:spacing w:val="0"/>
          <w:w w:val="100"/>
          <w:position w:val="0"/>
        </w:rPr>
        <w:t xml:space="preserve">号第三条， </w:t>
      </w:r>
      <w:r>
        <w:rPr>
          <w:color w:val="000000"/>
          <w:spacing w:val="0"/>
          <w:w w:val="100"/>
          <w:position w:val="0"/>
        </w:rPr>
        <w:t>［2019］</w:t>
      </w:r>
      <w:r>
        <w:rPr>
          <w:color w:val="000000"/>
          <w:spacing w:val="0"/>
          <w:w w:val="100"/>
          <w:position w:val="0"/>
        </w:rPr>
        <w:t>第</w:t>
      </w:r>
      <w:r>
        <w:rPr>
          <w:color w:val="000000"/>
          <w:spacing w:val="0"/>
          <w:w w:val="100"/>
          <w:position w:val="0"/>
        </w:rPr>
        <w:t>68</w:t>
      </w:r>
      <w:r>
        <w:rPr>
          <w:color w:val="000000"/>
          <w:spacing w:val="0"/>
          <w:w w:val="100"/>
          <w:position w:val="0"/>
        </w:rPr>
        <w:t>号文件：我国境内新办的集成电路设计企业和符合条件的软件企业，经认定后，在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 起计算优惠期，第一年至第二年免征企业所得税，第三年至第五年按照</w:t>
      </w:r>
      <w:r>
        <w:rPr>
          <w:color w:val="000000"/>
          <w:spacing w:val="0"/>
          <w:w w:val="100"/>
          <w:position w:val="0"/>
        </w:rPr>
        <w:t>25%</w:t>
      </w:r>
      <w:r>
        <w:rPr>
          <w:color w:val="000000"/>
          <w:spacing w:val="0"/>
          <w:w w:val="100"/>
          <w:position w:val="0"/>
        </w:rPr>
        <w:t xml:space="preserve">的法定税率减半征收企业所得税，并享受至期满 </w:t>
      </w:r>
      <w:r>
        <w:rPr>
          <w:color w:val="000000"/>
          <w:spacing w:val="0"/>
          <w:w w:val="100"/>
          <w:position w:val="0"/>
        </w:rPr>
        <w:t>为止。华向文化</w:t>
      </w:r>
      <w:r>
        <w:rPr>
          <w:color w:val="000000"/>
          <w:spacing w:val="0"/>
          <w:w w:val="100"/>
          <w:position w:val="0"/>
        </w:rPr>
        <w:t>2018</w:t>
      </w:r>
      <w:r>
        <w:rPr>
          <w:color w:val="000000"/>
          <w:spacing w:val="0"/>
          <w:w w:val="100"/>
          <w:position w:val="0"/>
        </w:rPr>
        <w:t>年开始盈利，</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年享受软件企业免征企业所得税的优惠；</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年度减半按</w:t>
      </w:r>
      <w:r>
        <w:rPr>
          <w:color w:val="000000"/>
          <w:spacing w:val="0"/>
          <w:w w:val="100"/>
          <w:position w:val="0"/>
        </w:rPr>
        <w:t xml:space="preserve">12.5% </w:t>
      </w:r>
      <w:r>
        <w:rPr>
          <w:color w:val="000000"/>
          <w:spacing w:val="0"/>
          <w:w w:val="100"/>
          <w:position w:val="0"/>
        </w:rPr>
        <w:t>征收企业所得税。</w:t>
      </w:r>
    </w:p>
    <w:p>
      <w:pPr>
        <w:pStyle w:val="Style23"/>
        <w:keepNext w:val="0"/>
        <w:keepLines w:val="0"/>
        <w:widowControl w:val="0"/>
        <w:shd w:val="clear" w:color="auto" w:fill="auto"/>
        <w:bidi w:val="0"/>
        <w:spacing w:before="0" w:after="80" w:line="314" w:lineRule="exact"/>
        <w:ind w:left="0" w:right="0"/>
        <w:jc w:val="both"/>
      </w:pPr>
      <w:bookmarkStart w:id="1098" w:name="bookmark1098"/>
      <w:r>
        <w:rPr>
          <w:color w:val="000000"/>
          <w:spacing w:val="0"/>
          <w:w w:val="100"/>
          <w:position w:val="0"/>
        </w:rPr>
        <w:t>（</w:t>
      </w:r>
      <w:bookmarkEnd w:id="1098"/>
      <w:r>
        <w:rPr>
          <w:color w:val="000000"/>
          <w:spacing w:val="0"/>
          <w:w w:val="100"/>
          <w:position w:val="0"/>
        </w:rPr>
        <w:t>5）</w:t>
      </w:r>
      <w:r>
        <w:rPr>
          <w:color w:val="000000"/>
          <w:spacing w:val="0"/>
          <w:w w:val="100"/>
          <w:position w:val="0"/>
        </w:rPr>
        <w:t>上海游湛网络科技有限公司（以下简称“游湛网络”</w:t>
      </w:r>
      <w:r>
        <w:rPr>
          <w:color w:val="000000"/>
          <w:spacing w:val="0"/>
          <w:w w:val="100"/>
          <w:position w:val="0"/>
        </w:rPr>
        <w:t>）</w:t>
      </w:r>
      <w:r>
        <w:rPr>
          <w:color w:val="000000"/>
          <w:spacing w:val="0"/>
          <w:w w:val="100"/>
          <w:position w:val="0"/>
        </w:rPr>
        <w:t>成立时间为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月，根据财税</w:t>
      </w:r>
      <w:r>
        <w:rPr>
          <w:color w:val="000000"/>
          <w:spacing w:val="0"/>
          <w:w w:val="100"/>
          <w:position w:val="0"/>
        </w:rPr>
        <w:t>［2012］</w:t>
      </w:r>
      <w:r>
        <w:rPr>
          <w:color w:val="000000"/>
          <w:spacing w:val="0"/>
          <w:w w:val="100"/>
          <w:position w:val="0"/>
        </w:rPr>
        <w:t>第</w:t>
      </w:r>
      <w:r>
        <w:rPr>
          <w:color w:val="000000"/>
          <w:spacing w:val="0"/>
          <w:w w:val="100"/>
          <w:position w:val="0"/>
        </w:rPr>
        <w:t>27</w:t>
      </w:r>
      <w:r>
        <w:rPr>
          <w:color w:val="000000"/>
          <w:spacing w:val="0"/>
          <w:w w:val="100"/>
          <w:position w:val="0"/>
        </w:rPr>
        <w:t xml:space="preserve">号第三条， </w:t>
      </w:r>
      <w:r>
        <w:rPr>
          <w:color w:val="000000"/>
          <w:spacing w:val="0"/>
          <w:w w:val="100"/>
          <w:position w:val="0"/>
        </w:rPr>
        <w:t>［2019］</w:t>
      </w:r>
      <w:r>
        <w:rPr>
          <w:color w:val="000000"/>
          <w:spacing w:val="0"/>
          <w:w w:val="100"/>
          <w:position w:val="0"/>
        </w:rPr>
        <w:t>第</w:t>
      </w:r>
      <w:r>
        <w:rPr>
          <w:color w:val="000000"/>
          <w:spacing w:val="0"/>
          <w:w w:val="100"/>
          <w:position w:val="0"/>
        </w:rPr>
        <w:t>68</w:t>
      </w:r>
      <w:r>
        <w:rPr>
          <w:color w:val="000000"/>
          <w:spacing w:val="0"/>
          <w:w w:val="100"/>
          <w:position w:val="0"/>
        </w:rPr>
        <w:t>号文件：我国境内新办的集成电路设计企业和符合条件的软件企业，经认定后，在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 起计算优惠期，第一年至第二年免征企业所得税，第三年至第五年按照</w:t>
      </w:r>
      <w:r>
        <w:rPr>
          <w:color w:val="000000"/>
          <w:spacing w:val="0"/>
          <w:w w:val="100"/>
          <w:position w:val="0"/>
        </w:rPr>
        <w:t>25%</w:t>
      </w:r>
      <w:r>
        <w:rPr>
          <w:color w:val="000000"/>
          <w:spacing w:val="0"/>
          <w:w w:val="100"/>
          <w:position w:val="0"/>
        </w:rPr>
        <w:t>的法定税率减半征收企业所得税，并享受至期满 为止。游湛网络</w:t>
      </w:r>
      <w:r>
        <w:rPr>
          <w:color w:val="000000"/>
          <w:spacing w:val="0"/>
          <w:w w:val="100"/>
          <w:position w:val="0"/>
        </w:rPr>
        <w:t>2018</w:t>
      </w:r>
      <w:r>
        <w:rPr>
          <w:color w:val="000000"/>
          <w:spacing w:val="0"/>
          <w:w w:val="100"/>
          <w:position w:val="0"/>
        </w:rPr>
        <w:t>年开始盈利，</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年享受软件企业免征企业所得税的优惠；</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年度减半按</w:t>
      </w:r>
      <w:r>
        <w:rPr>
          <w:color w:val="000000"/>
          <w:spacing w:val="0"/>
          <w:w w:val="100"/>
          <w:position w:val="0"/>
        </w:rPr>
        <w:t xml:space="preserve">12.5% </w:t>
      </w:r>
      <w:r>
        <w:rPr>
          <w:color w:val="000000"/>
          <w:spacing w:val="0"/>
          <w:w w:val="100"/>
          <w:position w:val="0"/>
        </w:rPr>
        <w:t>征收企业所得税。</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8"/>
        <w:keepNext/>
        <w:keepLines/>
        <w:widowControl w:val="0"/>
        <w:shd w:val="clear" w:color="auto" w:fill="auto"/>
        <w:bidi w:val="0"/>
        <w:spacing w:before="0" w:line="240" w:lineRule="auto"/>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sz w:val="24"/>
          <w:szCs w:val="24"/>
        </w:rPr>
        <w:t>七</w:t>
      </w:r>
      <w:bookmarkEnd w:id="1101"/>
      <w:r>
        <w:rPr>
          <w:color w:val="000000"/>
          <w:spacing w:val="0"/>
          <w:w w:val="100"/>
          <w:position w:val="0"/>
          <w:sz w:val="24"/>
          <w:szCs w:val="24"/>
        </w:rPr>
        <w:t>、合并财务报表项目注释</w:t>
      </w:r>
      <w:bookmarkEnd w:id="1099"/>
      <w:bookmarkEnd w:id="1100"/>
      <w:bookmarkEnd w:id="1102"/>
    </w:p>
    <w:p>
      <w:pPr>
        <w:pStyle w:val="Style34"/>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3"/>
      <w:bookmarkEnd w:id="1104"/>
      <w:bookmarkEnd w:id="110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79,667,887.86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66,274,611.33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1,110,429.85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48,795,688.05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80,778,317.71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115,070,299.38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437,243.32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15,318,388.32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18,218,956.84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61,606,498.44</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其中受到限制的货币资金明细如下:</w:t>
      </w:r>
    </w:p>
    <w:tbl>
      <w:tblPr>
        <w:tblOverlap w:val="never"/>
        <w:jc w:val="center"/>
        <w:tblLayout w:type="fixed"/>
      </w:tblPr>
      <w:tblGrid>
        <w:gridCol w:w="4459"/>
        <w:gridCol w:w="2606"/>
        <w:gridCol w:w="261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期初余额（元）</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34,086,236.70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845,770.64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1,886,421.16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司法冻结资金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17,373,186.20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21,133,840.58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18,218,956.84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61,606,498.44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06"/>
      <w:bookmarkEnd w:id="1107"/>
      <w:bookmarkEnd w:id="1108"/>
    </w:p>
    <w:p>
      <w:pPr>
        <w:pStyle w:val="Style34"/>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6"/>
      <w:bookmarkEnd w:id="1107"/>
      <w:bookmarkEnd w:id="111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18,336,625.57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1,446,655.54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r>
    </w:tbl>
    <w:p>
      <w:pPr>
        <w:widowControl w:val="0"/>
        <w:spacing w:after="79" w:line="1" w:lineRule="exact"/>
      </w:pPr>
    </w:p>
    <w:p>
      <w:pPr>
        <w:pStyle w:val="Style2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42"/>
        <w:gridCol w:w="710"/>
        <w:gridCol w:w="566"/>
        <w:gridCol w:w="427"/>
        <w:gridCol w:w="427"/>
        <w:gridCol w:w="509"/>
        <w:gridCol w:w="1190"/>
        <w:gridCol w:w="706"/>
        <w:gridCol w:w="427"/>
        <w:gridCol w:w="566"/>
        <w:gridCol w:w="12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19,783,281.11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111"/>
      <w:bookmarkEnd w:id="1112"/>
      <w:bookmarkEnd w:id="111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13,146,274.80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13,146,274.80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、应收账款</w:t>
      </w:r>
      <w:bookmarkEnd w:id="1115"/>
      <w:bookmarkEnd w:id="1116"/>
      <w:bookmarkEnd w:id="1118"/>
    </w:p>
    <w:p>
      <w:pPr>
        <w:pStyle w:val="Style34"/>
        <w:keepNext/>
        <w:keepLines/>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54" w:bottom="1307" w:left="1073" w:header="0" w:footer="3" w:gutter="0"/>
          <w:cols w:space="720"/>
          <w:noEndnote/>
          <w:rtlGutter w:val="0"/>
          <w:docGrid w:linePitch="360"/>
        </w:sectPr>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5"/>
      <w:bookmarkEnd w:id="1116"/>
      <w:bookmarkEnd w:id="1120"/>
    </w:p>
    <w:p>
      <w:pPr>
        <w:pStyle w:val="Style23"/>
        <w:keepNext w:val="0"/>
        <w:keepLines w:val="0"/>
        <w:widowControl w:val="0"/>
        <w:shd w:val="clear" w:color="auto" w:fill="auto"/>
        <w:bidi w:val="0"/>
        <w:spacing w:before="0" w:after="80" w:line="331" w:lineRule="exact"/>
        <w:ind w:left="9540" w:right="0" w:firstLine="0"/>
        <w:jc w:val="righ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r>
        <w:rPr>
          <w:color w:val="000000"/>
          <w:spacing w:val="0"/>
          <w:w w:val="100"/>
          <w:position w:val="0"/>
          <w:u w:val="single"/>
        </w:rPr>
        <w:t xml:space="preserve"> </w:t>
      </w:r>
      <w:r>
        <w:rPr>
          <w:color w:val="000000"/>
          <w:spacing w:val="0"/>
          <w:w w:val="100"/>
          <w:position w:val="0"/>
        </w:rPr>
        <w:t>单位：元</w:t>
      </w:r>
    </w:p>
    <w:tbl>
      <w:tblPr>
        <w:tblOverlap w:val="never"/>
        <w:jc w:val="center"/>
        <w:tblLayout w:type="fixed"/>
      </w:tblPr>
      <w:tblGrid>
        <w:gridCol w:w="2386"/>
        <w:gridCol w:w="1181"/>
        <w:gridCol w:w="1099"/>
        <w:gridCol w:w="1099"/>
        <w:gridCol w:w="1099"/>
        <w:gridCol w:w="1186"/>
        <w:gridCol w:w="1181"/>
        <w:gridCol w:w="1152"/>
        <w:gridCol w:w="1152"/>
        <w:gridCol w:w="1138"/>
        <w:gridCol w:w="136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128,906,995.57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19,627,867.62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109,279,127.95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129,890,632.21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15,173,953.44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114,716,678.77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128,906,995.57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19,627,867.62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109,279,127.95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129,890,632.21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15,173,953.44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114,716,678.77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128,906,995.57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19,627,867.62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109,279,127.95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129,890,632.21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15,173,953.44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114,716,678.77</w:t>
            </w:r>
          </w:p>
        </w:tc>
      </w:tr>
    </w:tbl>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5,211,019.20</w:t>
      </w:r>
    </w:p>
    <w:p>
      <w:pPr>
        <w:widowControl w:val="0"/>
        <w:spacing w:after="79" w:line="1" w:lineRule="exact"/>
      </w:pP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514"/>
        <w:gridCol w:w="3504"/>
        <w:gridCol w:w="3504"/>
        <w:gridCol w:w="35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5,707,062.13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448,012.83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color w:val="000000"/>
                <w:spacing w:val="0"/>
                <w:w w:val="100"/>
                <w:position w:val="0"/>
              </w:rPr>
              <w:t>6,155,074.96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806,766.26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2,560,225.90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512,045.18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color w:val="000000"/>
                <w:spacing w:val="0"/>
                <w:w w:val="100"/>
                <w:position w:val="0"/>
              </w:rPr>
              <w:t>4,595,896.75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4,595,896.75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14,117,963.87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5,211,019.20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6840" w:h="11900" w:orient="landscape"/>
          <w:pgMar w:top="745" w:right="1402" w:bottom="1152" w:left="1402" w:header="0" w:footer="3" w:gutter="0"/>
          <w:cols w:space="720"/>
          <w:noEndnote/>
          <w:rtlGutter w:val="0"/>
          <w:docGrid w:linePitch="360"/>
        </w:sectPr>
      </w:pPr>
      <w:r>
        <w:rPr>
          <w:color w:val="000000"/>
          <w:spacing w:val="0"/>
          <w:w w:val="100"/>
          <w:position w:val="0"/>
        </w:rPr>
        <w:t>游戏行业按账龄分析法计提坏账准备的应收账款</w:t>
      </w:r>
    </w:p>
    <w:p>
      <w:pPr>
        <w:pStyle w:val="Style4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14,416,848.42</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61,688,161.89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1,682,980.82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16,969,674.15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866,814.12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15,971,225.56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1,049,308.56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10,858,913.07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1,980,686.37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1,217,432.13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753,433.65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8,083,624.90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8,083,624.90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114,789,031.70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14,416,848.42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电气及其他按账龄分析法计提坏账准备的应收账款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67,843,236.85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17,776,440.41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18,531,451.46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24,755,866.85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15,454,809.82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1,217,432.13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8,083,624.90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128,906,995.57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1"/>
      <w:bookmarkEnd w:id="1122"/>
      <w:bookmarkEnd w:id="112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33"/>
        <w:gridCol w:w="1133"/>
        <w:gridCol w:w="1075"/>
        <w:gridCol w:w="1368"/>
        <w:gridCol w:w="1243"/>
        <w:gridCol w:w="15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15,173,953.44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4,803,443.79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291,264.99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19,627,867.62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15,173,953.44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4,803,443.79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291,264.99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19,627,867.62</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5"/>
      <w:bookmarkEnd w:id="1126"/>
      <w:bookmarkEnd w:id="112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291,264.99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191,444.00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对方公司注销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合同终止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239,289.00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9"/>
      <w:bookmarkEnd w:id="1130"/>
      <w:bookmarkEnd w:id="113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1843"/>
        <w:gridCol w:w="2784"/>
        <w:gridCol w:w="253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16,815,647.24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840,782.36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14,928,149.49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1,474,500.97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4,586,784.00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3,019,238.63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4,286,124.00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63,101.47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3,585,730.00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52,790.09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44,202,434.73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w:t>
      </w:r>
      <w:bookmarkEnd w:id="1135"/>
      <w:r>
        <w:rPr>
          <w:color w:val="000000"/>
          <w:spacing w:val="0"/>
          <w:w w:val="100"/>
          <w:position w:val="0"/>
        </w:rPr>
        <w:t>、应收款项融资</w:t>
      </w:r>
      <w:bookmarkEnd w:id="1133"/>
      <w:bookmarkEnd w:id="1134"/>
      <w:bookmarkEnd w:id="113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9,543,210.18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9,543,210.18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300"/>
        <w:jc w:val="left"/>
      </w:pPr>
      <w:r>
        <w:rPr>
          <w:color w:val="000000"/>
          <w:spacing w:val="0"/>
          <w:w w:val="100"/>
          <w:position w:val="0"/>
        </w:rPr>
        <w:t>本公司视其日常资金管理的需要，将银行承兑汇票进行贴现、背书、转让，公司管理银行承兑汇票的业务模式既包括以</w:t>
        <w:br w:type="page"/>
      </w:r>
      <w:r>
        <w:rPr>
          <w:color w:val="000000"/>
          <w:spacing w:val="0"/>
          <w:w w:val="100"/>
          <w:position w:val="0"/>
        </w:rPr>
        <w:t>收取合同现金流量为目标又包括以出售为目标。因此公司将银行承兑汇票列示为应收款项融资。与银行承兑汇票有关的质押、 转让情况详见附注''七、合并财务报表项目注释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3"/>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after="320" w:line="34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5</w:t>
      </w:r>
      <w:bookmarkEnd w:id="1139"/>
      <w:r>
        <w:rPr>
          <w:color w:val="000000"/>
          <w:spacing w:val="0"/>
          <w:w w:val="100"/>
          <w:position w:val="0"/>
        </w:rPr>
        <w:t>、预付款项</w:t>
      </w:r>
      <w:bookmarkEnd w:id="1137"/>
      <w:bookmarkEnd w:id="1138"/>
      <w:bookmarkEnd w:id="1140"/>
    </w:p>
    <w:p>
      <w:pPr>
        <w:pStyle w:val="Style34"/>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7"/>
      <w:bookmarkEnd w:id="1138"/>
      <w:bookmarkEnd w:id="11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2,592,307.07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47,304,174.39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1,030,403.53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33,726,713.19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471,082.64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17,684,682.96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566,959.22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4,096,944.78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99,282,529.76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2366"/>
        <w:gridCol w:w="2352"/>
        <w:gridCol w:w="2357"/>
        <w:gridCol w:w="26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未到结算时间</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339,622.64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未到结算时间</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1,188,679.22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3"/>
      <w:bookmarkEnd w:id="1144"/>
      <w:bookmarkEnd w:id="1146"/>
    </w:p>
    <w:tbl>
      <w:tblPr>
        <w:tblOverlap w:val="never"/>
        <w:jc w:val="center"/>
        <w:tblLayout w:type="fixed"/>
      </w:tblPr>
      <w:tblGrid>
        <w:gridCol w:w="1589"/>
        <w:gridCol w:w="1574"/>
        <w:gridCol w:w="1618"/>
        <w:gridCol w:w="1738"/>
        <w:gridCol w:w="1574"/>
        <w:gridCol w:w="1584"/>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占预付款项期末余额 合计数的比例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left"/>
            </w:pPr>
            <w:r>
              <w:rPr>
                <w:rFonts w:ascii="SimSun" w:eastAsia="SimSun" w:hAnsi="SimSun" w:cs="SimSun"/>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1,443,000.00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849,056.58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未到结算时间</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339,622.64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131,420.00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材料未验收</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3,363,099.22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6</w:t>
      </w:r>
      <w:bookmarkEnd w:id="1149"/>
      <w:r>
        <w:rPr>
          <w:color w:val="000000"/>
          <w:spacing w:val="0"/>
          <w:w w:val="100"/>
          <w:position w:val="0"/>
        </w:rPr>
        <w:t>、其他应收款</w:t>
      </w:r>
      <w:bookmarkEnd w:id="1147"/>
      <w:bookmarkEnd w:id="1148"/>
      <w:bookmarkEnd w:id="115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144,526,660.75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439,317,460.49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144,526,660.75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439,358,362.41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1"/>
      <w:bookmarkEnd w:id="1152"/>
      <w:bookmarkEnd w:id="1153"/>
    </w:p>
    <w:p>
      <w:pPr>
        <w:pStyle w:val="Style34"/>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color w:val="000000"/>
          <w:spacing w:val="0"/>
          <w:w w:val="100"/>
          <w:position w:val="0"/>
        </w:rPr>
        <w:t>）应收利息分类</w:t>
      </w:r>
      <w:bookmarkEnd w:id="1151"/>
      <w:bookmarkEnd w:id="1152"/>
      <w:bookmarkEnd w:id="115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color w:val="000000"/>
          <w:spacing w:val="0"/>
          <w:w w:val="100"/>
          <w:position w:val="0"/>
        </w:rPr>
        <w:t>）坏账准备计提情况</w:t>
      </w:r>
      <w:bookmarkEnd w:id="1156"/>
      <w:bookmarkEnd w:id="1157"/>
      <w:bookmarkEnd w:id="115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60"/>
      <w:bookmarkEnd w:id="1161"/>
      <w:bookmarkEnd w:id="1162"/>
    </w:p>
    <w:p>
      <w:pPr>
        <w:pStyle w:val="Style3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color w:val="000000"/>
          <w:spacing w:val="0"/>
          <w:w w:val="100"/>
          <w:position w:val="0"/>
        </w:rPr>
        <w:t>）其他应收款按款项性质分类情况</w:t>
      </w:r>
      <w:bookmarkEnd w:id="1160"/>
      <w:bookmarkEnd w:id="1161"/>
      <w:bookmarkEnd w:id="116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广告投放保证金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股权转让诚意金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5,281,274.00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565,863.33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3,712,504.63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302,982,496.85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2,166,457.17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2,238,375.71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138,267.60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455,872.55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151,653.37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339,669.10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10,538,898.76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3,475,491.47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日本链接世界长投处置款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2,270,510.09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汪劲松应退回的季娱股权收购款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156,809,565.62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443,407,769.01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color w:val="000000"/>
          <w:spacing w:val="0"/>
          <w:w w:val="100"/>
          <w:position w:val="0"/>
        </w:rPr>
        <w:t>）坏账准备计提情况</w:t>
      </w:r>
      <w:bookmarkEnd w:id="1165"/>
      <w:bookmarkEnd w:id="1166"/>
      <w:bookmarkEnd w:id="116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2126"/>
        <w:gridCol w:w="1843"/>
        <w:gridCol w:w="1843"/>
        <w:gridCol w:w="135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419"/>
        <w:gridCol w:w="2126"/>
        <w:gridCol w:w="1843"/>
        <w:gridCol w:w="1843"/>
        <w:gridCol w:w="135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2,163,906.14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1,926,402.38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4,090,308.52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2,732,968.85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7,539,041.58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10,272,010.43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35,834.64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1,891,851.58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2,041,957.43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4,743,863.29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7,539,041.58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12,282,904.87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14,538,554.33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135,751,611.98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4,561,693.73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1,957,705.58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319,379.52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1,596,646.54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156,809,565.62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color w:val="000000"/>
          <w:spacing w:val="0"/>
          <w:w w:val="100"/>
          <w:position w:val="0"/>
        </w:rPr>
        <w:t>）本期计提、收回或转回的坏账准备情况</w:t>
      </w:r>
      <w:bookmarkEnd w:id="1169"/>
      <w:bookmarkEnd w:id="1170"/>
      <w:bookmarkEnd w:id="117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1421"/>
        <w:gridCol w:w="1133"/>
        <w:gridCol w:w="1133"/>
        <w:gridCol w:w="1133"/>
        <w:gridCol w:w="994"/>
        <w:gridCol w:w="12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2,163,906.14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2,732,968.85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4,743,863.29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第三阶段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1,926,402.38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7,539,041.58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1,891,851.58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7,539,041.58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4,090,308.52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10,272,010.43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35,834.64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2,041,957.43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12,282,904.87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3"/>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4</w:t>
      </w:r>
      <w:bookmarkEnd w:id="1175"/>
      <w:r>
        <w:rPr>
          <w:color w:val="000000"/>
          <w:spacing w:val="0"/>
          <w:w w:val="100"/>
          <w:position w:val="0"/>
        </w:rPr>
        <w:t>）本期实际核销的其他应收款情况</w:t>
      </w:r>
      <w:bookmarkEnd w:id="1173"/>
      <w:bookmarkEnd w:id="1174"/>
      <w:bookmarkEnd w:id="1176"/>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本报告期实际核销的其他应收款总计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2,041,957.43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86"/>
        <w:gridCol w:w="1560"/>
        <w:gridCol w:w="1133"/>
        <w:gridCol w:w="1277"/>
        <w:gridCol w:w="1416"/>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 联交易产生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霍尔果斯火翼信息科技有限公司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1,613,980.97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对方公司注销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公司审批流程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阿尔法互动科技（深圳）有限公司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133,077.00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对方公司注销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公司审批流程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佛山市远洋贸易有限公司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109,185.05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对方公司注销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公司审批流程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1,856,243.02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5</w:t>
      </w:r>
      <w:bookmarkEnd w:id="1179"/>
      <w:r>
        <w:rPr>
          <w:color w:val="000000"/>
          <w:spacing w:val="0"/>
          <w:w w:val="100"/>
          <w:position w:val="0"/>
        </w:rPr>
        <w:t>）按欠款方归集的期末余额前五名的其他应收款情况</w:t>
      </w:r>
      <w:bookmarkEnd w:id="1177"/>
      <w:bookmarkEnd w:id="1178"/>
      <w:bookmarkEnd w:id="118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771"/>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季娱股权收购款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股权转让诚意金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7,539,041.58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7,539,041.58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链接世界股权转让金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2,270,510.09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113,525.50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142,949,551.67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9,759,567.08</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7</w:t>
      </w:r>
      <w:bookmarkEnd w:id="1183"/>
      <w:r>
        <w:rPr>
          <w:color w:val="000000"/>
          <w:spacing w:val="0"/>
          <w:w w:val="100"/>
          <w:position w:val="0"/>
        </w:rPr>
        <w:t>、存货</w:t>
      </w:r>
      <w:bookmarkEnd w:id="1181"/>
      <w:bookmarkEnd w:id="1182"/>
      <w:bookmarkEnd w:id="1184"/>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both"/>
      </w:pPr>
      <w:bookmarkStart w:id="1185" w:name="bookmark1185"/>
      <w:bookmarkStart w:id="1186" w:name="bookmark1186"/>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5"/>
      <w:bookmarkEnd w:id="1186"/>
      <w:bookmarkEnd w:id="11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存货跌价准备或</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存货跌价准备或</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9,233,878.64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124,084.65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9,109,793.99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5,815,942.19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126,373.26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5,689,568.93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3,211,634.29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3,211,634.29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1,928,146.06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1,928,146.06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3,589,368.36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3,589,368.36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2,974,979.30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2,974,979.30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11,371,151.69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1,847,022.93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9,524,128.76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11,272,159.83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1,626,530.77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9,645,629.06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10,474,884.83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411,260.45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10,063,624.38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9,259,190.96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414,964.29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8,844,226.67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37,880,917.81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2,382,368.03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35,498,549.78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31,250,418.34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2,167,868.32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29,082,550.02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8"/>
      <w:bookmarkEnd w:id="1189"/>
      <w:bookmarkEnd w:id="11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2,288.61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124,084.65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1,626,530.77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220,492.16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1,847,022.93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414,964.29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3,703.84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411,260.45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2,167,868.32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220,492.16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5,992.45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2,382,368.03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8</w:t>
      </w:r>
      <w:bookmarkEnd w:id="1193"/>
      <w:r>
        <w:rPr>
          <w:color w:val="000000"/>
          <w:spacing w:val="0"/>
          <w:w w:val="100"/>
          <w:position w:val="0"/>
        </w:rPr>
        <w:t>、合同资产</w:t>
      </w:r>
      <w:bookmarkEnd w:id="1191"/>
      <w:bookmarkEnd w:id="1192"/>
      <w:bookmarkEnd w:id="11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1,172,392.11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58,619.61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1,113,772.50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1,172,392.11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58,619.61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1,113,772.50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58,619.61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合同资产减值准备</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58,619.61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9</w:t>
      </w:r>
      <w:bookmarkEnd w:id="1197"/>
      <w:r>
        <w:rPr>
          <w:color w:val="000000"/>
          <w:spacing w:val="0"/>
          <w:w w:val="100"/>
          <w:position w:val="0"/>
        </w:rPr>
        <w:t>、一年内到期的非流动资产</w:t>
      </w:r>
      <w:bookmarkEnd w:id="1195"/>
      <w:bookmarkEnd w:id="1196"/>
      <w:bookmarkEnd w:id="119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663,468.40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1,904,110.80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663,468.40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1,904,110.80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9"/>
      <w:bookmarkEnd w:id="1200"/>
      <w:bookmarkEnd w:id="120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23,833,795.79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11,028,125.45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待摊房租余额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261,035.12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合同取得成本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4,939,138.36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402,935.30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259,114.95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54,758.24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29,211,530.71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11,775,156.02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03"/>
      <w:bookmarkEnd w:id="1204"/>
      <w:bookmarkEnd w:id="1206"/>
    </w:p>
    <w:p>
      <w:pPr>
        <w:pStyle w:val="Style3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3"/>
      <w:bookmarkEnd w:id="1204"/>
      <w:bookmarkEnd w:id="120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560"/>
        <w:gridCol w:w="989"/>
        <w:gridCol w:w="1138"/>
        <w:gridCol w:w="1133"/>
        <w:gridCol w:w="850"/>
        <w:gridCol w:w="1133"/>
        <w:gridCol w:w="64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3,351,845.56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3,351,845.56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4,007,600.07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4,007,600.07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其中：未实现融资收益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933,497.80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933,497.80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1,345,143.29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1,345,143.29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3,351,845.56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3,351,845.56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4,007,600.07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4,007,600.07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2" w:right="1076" w:bottom="1469"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08"/>
      <w:bookmarkEnd w:id="1209"/>
      <w:bookmarkEnd w:id="1211"/>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176"/>
        <w:gridCol w:w="1162"/>
        <w:gridCol w:w="1166"/>
        <w:gridCol w:w="1171"/>
        <w:gridCol w:w="1166"/>
        <w:gridCol w:w="1171"/>
        <w:gridCol w:w="1166"/>
        <w:gridCol w:w="1171"/>
        <w:gridCol w:w="1171"/>
        <w:gridCol w:w="1171"/>
        <w:gridCol w:w="1166"/>
        <w:gridCol w:w="117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其他综合收益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其他权益变动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宣告发放现金 股利或利润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宁波永耀惠程 电力科技有限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3,492,875.31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513,330.09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4,006,205.40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北京真机智能</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9,668,179.87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9,324,332.43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-343,847.44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共青城惠智网 联投资合伙企 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7,546,987.06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5,205,847.72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-2,341,139.34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重庆思极星能</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-303,510.71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4,196,489.29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重庆绿能启航</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私募股权投资</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基金合伙企业</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14,935,914.55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20,708,042.24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14,530,180.15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-2,539,252.85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23,138,609.24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20,708,042.24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14,530,180.15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-2,539,252.85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23,138,609.24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9" w:right="0" w:firstLine="0"/>
        <w:jc w:val="left"/>
        <w:sectPr>
          <w:footnotePr>
            <w:pos w:val="pageBottom"/>
            <w:numFmt w:val="decimal"/>
            <w:numRestart w:val="continuous"/>
          </w:footnotePr>
          <w:pgSz w:w="16840" w:h="11900" w:orient="landscape"/>
          <w:pgMar w:top="1417" w:right="1402" w:bottom="1417" w:left="1402" w:header="0" w:footer="3" w:gutter="0"/>
          <w:cols w:space="720"/>
          <w:noEndnote/>
          <w:rtlGutter w:val="0"/>
          <w:docGrid w:linePitch="360"/>
        </w:sectPr>
      </w:pPr>
      <w:r>
        <w:rPr>
          <w:color w:val="000000"/>
          <w:spacing w:val="0"/>
          <w:w w:val="100"/>
          <w:position w:val="0"/>
        </w:rPr>
        <w:t>其他说明</w:t>
      </w:r>
    </w:p>
    <w:p>
      <w:pPr>
        <w:pStyle w:val="Style34"/>
        <w:keepNext/>
        <w:keepLines/>
        <w:widowControl w:val="0"/>
        <w:shd w:val="clear" w:color="auto" w:fill="auto"/>
        <w:bidi w:val="0"/>
        <w:spacing w:before="36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12"/>
      <w:bookmarkEnd w:id="1213"/>
      <w:bookmarkEnd w:id="121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49"/>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北京智金未来传媒科技有限责任公司（以下简称</w:t>
            </w:r>
            <w:r>
              <w:rPr>
                <w:color w:val="000000"/>
                <w:spacing w:val="0"/>
                <w:w w:val="100"/>
                <w:position w:val="0"/>
              </w:rPr>
              <w:t>"</w:t>
            </w:r>
            <w:r>
              <w:rPr>
                <w:rFonts w:ascii="SimSun" w:eastAsia="SimSun" w:hAnsi="SimSun" w:cs="SimSun"/>
                <w:color w:val="000000"/>
                <w:spacing w:val="0"/>
                <w:w w:val="100"/>
                <w:position w:val="0"/>
              </w:rPr>
              <w:t>智金</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北京互联星梦科技有限公司（以下简称''互联星梦</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上海峰游网络科技有限公司（以下简称</w:t>
            </w:r>
            <w:r>
              <w:rPr>
                <w:color w:val="000000"/>
                <w:spacing w:val="0"/>
                <w:w w:val="100"/>
                <w:position w:val="0"/>
              </w:rPr>
              <w:t>"</w:t>
            </w:r>
            <w:r>
              <w:rPr>
                <w:rFonts w:ascii="SimSun" w:eastAsia="SimSun" w:hAnsi="SimSun" w:cs="SimSun"/>
                <w:color w:val="000000"/>
                <w:spacing w:val="0"/>
                <w:w w:val="100"/>
                <w:position w:val="0"/>
              </w:rPr>
              <w:t>上海峰游</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27,000,000.00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思极星能科技（四川）有限公司（以下简称</w:t>
            </w:r>
            <w:r>
              <w:rPr>
                <w:color w:val="000000"/>
                <w:spacing w:val="0"/>
                <w:w w:val="100"/>
                <w:position w:val="0"/>
              </w:rPr>
              <w:t>"</w:t>
            </w:r>
            <w:r>
              <w:rPr>
                <w:rFonts w:ascii="SimSun" w:eastAsia="SimSun" w:hAnsi="SimSun" w:cs="SimSun"/>
                <w:color w:val="000000"/>
                <w:spacing w:val="0"/>
                <w:w w:val="100"/>
                <w:position w:val="0"/>
              </w:rPr>
              <w:t>思极星能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27,970,000.00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北京爱酷游科技股份有限公司（以下简称</w:t>
            </w:r>
            <w:r>
              <w:rPr>
                <w:color w:val="000000"/>
                <w:spacing w:val="0"/>
                <w:w w:val="100"/>
                <w:position w:val="0"/>
              </w:rPr>
              <w:t>"</w:t>
            </w:r>
            <w:r>
              <w:rPr>
                <w:rFonts w:ascii="SimSun" w:eastAsia="SimSun" w:hAnsi="SimSun" w:cs="SimSun"/>
                <w:color w:val="000000"/>
                <w:spacing w:val="0"/>
                <w:w w:val="100"/>
                <w:position w:val="0"/>
              </w:rPr>
              <w:t>爱酷游</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76,568,291.68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color w:val="000000"/>
                <w:spacing w:val="0"/>
                <w:w w:val="100"/>
                <w:position w:val="0"/>
              </w:rPr>
              <w:t>76,568,291.68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北京图纳密信息科技有限公司（以下简称</w:t>
            </w:r>
            <w:r>
              <w:rPr>
                <w:color w:val="000000"/>
                <w:spacing w:val="0"/>
                <w:w w:val="100"/>
                <w:position w:val="0"/>
              </w:rPr>
              <w:t>"</w:t>
            </w:r>
            <w:r>
              <w:rPr>
                <w:rFonts w:ascii="SimSun" w:eastAsia="SimSun" w:hAnsi="SimSun" w:cs="SimSun"/>
                <w:color w:val="000000"/>
                <w:spacing w:val="0"/>
                <w:w w:val="100"/>
                <w:position w:val="0"/>
              </w:rPr>
              <w:t>图纳密</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113,538,291.68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143,508,291.68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133"/>
        <w:gridCol w:w="1277"/>
        <w:gridCol w:w="1277"/>
        <w:gridCol w:w="1560"/>
        <w:gridCol w:w="1843"/>
        <w:gridCol w:w="164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确认的股利 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累计损失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其他综合收益转入 留存收益的金额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指定为以公允价值计</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量且其变动计入其他</w:t>
            </w:r>
          </w:p>
          <w:p>
            <w:pPr>
              <w:pStyle w:val="Style25"/>
              <w:keepNext w:val="0"/>
              <w:keepLines w:val="0"/>
              <w:widowControl w:val="0"/>
              <w:shd w:val="clear" w:color="auto" w:fill="auto"/>
              <w:bidi w:val="0"/>
              <w:spacing w:before="0" w:after="100" w:line="240" w:lineRule="auto"/>
              <w:ind w:left="0" w:right="0" w:firstLine="280"/>
              <w:jc w:val="left"/>
            </w:pPr>
            <w:r>
              <w:rPr>
                <w:rFonts w:ascii="SimSun" w:eastAsia="SimSun" w:hAnsi="SimSun" w:cs="SimSun"/>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其他综合收益转入 留存收益的原因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智金未来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互联星梦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211,694.57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上海咩游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思极星能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爱酷游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16,509,162.97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图纳密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不以出售为目的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16"/>
      <w:bookmarkEnd w:id="1217"/>
      <w:bookmarkEnd w:id="1219"/>
    </w:p>
    <w:p>
      <w:pPr>
        <w:pStyle w:val="Style34"/>
        <w:keepNext/>
        <w:keepLines/>
        <w:widowControl w:val="0"/>
        <w:shd w:val="clear" w:color="auto" w:fill="auto"/>
        <w:tabs>
          <w:tab w:pos="493" w:val="left"/>
        </w:tabs>
        <w:bidi w:val="0"/>
        <w:spacing w:before="0" w:after="380" w:line="240" w:lineRule="auto"/>
        <w:ind w:left="0" w:right="0" w:firstLine="0"/>
        <w:jc w:val="left"/>
      </w:pPr>
      <w:bookmarkStart w:id="1216" w:name="bookmark1216"/>
      <w:bookmarkStart w:id="1217" w:name="bookmark1217"/>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16"/>
      <w:bookmarkEnd w:id="1217"/>
      <w:bookmarkEnd w:id="1221"/>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22"/>
      <w:bookmarkEnd w:id="1223"/>
      <w:bookmarkEnd w:id="1225"/>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55"/>
        <w:gridCol w:w="1138"/>
        <w:gridCol w:w="1699"/>
        <w:gridCol w:w="20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151,726,800.00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二、本期变动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-25,297,800.00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-25,297,800.00</w:t>
            </w:r>
          </w:p>
        </w:tc>
      </w:tr>
    </w:tbl>
    <w:p>
      <w:pPr>
        <w:spacing w:lineRule="exact" w:line="1"/>
        <w:rPr>
          <w:sz w:val="2"/>
          <w:szCs w:val="2"/>
        </w:rPr>
      </w:pPr>
      <w:r>
        <w:br w:type="page"/>
      </w:r>
    </w:p>
    <w:tbl>
      <w:tblPr>
        <w:tblOverlap w:val="never"/>
        <w:jc w:val="center"/>
        <w:tblLayout w:type="fixed"/>
      </w:tblPr>
      <w:tblGrid>
        <w:gridCol w:w="3130"/>
        <w:gridCol w:w="1555"/>
        <w:gridCol w:w="1138"/>
        <w:gridCol w:w="1699"/>
        <w:gridCol w:w="206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加：外购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-26,083,600.00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126,429,000.00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26"/>
      <w:bookmarkEnd w:id="1227"/>
      <w:bookmarkEnd w:id="122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153,962,121.33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162,023,924.68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153,962,121.33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162,023,924.68</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0"/>
      <w:bookmarkEnd w:id="1231"/>
      <w:bookmarkEnd w:id="123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171"/>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模具</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209,189,390.0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72,680,008.78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12,261,631.43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27,570,863.38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17,547,895.71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339,249,789.35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129,083.21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4,371,413.39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1,493,873.94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1,050,668.41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52,715.60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7,097,754.55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129,083.21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4,371,413.39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1,493,873.94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1,050,668.41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52,715.60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7,097,754.55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 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1,878,933.00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5,023,257.92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1,486,738.05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10,946,328.97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1,878,933.00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5,023,257.92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1,486,738.05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10,946,328.97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207,439,540.2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74,494,022.17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8,732,247.45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27,134,793.74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17,600,611.31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335,401,214.93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68,492,373.33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52,848,042.61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9,925,535.56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23,830,416.17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15,441,708.33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170,538,076.00</w:t>
            </w:r>
          </w:p>
        </w:tc>
      </w:tr>
    </w:tbl>
    <w:p>
      <w:pPr>
        <w:spacing w:lineRule="exact" w:line="1"/>
        <w:rPr>
          <w:sz w:val="2"/>
          <w:szCs w:val="2"/>
        </w:rPr>
      </w:pPr>
      <w:r>
        <w:br w:type="page"/>
      </w:r>
    </w:p>
    <w:tbl>
      <w:tblPr>
        <w:tblOverlap w:val="never"/>
        <w:jc w:val="center"/>
        <w:tblLayout w:type="fixed"/>
      </w:tblPr>
      <w:tblGrid>
        <w:gridCol w:w="1570"/>
        <w:gridCol w:w="1171"/>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9,400,902.33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1,391,880.94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769,443.88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1,569,888.95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13,382,618.99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9,400,902.33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1,391,880.94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769,443.88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1,569,888.95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13,382,618.99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1,160,082.99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2,301,660.00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4,520,932.13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1,186,714.94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9,169,390.06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1,160,082.99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2,301,660.00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4,520,932.13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1,186,714.94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9,169,390.06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76,733,192.67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51,938,263.55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6,174,047.31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24,213,590.18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15,692,211.22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174,751,304.93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6,068,910.12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416,961.58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6,687,788.67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6,068,910.12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416,961.58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6,687,788.67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130,706,347.5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16,486,848.50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2,558,200.14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2,719,286.59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1,491,438.51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153,962,121.33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140,697,016.7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13,763,056.05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2,336,095.87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3,538,530.24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1,689,225.80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162,023,924.68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233"/>
      <w:bookmarkEnd w:id="1234"/>
      <w:bookmarkEnd w:id="12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14,575,980.47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14,575,980.47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10,405,435.65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10,405,435.65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）新增租赁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10,405,435.65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10,405,435.65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11,285,075.58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11,285,075.58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11,285,075.58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11,285,075.58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13,696,340.54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13,696,340.54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7,554,902.61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7,554,902.61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7,554,902.61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7,554,902.61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4,143,990.76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4,143,990.76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4,143,990.76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4,143,990.76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3,410,911.85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3,410,911.85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10,285,428.69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10,285,428.69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14,575,980.47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14,575,980.47</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37"/>
      <w:bookmarkEnd w:id="1238"/>
      <w:bookmarkEnd w:id="1240"/>
    </w:p>
    <w:p>
      <w:pPr>
        <w:pStyle w:val="Style34"/>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7"/>
      <w:bookmarkEnd w:id="1238"/>
      <w:bookmarkEnd w:id="124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277"/>
        <w:gridCol w:w="1133"/>
        <w:gridCol w:w="994"/>
        <w:gridCol w:w="1133"/>
        <w:gridCol w:w="1133"/>
        <w:gridCol w:w="12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专有技术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5,025,922.33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11,531,723.97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12,407,596.76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9,190,006.96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38,155,250.02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1,342,361.11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222,567.79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1,564,928.90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222,567.79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222,567.79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1,342,361.11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5,025,922.33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11,531,723.97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13,749,957.87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9,412,574.75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39,720,178.92</w:t>
            </w:r>
          </w:p>
        </w:tc>
      </w:tr>
    </w:tbl>
    <w:p>
      <w:pPr>
        <w:spacing w:lineRule="exact" w:line="1"/>
        <w:rPr>
          <w:sz w:val="2"/>
          <w:szCs w:val="2"/>
        </w:rPr>
      </w:pPr>
      <w:r>
        <w:br w:type="page"/>
      </w:r>
    </w:p>
    <w:tbl>
      <w:tblPr>
        <w:tblOverlap w:val="never"/>
        <w:jc w:val="center"/>
        <w:tblLayout w:type="fixed"/>
      </w:tblPr>
      <w:tblGrid>
        <w:gridCol w:w="2702"/>
        <w:gridCol w:w="1277"/>
        <w:gridCol w:w="1133"/>
        <w:gridCol w:w="994"/>
        <w:gridCol w:w="1133"/>
        <w:gridCol w:w="1133"/>
        <w:gridCol w:w="12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1,631,232.06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11,531,723.97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5,342,148.37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7,587,385.20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26,092,489.60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100,518.48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1,190,729.74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437,222.29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1,728,470.51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100,518.48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1,190,729.74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437,222.29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1,728,470.51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1,731,750.54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11,531,723.97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6,532,878.11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8,024,607.49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27,820,960.11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3,294,171.79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7,217,079.76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1,387,967.26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11,899,218.81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3,394,690.27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7,065,448.39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1,602,621.76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12,062,760.42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11.28%</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42"/>
      <w:bookmarkEnd w:id="1243"/>
      <w:bookmarkEnd w:id="124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277"/>
        <w:gridCol w:w="850"/>
        <w:gridCol w:w="710"/>
        <w:gridCol w:w="1416"/>
        <w:gridCol w:w="1416"/>
        <w:gridCol w:w="706"/>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内部开发支出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确认为无形资产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187,389.01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837,187.75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191,400.15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116,352.11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116,352.11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78,810.08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78,810.08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YF-21007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126,384.20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1,537,523.30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1,342,361.11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195,162.19</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246"/>
      <w:bookmarkEnd w:id="1247"/>
      <w:bookmarkEnd w:id="1249"/>
    </w:p>
    <w:p>
      <w:pPr>
        <w:pStyle w:val="Style34"/>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46"/>
      <w:bookmarkEnd w:id="1247"/>
      <w:bookmarkEnd w:id="125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699"/>
        <w:gridCol w:w="840"/>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企业合并 形成的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中汇同盈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359,972.58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1,220,240,489.40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1,220,240,489.40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1,220,600,461.98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1,220,600,461.98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1"/>
      <w:bookmarkEnd w:id="1252"/>
      <w:bookmarkEnd w:id="125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416"/>
        <w:gridCol w:w="1133"/>
        <w:gridCol w:w="135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1,220,240,489.40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1,220,240,489.40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1,220,240,489.40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1,220,240,489.40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45"/>
        <w:gridCol w:w="1416"/>
        <w:gridCol w:w="2016"/>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中汇同盈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哆可梦</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1,220,240,489.40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1,220,240,489.40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商誉的账面价值③=①</w:t>
            </w:r>
            <w:r>
              <w:rPr>
                <w:color w:val="000000"/>
                <w:spacing w:val="0"/>
                <w:w w:val="100"/>
                <w:position w:val="0"/>
              </w:rPr>
              <w:t>-</w:t>
            </w:r>
            <w:r>
              <w:rPr>
                <w:rFonts w:ascii="SimSun" w:eastAsia="SimSun" w:hAnsi="SimSun" w:cs="SimSun"/>
                <w:color w:val="000000"/>
                <w:spacing w:val="0"/>
                <w:w w:val="100"/>
                <w:position w:val="0"/>
              </w:rPr>
              <w:t>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359,972.58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调整后整体商誉的账面价值⑤</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④</w:t>
            </w:r>
            <w:r>
              <w:rPr>
                <w:color w:val="000000"/>
                <w:spacing w:val="0"/>
                <w:w w:val="100"/>
                <w:position w:val="0"/>
              </w:rPr>
              <w:t>+</w:t>
            </w:r>
            <w:r>
              <w:rPr>
                <w:rFonts w:ascii="SimSun" w:eastAsia="SimSun" w:hAnsi="SimSun" w:cs="SimSun"/>
                <w:color w:val="000000"/>
                <w:spacing w:val="0"/>
                <w:w w:val="100"/>
                <w:position w:val="0"/>
              </w:rPr>
              <w:t>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359,972.58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资产组的账面价值⑥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7,840,350.57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包含整体商誉的资产组的账面价值⑦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⑤</w:t>
            </w:r>
            <w:r>
              <w:rPr>
                <w:color w:val="000000"/>
                <w:spacing w:val="0"/>
                <w:w w:val="100"/>
                <w:position w:val="0"/>
              </w:rPr>
              <w:t>+</w:t>
            </w:r>
            <w:r>
              <w:rPr>
                <w:rFonts w:ascii="SimSun" w:eastAsia="SimSun" w:hAnsi="SimSun" w:cs="SimSun"/>
                <w:color w:val="000000"/>
                <w:spacing w:val="0"/>
                <w:w w:val="100"/>
                <w:position w:val="0"/>
              </w:rPr>
              <w:t>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7,840,350.57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40,609,479.69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商誉减值损失（大于</w:t>
            </w:r>
            <w:r>
              <w:rPr>
                <w:color w:val="000000"/>
                <w:spacing w:val="0"/>
                <w:w w:val="100"/>
                <w:position w:val="0"/>
              </w:rPr>
              <w:t>0</w:t>
            </w:r>
            <w:r>
              <w:rPr>
                <w:rFonts w:ascii="SimSun" w:eastAsia="SimSun" w:hAnsi="SimSun" w:cs="SimSun"/>
                <w:color w:val="000000"/>
                <w:spacing w:val="0"/>
                <w:w w:val="100"/>
                <w:position w:val="0"/>
              </w:rPr>
              <w:t>时）⑨</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⑦</w:t>
            </w:r>
            <w:r>
              <w:rPr>
                <w:color w:val="000000"/>
                <w:spacing w:val="0"/>
                <w:w w:val="100"/>
                <w:position w:val="0"/>
              </w:rPr>
              <w:t>-</w:t>
            </w:r>
            <w:r>
              <w:rPr>
                <w:rFonts w:ascii="SimSun" w:eastAsia="SimSun" w:hAnsi="SimSun" w:cs="SimSun"/>
                <w:color w:val="000000"/>
                <w:spacing w:val="0"/>
                <w:w w:val="100"/>
                <w:position w:val="0"/>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按实际持股比例对应商誉减值损失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①中汇同盈：中汇同盈相关资产组与购买日及以前年度商誉减值测试时确定的资产组一致。中汇同盈资产组，公司管 理层根据现行市价法判断资产组现值。</w:t>
      </w:r>
    </w:p>
    <w:p>
      <w:pPr>
        <w:pStyle w:val="Style23"/>
        <w:keepNext w:val="0"/>
        <w:keepLines w:val="0"/>
        <w:widowControl w:val="0"/>
        <w:shd w:val="clear" w:color="auto" w:fill="auto"/>
        <w:bidi w:val="0"/>
        <w:spacing w:before="0" w:line="322" w:lineRule="exact"/>
        <w:ind w:left="0" w:right="0" w:firstLine="440"/>
        <w:jc w:val="both"/>
      </w:pPr>
      <w:r>
        <w:rPr>
          <w:color w:val="000000"/>
          <w:spacing w:val="0"/>
          <w:w w:val="100"/>
          <w:position w:val="0"/>
        </w:rPr>
        <w:t>②哆可梦：公司于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月完成哆可梦股权收购，形成商誉人民币</w:t>
      </w:r>
      <w:r>
        <w:rPr>
          <w:color w:val="000000"/>
          <w:spacing w:val="0"/>
          <w:w w:val="100"/>
          <w:position w:val="0"/>
        </w:rPr>
        <w:t>12.2</w:t>
      </w:r>
      <w:r>
        <w:rPr>
          <w:color w:val="000000"/>
          <w:spacing w:val="0"/>
          <w:w w:val="100"/>
          <w:position w:val="0"/>
        </w:rPr>
        <w:t>0</w:t>
      </w:r>
      <w:r>
        <w:rPr>
          <w:color w:val="000000"/>
          <w:spacing w:val="0"/>
          <w:w w:val="100"/>
          <w:position w:val="0"/>
        </w:rPr>
        <w:t>亿元。此次对合并取得的商誉进行减值测试， 即比较资产组的可收回金额和账面价值，相关资产组与购买日及以前年度商誉减值测试时所确定的资产组一致。</w:t>
      </w:r>
    </w:p>
    <w:p>
      <w:pPr>
        <w:pStyle w:val="Style23"/>
        <w:keepNext w:val="0"/>
        <w:keepLines w:val="0"/>
        <w:widowControl w:val="0"/>
        <w:shd w:val="clear" w:color="auto" w:fill="auto"/>
        <w:bidi w:val="0"/>
        <w:spacing w:before="0" w:line="30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①可收回金额的确定方法</w:t>
      </w:r>
    </w:p>
    <w:p>
      <w:pPr>
        <w:pStyle w:val="Style23"/>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包含商誉的哆可梦资产组预计未来现金流量的现值作为资产组可收回金额的估计。未来现金流量基于管理层批准的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2022</w:t>
      </w:r>
      <w:r>
        <w:rPr>
          <w:color w:val="000000"/>
          <w:spacing w:val="0"/>
          <w:w w:val="100"/>
          <w:position w:val="0"/>
        </w:rPr>
        <w:t>年至</w:t>
      </w:r>
      <w:r>
        <w:rPr>
          <w:color w:val="000000"/>
          <w:spacing w:val="0"/>
          <w:w w:val="100"/>
          <w:position w:val="0"/>
        </w:rPr>
        <w:t>2026</w:t>
      </w:r>
      <w:r>
        <w:rPr>
          <w:color w:val="000000"/>
          <w:spacing w:val="0"/>
          <w:w w:val="100"/>
          <w:position w:val="0"/>
        </w:rPr>
        <w:t>的财务预算确定。</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②重要假设及其合理理由</w:t>
      </w:r>
    </w:p>
    <w:p>
      <w:pPr>
        <w:pStyle w:val="Style23"/>
        <w:keepNext w:val="0"/>
        <w:keepLines w:val="0"/>
        <w:widowControl w:val="0"/>
        <w:shd w:val="clear" w:color="auto" w:fill="auto"/>
        <w:tabs>
          <w:tab w:pos="765" w:val="left"/>
        </w:tabs>
        <w:bidi w:val="0"/>
        <w:spacing w:before="0" w:after="0" w:line="317" w:lineRule="exact"/>
        <w:ind w:left="0" w:right="0" w:firstLine="440"/>
        <w:jc w:val="both"/>
      </w:pPr>
      <w:bookmarkStart w:id="1254" w:name="bookmark1254"/>
      <w:r>
        <w:rPr>
          <w:color w:val="000000"/>
          <w:spacing w:val="0"/>
          <w:w w:val="100"/>
          <w:position w:val="0"/>
        </w:rPr>
        <w:t>1</w:t>
      </w:r>
      <w:bookmarkEnd w:id="1254"/>
      <w:r>
        <w:rPr>
          <w:color w:val="000000"/>
          <w:spacing w:val="0"/>
          <w:w w:val="100"/>
          <w:position w:val="0"/>
        </w:rPr>
        <w:t>）</w:t>
        <w:tab/>
      </w:r>
      <w:r>
        <w:rPr>
          <w:color w:val="000000"/>
          <w:spacing w:val="0"/>
          <w:w w:val="100"/>
          <w:position w:val="0"/>
        </w:rPr>
        <w:t>国家现行的宏观经济、金融以及产业等政策存档等不会发生重大变化</w:t>
      </w:r>
    </w:p>
    <w:p>
      <w:pPr>
        <w:pStyle w:val="Style23"/>
        <w:keepNext w:val="0"/>
        <w:keepLines w:val="0"/>
        <w:widowControl w:val="0"/>
        <w:shd w:val="clear" w:color="auto" w:fill="auto"/>
        <w:tabs>
          <w:tab w:pos="774" w:val="left"/>
        </w:tabs>
        <w:bidi w:val="0"/>
        <w:spacing w:before="0" w:after="0" w:line="317" w:lineRule="exact"/>
        <w:ind w:left="0" w:right="0" w:firstLine="440"/>
        <w:jc w:val="both"/>
      </w:pPr>
      <w:bookmarkStart w:id="1255" w:name="bookmark1255"/>
      <w:r>
        <w:rPr>
          <w:color w:val="000000"/>
          <w:spacing w:val="0"/>
          <w:w w:val="100"/>
          <w:position w:val="0"/>
        </w:rPr>
        <w:t>2</w:t>
      </w:r>
      <w:bookmarkEnd w:id="1255"/>
      <w:r>
        <w:rPr>
          <w:color w:val="000000"/>
          <w:spacing w:val="0"/>
          <w:w w:val="100"/>
          <w:position w:val="0"/>
        </w:rPr>
        <w:t>）</w:t>
        <w:tab/>
      </w:r>
      <w:r>
        <w:rPr>
          <w:color w:val="000000"/>
          <w:spacing w:val="0"/>
          <w:w w:val="100"/>
          <w:position w:val="0"/>
        </w:rPr>
        <w:t>资产组所处的社会经济环境以及所执行的税赋、税率等政策无重大变化</w:t>
      </w:r>
    </w:p>
    <w:p>
      <w:pPr>
        <w:pStyle w:val="Style23"/>
        <w:keepNext w:val="0"/>
        <w:keepLines w:val="0"/>
        <w:widowControl w:val="0"/>
        <w:shd w:val="clear" w:color="auto" w:fill="auto"/>
        <w:tabs>
          <w:tab w:pos="798" w:val="left"/>
        </w:tabs>
        <w:bidi w:val="0"/>
        <w:spacing w:before="0" w:after="0" w:line="317" w:lineRule="exact"/>
        <w:ind w:left="0" w:right="0" w:firstLine="440"/>
        <w:jc w:val="both"/>
      </w:pPr>
      <w:bookmarkStart w:id="1256" w:name="bookmark1256"/>
      <w:r>
        <w:rPr>
          <w:color w:val="000000"/>
          <w:spacing w:val="0"/>
          <w:w w:val="100"/>
          <w:position w:val="0"/>
        </w:rPr>
        <w:t>3</w:t>
      </w:r>
      <w:bookmarkEnd w:id="1256"/>
      <w:r>
        <w:rPr>
          <w:color w:val="000000"/>
          <w:spacing w:val="0"/>
          <w:w w:val="100"/>
          <w:position w:val="0"/>
        </w:rPr>
        <w:t>）</w:t>
        <w:tab/>
        <w:t>资产组涉及的主要经营管理团队具备管理及经营必要的知识及能力，合法合规经营，勤勉尽责；</w:t>
      </w:r>
    </w:p>
    <w:p>
      <w:pPr>
        <w:pStyle w:val="Style23"/>
        <w:keepNext w:val="0"/>
        <w:keepLines w:val="0"/>
        <w:widowControl w:val="0"/>
        <w:shd w:val="clear" w:color="auto" w:fill="auto"/>
        <w:tabs>
          <w:tab w:pos="781" w:val="left"/>
        </w:tabs>
        <w:bidi w:val="0"/>
        <w:spacing w:before="0" w:after="0" w:line="317" w:lineRule="exact"/>
        <w:ind w:left="0" w:right="0" w:firstLine="440"/>
        <w:jc w:val="both"/>
      </w:pPr>
      <w:bookmarkStart w:id="1257" w:name="bookmark1257"/>
      <w:r>
        <w:rPr>
          <w:color w:val="000000"/>
          <w:spacing w:val="0"/>
          <w:w w:val="100"/>
          <w:position w:val="0"/>
        </w:rPr>
        <w:t>4</w:t>
      </w:r>
      <w:bookmarkEnd w:id="1257"/>
      <w:r>
        <w:rPr>
          <w:color w:val="000000"/>
          <w:spacing w:val="0"/>
          <w:w w:val="100"/>
          <w:position w:val="0"/>
        </w:rPr>
        <w:t>）</w:t>
        <w:tab/>
        <w:t>资产组在未来经营期内涉及的主营业务、收入与成本的构成以及经营策略等仍保持其最近几年的状态持续，而不发 生较大变化。不考虑未来可能由于委托人或资产组涉及的主要经营管理团队的经营管理策略变化以及商业环境变化等导致的 主营业务状况的变化所带来的损益；</w:t>
      </w:r>
    </w:p>
    <w:p>
      <w:pPr>
        <w:pStyle w:val="Style23"/>
        <w:keepNext w:val="0"/>
        <w:keepLines w:val="0"/>
        <w:widowControl w:val="0"/>
        <w:shd w:val="clear" w:color="auto" w:fill="auto"/>
        <w:tabs>
          <w:tab w:pos="803" w:val="left"/>
        </w:tabs>
        <w:bidi w:val="0"/>
        <w:spacing w:before="0" w:after="80" w:line="317" w:lineRule="exact"/>
        <w:ind w:left="0" w:right="0" w:firstLine="440"/>
        <w:jc w:val="both"/>
      </w:pPr>
      <w:bookmarkStart w:id="1258" w:name="bookmark1258"/>
      <w:r>
        <w:rPr>
          <w:color w:val="000000"/>
          <w:spacing w:val="0"/>
          <w:w w:val="100"/>
          <w:position w:val="0"/>
        </w:rPr>
        <w:t>5</w:t>
      </w:r>
      <w:bookmarkEnd w:id="1258"/>
      <w:r>
        <w:rPr>
          <w:color w:val="000000"/>
          <w:spacing w:val="0"/>
          <w:w w:val="100"/>
          <w:position w:val="0"/>
        </w:rPr>
        <w:t>）</w:t>
        <w:tab/>
        <w:t>在未来的经营期内，资产组所涉及的各项营业费用、管理费用不会在现有预算基础上发生大幅的变化，仍将保持其</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预计的变化趋势持续；。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③关键参数</w:t>
      </w:r>
    </w:p>
    <w:tbl>
      <w:tblPr>
        <w:tblOverlap w:val="never"/>
        <w:jc w:val="center"/>
        <w:tblLayout w:type="fixed"/>
      </w:tblPr>
      <w:tblGrid>
        <w:gridCol w:w="869"/>
        <w:gridCol w:w="2270"/>
        <w:gridCol w:w="1541"/>
        <w:gridCol w:w="1718"/>
        <w:gridCol w:w="1493"/>
        <w:gridCol w:w="1786"/>
      </w:tblGrid>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预测期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预测期增长率（%）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稳定期增长率（%）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折现率（加权平均 资本成本</w:t>
            </w:r>
            <w:r>
              <w:rPr>
                <w:rFonts w:ascii="SimSun" w:eastAsia="SimSun" w:hAnsi="SimSun" w:cs="SimSun"/>
                <w:color w:val="000000"/>
                <w:spacing w:val="0"/>
                <w:w w:val="100"/>
                <w:position w:val="0"/>
              </w:rPr>
              <w:t xml:space="preserve">WACC） </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中汇同盈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2022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-2025</w:t>
            </w:r>
            <w:r>
              <w:rPr>
                <w:rFonts w:ascii="SimSun" w:eastAsia="SimSun" w:hAnsi="SimSun" w:cs="SimSun"/>
                <w:color w:val="000000"/>
                <w:spacing w:val="0"/>
                <w:w w:val="100"/>
                <w:position w:val="0"/>
              </w:rPr>
              <w:t>年为增长期</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（之后年度为稳定期）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-89. </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 xml:space="preserve">448. </w:t>
            </w:r>
            <w:r>
              <w:rPr>
                <w:rFonts w:ascii="SimSun" w:eastAsia="SimSun" w:hAnsi="SimSun" w:cs="SimSun"/>
                <w:color w:val="000000"/>
                <w:spacing w:val="0"/>
                <w:w w:val="100"/>
                <w:position w:val="0"/>
              </w:rPr>
              <w:t>65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根据预测的收入、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成本、费用等计算</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18.94</w:t>
            </w:r>
          </w:p>
        </w:tc>
      </w:tr>
    </w:tbl>
    <w:p>
      <w:pPr>
        <w:widowControl w:val="0"/>
        <w:spacing w:after="299" w:line="1" w:lineRule="exact"/>
      </w:pP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23"/>
        <w:keepNext w:val="0"/>
        <w:keepLines w:val="0"/>
        <w:widowControl w:val="0"/>
        <w:numPr>
          <w:ilvl w:val="0"/>
          <w:numId w:val="83"/>
        </w:numPr>
        <w:shd w:val="clear" w:color="auto" w:fill="auto"/>
        <w:tabs>
          <w:tab w:pos="753" w:val="left"/>
        </w:tabs>
        <w:bidi w:val="0"/>
        <w:spacing w:before="0" w:after="0" w:line="312" w:lineRule="exact"/>
        <w:ind w:left="0" w:right="0"/>
        <w:jc w:val="both"/>
      </w:pPr>
      <w:bookmarkStart w:id="1259" w:name="bookmark1259"/>
      <w:bookmarkEnd w:id="1259"/>
      <w:r>
        <w:rPr>
          <w:color w:val="000000"/>
          <w:spacing w:val="0"/>
          <w:w w:val="100"/>
          <w:position w:val="0"/>
        </w:rPr>
        <w:t>经测试，公司收购中汇同盈形成的商誉本期不存在减值。</w:t>
      </w:r>
    </w:p>
    <w:p>
      <w:pPr>
        <w:pStyle w:val="Style23"/>
        <w:keepNext w:val="0"/>
        <w:keepLines w:val="0"/>
        <w:widowControl w:val="0"/>
        <w:numPr>
          <w:ilvl w:val="0"/>
          <w:numId w:val="83"/>
        </w:numPr>
        <w:shd w:val="clear" w:color="auto" w:fill="auto"/>
        <w:tabs>
          <w:tab w:pos="728" w:val="left"/>
        </w:tabs>
        <w:bidi w:val="0"/>
        <w:spacing w:before="0" w:after="380" w:line="312" w:lineRule="exact"/>
        <w:ind w:left="0" w:right="0"/>
        <w:jc w:val="both"/>
      </w:pPr>
      <w:bookmarkStart w:id="1260" w:name="bookmark1260"/>
      <w:bookmarkEnd w:id="1260"/>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日，哆可梦收购时形成的商誉相关资产组的账面价值为</w:t>
      </w:r>
      <w:r>
        <w:rPr>
          <w:color w:val="000000"/>
          <w:spacing w:val="0"/>
          <w:w w:val="100"/>
          <w:position w:val="0"/>
        </w:rPr>
        <w:t xml:space="preserve">784. </w:t>
      </w:r>
      <w:r>
        <w:rPr>
          <w:color w:val="000000"/>
          <w:spacing w:val="0"/>
          <w:w w:val="100"/>
          <w:position w:val="0"/>
        </w:rPr>
        <w:t>04</w:t>
      </w:r>
      <w:r>
        <w:rPr>
          <w:color w:val="000000"/>
          <w:spacing w:val="0"/>
          <w:w w:val="100"/>
          <w:position w:val="0"/>
        </w:rPr>
        <w:t>万元，包含未确认归属于少数股东权 益的商誉价值为</w:t>
      </w:r>
      <w:r>
        <w:rPr>
          <w:color w:val="000000"/>
          <w:spacing w:val="0"/>
          <w:w w:val="100"/>
          <w:position w:val="0"/>
        </w:rPr>
        <w:t>0.00</w:t>
      </w:r>
      <w:r>
        <w:rPr>
          <w:color w:val="000000"/>
          <w:spacing w:val="0"/>
          <w:w w:val="100"/>
          <w:position w:val="0"/>
        </w:rPr>
        <w:t>万元，合计</w:t>
      </w:r>
      <w:r>
        <w:rPr>
          <w:color w:val="000000"/>
          <w:spacing w:val="0"/>
          <w:w w:val="100"/>
          <w:position w:val="0"/>
        </w:rPr>
        <w:t>784.04</w:t>
      </w:r>
      <w:r>
        <w:rPr>
          <w:color w:val="000000"/>
          <w:spacing w:val="0"/>
          <w:w w:val="100"/>
          <w:position w:val="0"/>
        </w:rPr>
        <w:t>万元，本期预计商誉资产组可收回金额为</w:t>
      </w:r>
      <w:r>
        <w:rPr>
          <w:color w:val="000000"/>
          <w:spacing w:val="0"/>
          <w:w w:val="100"/>
          <w:position w:val="0"/>
        </w:rPr>
        <w:t>4,060.95</w:t>
      </w:r>
      <w:r>
        <w:rPr>
          <w:color w:val="000000"/>
          <w:spacing w:val="0"/>
          <w:w w:val="100"/>
          <w:position w:val="0"/>
        </w:rPr>
        <w:t>万元，公司收购哆可梦形成的商誉 前期已经全额计提减值</w:t>
      </w:r>
      <w:r>
        <w:rPr>
          <w:color w:val="000000"/>
          <w:spacing w:val="0"/>
          <w:w w:val="100"/>
          <w:position w:val="0"/>
        </w:rPr>
        <w:t xml:space="preserve">122, </w:t>
      </w:r>
      <w:r>
        <w:rPr>
          <w:color w:val="000000"/>
          <w:spacing w:val="0"/>
          <w:w w:val="100"/>
          <w:position w:val="0"/>
        </w:rPr>
        <w:t xml:space="preserve">024. </w:t>
      </w:r>
      <w:r>
        <w:rPr>
          <w:color w:val="000000"/>
          <w:spacing w:val="0"/>
          <w:w w:val="100"/>
          <w:position w:val="0"/>
        </w:rPr>
        <w:t>05</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261"/>
      <w:bookmarkEnd w:id="1262"/>
      <w:bookmarkEnd w:id="126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券商持续督导费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994,520.60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348,509.28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146,011.32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邮箱服务费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32,697.65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25,940,596.36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19,811,320.75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45,751,917.11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房屋改造装修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15,809,642.64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2,007,382.47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5,835,121.81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11,981,903.30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咨询顾问费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40,553,735.68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3,036,581.34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18,958,957.76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24,631,359.26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83,331,192.93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24,855,284.56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70,904,075.96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36,782,401.53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5"/>
      <w:bookmarkEnd w:id="1266"/>
      <w:bookmarkEnd w:id="1268"/>
    </w:p>
    <w:p>
      <w:pPr>
        <w:pStyle w:val="Style34"/>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5"/>
      <w:bookmarkEnd w:id="1266"/>
      <w:bookmarkEnd w:id="12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r>
    </w:tbl>
    <w:p>
      <w:pPr>
        <w:spacing w:lineRule="exact" w:line="1"/>
        <w:rPr>
          <w:sz w:val="2"/>
          <w:szCs w:val="2"/>
        </w:rPr>
      </w:pPr>
      <w:r>
        <w:br w:type="page"/>
      </w:r>
    </w:p>
    <w:tbl>
      <w:tblPr>
        <w:tblOverlap w:val="never"/>
        <w:jc w:val="center"/>
        <w:tblLayout w:type="fixed"/>
      </w:tblPr>
      <w:tblGrid>
        <w:gridCol w:w="2275"/>
        <w:gridCol w:w="156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27,027,676.88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4,176,573.85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26,957,496.71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3,975,607.78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308,292,152.23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49,547,463.48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310,815,160.79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50,663,886.22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无形资产累计摊销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670,575.62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100,586.34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432,429.66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64,864.44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10,317,721.27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1,547,658.19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14,930,387.10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2,239,558.07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预计的应付利息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949,138.28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142,370.74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22,729,245.89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5,682,311.47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369,037,371.89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61,054,593.33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354,084,612.54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57,086,287.25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0"/>
      <w:bookmarkEnd w:id="1271"/>
      <w:bookmarkEnd w:id="12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37,663,313.20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6,807,244.28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40,592,956.91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7,144,566.25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未实现的理财收益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19,742,610.20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4,935,652.55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19,281,039.96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4,820,259.99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57,405,923.40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11,742,896.83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59,914,898.79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11,970,961.53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73"/>
      <w:bookmarkEnd w:id="1274"/>
      <w:bookmarkEnd w:id="12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61,054,593.33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57,086,287.25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11,742,896.83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11,970,961.53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77"/>
      <w:bookmarkEnd w:id="1278"/>
      <w:bookmarkEnd w:id="128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22,011,871.92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1,162,422.24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269,974,907.81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83,617,288.51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291,986,779.73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84,779,710.75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81"/>
      <w:bookmarkEnd w:id="1282"/>
      <w:bookmarkEnd w:id="1284"/>
    </w:p>
    <w:p>
      <w:pPr>
        <w:pStyle w:val="Style23"/>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6,457,350.19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19,835,016.01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19,668,202.20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26,442,905.08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21,665,802.44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28,935,017.97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24,147,602.90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54,911,232.93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7,860,305.48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136,921,580.18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无限期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2,929,155.64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3,818,025.30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269,974,907.81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83,617,288.51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285"/>
      <w:bookmarkEnd w:id="1286"/>
      <w:bookmarkEnd w:id="128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预付版权金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9,415,094.30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9,415,094.30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9,415,094.30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89"/>
      <w:bookmarkEnd w:id="1290"/>
      <w:bookmarkEnd w:id="1292"/>
    </w:p>
    <w:p>
      <w:pPr>
        <w:pStyle w:val="Style34"/>
        <w:keepNext/>
        <w:keepLines/>
        <w:widowControl w:val="0"/>
        <w:shd w:val="clear" w:color="auto" w:fill="auto"/>
        <w:bidi w:val="0"/>
        <w:spacing w:before="0" w:after="380" w:line="240" w:lineRule="auto"/>
        <w:ind w:left="0" w:right="0" w:firstLine="0"/>
        <w:jc w:val="both"/>
      </w:pPr>
      <w:bookmarkStart w:id="1289" w:name="bookmark1289"/>
      <w:bookmarkStart w:id="1290" w:name="bookmark1290"/>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9"/>
      <w:bookmarkEnd w:id="1290"/>
      <w:bookmarkEnd w:id="129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112,220,224.80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30,057,750.00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142,277,974.80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94"/>
      <w:bookmarkEnd w:id="1295"/>
      <w:bookmarkEnd w:id="129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5,455,228.32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4,260,901.34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34,051,891.83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5,455,228.32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38,312,793.17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98"/>
      <w:bookmarkEnd w:id="1299"/>
      <w:bookmarkEnd w:id="1301"/>
    </w:p>
    <w:p>
      <w:pPr>
        <w:pStyle w:val="Style34"/>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8"/>
      <w:bookmarkEnd w:id="1299"/>
      <w:bookmarkEnd w:id="130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129,664,179.61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147,648,834.84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42,372,975.41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16,715,046.71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7,052,815.14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63,556,226.30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7,483,962.16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5,392,531.36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186,573,932.32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233,312,639.21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3"/>
      <w:bookmarkEnd w:id="1304"/>
      <w:bookmarkEnd w:id="130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18,350,211.62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诉讼中</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10,157,007.85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5,659,594.69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4,004,522.39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质保金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43,171,336.55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06"/>
      <w:bookmarkEnd w:id="1307"/>
      <w:bookmarkEnd w:id="1309"/>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6"/>
      <w:bookmarkEnd w:id="1307"/>
      <w:bookmarkEnd w:id="131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311"/>
      <w:bookmarkEnd w:id="1312"/>
      <w:bookmarkEnd w:id="131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3,532,026.69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2,107,428.47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175,744.64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88,315.80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56,550.63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359,687.72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304,418.65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4,152,865.67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2,556,713.55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315"/>
      <w:bookmarkEnd w:id="1316"/>
      <w:bookmarkEnd w:id="1318"/>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5"/>
      <w:bookmarkEnd w:id="1316"/>
      <w:bookmarkEnd w:id="13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60"/>
        <w:gridCol w:w="1632"/>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13,029,950.95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100,415,909.97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102,157,810.68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11,288,050.24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30,534.78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7,377,012.22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7,032,323.55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375,223.45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95,670.06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2,827,822.11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2,249,318.17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674,174.00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13,156,155.79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110,620,744.30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111,439,452.40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12,337,447.69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0"/>
      <w:bookmarkEnd w:id="1321"/>
      <w:bookmarkEnd w:id="13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60"/>
        <w:gridCol w:w="1488"/>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12,735,437.89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88,291,755.26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90,081,171.98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10,946,021.17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3,008,406.59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3,008,406.59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94,751.72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3,018,854.25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3,002,361.58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111,244.39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87,992.75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2,665,591.95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2,657,021.49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153,478.11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146,875.82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199,784.19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4,212,651.49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4,198,146.86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125,876.24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88,389.73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1,154,186.38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1,137,667.67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104,908.44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730,056.00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13,029,950.95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100,415,909.97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102,157,810.68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11,288,050.24</w:t>
            </w:r>
          </w:p>
        </w:tc>
      </w:tr>
    </w:tbl>
    <w:p>
      <w:pPr>
        <w:spacing w:lineRule="exact" w:line="1"/>
        <w:rPr>
          <w:sz w:val="2"/>
          <w:szCs w:val="2"/>
        </w:rPr>
      </w:pPr>
      <w:r>
        <w:br w:type="page"/>
      </w:r>
    </w:p>
    <w:p>
      <w:pPr>
        <w:pStyle w:val="Style34"/>
        <w:keepNext/>
        <w:keepLines/>
        <w:widowControl w:val="0"/>
        <w:numPr>
          <w:ilvl w:val="0"/>
          <w:numId w:val="85"/>
        </w:numPr>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设定提存计划列示</w:t>
      </w:r>
      <w:bookmarkEnd w:id="1323"/>
      <w:bookmarkEnd w:id="1324"/>
      <w:bookmarkEnd w:id="13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7,185,483.15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6,849,234.98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366,192.17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191,529.07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183,088.57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9,031.28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30,534.78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7,377,012.22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7,032,323.55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375,223.45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327"/>
      <w:bookmarkEnd w:id="1328"/>
      <w:bookmarkEnd w:id="133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3,232,304.05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2,256,486.34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5,144,875.44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515,761.46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2,737,811.58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137,924.64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72,704.07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99,786.97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66,892.28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4,038,011.93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10,341,717.67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331"/>
      <w:bookmarkEnd w:id="1332"/>
      <w:bookmarkEnd w:id="133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1,079,583.33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171,307,319.75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45,273,860.74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172,386,903.08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45,273,860.74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35"/>
      <w:bookmarkEnd w:id="1336"/>
      <w:bookmarkEnd w:id="133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1,079,583.33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1,079,583.33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8"/>
      <w:bookmarkEnd w:id="1339"/>
      <w:bookmarkEnd w:id="1340"/>
    </w:p>
    <w:p>
      <w:pPr>
        <w:pStyle w:val="Style34"/>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1" w:name="bookmark134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8"/>
      <w:bookmarkEnd w:id="1339"/>
      <w:bookmarkEnd w:id="134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988,980.89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469,320.23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1,273,457.26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诉讼保证金、赔款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1,093,800.00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10,317,721.27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14,930,387.10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1,794,065.68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600,339.62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16,541,734.86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25,043,404.70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1,700,385.35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526,741.29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281,986.71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限制性股票回购义务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12,597,000.00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171,307,319.75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45,273,860.74</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342"/>
      <w:bookmarkEnd w:id="1343"/>
      <w:bookmarkEnd w:id="134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162,361,467.33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55,461,866.26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100,461,866.26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5,102,612.27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5,297,345.72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222,925,945.86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105,759,211.98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一年内到期的长期借款为，</w:t>
      </w: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年公司向上海浦东发展银行股份有限公司深圳分行申请融资额度人民币</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亿元，实际借款时间为</w:t>
      </w:r>
      <w:r>
        <w:rPr>
          <w:rFonts w:ascii="Times New Roman" w:eastAsia="Times New Roman" w:hAnsi="Times New Roman" w:cs="Times New Roman"/>
          <w:color w:val="000000"/>
          <w:spacing w:val="0"/>
          <w:w w:val="100"/>
          <w:position w:val="0"/>
          <w:sz w:val="16"/>
          <w:szCs w:val="16"/>
        </w:rPr>
        <w:t xml:space="preserve">2019 </w:t>
      </w:r>
      <w:r>
        <w:rPr>
          <w:color w:val="000000"/>
          <w:spacing w:val="0"/>
          <w:w w:val="100"/>
          <w:position w:val="0"/>
          <w:sz w:val="16"/>
          <w:szCs w:val="16"/>
        </w:rPr>
        <w:t>年，融资额度使用期限为三年，以公司持有的位于深圳新保辉大厦的</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套房产及孙公司鹏胤投资管理（上海）有限公司和豪琛投资管理（上 海）有限公司分别持有的上海申虹路</w:t>
      </w:r>
      <w:r>
        <w:rPr>
          <w:rFonts w:ascii="Times New Roman" w:eastAsia="Times New Roman" w:hAnsi="Times New Roman" w:cs="Times New Roman"/>
          <w:color w:val="000000"/>
          <w:spacing w:val="0"/>
          <w:w w:val="100"/>
          <w:position w:val="0"/>
          <w:sz w:val="16"/>
          <w:szCs w:val="16"/>
        </w:rPr>
        <w:t>1188</w:t>
      </w:r>
      <w:r>
        <w:rPr>
          <w:color w:val="000000"/>
          <w:spacing w:val="0"/>
          <w:w w:val="100"/>
          <w:position w:val="0"/>
          <w:sz w:val="16"/>
          <w:szCs w:val="16"/>
        </w:rPr>
        <w:t>弄</w:t>
      </w:r>
      <w:r>
        <w:rPr>
          <w:rFonts w:ascii="Times New Roman" w:eastAsia="Times New Roman" w:hAnsi="Times New Roman" w:cs="Times New Roman"/>
          <w:color w:val="000000"/>
          <w:spacing w:val="0"/>
          <w:w w:val="100"/>
          <w:position w:val="0"/>
          <w:sz w:val="16"/>
          <w:szCs w:val="16"/>
        </w:rPr>
        <w:t>18</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套房产及车库作为抵押担保。截至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 xml:space="preserve">日，公司在浦发银行深圳分行的贷款余额 </w:t>
      </w:r>
      <w:r>
        <w:rPr>
          <w:rFonts w:ascii="Times New Roman" w:eastAsia="Times New Roman" w:hAnsi="Times New Roman" w:cs="Times New Roman"/>
          <w:color w:val="000000"/>
          <w:spacing w:val="0"/>
          <w:w w:val="100"/>
          <w:position w:val="0"/>
          <w:sz w:val="16"/>
          <w:szCs w:val="16"/>
        </w:rPr>
        <w:t>64,250,000.00</w:t>
      </w:r>
      <w:r>
        <w:rPr>
          <w:color w:val="000000"/>
          <w:spacing w:val="0"/>
          <w:w w:val="100"/>
          <w:position w:val="0"/>
          <w:sz w:val="16"/>
          <w:szCs w:val="16"/>
        </w:rPr>
        <w:t>元，合同约定付息日前计提的尚未到期支付的利息</w:t>
      </w:r>
      <w:r>
        <w:rPr>
          <w:rFonts w:ascii="Times New Roman" w:eastAsia="Times New Roman" w:hAnsi="Times New Roman" w:cs="Times New Roman"/>
          <w:color w:val="000000"/>
          <w:spacing w:val="0"/>
          <w:w w:val="100"/>
          <w:position w:val="0"/>
          <w:sz w:val="16"/>
          <w:szCs w:val="16"/>
        </w:rPr>
        <w:t>111,467.33</w:t>
      </w:r>
      <w:r>
        <w:rPr>
          <w:color w:val="000000"/>
          <w:spacing w:val="0"/>
          <w:w w:val="100"/>
          <w:position w:val="0"/>
          <w:sz w:val="16"/>
          <w:szCs w:val="16"/>
        </w:rPr>
        <w:t>元，本息合计余额</w:t>
      </w:r>
      <w:r>
        <w:rPr>
          <w:rFonts w:ascii="Times New Roman" w:eastAsia="Times New Roman" w:hAnsi="Times New Roman" w:cs="Times New Roman"/>
          <w:color w:val="000000"/>
          <w:spacing w:val="0"/>
          <w:w w:val="100"/>
          <w:position w:val="0"/>
          <w:sz w:val="16"/>
          <w:szCs w:val="16"/>
        </w:rPr>
        <w:t>64,361,467.33</w:t>
      </w:r>
      <w:r>
        <w:rPr>
          <w:color w:val="000000"/>
          <w:spacing w:val="0"/>
          <w:w w:val="100"/>
          <w:position w:val="0"/>
          <w:sz w:val="16"/>
          <w:szCs w:val="16"/>
        </w:rPr>
        <w:t>元，均为一年内到期部分；公司 向中国工商银行股份有限公司深圳星河支行的长期借款，划分为一年内到期的非流动负债金额</w:t>
      </w:r>
      <w:r>
        <w:rPr>
          <w:rFonts w:ascii="Times New Roman" w:eastAsia="Times New Roman" w:hAnsi="Times New Roman" w:cs="Times New Roman"/>
          <w:color w:val="000000"/>
          <w:spacing w:val="0"/>
          <w:w w:val="100"/>
          <w:position w:val="0"/>
          <w:sz w:val="16"/>
          <w:szCs w:val="16"/>
        </w:rPr>
        <w:t>98,000,000.00</w:t>
      </w:r>
      <w:r>
        <w:rPr>
          <w:color w:val="000000"/>
          <w:spacing w:val="0"/>
          <w:w w:val="100"/>
          <w:position w:val="0"/>
          <w:sz w:val="16"/>
          <w:szCs w:val="16"/>
        </w:rPr>
        <w:t xml:space="preserve">元，一年内到期的长期借款合 计 </w:t>
      </w:r>
      <w:r>
        <w:rPr>
          <w:rFonts w:ascii="Times New Roman" w:eastAsia="Times New Roman" w:hAnsi="Times New Roman" w:cs="Times New Roman"/>
          <w:color w:val="000000"/>
          <w:spacing w:val="0"/>
          <w:w w:val="100"/>
          <w:position w:val="0"/>
          <w:sz w:val="16"/>
          <w:szCs w:val="16"/>
        </w:rPr>
        <w:t xml:space="preserve">162,361,467.33 </w:t>
      </w:r>
      <w:r>
        <w:rPr>
          <w:color w:val="000000"/>
          <w:spacing w:val="0"/>
          <w:w w:val="100"/>
          <w:position w:val="0"/>
          <w:sz w:val="16"/>
          <w:szCs w:val="16"/>
        </w:rPr>
        <w:t>元。</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346"/>
      <w:bookmarkEnd w:id="1347"/>
      <w:bookmarkEnd w:id="134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r>
              <w:rPr>
                <w:color w:val="000000"/>
                <w:spacing w:val="0"/>
                <w:w w:val="100"/>
                <w:position w:val="0"/>
              </w:rPr>
              <w:t>-</w:t>
            </w: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433,772.21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284,367.27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433,772.21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284,367.27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350"/>
      <w:bookmarkEnd w:id="1351"/>
      <w:bookmarkEnd w:id="1353"/>
    </w:p>
    <w:p>
      <w:pPr>
        <w:pStyle w:val="Style34"/>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0"/>
      <w:bookmarkEnd w:id="1351"/>
      <w:bookmarkEnd w:id="1354"/>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196,417,520.86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459,221,163.50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196,417,520.86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459,221,163.50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为满足公司资金需要，</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年公司向中国工商银行股份有限公司深圳星河支行申请融资额度人民币</w:t>
      </w:r>
      <w:r>
        <w:rPr>
          <w:rFonts w:ascii="Times New Roman" w:eastAsia="Times New Roman" w:hAnsi="Times New Roman" w:cs="Times New Roman"/>
          <w:color w:val="000000"/>
          <w:spacing w:val="0"/>
          <w:w w:val="100"/>
          <w:position w:val="0"/>
          <w:sz w:val="16"/>
          <w:szCs w:val="16"/>
        </w:rPr>
        <w:t>4.9</w:t>
      </w:r>
      <w:r>
        <w:rPr>
          <w:color w:val="000000"/>
          <w:spacing w:val="0"/>
          <w:w w:val="100"/>
          <w:position w:val="0"/>
          <w:sz w:val="16"/>
          <w:szCs w:val="16"/>
        </w:rPr>
        <w:t>亿元，融资额度使用期限为五年， 以公司持有的哆可梦</w:t>
      </w:r>
      <w:r>
        <w:rPr>
          <w:rFonts w:ascii="Times New Roman" w:eastAsia="Times New Roman" w:hAnsi="Times New Roman" w:cs="Times New Roman"/>
          <w:color w:val="000000"/>
          <w:spacing w:val="0"/>
          <w:w w:val="100"/>
          <w:position w:val="0"/>
          <w:sz w:val="16"/>
          <w:szCs w:val="16"/>
        </w:rPr>
        <w:t>77.57%</w:t>
      </w:r>
      <w:r>
        <w:rPr>
          <w:color w:val="000000"/>
          <w:spacing w:val="0"/>
          <w:w w:val="100"/>
          <w:position w:val="0"/>
          <w:sz w:val="16"/>
          <w:szCs w:val="16"/>
        </w:rPr>
        <w:t xml:space="preserve">股权质押、以公司子公司中行置盛投资（北京）有限公司和中融建银投资（北京）有限公司位于北京望京东园 </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6"/>
          <w:szCs w:val="16"/>
        </w:rPr>
        <w:t>号分别持有的</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套房产及</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个车位抵押、北京信中利投资股份有限公司和汪超涌先生连带责任保证作为担保-截至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日，公司 还应归还中国工商银行深圳星河支行的贷款本金余额</w:t>
      </w:r>
      <w:r>
        <w:rPr>
          <w:rFonts w:ascii="Times New Roman" w:eastAsia="Times New Roman" w:hAnsi="Times New Roman" w:cs="Times New Roman"/>
          <w:color w:val="000000"/>
          <w:spacing w:val="0"/>
          <w:w w:val="100"/>
          <w:position w:val="0"/>
          <w:sz w:val="16"/>
          <w:szCs w:val="16"/>
        </w:rPr>
        <w:t>294,000,000.00</w:t>
      </w:r>
      <w:r>
        <w:rPr>
          <w:color w:val="000000"/>
          <w:spacing w:val="0"/>
          <w:w w:val="100"/>
          <w:position w:val="0"/>
          <w:sz w:val="16"/>
          <w:szCs w:val="16"/>
        </w:rPr>
        <w:t>元，合同约定付息日前计提的尚未到期支付的利息</w:t>
      </w:r>
      <w:r>
        <w:rPr>
          <w:rFonts w:ascii="Times New Roman" w:eastAsia="Times New Roman" w:hAnsi="Times New Roman" w:cs="Times New Roman"/>
          <w:color w:val="000000"/>
          <w:spacing w:val="0"/>
          <w:w w:val="100"/>
          <w:position w:val="0"/>
          <w:sz w:val="16"/>
          <w:szCs w:val="16"/>
        </w:rPr>
        <w:t>417,520.86</w:t>
      </w:r>
      <w:r>
        <w:rPr>
          <w:color w:val="000000"/>
          <w:spacing w:val="0"/>
          <w:w w:val="100"/>
          <w:position w:val="0"/>
          <w:sz w:val="16"/>
          <w:szCs w:val="16"/>
        </w:rPr>
        <w:t>元，本息 合计余额</w:t>
      </w:r>
      <w:r>
        <w:rPr>
          <w:rFonts w:ascii="Times New Roman" w:eastAsia="Times New Roman" w:hAnsi="Times New Roman" w:cs="Times New Roman"/>
          <w:color w:val="000000"/>
          <w:spacing w:val="0"/>
          <w:w w:val="100"/>
          <w:position w:val="0"/>
          <w:sz w:val="16"/>
          <w:szCs w:val="16"/>
        </w:rPr>
        <w:t>294,417,520.86</w:t>
      </w:r>
      <w:r>
        <w:rPr>
          <w:color w:val="000000"/>
          <w:spacing w:val="0"/>
          <w:w w:val="100"/>
          <w:position w:val="0"/>
          <w:sz w:val="16"/>
          <w:szCs w:val="16"/>
        </w:rPr>
        <w:t>元，其中该余额重分类到一年内到期的非流动负债金额</w:t>
      </w:r>
      <w:r>
        <w:rPr>
          <w:rFonts w:ascii="Times New Roman" w:eastAsia="Times New Roman" w:hAnsi="Times New Roman" w:cs="Times New Roman"/>
          <w:color w:val="000000"/>
          <w:spacing w:val="0"/>
          <w:w w:val="100"/>
          <w:position w:val="0"/>
          <w:sz w:val="16"/>
          <w:szCs w:val="16"/>
        </w:rPr>
        <w:t>98,000,000.00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长期借款余额</w:t>
      </w:r>
      <w:r>
        <w:rPr>
          <w:rFonts w:ascii="Times New Roman" w:eastAsia="Times New Roman" w:hAnsi="Times New Roman" w:cs="Times New Roman"/>
          <w:color w:val="000000"/>
          <w:spacing w:val="0"/>
          <w:w w:val="100"/>
          <w:position w:val="0"/>
          <w:sz w:val="16"/>
          <w:szCs w:val="16"/>
        </w:rPr>
        <w:t>196,417,520.86</w:t>
      </w:r>
      <w:r>
        <w:rPr>
          <w:color w:val="000000"/>
          <w:spacing w:val="0"/>
          <w:w w:val="100"/>
          <w:position w:val="0"/>
          <w:sz w:val="16"/>
          <w:szCs w:val="16"/>
        </w:rPr>
        <w:t>元。</w:t>
      </w:r>
    </w:p>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其他说明，包括利率区间：</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355"/>
      <w:bookmarkEnd w:id="1356"/>
      <w:bookmarkEnd w:id="135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办公室租赁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2,918,043.05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8,569,919.25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临时厂房租赁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1,360,291.90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869,854.71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4,278,334.95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9,439,773.96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359"/>
      <w:bookmarkEnd w:id="1360"/>
      <w:bookmarkEnd w:id="136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1,089,381.07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140,401.74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948,979.33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尚未实现的版权金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199,726.18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199,726.18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1,289,107.25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340,127.92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948,979.33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1133"/>
        <w:gridCol w:w="850"/>
        <w:gridCol w:w="1277"/>
        <w:gridCol w:w="994"/>
        <w:gridCol w:w="1133"/>
        <w:gridCol w:w="566"/>
        <w:gridCol w:w="1046"/>
        <w:gridCol w:w="101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本期新增</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本期计入其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本期冲减成</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70"/>
        <w:gridCol w:w="1133"/>
        <w:gridCol w:w="850"/>
        <w:gridCol w:w="1277"/>
        <w:gridCol w:w="994"/>
        <w:gridCol w:w="1133"/>
        <w:gridCol w:w="566"/>
        <w:gridCol w:w="1046"/>
        <w:gridCol w:w="101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产学研合作项目资 助资金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高性能聚酰亚胺</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3D</w:t>
            </w:r>
            <w:r>
              <w:rPr>
                <w:rFonts w:ascii="SimSun" w:eastAsia="SimSun" w:hAnsi="SimSun" w:cs="SimSun"/>
                <w:color w:val="000000"/>
                <w:spacing w:val="0"/>
                <w:w w:val="100"/>
                <w:position w:val="0"/>
              </w:rPr>
              <w:t>打印耗材的制 备与应用开发（新 兴产业发展专项资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604,381.19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483,979.49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纯电动客车补贴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1,089,381.07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140,401.74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948,979.33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363"/>
      <w:bookmarkEnd w:id="1364"/>
      <w:bookmarkEnd w:id="136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801,929,568.00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367"/>
      <w:bookmarkEnd w:id="1368"/>
      <w:bookmarkEnd w:id="13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352,782,651.54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318,012,651.54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352,782,651.54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34,770,000.00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318,012,651.54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日，公司召开第七届董事会第八次会议、第七届监事会第五次会议审议通过《关于向激励对象授予股票期 权和限制性股票的议案》，独立董事发表了同意的独立意见，同意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日为本次股权激励计划的授权日</w:t>
      </w:r>
      <w:r>
        <w:rPr>
          <w:rFonts w:ascii="Times New Roman" w:eastAsia="Times New Roman" w:hAnsi="Times New Roman" w:cs="Times New Roman"/>
          <w:color w:val="000000"/>
          <w:spacing w:val="0"/>
          <w:w w:val="100"/>
          <w:position w:val="0"/>
        </w:rPr>
        <w:t>/</w:t>
      </w:r>
      <w:r>
        <w:rPr>
          <w:color w:val="000000"/>
          <w:spacing w:val="0"/>
          <w:w w:val="100"/>
          <w:position w:val="0"/>
        </w:rPr>
        <w:t>授予日，同 意向</w:t>
      </w:r>
      <w:r>
        <w:rPr>
          <w:rFonts w:ascii="Times New Roman" w:eastAsia="Times New Roman" w:hAnsi="Times New Roman" w:cs="Times New Roman"/>
          <w:color w:val="000000"/>
          <w:spacing w:val="0"/>
          <w:w w:val="100"/>
          <w:position w:val="0"/>
        </w:rPr>
        <w:t>19</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2,755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16</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1,665</w:t>
      </w:r>
      <w:r>
        <w:rPr>
          <w:color w:val="000000"/>
          <w:spacing w:val="0"/>
          <w:w w:val="100"/>
          <w:position w:val="0"/>
        </w:rPr>
        <w:t>万股限制性股票。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年股票期权与限制性股票激励计划之股票期权的首次登记工作，首次授予股票期权的数量为 </w:t>
      </w:r>
      <w:r>
        <w:rPr>
          <w:rFonts w:ascii="Times New Roman" w:eastAsia="Times New Roman" w:hAnsi="Times New Roman" w:cs="Times New Roman"/>
          <w:color w:val="000000"/>
          <w:spacing w:val="0"/>
          <w:w w:val="100"/>
          <w:position w:val="0"/>
        </w:rPr>
        <w:t>2,755</w:t>
      </w:r>
      <w:r>
        <w:rPr>
          <w:color w:val="000000"/>
          <w:spacing w:val="0"/>
          <w:w w:val="100"/>
          <w:position w:val="0"/>
        </w:rPr>
        <w:t>万份，占公司总股本的</w:t>
      </w:r>
      <w:r>
        <w:rPr>
          <w:rFonts w:ascii="Times New Roman" w:eastAsia="Times New Roman" w:hAnsi="Times New Roman" w:cs="Times New Roman"/>
          <w:color w:val="000000"/>
          <w:spacing w:val="0"/>
          <w:w w:val="100"/>
          <w:position w:val="0"/>
        </w:rPr>
        <w:t>3.44%</w:t>
      </w:r>
      <w:r>
        <w:rPr>
          <w:color w:val="000000"/>
          <w:spacing w:val="0"/>
          <w:w w:val="100"/>
          <w:position w:val="0"/>
        </w:rPr>
        <w:t>；股票期权代码为：</w:t>
      </w:r>
      <w:r>
        <w:rPr>
          <w:rFonts w:ascii="Times New Roman" w:eastAsia="Times New Roman" w:hAnsi="Times New Roman" w:cs="Times New Roman"/>
          <w:color w:val="000000"/>
          <w:spacing w:val="0"/>
          <w:w w:val="100"/>
          <w:position w:val="0"/>
        </w:rPr>
        <w:t>037149</w:t>
      </w:r>
      <w:r>
        <w:rPr>
          <w:color w:val="000000"/>
          <w:spacing w:val="0"/>
          <w:w w:val="100"/>
          <w:position w:val="0"/>
        </w:rPr>
        <w:t>；股票期权简称为：惠科</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股票来源于公司从二级市场回 购和</w:t>
      </w:r>
      <w:r>
        <w:rPr>
          <w:rFonts w:ascii="Times New Roman" w:eastAsia="Times New Roman" w:hAnsi="Times New Roman" w:cs="Times New Roman"/>
          <w:color w:val="000000"/>
          <w:spacing w:val="0"/>
          <w:w w:val="100"/>
          <w:position w:val="0"/>
        </w:rPr>
        <w:t>/</w:t>
      </w:r>
      <w:r>
        <w:rPr>
          <w:color w:val="000000"/>
          <w:spacing w:val="0"/>
          <w:w w:val="100"/>
          <w:position w:val="0"/>
        </w:rPr>
        <w:t>或定向增发的公司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年股票期权与限制性股票激励计划之限制性股票 的首次授予登记工作，首次向</w:t>
      </w:r>
      <w:r>
        <w:rPr>
          <w:rFonts w:ascii="Times New Roman" w:eastAsia="Times New Roman" w:hAnsi="Times New Roman" w:cs="Times New Roman"/>
          <w:color w:val="000000"/>
          <w:spacing w:val="0"/>
          <w:w w:val="100"/>
          <w:position w:val="0"/>
        </w:rPr>
        <w:t>11</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570</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rPr>
        <w:t>0.71%</w:t>
      </w:r>
      <w:r>
        <w:rPr>
          <w:color w:val="000000"/>
          <w:spacing w:val="0"/>
          <w:w w:val="100"/>
          <w:position w:val="0"/>
        </w:rPr>
        <w:t>，股票来源于公司</w:t>
      </w:r>
      <w:r>
        <w:rPr>
          <w:rFonts w:ascii="Times New Roman" w:eastAsia="Times New Roman" w:hAnsi="Times New Roman" w:cs="Times New Roman"/>
          <w:color w:val="000000"/>
          <w:spacing w:val="0"/>
          <w:w w:val="100"/>
          <w:position w:val="0"/>
        </w:rPr>
        <w:t>2019</w:t>
      </w:r>
      <w:r>
        <w:rPr>
          <w:color w:val="000000"/>
          <w:spacing w:val="0"/>
          <w:w w:val="100"/>
          <w:position w:val="0"/>
        </w:rPr>
        <w:t>年从 二级市场回购的</w:t>
      </w:r>
      <w:r>
        <w:rPr>
          <w:rFonts w:ascii="Times New Roman" w:eastAsia="Times New Roman" w:hAnsi="Times New Roman" w:cs="Times New Roman"/>
          <w:color w:val="000000"/>
          <w:spacing w:val="0"/>
          <w:w w:val="100"/>
          <w:position w:val="0"/>
        </w:rPr>
        <w:t>A</w:t>
      </w:r>
      <w:r>
        <w:rPr>
          <w:color w:val="000000"/>
          <w:spacing w:val="0"/>
          <w:w w:val="100"/>
          <w:position w:val="0"/>
        </w:rPr>
        <w:t>股普通股股票。股权激励导致资本溢价减少</w:t>
      </w:r>
      <w:r>
        <w:rPr>
          <w:rFonts w:ascii="Times New Roman" w:eastAsia="Times New Roman" w:hAnsi="Times New Roman" w:cs="Times New Roman"/>
          <w:color w:val="000000"/>
          <w:spacing w:val="0"/>
          <w:w w:val="100"/>
          <w:position w:val="0"/>
        </w:rPr>
        <w:t>3,477</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371"/>
      <w:bookmarkEnd w:id="1372"/>
      <w:bookmarkEnd w:id="13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147,613,580.50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47,367,000.00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112,843,580.50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47,367,000.00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112,843,580.50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3"/>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日，公司召开第七届董事会第八次会议、第七届监事会第五次会议审议通过《关于向激励对象授予股票期 权和限制性股票的议案》，独立董事发表了同意的独立意见，同意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日为本次股权激励计划的授权日</w:t>
      </w:r>
      <w:r>
        <w:rPr>
          <w:rFonts w:ascii="Times New Roman" w:eastAsia="Times New Roman" w:hAnsi="Times New Roman" w:cs="Times New Roman"/>
          <w:color w:val="000000"/>
          <w:spacing w:val="0"/>
          <w:w w:val="100"/>
          <w:position w:val="0"/>
        </w:rPr>
        <w:t>/</w:t>
      </w:r>
      <w:r>
        <w:rPr>
          <w:color w:val="000000"/>
          <w:spacing w:val="0"/>
          <w:w w:val="100"/>
          <w:position w:val="0"/>
        </w:rPr>
        <w:t>授予日，同 意向</w:t>
      </w:r>
      <w:r>
        <w:rPr>
          <w:rFonts w:ascii="Times New Roman" w:eastAsia="Times New Roman" w:hAnsi="Times New Roman" w:cs="Times New Roman"/>
          <w:color w:val="000000"/>
          <w:spacing w:val="0"/>
          <w:w w:val="100"/>
          <w:position w:val="0"/>
        </w:rPr>
        <w:t>19</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2,755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16</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1,665</w:t>
      </w:r>
      <w:r>
        <w:rPr>
          <w:color w:val="000000"/>
          <w:spacing w:val="0"/>
          <w:w w:val="100"/>
          <w:position w:val="0"/>
        </w:rPr>
        <w:t>万股限制性股票。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年股票期权与限制性股票激励计划之限制性股票的首次授予登记工作，首次向</w:t>
      </w:r>
      <w:r>
        <w:rPr>
          <w:rFonts w:ascii="Times New Roman" w:eastAsia="Times New Roman" w:hAnsi="Times New Roman" w:cs="Times New Roman"/>
          <w:color w:val="000000"/>
          <w:spacing w:val="0"/>
          <w:w w:val="100"/>
          <w:position w:val="0"/>
        </w:rPr>
        <w:t>11</w:t>
      </w:r>
      <w:r>
        <w:rPr>
          <w:color w:val="000000"/>
          <w:spacing w:val="0"/>
          <w:w w:val="100"/>
          <w:position w:val="0"/>
        </w:rPr>
        <w:t>名激励对象授 予限制性股票</w:t>
      </w:r>
      <w:r>
        <w:rPr>
          <w:rFonts w:ascii="Times New Roman" w:eastAsia="Times New Roman" w:hAnsi="Times New Roman" w:cs="Times New Roman"/>
          <w:color w:val="000000"/>
          <w:spacing w:val="0"/>
          <w:w w:val="100"/>
          <w:position w:val="0"/>
        </w:rPr>
        <w:t>570</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rPr>
        <w:t>0.71%</w:t>
      </w:r>
      <w:r>
        <w:rPr>
          <w:color w:val="000000"/>
          <w:spacing w:val="0"/>
          <w:w w:val="100"/>
          <w:position w:val="0"/>
        </w:rPr>
        <w:t>，股票来源于公司</w:t>
      </w:r>
      <w:r>
        <w:rPr>
          <w:rFonts w:ascii="Times New Roman" w:eastAsia="Times New Roman" w:hAnsi="Times New Roman" w:cs="Times New Roman"/>
          <w:color w:val="000000"/>
          <w:spacing w:val="0"/>
          <w:w w:val="100"/>
          <w:position w:val="0"/>
        </w:rPr>
        <w:t>2019</w:t>
      </w:r>
      <w:r>
        <w:rPr>
          <w:color w:val="000000"/>
          <w:spacing w:val="0"/>
          <w:w w:val="100"/>
          <w:position w:val="0"/>
        </w:rPr>
        <w:t>年从二级市场回购的</w:t>
      </w:r>
      <w:r>
        <w:rPr>
          <w:rFonts w:ascii="Times New Roman" w:eastAsia="Times New Roman" w:hAnsi="Times New Roman" w:cs="Times New Roman"/>
          <w:color w:val="000000"/>
          <w:spacing w:val="0"/>
          <w:w w:val="100"/>
          <w:position w:val="0"/>
        </w:rPr>
        <w:t>A</w:t>
      </w:r>
      <w:r>
        <w:rPr>
          <w:color w:val="000000"/>
          <w:spacing w:val="0"/>
          <w:w w:val="100"/>
          <w:position w:val="0"/>
        </w:rPr>
        <w:t>股普通股股票。股权激励导 致库存股减少</w:t>
      </w:r>
      <w:r>
        <w:rPr>
          <w:rFonts w:ascii="Times New Roman" w:eastAsia="Times New Roman" w:hAnsi="Times New Roman" w:cs="Times New Roman"/>
          <w:color w:val="000000"/>
          <w:spacing w:val="0"/>
          <w:w w:val="100"/>
          <w:position w:val="0"/>
        </w:rPr>
        <w:t>4,736.70</w:t>
      </w:r>
      <w:r>
        <w:rPr>
          <w:color w:val="000000"/>
          <w:spacing w:val="0"/>
          <w:w w:val="100"/>
          <w:position w:val="0"/>
        </w:rPr>
        <w:t>万元，股权激励回购义务导致库存股增加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259.70</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375"/>
      <w:bookmarkEnd w:id="1376"/>
      <w:bookmarkEnd w:id="137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133"/>
        <w:gridCol w:w="1277"/>
        <w:gridCol w:w="994"/>
        <w:gridCol w:w="850"/>
        <w:gridCol w:w="710"/>
        <w:gridCol w:w="1277"/>
        <w:gridCol w:w="422"/>
        <w:gridCol w:w="12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本期所得税前</w:t>
            </w:r>
          </w:p>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税后归属于母 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-5,450,837.03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-35,420,837.03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80"/>
              <w:jc w:val="left"/>
            </w:pPr>
            <w:r>
              <w:rPr>
                <w:rFonts w:ascii="SimSun" w:eastAsia="SimSun" w:hAnsi="SimSun" w:cs="SimSun"/>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-5,450,837.03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-35,420,837.03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 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15,173,449.76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-475,673.74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-1,236,347.6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63,706.5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696,967.31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15,870,417.07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外币财务报表</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-389,577.52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-900,384.13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-1,236,347.6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335,963.48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-53,614.04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自用房产转投资性房 地产产生的其他综合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15,563,027.28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424,710.39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63,706.5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361,003.83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15,924,031.11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9,722,612.73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-30,445,673.74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-1,236,347.6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63,706.5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-29,273,032.69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-19,550,419.96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79"/>
      <w:bookmarkEnd w:id="1380"/>
      <w:bookmarkEnd w:id="13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82,294,039.66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82,294,039.66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12,154,775.66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12,154,775.66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94,448,815.32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94,448,815.32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盈余公积说明，包括本期增减变动情况、变动原因说明：无。</w:t>
      </w:r>
      <w:r>
        <w:br w:type="page"/>
      </w:r>
    </w:p>
    <w:p>
      <w:pPr>
        <w:pStyle w:val="Style34"/>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83"/>
      <w:bookmarkEnd w:id="1384"/>
      <w:bookmarkEnd w:id="1386"/>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-186,913,595.78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773,501,086.50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-568,952,370.97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-1,346,486,690.79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-755,865,966.75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-572,985,604.29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-222,854,589.79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-182,880,362.46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-978,720,556.54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-755,865,966.75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00" w:line="240" w:lineRule="auto"/>
        <w:ind w:left="0" w:right="0" w:firstLine="0"/>
        <w:jc w:val="left"/>
      </w:pPr>
      <w:bookmarkStart w:id="1387" w:name="bookmark1387"/>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388" w:name="bookmark1388"/>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-568,952,370.97</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38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92"/>
      <w:bookmarkEnd w:id="1393"/>
      <w:bookmarkEnd w:id="13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323,289,635.29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215,731,630.52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774,519,258.35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280,643,734.40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10,489,613.80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1,524,518.19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329,906,421.16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215,775,131.58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785,008,872.15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282,168,252.59</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843"/>
        <w:gridCol w:w="1416"/>
        <w:gridCol w:w="1277"/>
        <w:gridCol w:w="14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本年度（万元）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具体扣除情况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329,906,421.16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785,008,872.15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10,489,613.80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营业收入扣除项目合计金额占营业收入的比 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正常经营之外的其他业务收入。如出租固 定资产、无形资产、包装物，销售材料，用 材料进行非货币性资产交换，经营受托管理 业务等实现的收入，以及虽计入主营业务收 入，但属于上市公司正常经营之外的收入。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5,530,557.19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房屋出租、出售收 入、水电费收入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8,994,585.48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房屋出租、出售收 入、处置废品收入</w:t>
            </w:r>
          </w:p>
        </w:tc>
      </w:tr>
    </w:tbl>
    <w:p>
      <w:pPr>
        <w:spacing w:lineRule="exact" w:line="1"/>
        <w:rPr>
          <w:sz w:val="2"/>
          <w:szCs w:val="2"/>
        </w:rPr>
      </w:pPr>
      <w:r>
        <w:br w:type="page"/>
      </w:r>
    </w:p>
    <w:tbl>
      <w:tblPr>
        <w:tblOverlap w:val="never"/>
        <w:jc w:val="center"/>
        <w:tblLayout w:type="fixed"/>
      </w:tblPr>
      <w:tblGrid>
        <w:gridCol w:w="3552"/>
        <w:gridCol w:w="1843"/>
        <w:gridCol w:w="1416"/>
        <w:gridCol w:w="1277"/>
        <w:gridCol w:w="149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与上市公司现有正常经营业务无关的关联 交易产生的收入。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1,086,228.68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与主营业务无关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1,495,028.32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与主营业务无关</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6,616,785.87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主要为其他业务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10,489,613.80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主要为其他业务 收入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二、不具备商业实质的收入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三、与主营业务无关或不具备商业实质的其 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323,289,635.29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774,519,258.35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电气业务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152,332,846.79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152,332,846.79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135,722,633.74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135,722,633.74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充电桩业务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35,234,154.76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35,234,154.76</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315,004,666.13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315,004,666.13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8,284,969.16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8,284,969.16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323,289,635.29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323,289,635.29</w:t>
            </w:r>
          </w:p>
        </w:tc>
      </w:tr>
    </w:tbl>
    <w:p>
      <w:pPr>
        <w:pStyle w:val="Style30"/>
        <w:keepNext w:val="0"/>
        <w:keepLines w:val="0"/>
        <w:widowControl w:val="0"/>
        <w:shd w:val="clear" w:color="auto" w:fill="auto"/>
        <w:bidi w:val="0"/>
        <w:spacing w:before="0" w:after="0" w:line="240" w:lineRule="auto"/>
        <w:ind w:left="24"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380" w:line="311" w:lineRule="exact"/>
        <w:ind w:left="0" w:right="0"/>
        <w:jc w:val="left"/>
      </w:pPr>
      <w:r>
        <w:rPr>
          <w:color w:val="000000"/>
          <w:spacing w:val="0"/>
          <w:w w:val="100"/>
          <w:position w:val="0"/>
        </w:rPr>
        <w:t>公司电气业务与客户的销售合同一般是在取得客户提供的验收合格证明时确认销售收入，除非合同明确约定有可以取代 验收合格证明的其他条款，则根据合同约定条款确认销售收入。公司游戏业务是自营平台收入按照游戏玩家充值金额确认入 账，其中自研游戏按照游戏玩家实际消耗金币数确认当期收入；公司联运收入每月按照玩家充值流水一定分成比例入账，后 续经双方对账开票后冲销计提金额，按实际金额入账。公司同时收取一次性版权金的情况下，公司在收到版权金时计入其他 非流动资产，游戏上线时计入递延收益，并在协议约定的收益期内按照直线法摊销计入营业收入。新能源业务①充电桩销售： 国内销售为合同商品已移交给客户，客户验收合格后，与本公司确认商品数量及结算金额，本公司获得收取货款权利后确认 收入实现。国外销售以出口报关时间为销售收入的确认时间。②充电桩工程：本公司与客户根据工程进度确认结算单，经第 三方监理方签字和盖章确认后、按完工进度法结转对应的收入、成本；项目完工后和客户确认竣工验收清单和竣工报告等。</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60" w:line="317"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49,497,795.78</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47,695,413.41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1,327,064.43</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475,317.94</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 度确认收入。</w:t>
      </w:r>
      <w:r>
        <w:br w:type="page"/>
      </w:r>
    </w:p>
    <w:p>
      <w:pPr>
        <w:pStyle w:val="Style3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396"/>
      <w:bookmarkEnd w:id="1397"/>
      <w:bookmarkEnd w:id="139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387,352.70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774,938.63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167,223.43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341,225.97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1,874,952.82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1,643,551.46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72,613.12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19,174.31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25,594.08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327,665.03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199,785.19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125,787.18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227,484.05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2,974,768.59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3,208,624.78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00"/>
      <w:bookmarkEnd w:id="1401"/>
      <w:bookmarkEnd w:id="140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118,242,977.81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429,810,725.40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10,319,646.02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13,951,401.00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运杂费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1,794,054.52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1,963,214.56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569,210.23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536,177.02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117,110.33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66,932.52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417,811.12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216,489.57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41,940.00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45,211.58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工程施工费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744,121.77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197,061.70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371,320.74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966,730.12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132,618,192.54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447,753,943.47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04"/>
      <w:bookmarkEnd w:id="1405"/>
      <w:bookmarkEnd w:id="140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47,474,819.19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38,699,206.99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23,059,523.17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13,067,900.50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租赁物管费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3,585,501.09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12,976,934.53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26,966,705.97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24,741,431.18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2,886,485.55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2,018,711.77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2,754,098.91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1,238,866.98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950,296.87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772,098.31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1,157,203.56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943,284.11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922,870.67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949,659.58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476,883.21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427,375.18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咨询培训费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2,274,364.97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2,298,167.98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劳保用品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207,407.64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116,071.99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1,804,267.12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4,846,309.25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警卫消防费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552,655.99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厂房维护费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340,926.16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环保卫生费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315,622.79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337,358.50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1,232,273.97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1,875,723.73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117,299,265.33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104,971,742.08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08"/>
      <w:bookmarkEnd w:id="1409"/>
      <w:bookmarkEnd w:id="141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35,264,045.73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44,835,144.15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美术外包制作费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1,427,984.23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5,467,475.65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试验检测外协加工等测试费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1,540,951.75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2,935,769.73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1,005,485.02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1,383,224.36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682,778.66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2,173,040.10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167,777.86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127,500.38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118,495.47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120,665.59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317,834.61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7,391.75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40,525,353.33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57,050,211.71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12"/>
      <w:bookmarkEnd w:id="1413"/>
      <w:bookmarkEnd w:id="141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30,072,364.08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65,537,157.10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978,685.28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2,636,959.16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347,927.76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334,708.86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168,292.29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175,877.19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29,609,898.85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63,410,783.99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16"/>
      <w:bookmarkEnd w:id="1417"/>
      <w:bookmarkEnd w:id="141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685"/>
        <w:gridCol w:w="2410"/>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4,675,247.05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进项税加计扣除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1,589,422.74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3,686,454.47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年技改倍增专项技术改造投资项目第一批资助计划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年新兴产业扶持计划项目</w:t>
            </w:r>
            <w:r>
              <w:rPr>
                <w:color w:val="000000"/>
                <w:spacing w:val="0"/>
                <w:w w:val="100"/>
                <w:position w:val="0"/>
              </w:rPr>
              <w:t>-</w:t>
            </w:r>
            <w:r>
              <w:rPr>
                <w:rFonts w:ascii="SimSun" w:eastAsia="SimSun" w:hAnsi="SimSun" w:cs="SimSun"/>
                <w:color w:val="000000"/>
                <w:spacing w:val="0"/>
                <w:w w:val="100"/>
                <w:position w:val="0"/>
              </w:rPr>
              <w:t>高端装备领域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2,995,693.67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8,361,701.52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20"/>
      <w:bookmarkEnd w:id="1421"/>
      <w:bookmarkEnd w:id="142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79"/>
        <w:gridCol w:w="2678"/>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-2,539,252.85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10,956,846.97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-737,911.48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139,529.16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-7,129,235.54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54,519.48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-368,564.00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-3,065,469.76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3,653,096.07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24"/>
      <w:bookmarkEnd w:id="1425"/>
      <w:bookmarkEnd w:id="142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7,504,056.53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-12,656,300.00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-26,083,600.00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-5,152,243.47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28"/>
      <w:bookmarkEnd w:id="1429"/>
      <w:bookmarkEnd w:id="143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-10,236,175.79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-1,841,539.67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-4,745,179.17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26,411,430.13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-14,981,354.96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24,569,890.46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32"/>
      <w:bookmarkEnd w:id="1433"/>
      <w:bookmarkEnd w:id="143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693"/>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-220,492.16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426,388.34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-76,901,355.24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-8,279,111.77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-76,474,966.90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36"/>
      <w:bookmarkEnd w:id="1437"/>
      <w:bookmarkEnd w:id="143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126"/>
        <w:gridCol w:w="29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处置未划分为持有待售的非流动资产产生的利得或损失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1,854,266.80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2,388.83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40"/>
      <w:bookmarkEnd w:id="1441"/>
      <w:bookmarkEnd w:id="144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04"/>
        <w:gridCol w:w="24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3,897,538.18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5,227,114.61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3,897,538.18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无法支付的应付款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194,640.70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89,512.96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股权收购款豁免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1,535.34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3,990,586.48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7,721,755.31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3,990,586.48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344"/>
        <w:gridCol w:w="782"/>
        <w:gridCol w:w="1910"/>
        <w:gridCol w:w="994"/>
        <w:gridCol w:w="706"/>
        <w:gridCol w:w="854"/>
        <w:gridCol w:w="850"/>
        <w:gridCol w:w="107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补贴是否影</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是否特</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殊补贴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党费补贴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成都高新技术产 业开发区中和街 道办事处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44,323.00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344"/>
        <w:gridCol w:w="782"/>
        <w:gridCol w:w="1910"/>
        <w:gridCol w:w="994"/>
        <w:gridCol w:w="706"/>
        <w:gridCol w:w="854"/>
        <w:gridCol w:w="850"/>
        <w:gridCol w:w="1070"/>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新技术认定</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奖励性资助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深圳市坪山区科</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技创新局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单位招用高</w:t>
            </w:r>
          </w:p>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校毕业生补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深圳市坪山区人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力资源局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招聘高校生 社保补贴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广州市天河区财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高新企业补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成都高新技术产 业开发区科技和 人才工作局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火炬补贴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成都高新技术产 业开发区经济运 行局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生产力促进 中心补贴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成都生产力促进 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成都高新技术产 业开发区科技和 人才工作局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成都市社会保险 事业管理局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48,758.52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失保基金代理支 付专户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上海市促进</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文化创意产</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业发展财政</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上海市促进文化</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创意产业发展财</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政扶持资金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1,828,000.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成都市社会保险 事业管理局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失保基金代理支 付专户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344"/>
        <w:gridCol w:w="782"/>
        <w:gridCol w:w="1910"/>
        <w:gridCol w:w="994"/>
        <w:gridCol w:w="706"/>
        <w:gridCol w:w="854"/>
        <w:gridCol w:w="850"/>
        <w:gridCol w:w="1070"/>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年度稳 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深圳市社会保险</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56,041.24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电费补贴收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深圳市供电局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84,258.30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419,825.6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失业保险费</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深圳市社会保险</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1,728,697.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科技创新专</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项奖金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深圳市坪山区科</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技创新局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坪山区突出</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贡献奖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深圳市坪山区工 业和信息化局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岗前培训补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深圳市高技能人</w:t>
            </w:r>
          </w:p>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才公共实训管理 服务中心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奖励上市而给予的政府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疫情资助款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深圳市坪山区财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和谐劳动关</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系企业奖励</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深圳市坪山区财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技改倍增专</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项资助计划</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质量品牌双</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提升类资助</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深圳市工业和信 息化局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岗前培训补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深圳市高技能人</w:t>
            </w:r>
          </w:p>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才公共实训管理 服务中心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深圳市社会保险</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50,248.00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适岗培训补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深圳市坪山区人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力资源局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376,500.0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企业研发资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助计划第二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深圳市科技创新</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344"/>
        <w:gridCol w:w="782"/>
        <w:gridCol w:w="1910"/>
        <w:gridCol w:w="994"/>
        <w:gridCol w:w="706"/>
        <w:gridCol w:w="854"/>
        <w:gridCol w:w="850"/>
        <w:gridCol w:w="107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年度中 央外经贸展 专项资金资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深圳市商务局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32,721.73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年度经</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济发展专项</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资金境外展</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会项目补贴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深圳市坪山区工 业和信息化局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年坪山</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区工业经济</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稳增长资助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深圳市坪山区财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电动中巴车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深圳市发改委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高性能聚酰 亚胺</w:t>
            </w:r>
            <w:r>
              <w:rPr>
                <w:color w:val="000000"/>
                <w:spacing w:val="0"/>
                <w:w w:val="100"/>
                <w:position w:val="0"/>
              </w:rPr>
              <w:t>3D</w:t>
            </w:r>
            <w:r>
              <w:rPr>
                <w:rFonts w:ascii="SimSun" w:eastAsia="SimSun" w:hAnsi="SimSun" w:cs="SimSun"/>
                <w:color w:val="000000"/>
                <w:spacing w:val="0"/>
                <w:w w:val="100"/>
                <w:position w:val="0"/>
              </w:rPr>
              <w:t>打印 耗材的制备 与应用开发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（深圳市科技创 新委员会）深圳 国库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120,401.7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199,034.1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新疆自治区人社 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马桥镇</w:t>
            </w:r>
            <w:r>
              <w:rPr>
                <w:color w:val="000000"/>
                <w:spacing w:val="0"/>
                <w:w w:val="100"/>
                <w:position w:val="0"/>
              </w:rPr>
              <w:t>2019</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年下半年企</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业扶持款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马桥镇政府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马桥镇</w:t>
            </w:r>
            <w:r>
              <w:rPr>
                <w:color w:val="000000"/>
                <w:spacing w:val="0"/>
                <w:w w:val="100"/>
                <w:position w:val="0"/>
              </w:rPr>
              <w:t>2019</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年下半年企</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业扶持款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马桥镇政府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北京市东城区社</w:t>
            </w:r>
          </w:p>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会保险基金管理 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37,414.51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以工代训补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成都高新技术产 业开发区社区发 展治理和社会保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成都高新技术产</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业开发区基层治</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理和社会事业局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174,461.6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招工补贴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广州市天河区财 政局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因符合地方政府招商引 资等地方性扶持政策而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344"/>
        <w:gridCol w:w="782"/>
        <w:gridCol w:w="1910"/>
        <w:gridCol w:w="994"/>
        <w:gridCol w:w="706"/>
        <w:gridCol w:w="854"/>
        <w:gridCol w:w="850"/>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高校毕业生 社会保险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2021-1</w:t>
            </w:r>
            <w:r>
              <w:rPr>
                <w:rFonts w:ascii="SimSun" w:eastAsia="SimSun" w:hAnsi="SimSun" w:cs="SimSun"/>
                <w:color w:val="000000"/>
                <w:spacing w:val="0"/>
                <w:w w:val="100"/>
                <w:position w:val="0"/>
              </w:rPr>
              <w:t>季度</w:t>
            </w:r>
          </w:p>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小微企业招 用高校毕业 生社会保险 补贴（非就业 困难人员）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5,780.88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 中小微企业 一次性吸纳 就业补贴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季</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度招用工类 社保补贴（非 就业困难人 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用工补贴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广州市天河区财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收到</w:t>
            </w:r>
            <w:r>
              <w:rPr>
                <w:color w:val="000000"/>
                <w:spacing w:val="0"/>
                <w:w w:val="100"/>
                <w:position w:val="0"/>
              </w:rPr>
              <w:t>/</w:t>
            </w:r>
            <w:r>
              <w:rPr>
                <w:rFonts w:ascii="SimSun" w:eastAsia="SimSun" w:hAnsi="SimSun" w:cs="SimSun"/>
                <w:color w:val="000000"/>
                <w:spacing w:val="0"/>
                <w:w w:val="100"/>
                <w:position w:val="0"/>
              </w:rPr>
              <w:t>人社局</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高校生社保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8,796.48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用工补贴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 中小微企业 一次性吸纳 就业补贴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344"/>
        <w:gridCol w:w="782"/>
        <w:gridCol w:w="1910"/>
        <w:gridCol w:w="994"/>
        <w:gridCol w:w="706"/>
        <w:gridCol w:w="854"/>
        <w:gridCol w:w="850"/>
        <w:gridCol w:w="1070"/>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季</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度招用工类 社保补贴（非 就业困难人 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用工补贴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广州市天河区财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收到</w:t>
            </w:r>
            <w:r>
              <w:rPr>
                <w:color w:val="000000"/>
                <w:spacing w:val="0"/>
                <w:w w:val="100"/>
                <w:position w:val="0"/>
              </w:rPr>
              <w:t>/</w:t>
            </w:r>
            <w:r>
              <w:rPr>
                <w:rFonts w:ascii="SimSun" w:eastAsia="SimSun" w:hAnsi="SimSun" w:cs="SimSun"/>
                <w:color w:val="000000"/>
                <w:spacing w:val="0"/>
                <w:w w:val="100"/>
                <w:position w:val="0"/>
              </w:rPr>
              <w:t>人社局</w:t>
            </w:r>
          </w:p>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高校生社保</w:t>
            </w:r>
          </w:p>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广州市社会保险 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用工补贴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12</w:t>
            </w:r>
            <w:r>
              <w:rPr>
                <w:rFonts w:ascii="SimSun" w:eastAsia="SimSun" w:hAnsi="SimSun" w:cs="SimSun"/>
                <w:color w:val="000000"/>
                <w:spacing w:val="0"/>
                <w:w w:val="100"/>
                <w:position w:val="0"/>
              </w:rPr>
              <w:t>月中小微</w:t>
            </w:r>
          </w:p>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企业一次性 吸纳就业补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广州市天河区人 力资源和社会保 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季</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度招用工类 社保补贴（非 就业困难人 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5,780.88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44"/>
      <w:bookmarkEnd w:id="1445"/>
      <w:bookmarkEnd w:id="144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112,774.55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112,774.55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非流动资产损坏报废损失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183,393.87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157,561.15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183,393.87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5,742,031.47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5,742,031.47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6,538,199.89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2,183,261.15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6,538,199.89</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48"/>
      <w:bookmarkEnd w:id="1449"/>
      <w:bookmarkEnd w:id="1451"/>
    </w:p>
    <w:p>
      <w:pPr>
        <w:pStyle w:val="Style34"/>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8"/>
      <w:bookmarkEnd w:id="1449"/>
      <w:bookmarkEnd w:id="145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-1,455,048.02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5,400,026.67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-4,260,077.34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-25,309,383.90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-5,715,125.36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-19,909,357.23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3"/>
      <w:bookmarkEnd w:id="1454"/>
      <w:bookmarkEnd w:id="145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822"/>
        <w:gridCol w:w="376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-259,003,378.49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-38,850,506.77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both"/>
            </w:pPr>
            <w:r>
              <w:rPr>
                <w:color w:val="000000"/>
                <w:spacing w:val="0"/>
                <w:w w:val="100"/>
                <w:position w:val="0"/>
              </w:rPr>
              <w:t>-7,680,006.81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4,750,941.41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2,360,751.66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-138,077.20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27,842,653.65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研发费用加计扣除的影响（负数列示）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both"/>
            </w:pPr>
            <w:r>
              <w:rPr>
                <w:color w:val="000000"/>
                <w:spacing w:val="0"/>
                <w:w w:val="100"/>
                <w:position w:val="0"/>
              </w:rPr>
              <w:t>-5,442,701.25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转回前期确认的递延所得税资产影响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11,436,606.89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both"/>
            </w:pPr>
            <w:r>
              <w:rPr>
                <w:color w:val="000000"/>
                <w:spacing w:val="0"/>
                <w:w w:val="100"/>
                <w:position w:val="0"/>
              </w:rPr>
              <w:t>-5,715,125.36</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56"/>
      <w:bookmarkEnd w:id="1457"/>
      <w:bookmarkEnd w:id="145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60"/>
      <w:bookmarkEnd w:id="1461"/>
      <w:bookmarkEnd w:id="1463"/>
    </w:p>
    <w:p>
      <w:pPr>
        <w:pStyle w:val="Style34"/>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0"/>
      <w:bookmarkEnd w:id="1461"/>
      <w:bookmarkEnd w:id="146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978,685.28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2,615,141.17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5,003,343.14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5,757,105.48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收到的保函保证金、票据保证金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收回的投标保证金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12,912,203.33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4,332,547.01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445,301.80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收到的赔款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27,826.20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收到的合并范围内的往来款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收到的合并范围外的往来款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315,264,306.00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89,346,821.82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哆可梦供应商退款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23,462,134.09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46,977,779.70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保证金退回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6,819,623.59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版权金退回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380,085,597.23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149,077,221.38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5"/>
      <w:bookmarkEnd w:id="1466"/>
      <w:bookmarkEnd w:id="146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616,931.68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174,366.90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105,143,121.08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409,582,340.91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41,791,964.38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54,865,185.29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5,327,900.76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4,434,896.96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支付的保函保证金、票据保证金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104,327.00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17,073,675.00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2,214,656.00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外部单位往来款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15,397,165.04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104,084,412.92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员工借支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315,703.87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支付的广告的保证金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经营活动有关的营业外支出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5,793,650.59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5,409,541.90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2,025,700.00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198,646,620.43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577,801,589.85</w:t>
            </w:r>
          </w:p>
        </w:tc>
      </w:tr>
    </w:tbl>
    <w:p>
      <w:pPr>
        <w:widowControl w:val="0"/>
        <w:spacing w:after="319" w:line="1" w:lineRule="exact"/>
      </w:pPr>
    </w:p>
    <w:p>
      <w:pPr>
        <w:pStyle w:val="Style34"/>
        <w:keepNext/>
        <w:keepLines/>
        <w:widowControl w:val="0"/>
        <w:numPr>
          <w:ilvl w:val="0"/>
          <w:numId w:val="87"/>
        </w:numPr>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收到的其他与投资活动有关的现金</w:t>
      </w:r>
      <w:bookmarkEnd w:id="1468"/>
      <w:bookmarkEnd w:id="1469"/>
      <w:bookmarkEnd w:id="147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4"/>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72"/>
      <w:bookmarkEnd w:id="1473"/>
      <w:bookmarkEnd w:id="147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处置子公司日本链接世界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2,348,976.98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2,348,976.98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76"/>
      <w:bookmarkEnd w:id="1477"/>
      <w:bookmarkEnd w:id="147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收到重庆绿发资产经营管理有限公司借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80"/>
      <w:bookmarkEnd w:id="1481"/>
      <w:bookmarkEnd w:id="148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租赁负债支付的本金和利息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7,330,059.82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购买上海季娱少数股东股权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7,330,059.82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84"/>
      <w:bookmarkEnd w:id="1485"/>
      <w:bookmarkEnd w:id="1487"/>
    </w:p>
    <w:p>
      <w:pPr>
        <w:pStyle w:val="Style34"/>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4"/>
      <w:bookmarkEnd w:id="1485"/>
      <w:bookmarkEnd w:id="148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-253,288,253.13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-193,146,968.57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8,279,111.77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76,474,966.90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14,981,354.96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-24,569,890.46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13,382,618.99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11,258,562.74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7,554,902.61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1,728,470.51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2,361,815.04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70,904,075.96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37,117,638.39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处置固定资产、无形资产和其他长期资产的损失（收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-1,854,266.80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-2,388.83</w:t>
            </w:r>
          </w:p>
        </w:tc>
      </w:tr>
    </w:tbl>
    <w:p>
      <w:pPr>
        <w:spacing w:lineRule="exact" w:line="1"/>
        <w:rPr>
          <w:sz w:val="2"/>
          <w:szCs w:val="2"/>
        </w:rPr>
      </w:pPr>
      <w:r>
        <w:br w:type="page"/>
      </w:r>
    </w:p>
    <w:tbl>
      <w:tblPr>
        <w:tblOverlap w:val="never"/>
        <w:jc w:val="center"/>
        <w:tblLayout w:type="fixed"/>
      </w:tblPr>
      <w:tblGrid>
        <w:gridCol w:w="4973"/>
        <w:gridCol w:w="2405"/>
        <w:gridCol w:w="220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183,393.87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157,561.15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26,083,600.00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5,152,243.47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30,420,291.84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65,871,865.96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-3,653,096.07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-3,968,306.08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-25,042,357.45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-228,064.70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1,604,990.86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-6,630,499.47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20,996,326.91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393,772,118.28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391,950,397.15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-96,622,114.83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-239,596,717.74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207,763,903.54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126,934,949.45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62,559,360.87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53,463,800.94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53,463,800.94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214,790,733.29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9,095,559.93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-161,326,932.35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89"/>
      <w:bookmarkEnd w:id="1490"/>
      <w:bookmarkEnd w:id="149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62,559,360.87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53,463,800.94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62,294,701.66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40,640,770.75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12,823,030.19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62,559,360.87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53,463,800.94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6</w:t>
      </w:r>
      <w:bookmarkEnd w:id="1494"/>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92"/>
      <w:bookmarkEnd w:id="1493"/>
      <w:bookmarkEnd w:id="149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18,218,956.84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保函、银承、司法冻结</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126,005,424.99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114,037,000.00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258,261,381.83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3"/>
        <w:keepNext w:val="0"/>
        <w:keepLines w:val="0"/>
        <w:widowControl w:val="0"/>
        <w:shd w:val="clear" w:color="auto" w:fill="auto"/>
        <w:bidi w:val="0"/>
        <w:spacing w:before="0" w:line="30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注：所有权受限制的长期股权投资系公司对哆可梦的投资，投资成本为</w:t>
      </w:r>
      <w:r>
        <w:rPr>
          <w:rFonts w:ascii="Times New Roman" w:eastAsia="Times New Roman" w:hAnsi="Times New Roman" w:cs="Times New Roman"/>
          <w:color w:val="000000"/>
          <w:spacing w:val="0"/>
          <w:w w:val="100"/>
          <w:position w:val="0"/>
        </w:rPr>
        <w:t>1,383,460,950.00</w:t>
      </w:r>
      <w:r>
        <w:rPr>
          <w:color w:val="000000"/>
          <w:spacing w:val="0"/>
          <w:w w:val="100"/>
          <w:position w:val="0"/>
        </w:rPr>
        <w:t>元，公司计提了长期股权投资</w:t>
      </w:r>
      <w:r>
        <w:rPr>
          <w:rFonts w:ascii="Times New Roman" w:eastAsia="Times New Roman" w:hAnsi="Times New Roman" w:cs="Times New Roman"/>
          <w:color w:val="000000"/>
          <w:spacing w:val="0"/>
          <w:w w:val="100"/>
          <w:position w:val="0"/>
        </w:rPr>
        <w:t>-</w:t>
      </w:r>
      <w:r>
        <w:rPr>
          <w:color w:val="000000"/>
          <w:spacing w:val="0"/>
          <w:w w:val="100"/>
          <w:position w:val="0"/>
        </w:rPr>
        <w:t>减值 准备</w:t>
      </w:r>
      <w:r>
        <w:rPr>
          <w:rFonts w:ascii="Times New Roman" w:eastAsia="Times New Roman" w:hAnsi="Times New Roman" w:cs="Times New Roman"/>
          <w:color w:val="000000"/>
          <w:spacing w:val="0"/>
          <w:w w:val="100"/>
          <w:position w:val="0"/>
        </w:rPr>
        <w:t>1,383,460,950.00</w:t>
      </w:r>
      <w:r>
        <w:rPr>
          <w:color w:val="000000"/>
          <w:spacing w:val="0"/>
          <w:w w:val="100"/>
          <w:position w:val="0"/>
        </w:rPr>
        <w:t>元，账面价值为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6</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6"/>
      <w:bookmarkEnd w:id="1497"/>
      <w:bookmarkEnd w:id="1499"/>
    </w:p>
    <w:p>
      <w:pPr>
        <w:pStyle w:val="Style34"/>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6"/>
      <w:bookmarkEnd w:id="1497"/>
      <w:bookmarkEnd w:id="150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3,161,529.98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195,515.85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1,246,550.41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260,592.12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1,881,396.93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33,582.64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3,195,681.16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273,197.49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1,741,825.24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201,373.45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1,453,855.92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1,098,085.33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1,343,059.36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1,098,085.33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4"/>
        <w:keepNext/>
        <w:keepLines/>
        <w:widowControl w:val="0"/>
        <w:shd w:val="clear" w:color="auto" w:fill="auto"/>
        <w:bidi w:val="0"/>
        <w:spacing w:before="0" w:after="380" w:line="322" w:lineRule="exact"/>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1"/>
      <w:bookmarkEnd w:id="1502"/>
      <w:bookmarkEnd w:id="1503"/>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04"/>
      <w:bookmarkEnd w:id="1505"/>
      <w:bookmarkEnd w:id="1507"/>
    </w:p>
    <w:p>
      <w:pPr>
        <w:pStyle w:val="Style34"/>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04"/>
      <w:bookmarkEnd w:id="1505"/>
      <w:bookmarkEnd w:id="150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1699"/>
        <w:gridCol w:w="1560"/>
        <w:gridCol w:w="178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政府补贴</w:t>
            </w:r>
            <w:r>
              <w:rPr>
                <w:color w:val="000000"/>
                <w:spacing w:val="0"/>
                <w:w w:val="100"/>
                <w:position w:val="0"/>
              </w:rPr>
              <w:t>-</w:t>
            </w:r>
            <w:r>
              <w:rPr>
                <w:rFonts w:ascii="SimSun" w:eastAsia="SimSun" w:hAnsi="SimSun" w:cs="SimSun"/>
                <w:color w:val="000000"/>
                <w:spacing w:val="0"/>
                <w:w w:val="100"/>
                <w:position w:val="0"/>
              </w:rPr>
              <w:t>纯电动客车补贴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电费补贴收入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84,258.30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84,258.30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政府补贴</w:t>
            </w:r>
            <w:r>
              <w:rPr>
                <w:color w:val="000000"/>
                <w:spacing w:val="0"/>
                <w:w w:val="100"/>
                <w:position w:val="0"/>
              </w:rPr>
              <w:t>-</w:t>
            </w:r>
            <w:r>
              <w:rPr>
                <w:rFonts w:ascii="SimSun" w:eastAsia="SimSun" w:hAnsi="SimSun" w:cs="SimSun"/>
                <w:color w:val="000000"/>
                <w:spacing w:val="0"/>
                <w:w w:val="100"/>
                <w:position w:val="0"/>
              </w:rPr>
              <w:t>新兴产业发展专项资金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120,401.70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331,570.21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331,570.21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年度和谐劳动关系企业奖励资金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年度高新技术认定奖励性资助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单位招用高校毕业生补贴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年企业研究开发资助款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上年为失业金，本年为稳岗补贴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年专项资金质量品牌双提升扶持计划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年度中央外经贸发展资专项资金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32,721.73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年度第二批科技创新专项奖金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上海市促进文化创意产业发展财政扶持资金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党建补助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高新区经济运行局补助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高新区科技局补助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生产力促进中心补贴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76,270.93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进项税加计扣除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1,589,422.74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1,589,422.74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年新兴产业扶持计划项目</w:t>
            </w:r>
            <w:r>
              <w:rPr>
                <w:color w:val="000000"/>
                <w:spacing w:val="0"/>
                <w:w w:val="100"/>
                <w:position w:val="0"/>
              </w:rPr>
              <w:t>-</w:t>
            </w:r>
            <w:r>
              <w:rPr>
                <w:rFonts w:ascii="SimSun" w:eastAsia="SimSun" w:hAnsi="SimSun" w:cs="SimSun"/>
                <w:color w:val="000000"/>
                <w:spacing w:val="0"/>
                <w:w w:val="100"/>
                <w:position w:val="0"/>
              </w:rPr>
              <w:t>高端装备领域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年技改倍增专项技术改造投资项目第一批资助计划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09"/>
      <w:bookmarkEnd w:id="1510"/>
      <w:bookmarkEnd w:id="1511"/>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sz w:val="24"/>
          <w:szCs w:val="24"/>
        </w:rPr>
        <w:t>八</w:t>
      </w:r>
      <w:bookmarkEnd w:id="1514"/>
      <w:r>
        <w:rPr>
          <w:color w:val="000000"/>
          <w:spacing w:val="0"/>
          <w:w w:val="100"/>
          <w:position w:val="0"/>
          <w:sz w:val="24"/>
          <w:szCs w:val="24"/>
        </w:rPr>
        <w:t>、合并范围的变更</w:t>
      </w:r>
      <w:bookmarkEnd w:id="1512"/>
      <w:bookmarkEnd w:id="1513"/>
      <w:bookmarkEnd w:id="1515"/>
    </w:p>
    <w:p>
      <w:pPr>
        <w:pStyle w:val="Style34"/>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16"/>
      <w:bookmarkEnd w:id="1517"/>
      <w:bookmarkEnd w:id="151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是否存在单次处置对子公司投资即丧失控制权的情形</w:t>
      </w:r>
      <w:r>
        <w:br w:type="page"/>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置价款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丧失控</w:t>
            </w:r>
          </w:p>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制权的 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与原子 公司股 权投资 相关的 其他综 合收益 转入投 资损益 的金额</w:t>
            </w:r>
          </w:p>
        </w:tc>
      </w:tr>
      <w:tr>
        <w:trPr>
          <w:trHeight w:val="451"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链接世</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界株式</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控制权</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-1,236,3</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right w:val="single" w:sz="4"/>
            </w:tcBorders>
            <w:shd w:val="clear" w:color="auto" w:fill="FFFFFF"/>
            <w:vAlign w:val="bottom"/>
          </w:tcPr>
          <w:p>
            <w:pPr/>
          </w:p>
        </w:tc>
      </w:tr>
      <w:tr>
        <w:trPr>
          <w:trHeight w:val="437"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会社</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47.61</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28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19"/>
      <w:bookmarkEnd w:id="1520"/>
      <w:bookmarkEnd w:id="1521"/>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月，经公司总裁办公会审议，公司在重庆市璧山区注册成立全资子公司——重庆惠程未来智能电气有限公司及 控股子公司一重庆合盛网络科技有限公司，注册资本分别为</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万元人民币。</w:t>
      </w:r>
    </w:p>
    <w:p>
      <w:pPr>
        <w:pStyle w:val="Style28"/>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sz w:val="24"/>
          <w:szCs w:val="24"/>
        </w:rPr>
        <w:t>九</w:t>
      </w:r>
      <w:bookmarkEnd w:id="1524"/>
      <w:r>
        <w:rPr>
          <w:color w:val="000000"/>
          <w:spacing w:val="0"/>
          <w:w w:val="100"/>
          <w:position w:val="0"/>
          <w:sz w:val="24"/>
          <w:szCs w:val="24"/>
        </w:rPr>
        <w:t>、在其他主体中的权益</w:t>
      </w:r>
      <w:bookmarkEnd w:id="1522"/>
      <w:bookmarkEnd w:id="1523"/>
      <w:bookmarkEnd w:id="1525"/>
    </w:p>
    <w:p>
      <w:pPr>
        <w:pStyle w:val="Style34"/>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6"/>
      <w:bookmarkEnd w:id="1527"/>
      <w:bookmarkEnd w:id="1528"/>
    </w:p>
    <w:p>
      <w:pPr>
        <w:pStyle w:val="Style34"/>
        <w:keepNext/>
        <w:keepLines/>
        <w:widowControl w:val="0"/>
        <w:shd w:val="clear" w:color="auto" w:fill="auto"/>
        <w:bidi w:val="0"/>
        <w:spacing w:before="0" w:after="280" w:line="240" w:lineRule="auto"/>
        <w:ind w:left="0" w:right="0" w:firstLine="0"/>
        <w:jc w:val="left"/>
      </w:pPr>
      <w:bookmarkStart w:id="1526" w:name="bookmark1526"/>
      <w:bookmarkStart w:id="1527" w:name="bookmark1527"/>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26"/>
      <w:bookmarkEnd w:id="1527"/>
      <w:bookmarkEnd w:id="1529"/>
    </w:p>
    <w:tbl>
      <w:tblPr>
        <w:tblOverlap w:val="never"/>
        <w:jc w:val="center"/>
        <w:tblLayout w:type="fixed"/>
      </w:tblPr>
      <w:tblGrid>
        <w:gridCol w:w="1378"/>
        <w:gridCol w:w="1368"/>
        <w:gridCol w:w="1368"/>
        <w:gridCol w:w="1848"/>
        <w:gridCol w:w="888"/>
        <w:gridCol w:w="816"/>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惠程智能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香港惠程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北京中汇联银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喀什中汇联银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喀什市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中汇联鑫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互联网及相关服务业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848"/>
        <w:gridCol w:w="888"/>
        <w:gridCol w:w="816"/>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上海季娱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互联网及相关服务业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铁匣电力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一零电力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零玖电力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重庆惠程未来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确定公司是代理人还是委托人的依据：</w:t>
      </w:r>
    </w:p>
    <w:p>
      <w:pPr>
        <w:pStyle w:val="Style34"/>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30"/>
      <w:bookmarkEnd w:id="1531"/>
      <w:bookmarkEnd w:id="15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55"/>
        <w:gridCol w:w="2414"/>
        <w:gridCol w:w="2693"/>
        <w:gridCol w:w="1925"/>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本期向少数股东宣告分派的股利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-30,433,663.34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30,729,410.79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子公司少数股东的持股比例不同于表决权比例的说明:</w:t>
      </w:r>
    </w:p>
    <w:p>
      <w:pPr>
        <w:pStyle w:val="Style34"/>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33"/>
      <w:bookmarkEnd w:id="1534"/>
      <w:bookmarkEnd w:id="153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r>
      <w:tr>
        <w:trPr>
          <w:trHeight w:val="3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298,817,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7,840,35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351,688.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185,377,</w:t>
            </w:r>
          </w:p>
        </w:tc>
      </w:tr>
      <w:tr>
        <w:trPr>
          <w:trHeight w:val="3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687.74</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0.57</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038.31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652.72</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813.79</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539.97</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经营活动现</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哆可梦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135,203,177.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-135,682,850.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-135,682,850.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-49,926,354.5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461,885,429.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-5,288,847.55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-5,288,847.55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37,689,957.8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37"/>
      <w:bookmarkEnd w:id="1538"/>
      <w:bookmarkEnd w:id="1539"/>
    </w:p>
    <w:p>
      <w:pPr>
        <w:pStyle w:val="Style34"/>
        <w:keepNext/>
        <w:keepLines/>
        <w:widowControl w:val="0"/>
        <w:shd w:val="clear" w:color="auto" w:fill="auto"/>
        <w:bidi w:val="0"/>
        <w:spacing w:before="0" w:after="320" w:line="240" w:lineRule="auto"/>
        <w:ind w:left="0" w:right="0" w:firstLine="0"/>
        <w:jc w:val="left"/>
      </w:pPr>
      <w:bookmarkStart w:id="1537" w:name="bookmark1537"/>
      <w:bookmarkStart w:id="1538" w:name="bookmark1538"/>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7"/>
      <w:bookmarkEnd w:id="1538"/>
      <w:bookmarkEnd w:id="1540"/>
    </w:p>
    <w:tbl>
      <w:tblPr>
        <w:tblOverlap w:val="never"/>
        <w:jc w:val="center"/>
        <w:tblLayout w:type="fixed"/>
      </w:tblPr>
      <w:tblGrid>
        <w:gridCol w:w="1378"/>
        <w:gridCol w:w="1368"/>
        <w:gridCol w:w="1368"/>
        <w:gridCol w:w="1709"/>
        <w:gridCol w:w="1027"/>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对合营企业或联 营企业投资的会</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709"/>
        <w:gridCol w:w="1027"/>
        <w:gridCol w:w="1363"/>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计处理方法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宁波永耀惠程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重庆思极星能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互联网及相关服务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重庆绿能启航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3"/>
        <w:keepNext w:val="0"/>
        <w:keepLines w:val="0"/>
        <w:widowControl w:val="0"/>
        <w:shd w:val="clear" w:color="auto" w:fill="auto"/>
        <w:bidi w:val="0"/>
        <w:spacing w:before="0" w:after="380" w:line="310" w:lineRule="exact"/>
        <w:ind w:left="0" w:right="0"/>
        <w:jc w:val="both"/>
      </w:pPr>
      <w:r>
        <w:rPr>
          <w:color w:val="000000"/>
          <w:spacing w:val="0"/>
          <w:w w:val="100"/>
          <w:position w:val="0"/>
        </w:rPr>
        <w:t>公司、公司全资子公司喀什中汇联银创业投资有限公司与中新合富（重庆）股权投资基金管理有限公司共同投资设立重 庆绿能启航私募股权投资基金合伙企业（有限合伙），公司作为有限合伙人持有</w:t>
      </w:r>
      <w:r>
        <w:rPr>
          <w:rFonts w:ascii="Times New Roman" w:eastAsia="Times New Roman" w:hAnsi="Times New Roman" w:cs="Times New Roman"/>
          <w:color w:val="000000"/>
          <w:spacing w:val="0"/>
          <w:w w:val="100"/>
          <w:position w:val="0"/>
        </w:rPr>
        <w:t>28%</w:t>
      </w:r>
      <w:r>
        <w:rPr>
          <w:color w:val="000000"/>
          <w:spacing w:val="0"/>
          <w:w w:val="100"/>
          <w:position w:val="0"/>
        </w:rPr>
        <w:t>的份额，公司全资子公司喀什中汇联银 创业投资有限公司作为普通合伙人，持有</w:t>
      </w:r>
      <w:r>
        <w:rPr>
          <w:rFonts w:ascii="Times New Roman" w:eastAsia="Times New Roman" w:hAnsi="Times New Roman" w:cs="Times New Roman"/>
          <w:color w:val="000000"/>
          <w:spacing w:val="0"/>
          <w:w w:val="100"/>
          <w:position w:val="0"/>
        </w:rPr>
        <w:t>2%</w:t>
      </w:r>
      <w:r>
        <w:rPr>
          <w:color w:val="000000"/>
          <w:spacing w:val="0"/>
          <w:w w:val="100"/>
          <w:position w:val="0"/>
        </w:rPr>
        <w:t>的份额，公司对重庆绿能启航私募股权投资基金合伙企业（有限合伙）具有重 大影响，按权益法核算。</w:t>
      </w:r>
    </w:p>
    <w:p>
      <w:pPr>
        <w:pStyle w:val="Style34"/>
        <w:keepNext/>
        <w:keepLines/>
        <w:widowControl w:val="0"/>
        <w:shd w:val="clear" w:color="auto" w:fill="auto"/>
        <w:bidi w:val="0"/>
        <w:spacing w:before="0" w:after="380" w:line="240" w:lineRule="auto"/>
        <w:ind w:left="0" w:right="0" w:firstLine="0"/>
        <w:jc w:val="both"/>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1"/>
      <w:bookmarkEnd w:id="1542"/>
      <w:bookmarkEnd w:id="15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693"/>
        <w:gridCol w:w="291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10,576,766.99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10,074,958.27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10,577,949.83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10,131,623.26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562,436.32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1,399,434.98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562,436.32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1,399,434.98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10,015,513.51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8,732,188.28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4,006,205.40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3,492,875.31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4,006,205.40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3,492,875.31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38,484,596.51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11,962,856.04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1,283,325.23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641,431.49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79"/>
        <w:gridCol w:w="2693"/>
        <w:gridCol w:w="29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1,283,325.23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641,431.49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以上为宁波永耀惠程的主要财务信息。</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以下为重庆思极星能的主要财务信息:</w:t>
      </w:r>
    </w:p>
    <w:tbl>
      <w:tblPr>
        <w:tblOverlap w:val="never"/>
        <w:jc w:val="center"/>
        <w:tblLayout w:type="fixed"/>
      </w:tblPr>
      <w:tblGrid>
        <w:gridCol w:w="5059"/>
        <w:gridCol w:w="2222"/>
        <w:gridCol w:w="2395"/>
      </w:tblGrid>
      <w:tr>
        <w:trPr>
          <w:trHeight w:val="355"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13,169,362.81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946,878.12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14,116,240.93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127,943.29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127,943.29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13,988,297.64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4,196,489.29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4,196,489.29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存在公开报价的联营企业权益投资的公允价值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251,822.63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-1,011,702.36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-1,011,702.36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以下为绿能启航的主要财务信息：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1,928,818.36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47,860,905.94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49,789,724.30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3,342.47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49,786,381.83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5"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14,935,914.55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bl>
    <w:tbl>
      <w:tblPr>
        <w:tblOverlap w:val="never"/>
        <w:jc w:val="center"/>
        <w:tblLayout w:type="fixed"/>
      </w:tblPr>
      <w:tblGrid>
        <w:gridCol w:w="5059"/>
        <w:gridCol w:w="2222"/>
        <w:gridCol w:w="2395"/>
      </w:tblGrid>
      <w:tr>
        <w:trPr>
          <w:trHeight w:val="355"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14,935,914.55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存在公开报价的联营企业权益投资的公允价值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-213,618.17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-213,618.17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r>
        <w:trPr>
          <w:trHeight w:val="355"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1544" w:name="bookmark1544"/>
      <w:bookmarkStart w:id="1545" w:name="bookmark1545"/>
      <w:bookmarkStart w:id="1546" w:name="bookmark1546"/>
      <w:r>
        <w:rPr>
          <w:color w:val="000000"/>
          <w:spacing w:val="0"/>
          <w:w w:val="100"/>
          <w:position w:val="0"/>
          <w:sz w:val="24"/>
          <w:szCs w:val="24"/>
        </w:rPr>
        <w:t>十、与金融工具相关的风险</w:t>
      </w:r>
      <w:bookmarkEnd w:id="1544"/>
      <w:bookmarkEnd w:id="1545"/>
      <w:bookmarkEnd w:id="1546"/>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的确定，并对风险管理目标和政策承担最终责任，但是董事会已授权本公司战略部门设计和实施能够确保风险管理目标和政 策得以有效执行的程序。本公司的内部审计师审查风险管理的政策和程序，并且将有关发现汇报给审计委员会。</w:t>
      </w:r>
    </w:p>
    <w:p>
      <w:pPr>
        <w:pStyle w:val="Style23"/>
        <w:keepNext w:val="0"/>
        <w:keepLines w:val="0"/>
        <w:widowControl w:val="0"/>
        <w:shd w:val="clear" w:color="auto" w:fill="auto"/>
        <w:bidi w:val="0"/>
        <w:spacing w:before="0" w:after="140" w:line="316" w:lineRule="exact"/>
        <w:ind w:left="0" w:right="0" w:firstLine="360"/>
        <w:jc w:val="left"/>
      </w:pPr>
      <w:r>
        <w:rPr>
          <w:color w:val="000000"/>
          <w:spacing w:val="0"/>
          <w:w w:val="100"/>
          <w:position w:val="0"/>
        </w:rPr>
        <w:t>本公司风险管理的总体目标是在不过度影响公司竞争力和应变力的情况下，制定尽可能降低风险的风险管理政策。</w:t>
      </w:r>
    </w:p>
    <w:p>
      <w:pPr>
        <w:pStyle w:val="Style23"/>
        <w:keepNext w:val="0"/>
        <w:keepLines w:val="0"/>
        <w:widowControl w:val="0"/>
        <w:shd w:val="clear" w:color="auto" w:fill="auto"/>
        <w:tabs>
          <w:tab w:pos="751" w:val="left"/>
        </w:tabs>
        <w:bidi w:val="0"/>
        <w:spacing w:before="0" w:after="0"/>
        <w:ind w:left="0" w:right="0" w:firstLine="360"/>
        <w:jc w:val="left"/>
      </w:pPr>
      <w:bookmarkStart w:id="1547" w:name="bookmark1547"/>
      <w:r>
        <w:rPr>
          <w:rFonts w:ascii="Times New Roman" w:eastAsia="Times New Roman" w:hAnsi="Times New Roman" w:cs="Times New Roman"/>
          <w:color w:val="000000"/>
          <w:spacing w:val="0"/>
          <w:w w:val="100"/>
          <w:position w:val="0"/>
        </w:rPr>
        <w:t>1</w:t>
      </w:r>
      <w:bookmarkEnd w:id="1547"/>
      <w:r>
        <w:rPr>
          <w:color w:val="000000"/>
          <w:spacing w:val="0"/>
          <w:w w:val="100"/>
          <w:position w:val="0"/>
        </w:rPr>
        <w:t>、</w:t>
        <w:tab/>
        <w:t>信用风险</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w:t>
      </w:r>
    </w:p>
    <w:p>
      <w:pPr>
        <w:pStyle w:val="Style23"/>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3"/>
        <w:keepNext w:val="0"/>
        <w:keepLines w:val="0"/>
        <w:widowControl w:val="0"/>
        <w:shd w:val="clear" w:color="auto" w:fill="auto"/>
        <w:tabs>
          <w:tab w:pos="770" w:val="left"/>
        </w:tabs>
        <w:bidi w:val="0"/>
        <w:spacing w:before="0" w:after="0"/>
        <w:ind w:left="0" w:right="0" w:firstLine="360"/>
        <w:jc w:val="left"/>
      </w:pPr>
      <w:bookmarkStart w:id="1548" w:name="bookmark1548"/>
      <w:r>
        <w:rPr>
          <w:rFonts w:ascii="Times New Roman" w:eastAsia="Times New Roman" w:hAnsi="Times New Roman" w:cs="Times New Roman"/>
          <w:color w:val="000000"/>
          <w:spacing w:val="0"/>
          <w:w w:val="100"/>
          <w:position w:val="0"/>
        </w:rPr>
        <w:t>2</w:t>
      </w:r>
      <w:bookmarkEnd w:id="1548"/>
      <w:r>
        <w:rPr>
          <w:color w:val="000000"/>
          <w:spacing w:val="0"/>
          <w:w w:val="100"/>
          <w:position w:val="0"/>
        </w:rPr>
        <w:t>、</w:t>
        <w:tab/>
        <w:t>市场风险</w:t>
      </w:r>
    </w:p>
    <w:p>
      <w:pPr>
        <w:pStyle w:val="Style2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3"/>
        <w:keepNext w:val="0"/>
        <w:keepLines w:val="0"/>
        <w:widowControl w:val="0"/>
        <w:shd w:val="clear" w:color="auto" w:fill="auto"/>
        <w:tabs>
          <w:tab w:pos="729" w:val="left"/>
        </w:tabs>
        <w:bidi w:val="0"/>
        <w:spacing w:before="0" w:after="0" w:line="316" w:lineRule="exact"/>
        <w:ind w:left="0" w:right="0" w:firstLine="300"/>
        <w:jc w:val="both"/>
      </w:pPr>
      <w:bookmarkStart w:id="1549" w:name="bookmark1549"/>
      <w:r>
        <w:rPr>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利率风险，是指金融工具的公允价值或未来现金流量因市场利率变动而发生波动的风险。本公司面临的利率风险主要来 源于银行短期借款。公司目前短期借款是固定利率借款，因此不存在利率风险。</w:t>
      </w:r>
    </w:p>
    <w:p>
      <w:pPr>
        <w:pStyle w:val="Style23"/>
        <w:keepNext w:val="0"/>
        <w:keepLines w:val="0"/>
        <w:widowControl w:val="0"/>
        <w:shd w:val="clear" w:color="auto" w:fill="auto"/>
        <w:tabs>
          <w:tab w:pos="729" w:val="left"/>
        </w:tabs>
        <w:bidi w:val="0"/>
        <w:spacing w:before="0" w:after="0" w:line="317" w:lineRule="exact"/>
        <w:ind w:left="0" w:right="0" w:firstLine="300"/>
        <w:jc w:val="both"/>
      </w:pPr>
      <w:bookmarkStart w:id="1550" w:name="bookmark1550"/>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2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币支出相匹配以降低汇率风险。本公司未签署任何远期外汇合约或货币互换合约。本公司以美元计价的金融资产和金融负债 金额较小，因此不存在重大汇率风险。</w:t>
      </w:r>
    </w:p>
    <w:p>
      <w:pPr>
        <w:pStyle w:val="Style30"/>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单位：人民币元</w:t>
      </w:r>
    </w:p>
    <w:tbl>
      <w:tblPr>
        <w:tblOverlap w:val="never"/>
        <w:jc w:val="center"/>
        <w:tblLayout w:type="fixed"/>
      </w:tblPr>
      <w:tblGrid>
        <w:gridCol w:w="394"/>
        <w:gridCol w:w="1003"/>
        <w:gridCol w:w="998"/>
        <w:gridCol w:w="1003"/>
        <w:gridCol w:w="384"/>
        <w:gridCol w:w="998"/>
        <w:gridCol w:w="1003"/>
        <w:gridCol w:w="998"/>
        <w:gridCol w:w="816"/>
        <w:gridCol w:w="1075"/>
        <w:gridCol w:w="1085"/>
      </w:tblGrid>
      <w:tr>
        <w:trPr>
          <w:trHeight w:val="350" w:hRule="exact"/>
        </w:trPr>
        <w:tc>
          <w:tcPr>
            <w:vMerge w:val="restart"/>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5"/>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653"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欧元</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港币</w:t>
            </w:r>
          </w:p>
        </w:tc>
        <w:tc>
          <w:tcPr>
            <w:tcBorders>
              <w:top w:val="single" w:sz="4"/>
              <w:lef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日元</w:t>
            </w:r>
          </w:p>
        </w:tc>
        <w:tc>
          <w:tcPr>
            <w:tcBorders>
              <w:top w:val="single" w:sz="4"/>
              <w:left w:val="single" w:sz="4"/>
              <w:right w:val="single" w:sz="4"/>
            </w:tcBorders>
            <w:shd w:val="clear" w:color="auto" w:fill="C0C0C0"/>
            <w:vAlign w:val="top"/>
          </w:tcPr>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合计</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
        <w:gridCol w:w="1003"/>
        <w:gridCol w:w="998"/>
        <w:gridCol w:w="1003"/>
        <w:gridCol w:w="384"/>
        <w:gridCol w:w="998"/>
        <w:gridCol w:w="1003"/>
        <w:gridCol w:w="998"/>
        <w:gridCol w:w="816"/>
        <w:gridCol w:w="1075"/>
        <w:gridCol w:w="1085"/>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1,246,550.41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1,881,396.93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33,582.64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3,161,529.98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4,124,618.64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1,649,899.31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35,267.53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14,991,137.00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20,800,922.48</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1,741,825.24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1,453,855.92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3,195,681.16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564,602.04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284,670.83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849,272.87</w:t>
            </w:r>
          </w:p>
        </w:tc>
      </w:tr>
      <w:tr>
        <w:trPr>
          <w:trHeight w:val="9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16,820.78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16,820.78</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应付</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1,098,085.33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1,098,085.33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545,350.17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545,350.17</w:t>
            </w:r>
          </w:p>
        </w:tc>
      </w:tr>
      <w:tr>
        <w:trPr>
          <w:trHeight w:val="6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2,988,375.65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3,335,252.85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1,131,667.97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7,455,296.47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4,689,220.68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1,934,570.14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35,267.53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15,553,307.95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22,212,366.30</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）流动性风险</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流动风险，是指企业在履行以交付现金或其他金融资产的方式结算的义务时发生资金短缺的风险。本公司的政策是确保 </w:t>
      </w:r>
      <w:r>
        <w:rPr>
          <w:color w:val="000000"/>
          <w:spacing w:val="0"/>
          <w:w w:val="100"/>
          <w:position w:val="0"/>
        </w:rPr>
        <w:t>拥有充足的现金以偿还到期债务。流动性风险由本公司的财务部门集中控制。财务部门通过监控现金余额、可随时变现的有 价证券以及对未来现金流量的滚动预测，确保公司在所有合理预测的情况下拥有充足的资金偿还债务。</w:t>
      </w:r>
    </w:p>
    <w:p>
      <w:pPr>
        <w:pStyle w:val="Style23"/>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本公司各项金融负债以未折现的合同现金流量按到期日列示如下：</w:t>
      </w:r>
    </w:p>
    <w:p>
      <w:pPr>
        <w:pStyle w:val="Style30"/>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单位：人民币元</w:t>
      </w:r>
    </w:p>
    <w:tbl>
      <w:tblPr>
        <w:tblOverlap w:val="never"/>
        <w:jc w:val="center"/>
        <w:tblLayout w:type="fixed"/>
      </w:tblPr>
      <w:tblGrid>
        <w:gridCol w:w="2366"/>
        <w:gridCol w:w="1459"/>
        <w:gridCol w:w="1459"/>
        <w:gridCol w:w="1464"/>
        <w:gridCol w:w="1459"/>
        <w:gridCol w:w="1469"/>
      </w:tblGrid>
      <w:tr>
        <w:trPr>
          <w:trHeight w:val="360"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r>
              <w:rPr>
                <w:rFonts w:ascii="SimSun" w:eastAsia="SimSun" w:hAnsi="SimSun" w:cs="SimSun"/>
                <w:color w:val="000000"/>
                <w:spacing w:val="0"/>
                <w:w w:val="100"/>
                <w:position w:val="0"/>
              </w:rPr>
              <w:t>个月以内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5,455,228.32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5,455,228.32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81,135,876.18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48,528,303.43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55,262,711.12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1,647,041.59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186,573,932.32</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12,156,465.87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180,981.82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12,337,447.69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134,771,407.40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33,321,898.37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3,428,627.06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864,970.25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172,386,903.08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221,740,667.58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1,185,278.28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222,925,945.86</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196,417,520.86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196,417,520.86</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455,259,645.35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83,216,461.90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255,108,859.04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2,512,011.84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796,096,978.13</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51" w:name="bookmark1551"/>
      <w:bookmarkStart w:id="1552" w:name="bookmark1552"/>
      <w:bookmarkStart w:id="1553" w:name="bookmark1553"/>
      <w:r>
        <w:rPr>
          <w:color w:val="000000"/>
          <w:spacing w:val="0"/>
          <w:w w:val="100"/>
          <w:position w:val="0"/>
          <w:sz w:val="24"/>
          <w:szCs w:val="24"/>
        </w:rPr>
        <w:t>十^一、公允价值的披露</w:t>
      </w:r>
      <w:bookmarkEnd w:id="1551"/>
      <w:bookmarkEnd w:id="1552"/>
      <w:bookmarkEnd w:id="1553"/>
    </w:p>
    <w:p>
      <w:pPr>
        <w:pStyle w:val="Style34"/>
        <w:keepNext/>
        <w:keepLines/>
        <w:widowControl w:val="0"/>
        <w:shd w:val="clear" w:color="auto" w:fill="auto"/>
        <w:bidi w:val="0"/>
        <w:spacing w:before="0" w:after="34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54"/>
      <w:bookmarkEnd w:id="1555"/>
      <w:bookmarkEnd w:id="15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1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第一层次公允</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76,568,291.68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113,538,291.68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126,429,000.00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126,429,000.00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126,429,000.00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126,429,000.00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202,997,291.68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239,967,291.68</w:t>
            </w:r>
          </w:p>
        </w:tc>
      </w:tr>
    </w:tbl>
    <w:tbl>
      <w:tblPr>
        <w:tblOverlap w:val="never"/>
        <w:jc w:val="center"/>
        <w:tblLayout w:type="fixed"/>
      </w:tblPr>
      <w:tblGrid>
        <w:gridCol w:w="2702"/>
        <w:gridCol w:w="1138"/>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4"/>
        <w:keepNext/>
        <w:keepLines/>
        <w:widowControl w:val="0"/>
        <w:shd w:val="clear" w:color="auto" w:fill="auto"/>
        <w:tabs>
          <w:tab w:pos="378" w:val="left"/>
        </w:tabs>
        <w:bidi w:val="0"/>
        <w:spacing w:before="0" w:after="30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color w:val="000000"/>
          <w:spacing w:val="0"/>
          <w:w w:val="100"/>
          <w:position w:val="0"/>
        </w:rPr>
        <w:t>、</w:t>
        <w:tab/>
        <w:t>持续和非持续第一层次公允价值计量项目市价的确定依据</w:t>
      </w:r>
      <w:bookmarkEnd w:id="1557"/>
      <w:bookmarkEnd w:id="1558"/>
      <w:bookmarkEnd w:id="1560"/>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第一层输入值是企业在计量日能够取得的相同资产或负债在活跃市场上未经调整的报价。活跃市场，是指相关资产或负 债交易量及交易量足以持续提供定价信息的市场。</w:t>
      </w:r>
    </w:p>
    <w:p>
      <w:pPr>
        <w:pStyle w:val="Style23"/>
        <w:keepNext w:val="0"/>
        <w:keepLines w:val="0"/>
        <w:widowControl w:val="0"/>
        <w:shd w:val="clear" w:color="auto" w:fill="auto"/>
        <w:bidi w:val="0"/>
        <w:spacing w:before="0" w:after="380" w:line="314" w:lineRule="exact"/>
        <w:ind w:left="0" w:right="0"/>
        <w:jc w:val="left"/>
      </w:pPr>
      <w:r>
        <w:rPr>
          <w:color w:val="000000"/>
          <w:spacing w:val="0"/>
          <w:w w:val="100"/>
          <w:position w:val="0"/>
        </w:rPr>
        <w:t>公司的交易性金融资产期末公允价值是基于上海证券交易所和深圳证券交易所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日收盘价进行计量。</w:t>
      </w:r>
    </w:p>
    <w:p>
      <w:pPr>
        <w:pStyle w:val="Style34"/>
        <w:keepNext/>
        <w:keepLines/>
        <w:widowControl w:val="0"/>
        <w:shd w:val="clear" w:color="auto" w:fill="auto"/>
        <w:tabs>
          <w:tab w:pos="378" w:val="left"/>
        </w:tabs>
        <w:bidi w:val="0"/>
        <w:spacing w:before="0" w:after="30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color w:val="000000"/>
          <w:spacing w:val="0"/>
          <w:w w:val="100"/>
          <w:position w:val="0"/>
        </w:rPr>
        <w:t>、</w:t>
        <w:tab/>
        <w:t>持续和非持续第二层次公允价值计量项目，采用的估值技术和重要参数的定性及定量信息</w:t>
      </w:r>
      <w:bookmarkEnd w:id="1561"/>
      <w:bookmarkEnd w:id="1562"/>
      <w:bookmarkEnd w:id="1564"/>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第二层输入值是除第一层输入值外相关资产或负债直接或间接客户安插的输入值。对于具有特定期限</w:t>
      </w:r>
      <w:r>
        <w:rPr>
          <w:rFonts w:ascii="Times New Roman" w:eastAsia="Times New Roman" w:hAnsi="Times New Roman" w:cs="Times New Roman"/>
          <w:color w:val="000000"/>
          <w:spacing w:val="0"/>
          <w:w w:val="100"/>
          <w:position w:val="0"/>
        </w:rPr>
        <w:t>（</w:t>
      </w:r>
      <w:r>
        <w:rPr>
          <w:color w:val="000000"/>
          <w:spacing w:val="0"/>
          <w:w w:val="100"/>
          <w:position w:val="0"/>
        </w:rPr>
        <w:t>如合同期限</w:t>
      </w:r>
      <w:r>
        <w:rPr>
          <w:rFonts w:ascii="Times New Roman" w:eastAsia="Times New Roman" w:hAnsi="Times New Roman" w:cs="Times New Roman"/>
          <w:color w:val="000000"/>
          <w:spacing w:val="0"/>
          <w:w w:val="100"/>
          <w:position w:val="0"/>
        </w:rPr>
        <w:t>）</w:t>
      </w:r>
      <w:r>
        <w:rPr>
          <w:color w:val="000000"/>
          <w:spacing w:val="0"/>
          <w:w w:val="100"/>
          <w:position w:val="0"/>
        </w:rPr>
        <w:t>的相 关资产或负债，第二层输入值必须在其几乎整个期限内是可观察的。第二层输入值包括：</w:t>
      </w:r>
    </w:p>
    <w:p>
      <w:pPr>
        <w:pStyle w:val="Style23"/>
        <w:keepNext w:val="0"/>
        <w:keepLines w:val="0"/>
        <w:widowControl w:val="0"/>
        <w:shd w:val="clear" w:color="auto" w:fill="auto"/>
        <w:tabs>
          <w:tab w:pos="825" w:val="left"/>
        </w:tabs>
        <w:bidi w:val="0"/>
        <w:spacing w:before="0" w:after="0" w:line="314" w:lineRule="exact"/>
        <w:ind w:left="0" w:right="0"/>
        <w:jc w:val="both"/>
      </w:pPr>
      <w:bookmarkStart w:id="1565" w:name="bookmark1565"/>
      <w:r>
        <w:rPr>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w:t>
        <w:tab/>
        <w:t>活跃市场中类似资产或负债的报价；</w:t>
      </w:r>
    </w:p>
    <w:p>
      <w:pPr>
        <w:pStyle w:val="Style23"/>
        <w:keepNext w:val="0"/>
        <w:keepLines w:val="0"/>
        <w:widowControl w:val="0"/>
        <w:shd w:val="clear" w:color="auto" w:fill="auto"/>
        <w:tabs>
          <w:tab w:pos="825" w:val="left"/>
        </w:tabs>
        <w:bidi w:val="0"/>
        <w:spacing w:before="0" w:after="0" w:line="314" w:lineRule="exact"/>
        <w:ind w:left="0" w:right="0"/>
        <w:jc w:val="both"/>
      </w:pPr>
      <w:bookmarkStart w:id="1566" w:name="bookmark1566"/>
      <w:r>
        <w:rPr>
          <w:color w:val="000000"/>
          <w:spacing w:val="0"/>
          <w:w w:val="100"/>
          <w:position w:val="0"/>
        </w:rPr>
        <w:t>（</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w:t>
        <w:tab/>
        <w:t>非活跃市场中相同或类似资产或负债的报价；</w:t>
      </w:r>
    </w:p>
    <w:p>
      <w:pPr>
        <w:pStyle w:val="Style23"/>
        <w:keepNext w:val="0"/>
        <w:keepLines w:val="0"/>
        <w:widowControl w:val="0"/>
        <w:shd w:val="clear" w:color="auto" w:fill="auto"/>
        <w:tabs>
          <w:tab w:pos="825" w:val="left"/>
        </w:tabs>
        <w:bidi w:val="0"/>
        <w:spacing w:before="0" w:after="80" w:line="314" w:lineRule="exact"/>
        <w:ind w:left="0" w:right="0"/>
        <w:jc w:val="left"/>
      </w:pPr>
      <w:bookmarkStart w:id="1567" w:name="bookmark1567"/>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w:t>
        <w:tab/>
        <w:t>除报价以外的其他可观察输入值，包括在正常报价间隔期间内可观察的利率和收益率曲线等。</w:t>
      </w:r>
    </w:p>
    <w:tbl>
      <w:tblPr>
        <w:tblOverlap w:val="never"/>
        <w:jc w:val="center"/>
        <w:tblLayout w:type="fixed"/>
      </w:tblPr>
      <w:tblGrid>
        <w:gridCol w:w="2616"/>
        <w:gridCol w:w="3792"/>
        <w:gridCol w:w="3269"/>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期末公允价值（元）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估值技术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其他权益性工具投资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76,568,291.68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参考香港联合交易所历史成交价</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按公允价值计量的投资性房地产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126,429,000.00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按照第三方估值机构提供的报价</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color w:val="000000"/>
          <w:spacing w:val="0"/>
          <w:w w:val="100"/>
          <w:position w:val="0"/>
        </w:rPr>
        <w:t>、持续和非持续第三层次公允价值计量项目，采用的估值技术和重要参数的定性及定量信息</w:t>
      </w:r>
      <w:bookmarkEnd w:id="1568"/>
      <w:bookmarkEnd w:id="1569"/>
      <w:bookmarkEnd w:id="1571"/>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第三层输入值是相关资产或负债的不可观察输入值。第三层输入值包括不能直接观察和无法由可观察市场数据验证的利率、 股票波动率、企业合并中承担的弃置义务的未来现金流量、企业使用给自身数据作出的财务预测等。</w:t>
      </w:r>
    </w:p>
    <w:tbl>
      <w:tblPr>
        <w:tblOverlap w:val="never"/>
        <w:jc w:val="center"/>
        <w:tblLayout w:type="fixed"/>
      </w:tblPr>
      <w:tblGrid>
        <w:gridCol w:w="1925"/>
        <w:gridCol w:w="2779"/>
        <w:gridCol w:w="2390"/>
        <w:gridCol w:w="2582"/>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估值技术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输入值</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其他权益性工具投资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36,970,000.00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净资产公允价值</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r>
        <w:rPr>
          <w:color w:val="000000"/>
          <w:spacing w:val="0"/>
          <w:w w:val="100"/>
          <w:position w:val="0"/>
          <w:sz w:val="24"/>
          <w:szCs w:val="24"/>
        </w:rPr>
        <w:t>十二、关联方及关联交易</w:t>
      </w:r>
      <w:bookmarkEnd w:id="1572"/>
      <w:bookmarkEnd w:id="1573"/>
      <w:bookmarkEnd w:id="1574"/>
    </w:p>
    <w:p>
      <w:pPr>
        <w:pStyle w:val="Style34"/>
        <w:keepNext/>
        <w:keepLines/>
        <w:widowControl w:val="0"/>
        <w:shd w:val="clear" w:color="auto" w:fill="auto"/>
        <w:bidi w:val="0"/>
        <w:spacing w:before="0" w:after="30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75"/>
      <w:bookmarkEnd w:id="1576"/>
      <w:bookmarkEnd w:id="1577"/>
    </w:p>
    <w:tbl>
      <w:tblPr>
        <w:tblOverlap w:val="never"/>
        <w:jc w:val="center"/>
        <w:tblLayout w:type="fixed"/>
      </w:tblPr>
      <w:tblGrid>
        <w:gridCol w:w="1286"/>
        <w:gridCol w:w="2549"/>
        <w:gridCol w:w="955"/>
        <w:gridCol w:w="1882"/>
        <w:gridCol w:w="1306"/>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母公司对本企</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重庆绿发城市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重庆市璧山区璧泉街道双星大 道</w:t>
            </w:r>
            <w:r>
              <w:rPr>
                <w:color w:val="000000"/>
                <w:spacing w:val="0"/>
                <w:w w:val="100"/>
                <w:position w:val="0"/>
              </w:rPr>
              <w:t>50</w:t>
            </w:r>
            <w:r>
              <w:rPr>
                <w:rFonts w:ascii="SimSun" w:eastAsia="SimSun" w:hAnsi="SimSun" w:cs="SimSun"/>
                <w:color w:val="000000"/>
                <w:spacing w:val="0"/>
                <w:w w:val="100"/>
                <w:position w:val="0"/>
              </w:rPr>
              <w:t>号</w:t>
            </w:r>
            <w:r>
              <w:rPr>
                <w:color w:val="000000"/>
                <w:spacing w:val="0"/>
                <w:w w:val="100"/>
                <w:position w:val="0"/>
              </w:rPr>
              <w:t>1</w:t>
            </w:r>
            <w:r>
              <w:rPr>
                <w:rFonts w:ascii="SimSun" w:eastAsia="SimSun" w:hAnsi="SimSun" w:cs="SimSun"/>
                <w:color w:val="000000"/>
                <w:spacing w:val="0"/>
                <w:w w:val="100"/>
                <w:position w:val="0"/>
              </w:rPr>
              <w:t>幢</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111,030</w:t>
            </w:r>
            <w:r>
              <w:rPr>
                <w:rFonts w:ascii="SimSun" w:eastAsia="SimSun" w:hAnsi="SimSun" w:cs="SimSun"/>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截止报告期末，公司母公司绿发城建持有公司股份</w:t>
      </w:r>
      <w:r>
        <w:rPr>
          <w:rFonts w:ascii="Times New Roman" w:eastAsia="Times New Roman" w:hAnsi="Times New Roman" w:cs="Times New Roman"/>
          <w:color w:val="000000"/>
          <w:spacing w:val="0"/>
          <w:w w:val="100"/>
          <w:position w:val="0"/>
        </w:rPr>
        <w:t>84,119,291</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10.49%</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本企业最终控制方是重庆市璧山区财政局。</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月，公司原间接控股股东北京信中利投资股份有限公司（以下简称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信中利</w:t>
      </w:r>
      <w:r>
        <w:rPr>
          <w:rFonts w:ascii="Times New Roman" w:eastAsia="Times New Roman" w:hAnsi="Times New Roman" w:cs="Times New Roman"/>
          <w:color w:val="000000"/>
          <w:spacing w:val="0"/>
          <w:w w:val="100"/>
          <w:position w:val="0"/>
        </w:rPr>
        <w:t>”</w:t>
      </w:r>
      <w:r>
        <w:rPr>
          <w:color w:val="000000"/>
          <w:spacing w:val="0"/>
          <w:w w:val="100"/>
          <w:position w:val="0"/>
        </w:rPr>
        <w:t>）之控股子公司重庆信发企业管理 咨询有限公司（以下简称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重庆信发</w:t>
      </w:r>
      <w:r>
        <w:rPr>
          <w:rFonts w:ascii="Times New Roman" w:eastAsia="Times New Roman" w:hAnsi="Times New Roman" w:cs="Times New Roman"/>
          <w:color w:val="000000"/>
          <w:spacing w:val="0"/>
          <w:w w:val="100"/>
          <w:position w:val="0"/>
        </w:rPr>
        <w:t>”</w:t>
      </w:r>
      <w:r>
        <w:rPr>
          <w:color w:val="000000"/>
          <w:spacing w:val="0"/>
          <w:w w:val="100"/>
          <w:position w:val="0"/>
        </w:rPr>
        <w:t>）向重庆绿发资产经营管理有限公司（以下简称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重庆绿发</w:t>
      </w:r>
      <w:r>
        <w:rPr>
          <w:rFonts w:ascii="Times New Roman" w:eastAsia="Times New Roman" w:hAnsi="Times New Roman" w:cs="Times New Roman"/>
          <w:color w:val="000000"/>
          <w:spacing w:val="0"/>
          <w:w w:val="100"/>
          <w:position w:val="0"/>
        </w:rPr>
        <w:t>”</w:t>
      </w:r>
      <w:r>
        <w:rPr>
          <w:color w:val="000000"/>
          <w:spacing w:val="0"/>
          <w:w w:val="100"/>
          <w:position w:val="0"/>
        </w:rPr>
        <w:t>）申请借款人民币</w:t>
      </w:r>
      <w:r>
        <w:rPr>
          <w:rFonts w:ascii="Times New Roman" w:eastAsia="Times New Roman" w:hAnsi="Times New Roman" w:cs="Times New Roman"/>
          <w:color w:val="000000"/>
          <w:spacing w:val="0"/>
          <w:w w:val="100"/>
          <w:position w:val="0"/>
        </w:rPr>
        <w:t>5.41</w:t>
      </w:r>
      <w:r>
        <w:rPr>
          <w:color w:val="000000"/>
          <w:spacing w:val="0"/>
          <w:w w:val="100"/>
          <w:position w:val="0"/>
        </w:rPr>
        <w:t>亿元， 由信中利股东李亦非女士以其持有的</w:t>
      </w:r>
      <w:r>
        <w:rPr>
          <w:rFonts w:ascii="Times New Roman" w:eastAsia="Times New Roman" w:hAnsi="Times New Roman" w:cs="Times New Roman"/>
          <w:color w:val="000000"/>
          <w:spacing w:val="0"/>
          <w:w w:val="100"/>
          <w:position w:val="0"/>
        </w:rPr>
        <w:t>1.5</w:t>
      </w:r>
      <w:r>
        <w:rPr>
          <w:color w:val="000000"/>
          <w:spacing w:val="0"/>
          <w:w w:val="100"/>
          <w:position w:val="0"/>
        </w:rPr>
        <w:t>亿股信中利股票、公司控股股东中驰惠程企业管理有限公司（以下简称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中驰惠程</w:t>
      </w:r>
      <w:r>
        <w:rPr>
          <w:rFonts w:ascii="Times New Roman" w:eastAsia="Times New Roman" w:hAnsi="Times New Roman" w:cs="Times New Roman"/>
          <w:color w:val="000000"/>
          <w:spacing w:val="0"/>
          <w:w w:val="100"/>
          <w:position w:val="0"/>
        </w:rPr>
        <w:t>”</w:t>
      </w:r>
      <w:r>
        <w:rPr>
          <w:color w:val="000000"/>
          <w:spacing w:val="0"/>
          <w:w w:val="100"/>
          <w:position w:val="0"/>
        </w:rPr>
        <w:t>） 全部股权和中驰惠程持有的公司全部股票为该笔借款提供担保。截至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日，中驰惠程已将其持有的全部公司股票 </w:t>
      </w:r>
      <w:r>
        <w:rPr>
          <w:color w:val="000000"/>
          <w:spacing w:val="0"/>
          <w:w w:val="100"/>
          <w:position w:val="0"/>
        </w:rPr>
        <w:t>质押给重庆绿发。</w:t>
      </w:r>
    </w:p>
    <w:p>
      <w:pPr>
        <w:pStyle w:val="Style23"/>
        <w:keepNext w:val="0"/>
        <w:keepLines w:val="0"/>
        <w:widowControl w:val="0"/>
        <w:shd w:val="clear" w:color="auto" w:fill="auto"/>
        <w:bidi w:val="0"/>
        <w:spacing w:before="0" w:after="0" w:line="316" w:lineRule="exact"/>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月，重庆信发收到重庆市第一中级人民法院民事判决书【（</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127</w:t>
      </w:r>
      <w:r>
        <w:rPr>
          <w:color w:val="000000"/>
          <w:spacing w:val="0"/>
          <w:w w:val="100"/>
          <w:position w:val="0"/>
        </w:rPr>
        <w:t>号】，重庆市第一中级人民法院 对原告重庆绿发与被告重庆信发借款合同纠纷一案作出一审判决，判决重庆信发应在法定期限内支付重庆绿发借款本金</w:t>
      </w:r>
      <w:r>
        <w:rPr>
          <w:rFonts w:ascii="Times New Roman" w:eastAsia="Times New Roman" w:hAnsi="Times New Roman" w:cs="Times New Roman"/>
          <w:color w:val="000000"/>
          <w:spacing w:val="0"/>
          <w:w w:val="100"/>
          <w:position w:val="0"/>
        </w:rPr>
        <w:t xml:space="preserve">5.41 </w:t>
      </w:r>
      <w:r>
        <w:rPr>
          <w:color w:val="000000"/>
          <w:spacing w:val="0"/>
          <w:w w:val="100"/>
          <w:position w:val="0"/>
        </w:rPr>
        <w:t>亿元及相关利息。因被执行人重庆信发未履行已经发生法律效力的民事判决，申请执行人重庆绿发向重庆市第一中级人民法 院申请强制执行。鉴于中驰惠程以其质押给申请执行人重庆绿发的</w:t>
      </w:r>
      <w:r>
        <w:rPr>
          <w:rFonts w:ascii="Times New Roman" w:eastAsia="Times New Roman" w:hAnsi="Times New Roman" w:cs="Times New Roman"/>
          <w:color w:val="000000"/>
          <w:spacing w:val="0"/>
          <w:w w:val="100"/>
          <w:position w:val="0"/>
        </w:rPr>
        <w:t>70,336,166</w:t>
      </w:r>
      <w:r>
        <w:rPr>
          <w:color w:val="000000"/>
          <w:spacing w:val="0"/>
          <w:w w:val="100"/>
          <w:position w:val="0"/>
        </w:rPr>
        <w:t>股公司股票承担质押担保责任，重庆市第一中 级人民法院就上述事项作出如下裁定：</w:t>
      </w:r>
      <w:r>
        <w:rPr>
          <w:rFonts w:ascii="Times New Roman" w:eastAsia="Times New Roman" w:hAnsi="Times New Roman" w:cs="Times New Roman"/>
          <w:color w:val="000000"/>
          <w:spacing w:val="0"/>
          <w:w w:val="100"/>
          <w:position w:val="0"/>
        </w:rPr>
        <w:t>“</w:t>
      </w:r>
      <w:r>
        <w:rPr>
          <w:color w:val="000000"/>
          <w:spacing w:val="0"/>
          <w:w w:val="100"/>
          <w:position w:val="0"/>
        </w:rPr>
        <w:t>保证人中驰惠程企业管理有限公司在保证责任范围内向申请执行人重庆绿发资产经 营管理有限公司承担质押担保责任。本裁定立即执行。</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16" w:lineRule="exact"/>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月，公司收到控股股东中驰惠程的函告，因其控股股东重庆信发未履行已经发生法律效力的法院裁决，经申请 执行人重庆绿发向重庆市第一中级人民法院申请，重庆市第一中级人民法院作出【（</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执</w:t>
      </w:r>
      <w:r>
        <w:rPr>
          <w:rFonts w:ascii="Times New Roman" w:eastAsia="Times New Roman" w:hAnsi="Times New Roman" w:cs="Times New Roman"/>
          <w:color w:val="000000"/>
          <w:spacing w:val="0"/>
          <w:w w:val="100"/>
          <w:position w:val="0"/>
        </w:rPr>
        <w:t>999</w:t>
      </w:r>
      <w:r>
        <w:rPr>
          <w:color w:val="000000"/>
          <w:spacing w:val="0"/>
          <w:w w:val="100"/>
          <w:position w:val="0"/>
        </w:rPr>
        <w:t>号之一】至【（</w:t>
      </w:r>
      <w:r>
        <w:rPr>
          <w:rFonts w:ascii="Times New Roman" w:eastAsia="Times New Roman" w:hAnsi="Times New Roman" w:cs="Times New Roman"/>
          <w:color w:val="000000"/>
          <w:spacing w:val="0"/>
          <w:w w:val="100"/>
          <w:position w:val="0"/>
        </w:rPr>
        <w:t>2021</w:t>
      </w:r>
      <w:r>
        <w:rPr>
          <w:color w:val="000000"/>
          <w:spacing w:val="0"/>
          <w:w w:val="100"/>
          <w:position w:val="0"/>
        </w:rPr>
        <w:t>） 渝</w:t>
      </w:r>
      <w:r>
        <w:rPr>
          <w:rFonts w:ascii="Times New Roman" w:eastAsia="Times New Roman" w:hAnsi="Times New Roman" w:cs="Times New Roman"/>
          <w:color w:val="000000"/>
          <w:spacing w:val="0"/>
          <w:w w:val="100"/>
          <w:position w:val="0"/>
        </w:rPr>
        <w:t>01</w:t>
      </w:r>
      <w:r>
        <w:rPr>
          <w:color w:val="000000"/>
          <w:spacing w:val="0"/>
          <w:w w:val="100"/>
          <w:position w:val="0"/>
        </w:rPr>
        <w:t>执</w:t>
      </w:r>
      <w:r>
        <w:rPr>
          <w:rFonts w:ascii="Times New Roman" w:eastAsia="Times New Roman" w:hAnsi="Times New Roman" w:cs="Times New Roman"/>
          <w:color w:val="000000"/>
          <w:spacing w:val="0"/>
          <w:w w:val="100"/>
          <w:position w:val="0"/>
        </w:rPr>
        <w:t>999</w:t>
      </w:r>
      <w:r>
        <w:rPr>
          <w:color w:val="000000"/>
          <w:spacing w:val="0"/>
          <w:w w:val="100"/>
          <w:position w:val="0"/>
        </w:rPr>
        <w:t>号之六】执行裁定书，主要内容为：裁定冻结保证人中驰惠程持有的已质押给申请执行人重庆绿发的</w:t>
      </w:r>
      <w:r>
        <w:rPr>
          <w:rFonts w:ascii="Times New Roman" w:eastAsia="Times New Roman" w:hAnsi="Times New Roman" w:cs="Times New Roman"/>
          <w:color w:val="000000"/>
          <w:spacing w:val="0"/>
          <w:w w:val="100"/>
          <w:position w:val="0"/>
        </w:rPr>
        <w:t>5,200</w:t>
      </w:r>
      <w:r>
        <w:rPr>
          <w:color w:val="000000"/>
          <w:spacing w:val="0"/>
          <w:w w:val="100"/>
          <w:position w:val="0"/>
        </w:rPr>
        <w:t>万股公 司股票及孳息，并以集中竞价方式强制卖出其中的</w:t>
      </w:r>
      <w:r>
        <w:rPr>
          <w:rFonts w:ascii="Times New Roman" w:eastAsia="Times New Roman" w:hAnsi="Times New Roman" w:cs="Times New Roman"/>
          <w:color w:val="000000"/>
          <w:spacing w:val="0"/>
          <w:w w:val="100"/>
          <w:position w:val="0"/>
        </w:rPr>
        <w:t>801.92</w:t>
      </w:r>
      <w:r>
        <w:rPr>
          <w:color w:val="000000"/>
          <w:spacing w:val="0"/>
          <w:w w:val="100"/>
          <w:position w:val="0"/>
        </w:rPr>
        <w:t>万股公司股票，以大宗交易方式强制卖出其中的</w:t>
      </w:r>
      <w:r>
        <w:rPr>
          <w:rFonts w:ascii="Times New Roman" w:eastAsia="Times New Roman" w:hAnsi="Times New Roman" w:cs="Times New Roman"/>
          <w:color w:val="000000"/>
          <w:spacing w:val="0"/>
          <w:w w:val="100"/>
          <w:position w:val="0"/>
        </w:rPr>
        <w:t>1,603.85</w:t>
      </w:r>
      <w:r>
        <w:rPr>
          <w:color w:val="000000"/>
          <w:spacing w:val="0"/>
          <w:w w:val="100"/>
          <w:position w:val="0"/>
        </w:rPr>
        <w:t>万股公司 股份。</w:t>
      </w:r>
    </w:p>
    <w:p>
      <w:pPr>
        <w:pStyle w:val="Style23"/>
        <w:keepNext w:val="0"/>
        <w:keepLines w:val="0"/>
        <w:widowControl w:val="0"/>
        <w:shd w:val="clear" w:color="auto" w:fill="auto"/>
        <w:bidi w:val="0"/>
        <w:spacing w:before="0" w:after="0" w:line="316" w:lineRule="exact"/>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日，因执行法院生效裁定，中驰惠程通过深圳证券交易所交易系统大宗交易方式被动减持其持有的公司 </w:t>
      </w:r>
      <w:r>
        <w:rPr>
          <w:rFonts w:ascii="Times New Roman" w:eastAsia="Times New Roman" w:hAnsi="Times New Roman" w:cs="Times New Roman"/>
          <w:color w:val="000000"/>
          <w:spacing w:val="0"/>
          <w:w w:val="100"/>
          <w:position w:val="0"/>
        </w:rPr>
        <w:t>16,038,500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2%</w:t>
      </w:r>
      <w:r>
        <w:rPr>
          <w:color w:val="000000"/>
          <w:spacing w:val="0"/>
          <w:w w:val="100"/>
          <w:position w:val="0"/>
        </w:rPr>
        <w:t>。本次权益变动后，公司的第一大股东由中驰惠程变更为重庆绿发的全资子公司重庆绿 发城市建设有限公司（以下简称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绿发城建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360" w:line="316"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月，公司根据《公司法》、《上市公司收购管理办法》等相关法律、法规和规范性文件的规定，结合公司最新 股权结构、股东大会表决结果及董事会成员选任情况，认定公司控股股东由中驰惠程变更为绿发城建，实际控制人由汪超涌 先生及李亦非女士变更为重庆市璧山区财政局。北京高华律师事务所出具了《北京高华律师事务所关于深圳市惠程信息科技 股份有限公司控股股东和实际控制人变更的法律意见书》，认为对公司控股股东及实际控制人的认定符合有关法律法规。</w:t>
      </w:r>
    </w:p>
    <w:p>
      <w:pPr>
        <w:pStyle w:val="Style34"/>
        <w:keepNext/>
        <w:keepLines/>
        <w:widowControl w:val="0"/>
        <w:shd w:val="clear" w:color="auto" w:fill="auto"/>
        <w:tabs>
          <w:tab w:pos="328" w:val="left"/>
        </w:tabs>
        <w:bidi w:val="0"/>
        <w:spacing w:before="0" w:after="2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2</w:t>
      </w:r>
      <w:bookmarkEnd w:id="1580"/>
      <w:r>
        <w:rPr>
          <w:color w:val="000000"/>
          <w:spacing w:val="0"/>
          <w:w w:val="100"/>
          <w:position w:val="0"/>
        </w:rPr>
        <w:t>、</w:t>
        <w:tab/>
        <w:t>本企业的子公司情况</w:t>
      </w:r>
      <w:bookmarkEnd w:id="1578"/>
      <w:bookmarkEnd w:id="1579"/>
      <w:bookmarkEnd w:id="1581"/>
    </w:p>
    <w:p>
      <w:pPr>
        <w:pStyle w:val="Style23"/>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4"/>
        <w:keepNext/>
        <w:keepLines/>
        <w:widowControl w:val="0"/>
        <w:shd w:val="clear" w:color="auto" w:fill="auto"/>
        <w:tabs>
          <w:tab w:pos="328"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color w:val="000000"/>
          <w:spacing w:val="0"/>
          <w:w w:val="100"/>
          <w:position w:val="0"/>
        </w:rPr>
        <w:t>、</w:t>
        <w:tab/>
        <w:t>本企业合营和联营企业情况</w:t>
      </w:r>
      <w:bookmarkEnd w:id="1582"/>
      <w:bookmarkEnd w:id="1583"/>
      <w:bookmarkEnd w:id="158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北京真机智能科技有限公司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color w:val="000000"/>
          <w:spacing w:val="0"/>
          <w:w w:val="100"/>
          <w:position w:val="0"/>
        </w:rPr>
        <w:t>、其他关联方情况</w:t>
      </w:r>
      <w:bookmarkEnd w:id="1586"/>
      <w:bookmarkEnd w:id="1587"/>
      <w:bookmarkEnd w:id="158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重庆市璧山区财政局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公司实际控制人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公司间接控股股东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中新合富（重庆）股权投资基金管理有限公司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同一控制下的关联企业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同一控制下的关联企业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重庆思极星能科技有限公司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公司董事兼副总裁何金子先生担任董事的公司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北京信中利投资股份有限公司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公司原控股股东的间接控股股东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重庆信发企业管理咨询有限公司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公司原控股股东的母公司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四川瑞美森国际教育咨询有限公司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公司副总裁寇汉先生配偶控制的公司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成都启成投资发展有限公司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公司副总裁寇汉先生控制的公司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思极星能科技（四川）有限公司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公司董事兼总裁王蔚先生担任董事的公司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公司董事兼总裁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何金子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公司董事兼副总裁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叶陈刚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公司独立董事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钟晓林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Key Ke Liu </w:t>
            </w:r>
            <w:r>
              <w:rPr>
                <w:rFonts w:ascii="SimSun" w:eastAsia="SimSun" w:hAnsi="SimSun" w:cs="SimSun"/>
                <w:color w:val="000000"/>
                <w:spacing w:val="0"/>
                <w:w w:val="100"/>
                <w:position w:val="0"/>
              </w:rPr>
              <w:t>（中文名：刘科）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梅绍华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公司监事会主席</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邹胜勇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公司监事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公司职工代表监事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付汝峰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公司董事会秘书兼副总裁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鲁生选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公司财务总监兼副总裁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公司原实际控制人、董事长</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潘林武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沈晓超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公司原职工代表监事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贺庆华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公司原副总裁</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赵红艳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公司原副总裁、财务总监</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color w:val="000000"/>
          <w:spacing w:val="0"/>
          <w:w w:val="100"/>
          <w:position w:val="0"/>
        </w:rPr>
        <w:t>、关联交易情况</w:t>
      </w:r>
      <w:bookmarkEnd w:id="1590"/>
      <w:bookmarkEnd w:id="1591"/>
      <w:bookmarkEnd w:id="1593"/>
    </w:p>
    <w:p>
      <w:pPr>
        <w:pStyle w:val="Style34"/>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90"/>
      <w:bookmarkEnd w:id="1591"/>
      <w:bookmarkEnd w:id="159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北京真机智能科技有限公司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748,332.74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充电工程项目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32,823,829.22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277,489.86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95"/>
      <w:bookmarkEnd w:id="1596"/>
      <w:bookmarkEnd w:id="1597"/>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80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成都启成投资发展有限公司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747,514.16</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四川瑞美森国际教育咨询有限公司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286,114.88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747,514.16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80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1,059,633.05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1,850,695.50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4"/>
        <w:keepNext/>
        <w:keepLines/>
        <w:widowControl w:val="0"/>
        <w:shd w:val="clear" w:color="auto" w:fill="auto"/>
        <w:bidi w:val="0"/>
        <w:spacing w:before="0" w:after="380" w:line="240" w:lineRule="auto"/>
        <w:ind w:left="0" w:right="0" w:firstLine="0"/>
        <w:jc w:val="both"/>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98"/>
      <w:bookmarkEnd w:id="1599"/>
      <w:bookmarkEnd w:id="1601"/>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汪超涌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34"/>
        <w:keepNext/>
        <w:keepLines/>
        <w:widowControl w:val="0"/>
        <w:shd w:val="clear" w:color="auto" w:fill="auto"/>
        <w:bidi w:val="0"/>
        <w:spacing w:before="0" w:after="380" w:line="240" w:lineRule="auto"/>
        <w:ind w:left="0" w:right="0" w:firstLine="0"/>
        <w:jc w:val="both"/>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602"/>
      <w:bookmarkEnd w:id="1603"/>
      <w:bookmarkEnd w:id="16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989"/>
        <w:gridCol w:w="1560"/>
        <w:gridCol w:w="1699"/>
        <w:gridCol w:w="433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为支持公司经营发展，提高公司融资效率，经公司总裁 办公会审议通过，公司接受控股股东中驰惠程提供的 </w:t>
            </w:r>
            <w:r>
              <w:rPr>
                <w:color w:val="000000"/>
                <w:spacing w:val="0"/>
                <w:w w:val="100"/>
                <w:position w:val="0"/>
              </w:rPr>
              <w:t>2,000.00</w:t>
            </w:r>
            <w:r>
              <w:rPr>
                <w:rFonts w:ascii="SimSun" w:eastAsia="SimSun" w:hAnsi="SimSun" w:cs="SimSun"/>
                <w:color w:val="000000"/>
                <w:spacing w:val="0"/>
                <w:w w:val="100"/>
                <w:position w:val="0"/>
              </w:rPr>
              <w:t>万元无息财务资助，用于公司日常经营活动。 本次财务资助无需公司提供保证、抵押、质押等任何形 式的担保，亦无其他协议安排。截至本报告期末，公司 尚未偿还的余额为</w:t>
            </w:r>
            <w:r>
              <w:rPr>
                <w:color w:val="000000"/>
                <w:spacing w:val="0"/>
                <w:w w:val="100"/>
                <w:position w:val="0"/>
              </w:rPr>
              <w:t>10</w:t>
            </w:r>
            <w:r>
              <w:rPr>
                <w:rFonts w:ascii="SimSun" w:eastAsia="SimSun" w:hAnsi="SimSun" w:cs="SimSun"/>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003"/>
        <w:gridCol w:w="989"/>
        <w:gridCol w:w="1560"/>
        <w:gridCol w:w="1699"/>
        <w:gridCol w:w="4339"/>
      </w:tblGrid>
      <w:tr>
        <w:trPr>
          <w:trHeight w:val="13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重庆绿发资</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产经营管理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为进一步支持公司的稳健发展，满足公司经营资金需 求，公司现控股股东重庆绿发城市建设有限公司的母公 司重庆绿发资产经营管理有限公司向公司提供人民币</w:t>
            </w:r>
            <w:r>
              <w:rPr>
                <w:color w:val="000000"/>
                <w:spacing w:val="0"/>
                <w:w w:val="100"/>
                <w:position w:val="0"/>
              </w:rPr>
              <w:t xml:space="preserve">2 </w:t>
            </w:r>
            <w:r>
              <w:rPr>
                <w:rFonts w:ascii="SimSun" w:eastAsia="SimSun" w:hAnsi="SimSun" w:cs="SimSun"/>
                <w:color w:val="000000"/>
                <w:spacing w:val="0"/>
                <w:w w:val="100"/>
                <w:position w:val="0"/>
              </w:rPr>
              <w:t>亿元的授信额度（实际借款数额以实际放款金额为准）， 主要用于公司主营业务发展及补充流动资金，借款期限 为三年，年利率为</w:t>
            </w:r>
            <w:r>
              <w:rPr>
                <w:color w:val="000000"/>
                <w:spacing w:val="0"/>
                <w:w w:val="100"/>
                <w:position w:val="0"/>
              </w:rPr>
              <w:t>5%</w:t>
            </w:r>
            <w:r>
              <w:rPr>
                <w:rFonts w:ascii="SimSun" w:eastAsia="SimSun" w:hAnsi="SimSun" w:cs="SimSun"/>
                <w:color w:val="000000"/>
                <w:spacing w:val="0"/>
                <w:w w:val="100"/>
                <w:position w:val="0"/>
              </w:rPr>
              <w:t>。公司以持有的自有房产作抵押 担保，担保范围为双方签署《借款合同》项下的借款本 金及相应利息。</w:t>
            </w:r>
          </w:p>
        </w:tc>
      </w:tr>
      <w:tr>
        <w:trPr>
          <w:trHeight w:val="138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重庆绿发资</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产经营管理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606"/>
      <w:bookmarkEnd w:id="1607"/>
      <w:bookmarkEnd w:id="160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12,151,810.35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9,226,628.89</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610"/>
      <w:bookmarkEnd w:id="1611"/>
      <w:bookmarkEnd w:id="1613"/>
    </w:p>
    <w:p>
      <w:pPr>
        <w:pStyle w:val="Style34"/>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color w:val="000000"/>
          <w:spacing w:val="0"/>
          <w:w w:val="100"/>
          <w:position w:val="0"/>
        </w:rPr>
        <w:t>、关联方应收应付款项</w:t>
      </w:r>
      <w:bookmarkEnd w:id="1610"/>
      <w:bookmarkEnd w:id="1611"/>
      <w:bookmarkEnd w:id="1615"/>
    </w:p>
    <w:p>
      <w:pPr>
        <w:pStyle w:val="Style34"/>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10"/>
      <w:bookmarkEnd w:id="1611"/>
      <w:bookmarkEnd w:id="161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2693"/>
        <w:gridCol w:w="1133"/>
        <w:gridCol w:w="994"/>
        <w:gridCol w:w="1277"/>
        <w:gridCol w:w="78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其他应收款：非经营性资金占用款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北京信中利投资股份有限公司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301,829,100.33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其他应收款：斗罗大陆诉讼赔偿金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应收账款：房屋租赁款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四川瑞美森国际教育咨询有限公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应收账款：充电桩款项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16,815,647.24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289,316.72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应收账款：房屋租赁款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成都启成投资发展有限公司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869,105.67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合同资产：质保金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重庆绿发城市建设有限公司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17"/>
      <w:bookmarkEnd w:id="1618"/>
      <w:bookmarkEnd w:id="161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3120"/>
        <w:gridCol w:w="1843"/>
        <w:gridCol w:w="178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尚未支付的哆可梦股权受让款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寇汉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41,048,592.95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86,048,592.95</w:t>
            </w:r>
          </w:p>
        </w:tc>
      </w:tr>
    </w:tbl>
    <w:tbl>
      <w:tblPr>
        <w:tblOverlap w:val="never"/>
        <w:jc w:val="center"/>
        <w:tblLayout w:type="fixed"/>
      </w:tblPr>
      <w:tblGrid>
        <w:gridCol w:w="2842"/>
        <w:gridCol w:w="3120"/>
        <w:gridCol w:w="1843"/>
        <w:gridCol w:w="1781"/>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林嘉喜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14,413,273.31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14,413,273.31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其他应付款：无息财务资助款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中驰惠程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北京信中利投资股份有限公司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1,362,385.34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重庆绿发资产经营管理有限公司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重庆连盛同辉科技有限公司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605,345.91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color w:val="000000"/>
          <w:spacing w:val="0"/>
          <w:w w:val="100"/>
          <w:position w:val="0"/>
        </w:rPr>
        <w:t>、关联方承诺</w:t>
      </w:r>
      <w:bookmarkEnd w:id="1620"/>
      <w:bookmarkEnd w:id="1621"/>
      <w:bookmarkEnd w:id="162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sz w:val="24"/>
          <w:szCs w:val="24"/>
        </w:rPr>
        <w:t>十三、股份支付</w:t>
      </w:r>
      <w:bookmarkEnd w:id="1624"/>
      <w:bookmarkEnd w:id="1625"/>
      <w:bookmarkEnd w:id="1626"/>
    </w:p>
    <w:p>
      <w:pPr>
        <w:pStyle w:val="Style3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27"/>
      <w:bookmarkEnd w:id="1628"/>
      <w:bookmarkEnd w:id="1629"/>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详见以下说明</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详见以下说明</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公司已授予登记未执行完成的股权激励计划有：</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年股票期权与限制性股票激励计划情况：</w:t>
      </w:r>
    </w:p>
    <w:p>
      <w:pPr>
        <w:pStyle w:val="Style23"/>
        <w:keepNext w:val="0"/>
        <w:keepLines w:val="0"/>
        <w:widowControl w:val="0"/>
        <w:numPr>
          <w:ilvl w:val="0"/>
          <w:numId w:val="89"/>
        </w:numPr>
        <w:shd w:val="clear" w:color="auto" w:fill="auto"/>
        <w:bidi w:val="0"/>
        <w:spacing w:before="0" w:line="312" w:lineRule="exact"/>
        <w:ind w:left="0" w:right="0"/>
        <w:jc w:val="both"/>
      </w:pPr>
      <w:bookmarkStart w:id="1630" w:name="bookmark1630"/>
      <w:bookmarkEnd w:id="1630"/>
      <w:r>
        <w:rPr>
          <w:color w:val="000000"/>
          <w:spacing w:val="0"/>
          <w:w w:val="100"/>
          <w:position w:val="0"/>
        </w:rPr>
        <w:t>授予价格及总额</w:t>
      </w:r>
    </w:p>
    <w:p>
      <w:pPr>
        <w:pStyle w:val="Style23"/>
        <w:keepNext w:val="0"/>
        <w:keepLines w:val="0"/>
        <w:widowControl w:val="0"/>
        <w:shd w:val="clear" w:color="auto" w:fill="auto"/>
        <w:bidi w:val="0"/>
        <w:spacing w:before="0" w:line="313"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日召开的第七届董事会第六次会议、第七届监事会第三次会议以及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及其摘要的议案》等有关议案， 同意公司向董事、高级管理人员、以及公司（含子公司）其他核心骨干员工共计</w:t>
      </w:r>
      <w:r>
        <w:rPr>
          <w:rFonts w:ascii="Times New Roman" w:eastAsia="Times New Roman" w:hAnsi="Times New Roman" w:cs="Times New Roman"/>
          <w:color w:val="000000"/>
          <w:spacing w:val="0"/>
          <w:w w:val="100"/>
          <w:position w:val="0"/>
        </w:rPr>
        <w:t>19</w:t>
      </w:r>
      <w:r>
        <w:rPr>
          <w:color w:val="000000"/>
          <w:spacing w:val="0"/>
          <w:w w:val="100"/>
          <w:position w:val="0"/>
        </w:rPr>
        <w:t>名激励对象授予权益总计</w:t>
      </w:r>
      <w:r>
        <w:rPr>
          <w:rFonts w:ascii="Times New Roman" w:eastAsia="Times New Roman" w:hAnsi="Times New Roman" w:cs="Times New Roman"/>
          <w:color w:val="000000"/>
          <w:spacing w:val="0"/>
          <w:w w:val="100"/>
          <w:position w:val="0"/>
        </w:rPr>
        <w:t>4,801.6</w:t>
      </w:r>
      <w:r>
        <w:rPr>
          <w:rFonts w:ascii="Times New Roman" w:eastAsia="Times New Roman" w:hAnsi="Times New Roman" w:cs="Times New Roman"/>
          <w:color w:val="000000"/>
          <w:spacing w:val="0"/>
          <w:w w:val="100"/>
          <w:position w:val="0"/>
        </w:rPr>
        <w:t>2</w:t>
      </w:r>
      <w:r>
        <w:rPr>
          <w:color w:val="000000"/>
          <w:spacing w:val="0"/>
          <w:w w:val="100"/>
          <w:position w:val="0"/>
        </w:rPr>
        <w:t>万份， 占公司总股本的</w:t>
      </w:r>
      <w:r>
        <w:rPr>
          <w:rFonts w:ascii="Times New Roman" w:eastAsia="Times New Roman" w:hAnsi="Times New Roman" w:cs="Times New Roman"/>
          <w:color w:val="000000"/>
          <w:spacing w:val="0"/>
          <w:w w:val="100"/>
          <w:position w:val="0"/>
        </w:rPr>
        <w:t>5.99%</w:t>
      </w:r>
      <w:r>
        <w:rPr>
          <w:color w:val="000000"/>
          <w:spacing w:val="0"/>
          <w:w w:val="100"/>
          <w:position w:val="0"/>
        </w:rPr>
        <w:t>。其中，向激励对象授予股票期权合计</w:t>
      </w:r>
      <w:r>
        <w:rPr>
          <w:rFonts w:ascii="Times New Roman" w:eastAsia="Times New Roman" w:hAnsi="Times New Roman" w:cs="Times New Roman"/>
          <w:color w:val="000000"/>
          <w:spacing w:val="0"/>
          <w:w w:val="100"/>
          <w:position w:val="0"/>
        </w:rPr>
        <w:t>3,025</w:t>
      </w:r>
      <w:r>
        <w:rPr>
          <w:color w:val="000000"/>
          <w:spacing w:val="0"/>
          <w:w w:val="100"/>
          <w:position w:val="0"/>
        </w:rPr>
        <w:t>万份，占公司总股本的</w:t>
      </w:r>
      <w:r>
        <w:rPr>
          <w:rFonts w:ascii="Times New Roman" w:eastAsia="Times New Roman" w:hAnsi="Times New Roman" w:cs="Times New Roman"/>
          <w:color w:val="000000"/>
          <w:spacing w:val="0"/>
          <w:w w:val="100"/>
          <w:position w:val="0"/>
        </w:rPr>
        <w:t>3.77%</w:t>
      </w:r>
      <w:r>
        <w:rPr>
          <w:color w:val="000000"/>
          <w:spacing w:val="0"/>
          <w:w w:val="100"/>
          <w:position w:val="0"/>
        </w:rPr>
        <w:t>；向激励对象授予限制性股 票合计</w:t>
      </w:r>
      <w:r>
        <w:rPr>
          <w:rFonts w:ascii="Times New Roman" w:eastAsia="Times New Roman" w:hAnsi="Times New Roman" w:cs="Times New Roman"/>
          <w:color w:val="000000"/>
          <w:spacing w:val="0"/>
          <w:w w:val="100"/>
          <w:position w:val="0"/>
        </w:rPr>
        <w:t>1,776.6</w:t>
      </w:r>
      <w:r>
        <w:rPr>
          <w:rFonts w:ascii="Times New Roman" w:eastAsia="Times New Roman" w:hAnsi="Times New Roman" w:cs="Times New Roman"/>
          <w:color w:val="000000"/>
          <w:spacing w:val="0"/>
          <w:w w:val="100"/>
          <w:position w:val="0"/>
        </w:rPr>
        <w:t>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2.22%</w:t>
      </w:r>
      <w:r>
        <w:rPr>
          <w:color w:val="000000"/>
          <w:spacing w:val="0"/>
          <w:w w:val="100"/>
          <w:position w:val="0"/>
        </w:rPr>
        <w:t>。本次激励计划首次授予的股票期权的行权价格为</w:t>
      </w:r>
      <w:r>
        <w:rPr>
          <w:rFonts w:ascii="Times New Roman" w:eastAsia="Times New Roman" w:hAnsi="Times New Roman" w:cs="Times New Roman"/>
          <w:color w:val="000000"/>
          <w:spacing w:val="0"/>
          <w:w w:val="100"/>
          <w:position w:val="0"/>
        </w:rPr>
        <w:t>4.41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股，首次授予的限制 性股票的授予价格为</w:t>
      </w:r>
      <w:r>
        <w:rPr>
          <w:rFonts w:ascii="Times New Roman" w:eastAsia="Times New Roman" w:hAnsi="Times New Roman" w:cs="Times New Roman"/>
          <w:color w:val="000000"/>
          <w:spacing w:val="0"/>
          <w:w w:val="100"/>
          <w:position w:val="0"/>
        </w:rPr>
        <w:t>2.21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日，公司召开第七届董事会第八次会议、第七届监事会第五次会议审议通过《关于向激励对象授予股票期 权和限制性股票的议案》，独立董事发表了同意的独立意见，同意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日为本次股权激励计划的授权日</w:t>
      </w:r>
      <w:r>
        <w:rPr>
          <w:rFonts w:ascii="Times New Roman" w:eastAsia="Times New Roman" w:hAnsi="Times New Roman" w:cs="Times New Roman"/>
          <w:color w:val="000000"/>
          <w:spacing w:val="0"/>
          <w:w w:val="100"/>
          <w:position w:val="0"/>
        </w:rPr>
        <w:t>/</w:t>
      </w:r>
      <w:r>
        <w:rPr>
          <w:color w:val="000000"/>
          <w:spacing w:val="0"/>
          <w:w w:val="100"/>
          <w:position w:val="0"/>
        </w:rPr>
        <w:t>授予日，同 意向</w:t>
      </w:r>
      <w:r>
        <w:rPr>
          <w:rFonts w:ascii="Times New Roman" w:eastAsia="Times New Roman" w:hAnsi="Times New Roman" w:cs="Times New Roman"/>
          <w:color w:val="000000"/>
          <w:spacing w:val="0"/>
          <w:w w:val="100"/>
          <w:position w:val="0"/>
        </w:rPr>
        <w:t>19</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2,755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16</w:t>
      </w:r>
      <w:r>
        <w:rPr>
          <w:color w:val="000000"/>
          <w:spacing w:val="0"/>
          <w:w w:val="100"/>
          <w:position w:val="0"/>
        </w:rPr>
        <w:t>名符合条件的激励对象首次授予</w:t>
      </w:r>
      <w:r>
        <w:rPr>
          <w:rFonts w:ascii="Times New Roman" w:eastAsia="Times New Roman" w:hAnsi="Times New Roman" w:cs="Times New Roman"/>
          <w:color w:val="000000"/>
          <w:spacing w:val="0"/>
          <w:w w:val="100"/>
          <w:position w:val="0"/>
        </w:rPr>
        <w:t>1,665</w:t>
      </w:r>
      <w:r>
        <w:rPr>
          <w:color w:val="000000"/>
          <w:spacing w:val="0"/>
          <w:w w:val="100"/>
          <w:position w:val="0"/>
        </w:rPr>
        <w:t>万股限制性股票。</w:t>
      </w:r>
    </w:p>
    <w:p>
      <w:pPr>
        <w:pStyle w:val="Style23"/>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日，公司完成了 </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年股票期权与限制性股票激励计划之股票期权的首次登记工作，首次授予股票期权的 数量为</w:t>
      </w:r>
      <w:r>
        <w:rPr>
          <w:rFonts w:ascii="Times New Roman" w:eastAsia="Times New Roman" w:hAnsi="Times New Roman" w:cs="Times New Roman"/>
          <w:color w:val="000000"/>
          <w:spacing w:val="0"/>
          <w:w w:val="100"/>
          <w:position w:val="0"/>
        </w:rPr>
        <w:t>2,755</w:t>
      </w:r>
      <w:r>
        <w:rPr>
          <w:color w:val="000000"/>
          <w:spacing w:val="0"/>
          <w:w w:val="100"/>
          <w:position w:val="0"/>
        </w:rPr>
        <w:t>万份，占公司总股本的</w:t>
      </w:r>
      <w:r>
        <w:rPr>
          <w:rFonts w:ascii="Times New Roman" w:eastAsia="Times New Roman" w:hAnsi="Times New Roman" w:cs="Times New Roman"/>
          <w:color w:val="000000"/>
          <w:spacing w:val="0"/>
          <w:w w:val="100"/>
          <w:position w:val="0"/>
        </w:rPr>
        <w:t>3.44%</w:t>
      </w:r>
      <w:r>
        <w:rPr>
          <w:color w:val="000000"/>
          <w:spacing w:val="0"/>
          <w:w w:val="100"/>
          <w:position w:val="0"/>
        </w:rPr>
        <w:t>；股票期权代码为：</w:t>
      </w:r>
      <w:r>
        <w:rPr>
          <w:rFonts w:ascii="Times New Roman" w:eastAsia="Times New Roman" w:hAnsi="Times New Roman" w:cs="Times New Roman"/>
          <w:color w:val="000000"/>
          <w:spacing w:val="0"/>
          <w:w w:val="100"/>
          <w:position w:val="0"/>
        </w:rPr>
        <w:t>037149</w:t>
      </w:r>
      <w:r>
        <w:rPr>
          <w:color w:val="000000"/>
          <w:spacing w:val="0"/>
          <w:w w:val="100"/>
          <w:position w:val="0"/>
        </w:rPr>
        <w:t>；股票期权简称为：惠科</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股票来源于公司从二级 市场回购和</w:t>
      </w:r>
      <w:r>
        <w:rPr>
          <w:rFonts w:ascii="Times New Roman" w:eastAsia="Times New Roman" w:hAnsi="Times New Roman" w:cs="Times New Roman"/>
          <w:color w:val="000000"/>
          <w:spacing w:val="0"/>
          <w:w w:val="100"/>
          <w:position w:val="0"/>
        </w:rPr>
        <w:t>/</w:t>
      </w:r>
      <w:r>
        <w:rPr>
          <w:color w:val="000000"/>
          <w:spacing w:val="0"/>
          <w:w w:val="100"/>
          <w:position w:val="0"/>
        </w:rPr>
        <w:t>或定向增发的公司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23"/>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日，公司完成了 </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年股票期权与限制性股票激励计划之限制性股票的首次授予登记工作，首次向</w:t>
      </w:r>
      <w:r>
        <w:rPr>
          <w:rFonts w:ascii="Times New Roman" w:eastAsia="Times New Roman" w:hAnsi="Times New Roman" w:cs="Times New Roman"/>
          <w:color w:val="000000"/>
          <w:spacing w:val="0"/>
          <w:w w:val="100"/>
          <w:position w:val="0"/>
        </w:rPr>
        <w:t>11</w:t>
      </w:r>
      <w:r>
        <w:rPr>
          <w:color w:val="000000"/>
          <w:spacing w:val="0"/>
          <w:w w:val="100"/>
          <w:position w:val="0"/>
        </w:rPr>
        <w:t>名激 励对象授予限制性股票</w:t>
      </w:r>
      <w:r>
        <w:rPr>
          <w:rFonts w:ascii="Times New Roman" w:eastAsia="Times New Roman" w:hAnsi="Times New Roman" w:cs="Times New Roman"/>
          <w:color w:val="000000"/>
          <w:spacing w:val="0"/>
          <w:w w:val="100"/>
          <w:position w:val="0"/>
        </w:rPr>
        <w:t>570</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rPr>
        <w:t>0.71%</w:t>
      </w:r>
      <w:r>
        <w:rPr>
          <w:color w:val="000000"/>
          <w:spacing w:val="0"/>
          <w:w w:val="100"/>
          <w:position w:val="0"/>
        </w:rPr>
        <w:t>，股票来源于公司从二级市场回购的</w:t>
      </w:r>
      <w:r>
        <w:rPr>
          <w:rFonts w:ascii="Times New Roman" w:eastAsia="Times New Roman" w:hAnsi="Times New Roman" w:cs="Times New Roman"/>
          <w:color w:val="000000"/>
          <w:spacing w:val="0"/>
          <w:w w:val="100"/>
          <w:position w:val="0"/>
        </w:rPr>
        <w:t>A</w:t>
      </w:r>
      <w:r>
        <w:rPr>
          <w:color w:val="000000"/>
          <w:spacing w:val="0"/>
          <w:w w:val="100"/>
          <w:position w:val="0"/>
        </w:rPr>
        <w:t>股股通股股票。</w:t>
      </w:r>
      <w:r>
        <w:br w:type="page"/>
      </w:r>
    </w:p>
    <w:p>
      <w:pPr>
        <w:pStyle w:val="Style23"/>
        <w:keepNext w:val="0"/>
        <w:keepLines w:val="0"/>
        <w:widowControl w:val="0"/>
        <w:numPr>
          <w:ilvl w:val="0"/>
          <w:numId w:val="89"/>
        </w:numPr>
        <w:shd w:val="clear" w:color="auto" w:fill="auto"/>
        <w:bidi w:val="0"/>
        <w:spacing w:before="0" w:after="80" w:line="307" w:lineRule="exact"/>
        <w:ind w:left="0" w:right="0" w:firstLine="360"/>
        <w:jc w:val="both"/>
      </w:pPr>
      <w:bookmarkStart w:id="1631" w:name="bookmark1631"/>
      <w:bookmarkEnd w:id="1631"/>
      <w:r>
        <w:rPr>
          <w:color w:val="000000"/>
          <w:spacing w:val="0"/>
          <w:w w:val="100"/>
          <w:position w:val="0"/>
        </w:rPr>
        <w:t>等待期</w:t>
      </w:r>
      <w:r>
        <w:rPr>
          <w:rFonts w:ascii="Times New Roman" w:eastAsia="Times New Roman" w:hAnsi="Times New Roman" w:cs="Times New Roman"/>
          <w:color w:val="000000"/>
          <w:spacing w:val="0"/>
          <w:w w:val="100"/>
          <w:position w:val="0"/>
        </w:rPr>
        <w:t>/</w:t>
      </w:r>
      <w:r>
        <w:rPr>
          <w:color w:val="000000"/>
          <w:spacing w:val="0"/>
          <w:w w:val="100"/>
          <w:position w:val="0"/>
        </w:rPr>
        <w:t>限售期</w:t>
      </w:r>
    </w:p>
    <w:p>
      <w:pPr>
        <w:pStyle w:val="Style23"/>
        <w:keepNext w:val="0"/>
        <w:keepLines w:val="0"/>
        <w:widowControl w:val="0"/>
        <w:shd w:val="clear" w:color="auto" w:fill="auto"/>
        <w:bidi w:val="0"/>
        <w:spacing w:before="0" w:after="440" w:line="307" w:lineRule="exact"/>
        <w:ind w:left="0" w:right="0" w:firstLine="360"/>
        <w:jc w:val="both"/>
      </w:pPr>
      <w:r>
        <w:rPr>
          <w:color w:val="000000"/>
          <w:spacing w:val="0"/>
          <w:w w:val="100"/>
          <w:position w:val="0"/>
        </w:rPr>
        <w:t>本激励计划首次授予的股票期权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限制性股票的等待期</w:t>
      </w:r>
      <w:r>
        <w:rPr>
          <w:rFonts w:ascii="Times New Roman" w:eastAsia="Times New Roman" w:hAnsi="Times New Roman" w:cs="Times New Roman"/>
          <w:color w:val="000000"/>
          <w:spacing w:val="0"/>
          <w:w w:val="100"/>
          <w:position w:val="0"/>
        </w:rPr>
        <w:t>/</w:t>
      </w:r>
      <w:r>
        <w:rPr>
          <w:color w:val="000000"/>
          <w:spacing w:val="0"/>
          <w:w w:val="100"/>
          <w:position w:val="0"/>
        </w:rPr>
        <w:t>限售期分别为自股票期权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 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个月。激励对象根据本激励计划获授的股票期权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限制性股票不得转让、质押、抵押、用于担保或偿还债务</w:t>
      </w:r>
    </w:p>
    <w:p>
      <w:pPr>
        <w:pStyle w:val="Style23"/>
        <w:keepNext w:val="0"/>
        <w:keepLines w:val="0"/>
        <w:widowControl w:val="0"/>
        <w:numPr>
          <w:ilvl w:val="0"/>
          <w:numId w:val="89"/>
        </w:numPr>
        <w:shd w:val="clear" w:color="auto" w:fill="auto"/>
        <w:bidi w:val="0"/>
        <w:spacing w:before="0" w:after="120" w:line="240" w:lineRule="auto"/>
        <w:ind w:left="0" w:right="0" w:firstLine="360"/>
        <w:jc w:val="left"/>
      </w:pPr>
      <w:bookmarkStart w:id="1632" w:name="bookmark1632"/>
      <w:bookmarkEnd w:id="1632"/>
      <w:r>
        <w:rPr>
          <w:color w:val="000000"/>
          <w:spacing w:val="0"/>
          <w:w w:val="100"/>
          <w:position w:val="0"/>
        </w:rPr>
        <w:t>股票期权行权安排</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本激励计划首次授予的股票期权的行权安排如下表所示:</w:t>
      </w:r>
    </w:p>
    <w:tbl>
      <w:tblPr>
        <w:tblOverlap w:val="never"/>
        <w:jc w:val="center"/>
        <w:tblLayout w:type="fixed"/>
      </w:tblPr>
      <w:tblGrid>
        <w:gridCol w:w="2136"/>
        <w:gridCol w:w="6614"/>
        <w:gridCol w:w="926"/>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行权比例</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第一个行权期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12</w:t>
            </w:r>
            <w:r>
              <w:rPr>
                <w:rFonts w:ascii="SimSun" w:eastAsia="SimSun" w:hAnsi="SimSun" w:cs="SimSun"/>
                <w:color w:val="000000"/>
                <w:spacing w:val="0"/>
                <w:w w:val="100"/>
                <w:position w:val="0"/>
              </w:rPr>
              <w:t>个月后的首个交易日起至首次授予登记完成之日起</w:t>
            </w:r>
            <w:r>
              <w:rPr>
                <w:color w:val="000000"/>
                <w:spacing w:val="0"/>
                <w:w w:val="100"/>
                <w:position w:val="0"/>
              </w:rPr>
              <w:t xml:space="preserve">24 </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40%</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第二个行权期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24</w:t>
            </w:r>
            <w:r>
              <w:rPr>
                <w:rFonts w:ascii="SimSun" w:eastAsia="SimSun" w:hAnsi="SimSun" w:cs="SimSun"/>
                <w:color w:val="000000"/>
                <w:spacing w:val="0"/>
                <w:w w:val="100"/>
                <w:position w:val="0"/>
              </w:rPr>
              <w:t>个月后的首个交易日起至首次授予登记完成之日起</w:t>
            </w:r>
            <w:r>
              <w:rPr>
                <w:color w:val="000000"/>
                <w:spacing w:val="0"/>
                <w:w w:val="100"/>
                <w:position w:val="0"/>
              </w:rPr>
              <w:t xml:space="preserve">36 </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30%</w:t>
            </w: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36</w:t>
            </w:r>
            <w:r>
              <w:rPr>
                <w:rFonts w:ascii="SimSun" w:eastAsia="SimSun" w:hAnsi="SimSun" w:cs="SimSun"/>
                <w:color w:val="000000"/>
                <w:spacing w:val="0"/>
                <w:w w:val="100"/>
                <w:position w:val="0"/>
              </w:rPr>
              <w:t>个月后的首个交易日起至首次授予登记完成之日起</w:t>
            </w:r>
            <w:r>
              <w:rPr>
                <w:color w:val="000000"/>
                <w:spacing w:val="0"/>
                <w:w w:val="100"/>
                <w:position w:val="0"/>
              </w:rPr>
              <w:t xml:space="preserve">48 </w:t>
            </w:r>
            <w:r>
              <w:rPr>
                <w:rFonts w:ascii="SimSun" w:eastAsia="SimSun" w:hAnsi="SimSun" w:cs="SimSun"/>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30%</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若本激励计划预留授予的股票期权于</w:t>
      </w:r>
      <w:r>
        <w:rPr>
          <w:rFonts w:ascii="Times New Roman" w:eastAsia="Times New Roman" w:hAnsi="Times New Roman" w:cs="Times New Roman"/>
          <w:color w:val="000000"/>
          <w:spacing w:val="0"/>
          <w:w w:val="100"/>
          <w:position w:val="0"/>
        </w:rPr>
        <w:t>2021</w:t>
      </w:r>
      <w:r>
        <w:rPr>
          <w:color w:val="000000"/>
          <w:spacing w:val="0"/>
          <w:w w:val="100"/>
          <w:position w:val="0"/>
        </w:rPr>
        <w:t>年授出，预留授予的股票期权的行权安排与首次授予的股票期权的行权安排一</w:t>
      </w:r>
    </w:p>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致。</w:t>
      </w: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若本激励计划预留授予的股票期权于</w:t>
      </w:r>
      <w:r>
        <w:rPr>
          <w:rFonts w:ascii="Times New Roman" w:eastAsia="Times New Roman" w:hAnsi="Times New Roman" w:cs="Times New Roman"/>
          <w:color w:val="000000"/>
          <w:spacing w:val="0"/>
          <w:w w:val="100"/>
          <w:position w:val="0"/>
        </w:rPr>
        <w:t>2022</w:t>
      </w:r>
      <w:r>
        <w:rPr>
          <w:color w:val="000000"/>
          <w:spacing w:val="0"/>
          <w:w w:val="100"/>
          <w:position w:val="0"/>
        </w:rPr>
        <w:t>年授出，预留授予的股票期权的行权安排如下表所示:</w:t>
      </w:r>
    </w:p>
    <w:tbl>
      <w:tblPr>
        <w:tblOverlap w:val="never"/>
        <w:jc w:val="center"/>
        <w:tblLayout w:type="fixed"/>
      </w:tblPr>
      <w:tblGrid>
        <w:gridCol w:w="2136"/>
        <w:gridCol w:w="6782"/>
        <w:gridCol w:w="758"/>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行权比例</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第一个行权期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自预留授予登记完成之日起</w:t>
            </w:r>
            <w:r>
              <w:rPr>
                <w:color w:val="000000"/>
                <w:spacing w:val="0"/>
                <w:w w:val="100"/>
                <w:position w:val="0"/>
              </w:rPr>
              <w:t>12</w:t>
            </w:r>
            <w:r>
              <w:rPr>
                <w:rFonts w:ascii="SimSun" w:eastAsia="SimSun" w:hAnsi="SimSun" w:cs="SimSun"/>
                <w:color w:val="000000"/>
                <w:spacing w:val="0"/>
                <w:w w:val="100"/>
                <w:position w:val="0"/>
              </w:rPr>
              <w:t>个月后的首个交易日起至预留授予登记完成之日起</w:t>
            </w:r>
            <w:r>
              <w:rPr>
                <w:color w:val="000000"/>
                <w:spacing w:val="0"/>
                <w:w w:val="100"/>
                <w:position w:val="0"/>
              </w:rPr>
              <w:t>24</w:t>
            </w:r>
            <w:r>
              <w:rPr>
                <w:rFonts w:ascii="SimSun" w:eastAsia="SimSun" w:hAnsi="SimSun" w:cs="SimSun"/>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w:t>
            </w: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第二个行权期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自预留授予登记完成之日起</w:t>
            </w:r>
            <w:r>
              <w:rPr>
                <w:color w:val="000000"/>
                <w:spacing w:val="0"/>
                <w:w w:val="100"/>
                <w:position w:val="0"/>
              </w:rPr>
              <w:t>24</w:t>
            </w:r>
            <w:r>
              <w:rPr>
                <w:rFonts w:ascii="SimSun" w:eastAsia="SimSun" w:hAnsi="SimSun" w:cs="SimSun"/>
                <w:color w:val="000000"/>
                <w:spacing w:val="0"/>
                <w:w w:val="100"/>
                <w:position w:val="0"/>
              </w:rPr>
              <w:t>个月后的首个交易日起至预留授予登记完成之日起</w:t>
            </w:r>
            <w:r>
              <w:rPr>
                <w:color w:val="000000"/>
                <w:spacing w:val="0"/>
                <w:w w:val="100"/>
                <w:position w:val="0"/>
              </w:rPr>
              <w:t>36</w:t>
            </w:r>
            <w:r>
              <w:rPr>
                <w:rFonts w:ascii="SimSun" w:eastAsia="SimSun" w:hAnsi="SimSun" w:cs="SimSun"/>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在上述约定期间内未申请行权或因未达到行权条件而不能申请行权的当期股票期权，公司将按本激励计划的规定办理注</w:t>
      </w:r>
    </w:p>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w:t>
      </w:r>
    </w:p>
    <w:p>
      <w:pPr>
        <w:pStyle w:val="Style23"/>
        <w:keepNext w:val="0"/>
        <w:keepLines w:val="0"/>
        <w:widowControl w:val="0"/>
        <w:numPr>
          <w:ilvl w:val="0"/>
          <w:numId w:val="89"/>
        </w:numPr>
        <w:shd w:val="clear" w:color="auto" w:fill="auto"/>
        <w:bidi w:val="0"/>
        <w:spacing w:before="0" w:after="120" w:line="240" w:lineRule="auto"/>
        <w:ind w:left="0" w:right="0" w:firstLine="360"/>
        <w:jc w:val="left"/>
      </w:pPr>
      <w:bookmarkStart w:id="1633" w:name="bookmark1633"/>
      <w:bookmarkEnd w:id="1633"/>
      <w:r>
        <w:rPr>
          <w:color w:val="000000"/>
          <w:spacing w:val="0"/>
          <w:w w:val="100"/>
          <w:position w:val="0"/>
        </w:rPr>
        <w:t>限制性股票解除限售安排</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本激励计划首次授予的限制性股票的解除限售安排如下表所示:</w:t>
      </w:r>
    </w:p>
    <w:tbl>
      <w:tblPr>
        <w:tblOverlap w:val="never"/>
        <w:jc w:val="center"/>
        <w:tblLayout w:type="fixed"/>
      </w:tblPr>
      <w:tblGrid>
        <w:gridCol w:w="2093"/>
        <w:gridCol w:w="5592"/>
        <w:gridCol w:w="1992"/>
      </w:tblGrid>
      <w:tr>
        <w:trPr>
          <w:trHeight w:val="4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解除限售期间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解除限售比例</w:t>
            </w:r>
          </w:p>
        </w:tc>
      </w:tr>
      <w:tr>
        <w:trPr>
          <w:trHeight w:val="7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20"/>
              <w:jc w:val="left"/>
            </w:pPr>
            <w:r>
              <w:rPr>
                <w:rFonts w:ascii="SimSun" w:eastAsia="SimSun" w:hAnsi="SimSun" w:cs="SimSun"/>
                <w:color w:val="000000"/>
                <w:spacing w:val="0"/>
                <w:w w:val="100"/>
                <w:position w:val="0"/>
              </w:rPr>
              <w:t>第一个解除限售期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12</w:t>
            </w:r>
            <w:r>
              <w:rPr>
                <w:rFonts w:ascii="SimSun" w:eastAsia="SimSun" w:hAnsi="SimSun" w:cs="SimSun"/>
                <w:color w:val="000000"/>
                <w:spacing w:val="0"/>
                <w:w w:val="100"/>
                <w:position w:val="0"/>
              </w:rPr>
              <w:t>个月后的首个交易日起至首次授予登记 完成之日起</w:t>
            </w:r>
            <w:r>
              <w:rPr>
                <w:color w:val="000000"/>
                <w:spacing w:val="0"/>
                <w:w w:val="100"/>
                <w:position w:val="0"/>
              </w:rPr>
              <w:t>24</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40%</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320"/>
              <w:jc w:val="left"/>
            </w:pPr>
            <w:r>
              <w:rPr>
                <w:rFonts w:ascii="SimSun" w:eastAsia="SimSun" w:hAnsi="SimSun" w:cs="SimSun"/>
                <w:color w:val="000000"/>
                <w:spacing w:val="0"/>
                <w:w w:val="100"/>
                <w:position w:val="0"/>
              </w:rPr>
              <w:t>第二个解除限售期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24</w:t>
            </w:r>
            <w:r>
              <w:rPr>
                <w:rFonts w:ascii="SimSun" w:eastAsia="SimSun" w:hAnsi="SimSun" w:cs="SimSun"/>
                <w:color w:val="000000"/>
                <w:spacing w:val="0"/>
                <w:w w:val="100"/>
                <w:position w:val="0"/>
              </w:rPr>
              <w:t>个月后的首个交易日起至首次授予登记 完成之日起</w:t>
            </w:r>
            <w:r>
              <w:rPr>
                <w:color w:val="000000"/>
                <w:spacing w:val="0"/>
                <w:w w:val="100"/>
                <w:position w:val="0"/>
              </w:rPr>
              <w:t>36</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w:t>
            </w: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320"/>
              <w:jc w:val="left"/>
            </w:pPr>
            <w:r>
              <w:rPr>
                <w:rFonts w:ascii="SimSun" w:eastAsia="SimSun" w:hAnsi="SimSun" w:cs="SimSun"/>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自首次授予登记完成之日起</w:t>
            </w:r>
            <w:r>
              <w:rPr>
                <w:color w:val="000000"/>
                <w:spacing w:val="0"/>
                <w:w w:val="100"/>
                <w:position w:val="0"/>
              </w:rPr>
              <w:t>36</w:t>
            </w:r>
            <w:r>
              <w:rPr>
                <w:rFonts w:ascii="SimSun" w:eastAsia="SimSun" w:hAnsi="SimSun" w:cs="SimSun"/>
                <w:color w:val="000000"/>
                <w:spacing w:val="0"/>
                <w:w w:val="100"/>
                <w:position w:val="0"/>
              </w:rPr>
              <w:t>个月后的首个交易日起至首次授予登记 完成之日起</w:t>
            </w:r>
            <w:r>
              <w:rPr>
                <w:color w:val="000000"/>
                <w:spacing w:val="0"/>
                <w:w w:val="100"/>
                <w:position w:val="0"/>
              </w:rPr>
              <w:t>48</w:t>
            </w:r>
            <w:r>
              <w:rPr>
                <w:rFonts w:ascii="SimSun" w:eastAsia="SimSun" w:hAnsi="SimSun" w:cs="SimSun"/>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若本激励计划预留授予的限制性股票于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年授出，预留部分对应的限制性股票的解除限售安排与首次授予的限制性股</w:t>
      </w:r>
    </w:p>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票的解除限售安排一致。</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若本激励计划预留授予的限制性股票于</w:t>
      </w:r>
      <w:r>
        <w:rPr>
          <w:rFonts w:ascii="Times New Roman" w:eastAsia="Times New Roman" w:hAnsi="Times New Roman" w:cs="Times New Roman"/>
          <w:color w:val="000000"/>
          <w:spacing w:val="0"/>
          <w:w w:val="100"/>
          <w:position w:val="0"/>
        </w:rPr>
        <w:t>2022</w:t>
      </w:r>
      <w:r>
        <w:rPr>
          <w:color w:val="000000"/>
          <w:spacing w:val="0"/>
          <w:w w:val="100"/>
          <w:position w:val="0"/>
        </w:rPr>
        <w:t>年授出，预留部分对应的限制性股票的解除限售安排如下表所示:</w:t>
      </w:r>
    </w:p>
    <w:tbl>
      <w:tblPr>
        <w:tblOverlap w:val="never"/>
        <w:jc w:val="center"/>
        <w:tblLayout w:type="fixed"/>
      </w:tblPr>
      <w:tblGrid>
        <w:gridCol w:w="2093"/>
        <w:gridCol w:w="5592"/>
        <w:gridCol w:w="1992"/>
      </w:tblGrid>
      <w:tr>
        <w:trPr>
          <w:trHeight w:val="4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解除限售期间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解除限售比例</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第一个解除限售期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自预留授予登记完成之日起</w:t>
            </w:r>
            <w:r>
              <w:rPr>
                <w:color w:val="000000"/>
                <w:spacing w:val="0"/>
                <w:w w:val="100"/>
                <w:position w:val="0"/>
              </w:rPr>
              <w:t>12</w:t>
            </w:r>
            <w:r>
              <w:rPr>
                <w:rFonts w:ascii="SimSun" w:eastAsia="SimSun" w:hAnsi="SimSun" w:cs="SimSun"/>
                <w:color w:val="000000"/>
                <w:spacing w:val="0"/>
                <w:w w:val="100"/>
                <w:position w:val="0"/>
              </w:rPr>
              <w:t>个月后的首个交易日起至预留授予登记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bl>
    <w:tbl>
      <w:tblPr>
        <w:tblOverlap w:val="never"/>
        <w:jc w:val="center"/>
        <w:tblLayout w:type="fixed"/>
      </w:tblPr>
      <w:tblGrid>
        <w:gridCol w:w="2093"/>
        <w:gridCol w:w="5592"/>
        <w:gridCol w:w="199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完成之日起</w:t>
            </w:r>
            <w:r>
              <w:rPr>
                <w:color w:val="000000"/>
                <w:spacing w:val="0"/>
                <w:w w:val="100"/>
                <w:position w:val="0"/>
              </w:rPr>
              <w:t>24</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第二个解除限售期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自预留授予登记完成之日起</w:t>
            </w:r>
            <w:r>
              <w:rPr>
                <w:color w:val="000000"/>
                <w:spacing w:val="0"/>
                <w:w w:val="100"/>
                <w:position w:val="0"/>
              </w:rPr>
              <w:t>24</w:t>
            </w:r>
            <w:r>
              <w:rPr>
                <w:rFonts w:ascii="SimSun" w:eastAsia="SimSun" w:hAnsi="SimSun" w:cs="SimSun"/>
                <w:color w:val="000000"/>
                <w:spacing w:val="0"/>
                <w:w w:val="100"/>
                <w:position w:val="0"/>
              </w:rPr>
              <w:t>个月后的首个交易日起至预留授予登记 完成之日起</w:t>
            </w:r>
            <w:r>
              <w:rPr>
                <w:color w:val="000000"/>
                <w:spacing w:val="0"/>
                <w:w w:val="100"/>
                <w:position w:val="0"/>
              </w:rPr>
              <w:t>36</w:t>
            </w:r>
            <w:r>
              <w:rPr>
                <w:rFonts w:ascii="SimSun" w:eastAsia="SimSun" w:hAnsi="SimSun" w:cs="SimSun"/>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w:t>
            </w:r>
          </w:p>
        </w:tc>
      </w:tr>
    </w:tbl>
    <w:p>
      <w:pPr>
        <w:pStyle w:val="Style23"/>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除本激励计划另有约定之外，在上述约定期间内可解除限售但未申请解除限售的该期限制性股票，由公司回购注销，回 购价格为授予价格加上银行同期存款利息。</w:t>
      </w:r>
    </w:p>
    <w:p>
      <w:pPr>
        <w:pStyle w:val="Style23"/>
        <w:keepNext w:val="0"/>
        <w:keepLines w:val="0"/>
        <w:widowControl w:val="0"/>
        <w:numPr>
          <w:ilvl w:val="0"/>
          <w:numId w:val="89"/>
        </w:numPr>
        <w:shd w:val="clear" w:color="auto" w:fill="auto"/>
        <w:bidi w:val="0"/>
        <w:spacing w:before="0" w:after="100" w:line="240" w:lineRule="auto"/>
        <w:ind w:left="0" w:right="0" w:firstLine="360"/>
        <w:jc w:val="both"/>
      </w:pPr>
      <w:bookmarkStart w:id="1634" w:name="bookmark1634"/>
      <w:bookmarkEnd w:id="1634"/>
      <w:r>
        <w:rPr>
          <w:color w:val="000000"/>
          <w:spacing w:val="0"/>
          <w:w w:val="100"/>
          <w:position w:val="0"/>
        </w:rPr>
        <w:t>股票期权行权条件</w:t>
      </w:r>
      <w:r>
        <w:rPr>
          <w:rFonts w:ascii="Times New Roman" w:eastAsia="Times New Roman" w:hAnsi="Times New Roman" w:cs="Times New Roman"/>
          <w:color w:val="000000"/>
          <w:spacing w:val="0"/>
          <w:w w:val="100"/>
          <w:position w:val="0"/>
        </w:rPr>
        <w:t>/</w:t>
      </w:r>
      <w:r>
        <w:rPr>
          <w:color w:val="000000"/>
          <w:spacing w:val="0"/>
          <w:w w:val="100"/>
          <w:position w:val="0"/>
        </w:rPr>
        <w:t>限制性股票归属条件</w:t>
      </w:r>
    </w:p>
    <w:p>
      <w:pPr>
        <w:pStyle w:val="Style23"/>
        <w:keepNext w:val="0"/>
        <w:keepLines w:val="0"/>
        <w:widowControl w:val="0"/>
        <w:shd w:val="clear" w:color="auto" w:fill="auto"/>
        <w:bidi w:val="0"/>
        <w:spacing w:before="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）公司层面业绩考核</w:t>
      </w:r>
    </w:p>
    <w:p>
      <w:pPr>
        <w:pStyle w:val="Style23"/>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本激励计划首次授予的股票期权行权</w:t>
      </w:r>
      <w:r>
        <w:rPr>
          <w:rFonts w:ascii="Times New Roman" w:eastAsia="Times New Roman" w:hAnsi="Times New Roman" w:cs="Times New Roman"/>
          <w:color w:val="000000"/>
          <w:spacing w:val="0"/>
          <w:w w:val="100"/>
          <w:position w:val="0"/>
        </w:rPr>
        <w:t>/</w:t>
      </w:r>
      <w:r>
        <w:rPr>
          <w:color w:val="000000"/>
          <w:spacing w:val="0"/>
          <w:w w:val="100"/>
          <w:position w:val="0"/>
        </w:rPr>
        <w:t>限制性股票解除限售对应的考核年度为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年三个会计年度，每个会计年 度考核一次。公司业绩考核目标如下表所示：</w:t>
      </w:r>
    </w:p>
    <w:tbl>
      <w:tblPr>
        <w:tblOverlap w:val="never"/>
        <w:jc w:val="center"/>
        <w:tblLayout w:type="fixed"/>
      </w:tblPr>
      <w:tblGrid>
        <w:gridCol w:w="3144"/>
        <w:gridCol w:w="6533"/>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行权期</w:t>
            </w:r>
            <w:r>
              <w:rPr>
                <w:b/>
                <w:bCs/>
                <w:color w:val="000000"/>
                <w:spacing w:val="0"/>
                <w:w w:val="100"/>
                <w:position w:val="0"/>
              </w:rPr>
              <w:t>/</w:t>
            </w:r>
            <w:r>
              <w:rPr>
                <w:rFonts w:ascii="SimSun" w:eastAsia="SimSun" w:hAnsi="SimSun" w:cs="SimSun"/>
                <w:b/>
                <w:bCs/>
                <w:color w:val="000000"/>
                <w:spacing w:val="0"/>
                <w:w w:val="100"/>
                <w:position w:val="0"/>
              </w:rPr>
              <w:t>解除限售期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业绩考核目标</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第一个行权期</w:t>
            </w:r>
            <w:r>
              <w:rPr>
                <w:color w:val="000000"/>
                <w:spacing w:val="0"/>
                <w:w w:val="100"/>
                <w:position w:val="0"/>
              </w:rPr>
              <w:t>/</w:t>
            </w:r>
            <w:r>
              <w:rPr>
                <w:rFonts w:ascii="SimSun" w:eastAsia="SimSun" w:hAnsi="SimSun" w:cs="SimSun"/>
                <w:color w:val="000000"/>
                <w:spacing w:val="0"/>
                <w:w w:val="100"/>
                <w:position w:val="0"/>
              </w:rPr>
              <w:t>解除限售期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年营业收入不低于</w:t>
            </w:r>
            <w:r>
              <w:rPr>
                <w:color w:val="000000"/>
                <w:spacing w:val="0"/>
                <w:w w:val="100"/>
                <w:position w:val="0"/>
              </w:rPr>
              <w:t>10</w:t>
            </w:r>
            <w:r>
              <w:rPr>
                <w:rFonts w:ascii="SimSun" w:eastAsia="SimSun" w:hAnsi="SimSun" w:cs="SimSun"/>
                <w:color w:val="000000"/>
                <w:spacing w:val="0"/>
                <w:w w:val="100"/>
                <w:position w:val="0"/>
              </w:rPr>
              <w:t>亿元或</w:t>
            </w:r>
            <w:r>
              <w:rPr>
                <w:color w:val="000000"/>
                <w:spacing w:val="0"/>
                <w:w w:val="100"/>
                <w:position w:val="0"/>
              </w:rPr>
              <w:t>2021</w:t>
            </w:r>
            <w:r>
              <w:rPr>
                <w:rFonts w:ascii="SimSun" w:eastAsia="SimSun" w:hAnsi="SimSun" w:cs="SimSun"/>
                <w:color w:val="000000"/>
                <w:spacing w:val="0"/>
                <w:w w:val="100"/>
                <w:position w:val="0"/>
              </w:rPr>
              <w:t>年净利润不低于</w:t>
            </w:r>
            <w:r>
              <w:rPr>
                <w:color w:val="000000"/>
                <w:spacing w:val="0"/>
                <w:w w:val="100"/>
                <w:position w:val="0"/>
              </w:rPr>
              <w:t>4500</w:t>
            </w:r>
            <w:r>
              <w:rPr>
                <w:rFonts w:ascii="SimSun" w:eastAsia="SimSun" w:hAnsi="SimSun" w:cs="SimSun"/>
                <w:color w:val="000000"/>
                <w:spacing w:val="0"/>
                <w:w w:val="100"/>
                <w:position w:val="0"/>
              </w:rPr>
              <w:t>万元</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第二个行权期</w:t>
            </w:r>
            <w:r>
              <w:rPr>
                <w:color w:val="000000"/>
                <w:spacing w:val="0"/>
                <w:w w:val="100"/>
                <w:position w:val="0"/>
              </w:rPr>
              <w:t>/</w:t>
            </w:r>
            <w:r>
              <w:rPr>
                <w:rFonts w:ascii="SimSun" w:eastAsia="SimSun" w:hAnsi="SimSun" w:cs="SimSun"/>
                <w:color w:val="000000"/>
                <w:spacing w:val="0"/>
                <w:w w:val="100"/>
                <w:position w:val="0"/>
              </w:rPr>
              <w:t>解除限售期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年营业收入不低于</w:t>
            </w:r>
            <w:r>
              <w:rPr>
                <w:color w:val="000000"/>
                <w:spacing w:val="0"/>
                <w:w w:val="100"/>
                <w:position w:val="0"/>
              </w:rPr>
              <w:t>15</w:t>
            </w:r>
            <w:r>
              <w:rPr>
                <w:rFonts w:ascii="SimSun" w:eastAsia="SimSun" w:hAnsi="SimSun" w:cs="SimSun"/>
                <w:color w:val="000000"/>
                <w:spacing w:val="0"/>
                <w:w w:val="100"/>
                <w:position w:val="0"/>
              </w:rPr>
              <w:t>亿元或</w:t>
            </w:r>
            <w:r>
              <w:rPr>
                <w:color w:val="000000"/>
                <w:spacing w:val="0"/>
                <w:w w:val="100"/>
                <w:position w:val="0"/>
              </w:rPr>
              <w:t>2022</w:t>
            </w:r>
            <w:r>
              <w:rPr>
                <w:rFonts w:ascii="SimSun" w:eastAsia="SimSun" w:hAnsi="SimSun" w:cs="SimSun"/>
                <w:color w:val="000000"/>
                <w:spacing w:val="0"/>
                <w:w w:val="100"/>
                <w:position w:val="0"/>
              </w:rPr>
              <w:t>年净利润不低于</w:t>
            </w:r>
            <w:r>
              <w:rPr>
                <w:color w:val="000000"/>
                <w:spacing w:val="0"/>
                <w:w w:val="100"/>
                <w:position w:val="0"/>
              </w:rPr>
              <w:t>9000</w:t>
            </w:r>
            <w:r>
              <w:rPr>
                <w:rFonts w:ascii="SimSun" w:eastAsia="SimSun" w:hAnsi="SimSun" w:cs="SimSun"/>
                <w:color w:val="000000"/>
                <w:spacing w:val="0"/>
                <w:w w:val="100"/>
                <w:position w:val="0"/>
              </w:rPr>
              <w:t>万元</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第三个行权期</w:t>
            </w:r>
            <w:r>
              <w:rPr>
                <w:color w:val="000000"/>
                <w:spacing w:val="0"/>
                <w:w w:val="100"/>
                <w:position w:val="0"/>
              </w:rPr>
              <w:t>/</w:t>
            </w:r>
            <w:r>
              <w:rPr>
                <w:rFonts w:ascii="SimSun" w:eastAsia="SimSun" w:hAnsi="SimSun" w:cs="SimSun"/>
                <w:color w:val="000000"/>
                <w:spacing w:val="0"/>
                <w:w w:val="100"/>
                <w:position w:val="0"/>
              </w:rPr>
              <w:t>解除限售期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年营业收入不低于</w:t>
            </w:r>
            <w:r>
              <w:rPr>
                <w:color w:val="000000"/>
                <w:spacing w:val="0"/>
                <w:w w:val="100"/>
                <w:position w:val="0"/>
              </w:rPr>
              <w:t>20</w:t>
            </w:r>
            <w:r>
              <w:rPr>
                <w:rFonts w:ascii="SimSun" w:eastAsia="SimSun" w:hAnsi="SimSun" w:cs="SimSun"/>
                <w:color w:val="000000"/>
                <w:spacing w:val="0"/>
                <w:w w:val="100"/>
                <w:position w:val="0"/>
              </w:rPr>
              <w:t>亿元或</w:t>
            </w:r>
            <w:r>
              <w:rPr>
                <w:color w:val="000000"/>
                <w:spacing w:val="0"/>
                <w:w w:val="100"/>
                <w:position w:val="0"/>
              </w:rPr>
              <w:t>2023</w:t>
            </w:r>
            <w:r>
              <w:rPr>
                <w:rFonts w:ascii="SimSun" w:eastAsia="SimSun" w:hAnsi="SimSun" w:cs="SimSun"/>
                <w:color w:val="000000"/>
                <w:spacing w:val="0"/>
                <w:w w:val="100"/>
                <w:position w:val="0"/>
              </w:rPr>
              <w:t>年净利润不低于</w:t>
            </w:r>
            <w:r>
              <w:rPr>
                <w:color w:val="000000"/>
                <w:spacing w:val="0"/>
                <w:w w:val="100"/>
                <w:position w:val="0"/>
              </w:rPr>
              <w:t>13000</w:t>
            </w:r>
            <w:r>
              <w:rPr>
                <w:rFonts w:ascii="SimSun" w:eastAsia="SimSun" w:hAnsi="SimSun" w:cs="SimSun"/>
                <w:color w:val="000000"/>
                <w:spacing w:val="0"/>
                <w:w w:val="100"/>
                <w:position w:val="0"/>
              </w:rPr>
              <w:t>万元</w:t>
            </w:r>
          </w:p>
        </w:tc>
      </w:tr>
    </w:tbl>
    <w:p>
      <w:pPr>
        <w:pStyle w:val="Style23"/>
        <w:keepNext w:val="0"/>
        <w:keepLines w:val="0"/>
        <w:widowControl w:val="0"/>
        <w:shd w:val="clear" w:color="auto" w:fill="auto"/>
        <w:bidi w:val="0"/>
        <w:spacing w:before="0" w:line="322" w:lineRule="exact"/>
        <w:ind w:left="0" w:right="0" w:firstLine="360"/>
        <w:jc w:val="both"/>
      </w:pPr>
      <w:r>
        <w:rPr>
          <w:color w:val="000000"/>
          <w:spacing w:val="0"/>
          <w:w w:val="100"/>
          <w:position w:val="0"/>
        </w:rPr>
        <w:t>若本激励计划预留授予的股票期权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年授出，预留授予的股票期权行权</w:t>
      </w:r>
      <w:r>
        <w:rPr>
          <w:rFonts w:ascii="Times New Roman" w:eastAsia="Times New Roman" w:hAnsi="Times New Roman" w:cs="Times New Roman"/>
          <w:color w:val="000000"/>
          <w:spacing w:val="0"/>
          <w:w w:val="100"/>
          <w:position w:val="0"/>
        </w:rPr>
        <w:t>/</w:t>
      </w:r>
      <w:r>
        <w:rPr>
          <w:color w:val="000000"/>
          <w:spacing w:val="0"/>
          <w:w w:val="100"/>
          <w:position w:val="0"/>
        </w:rPr>
        <w:t>限制性股票解除限售对应的考 核年度及公司业绩考核目标与首次授予的股票期权行权</w:t>
      </w:r>
      <w:r>
        <w:rPr>
          <w:rFonts w:ascii="Times New Roman" w:eastAsia="Times New Roman" w:hAnsi="Times New Roman" w:cs="Times New Roman"/>
          <w:color w:val="000000"/>
          <w:spacing w:val="0"/>
          <w:w w:val="100"/>
          <w:position w:val="0"/>
        </w:rPr>
        <w:t>/</w:t>
      </w:r>
      <w:r>
        <w:rPr>
          <w:color w:val="000000"/>
          <w:spacing w:val="0"/>
          <w:w w:val="100"/>
          <w:position w:val="0"/>
        </w:rPr>
        <w:t>限制性股票解除限售对应的考核年度及公司业绩考核目标一致。</w:t>
      </w:r>
    </w:p>
    <w:p>
      <w:pPr>
        <w:pStyle w:val="Style23"/>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若本激励计划预留授予的股票期权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限制性股票于</w:t>
      </w:r>
      <w:r>
        <w:rPr>
          <w:rFonts w:ascii="Times New Roman" w:eastAsia="Times New Roman" w:hAnsi="Times New Roman" w:cs="Times New Roman"/>
          <w:color w:val="000000"/>
          <w:spacing w:val="0"/>
          <w:w w:val="100"/>
          <w:position w:val="0"/>
        </w:rPr>
        <w:t>2022</w:t>
      </w:r>
      <w:r>
        <w:rPr>
          <w:color w:val="000000"/>
          <w:spacing w:val="0"/>
          <w:w w:val="100"/>
          <w:position w:val="0"/>
        </w:rPr>
        <w:t>年授出，预留授予的股票期权行权</w:t>
      </w:r>
      <w:r>
        <w:rPr>
          <w:rFonts w:ascii="Times New Roman" w:eastAsia="Times New Roman" w:hAnsi="Times New Roman" w:cs="Times New Roman"/>
          <w:color w:val="000000"/>
          <w:spacing w:val="0"/>
          <w:w w:val="100"/>
          <w:position w:val="0"/>
        </w:rPr>
        <w:t>/</w:t>
      </w:r>
      <w:r>
        <w:rPr>
          <w:color w:val="000000"/>
          <w:spacing w:val="0"/>
          <w:w w:val="100"/>
          <w:position w:val="0"/>
        </w:rPr>
        <w:t>限制性股票解除限售对应的考 核年度为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年两个会计年度，每个会计年度考核一次。公司业绩考核目标如下表所示：</w:t>
      </w:r>
    </w:p>
    <w:tbl>
      <w:tblPr>
        <w:tblOverlap w:val="never"/>
        <w:jc w:val="center"/>
        <w:tblLayout w:type="fixed"/>
      </w:tblPr>
      <w:tblGrid>
        <w:gridCol w:w="3307"/>
        <w:gridCol w:w="6370"/>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行权期</w:t>
            </w:r>
            <w:r>
              <w:rPr>
                <w:b/>
                <w:bCs/>
                <w:color w:val="000000"/>
                <w:spacing w:val="0"/>
                <w:w w:val="100"/>
                <w:position w:val="0"/>
              </w:rPr>
              <w:t>/</w:t>
            </w:r>
            <w:r>
              <w:rPr>
                <w:rFonts w:ascii="SimSun" w:eastAsia="SimSun" w:hAnsi="SimSun" w:cs="SimSun"/>
                <w:b/>
                <w:bCs/>
                <w:color w:val="000000"/>
                <w:spacing w:val="0"/>
                <w:w w:val="100"/>
                <w:position w:val="0"/>
              </w:rPr>
              <w:t>解除限售期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业绩考核目标</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第一个行权期</w:t>
            </w:r>
            <w:r>
              <w:rPr>
                <w:color w:val="000000"/>
                <w:spacing w:val="0"/>
                <w:w w:val="100"/>
                <w:position w:val="0"/>
              </w:rPr>
              <w:t>/</w:t>
            </w:r>
            <w:r>
              <w:rPr>
                <w:rFonts w:ascii="SimSun" w:eastAsia="SimSun" w:hAnsi="SimSun" w:cs="SimSun"/>
                <w:color w:val="000000"/>
                <w:spacing w:val="0"/>
                <w:w w:val="100"/>
                <w:position w:val="0"/>
              </w:rPr>
              <w:t>解除限售期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年营业收入不低于</w:t>
            </w:r>
            <w:r>
              <w:rPr>
                <w:color w:val="000000"/>
                <w:spacing w:val="0"/>
                <w:w w:val="100"/>
                <w:position w:val="0"/>
              </w:rPr>
              <w:t>15</w:t>
            </w:r>
            <w:r>
              <w:rPr>
                <w:rFonts w:ascii="SimSun" w:eastAsia="SimSun" w:hAnsi="SimSun" w:cs="SimSun"/>
                <w:color w:val="000000"/>
                <w:spacing w:val="0"/>
                <w:w w:val="100"/>
                <w:position w:val="0"/>
              </w:rPr>
              <w:t>亿元或</w:t>
            </w:r>
            <w:r>
              <w:rPr>
                <w:color w:val="000000"/>
                <w:spacing w:val="0"/>
                <w:w w:val="100"/>
                <w:position w:val="0"/>
              </w:rPr>
              <w:t>2022</w:t>
            </w:r>
            <w:r>
              <w:rPr>
                <w:rFonts w:ascii="SimSun" w:eastAsia="SimSun" w:hAnsi="SimSun" w:cs="SimSun"/>
                <w:color w:val="000000"/>
                <w:spacing w:val="0"/>
                <w:w w:val="100"/>
                <w:position w:val="0"/>
              </w:rPr>
              <w:t>年净利润不低于</w:t>
            </w:r>
            <w:r>
              <w:rPr>
                <w:color w:val="000000"/>
                <w:spacing w:val="0"/>
                <w:w w:val="100"/>
                <w:position w:val="0"/>
              </w:rPr>
              <w:t>9000</w:t>
            </w:r>
            <w:r>
              <w:rPr>
                <w:rFonts w:ascii="SimSun" w:eastAsia="SimSun" w:hAnsi="SimSun" w:cs="SimSun"/>
                <w:color w:val="000000"/>
                <w:spacing w:val="0"/>
                <w:w w:val="100"/>
                <w:position w:val="0"/>
              </w:rPr>
              <w:t>万元</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第二个行权期</w:t>
            </w:r>
            <w:r>
              <w:rPr>
                <w:color w:val="000000"/>
                <w:spacing w:val="0"/>
                <w:w w:val="100"/>
                <w:position w:val="0"/>
              </w:rPr>
              <w:t>/</w:t>
            </w:r>
            <w:r>
              <w:rPr>
                <w:rFonts w:ascii="SimSun" w:eastAsia="SimSun" w:hAnsi="SimSun" w:cs="SimSun"/>
                <w:color w:val="000000"/>
                <w:spacing w:val="0"/>
                <w:w w:val="100"/>
                <w:position w:val="0"/>
              </w:rPr>
              <w:t>解除限售期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年营业收入不低于</w:t>
            </w:r>
            <w:r>
              <w:rPr>
                <w:color w:val="000000"/>
                <w:spacing w:val="0"/>
                <w:w w:val="100"/>
                <w:position w:val="0"/>
              </w:rPr>
              <w:t>20</w:t>
            </w:r>
            <w:r>
              <w:rPr>
                <w:rFonts w:ascii="SimSun" w:eastAsia="SimSun" w:hAnsi="SimSun" w:cs="SimSun"/>
                <w:color w:val="000000"/>
                <w:spacing w:val="0"/>
                <w:w w:val="100"/>
                <w:position w:val="0"/>
              </w:rPr>
              <w:t>亿元或</w:t>
            </w:r>
            <w:r>
              <w:rPr>
                <w:color w:val="000000"/>
                <w:spacing w:val="0"/>
                <w:w w:val="100"/>
                <w:position w:val="0"/>
              </w:rPr>
              <w:t>2023</w:t>
            </w:r>
            <w:r>
              <w:rPr>
                <w:rFonts w:ascii="SimSun" w:eastAsia="SimSun" w:hAnsi="SimSun" w:cs="SimSun"/>
                <w:color w:val="000000"/>
                <w:spacing w:val="0"/>
                <w:w w:val="100"/>
                <w:position w:val="0"/>
              </w:rPr>
              <w:t>年净利润不低于</w:t>
            </w:r>
            <w:r>
              <w:rPr>
                <w:color w:val="000000"/>
                <w:spacing w:val="0"/>
                <w:w w:val="100"/>
                <w:position w:val="0"/>
              </w:rPr>
              <w:t>13000</w:t>
            </w:r>
            <w:r>
              <w:rPr>
                <w:rFonts w:ascii="SimSun" w:eastAsia="SimSun" w:hAnsi="SimSun" w:cs="SimSun"/>
                <w:color w:val="000000"/>
                <w:spacing w:val="0"/>
                <w:w w:val="100"/>
                <w:position w:val="0"/>
              </w:rPr>
              <w:t>万元</w:t>
            </w:r>
          </w:p>
        </w:tc>
      </w:tr>
    </w:tbl>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公司未满足上述业绩考核目标的，相应解除限售期内，激励对象当期计划解除限售的限制性股票不得解除限售，由公司 回购注销，回购价格为授予价格加上银行同期存款利息。</w:t>
      </w:r>
    </w:p>
    <w:p>
      <w:pPr>
        <w:pStyle w:val="Style23"/>
        <w:keepNext w:val="0"/>
        <w:keepLines w:val="0"/>
        <w:widowControl w:val="0"/>
        <w:shd w:val="clear" w:color="auto" w:fill="auto"/>
        <w:bidi w:val="0"/>
        <w:spacing w:before="0" w:line="317"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）个人层面绩效考核</w:t>
      </w:r>
    </w:p>
    <w:p>
      <w:pPr>
        <w:pStyle w:val="Style23"/>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个人层面绩效考核按照公司现行薪酬与考核的相关制度实施。激励对象的绩效考核结果分为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四个 等级，各行权期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解除限售期内，依据激励对象相应的绩效考核结果确认当期个人层面可行权</w:t>
      </w:r>
      <w:r>
        <w:rPr>
          <w:rFonts w:ascii="Times New Roman" w:eastAsia="Times New Roman" w:hAnsi="Times New Roman" w:cs="Times New Roman"/>
          <w:color w:val="000000"/>
          <w:spacing w:val="0"/>
          <w:w w:val="100"/>
          <w:position w:val="0"/>
        </w:rPr>
        <w:t>/</w:t>
      </w:r>
      <w:r>
        <w:rPr>
          <w:color w:val="000000"/>
          <w:spacing w:val="0"/>
          <w:w w:val="100"/>
          <w:position w:val="0"/>
        </w:rPr>
        <w:t>解除限售比例，具体如下表所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示：</w:t>
      </w:r>
    </w:p>
    <w:tbl>
      <w:tblPr>
        <w:tblOverlap w:val="never"/>
        <w:jc w:val="center"/>
        <w:tblLayout w:type="fixed"/>
      </w:tblPr>
      <w:tblGrid>
        <w:gridCol w:w="3802"/>
        <w:gridCol w:w="1483"/>
        <w:gridCol w:w="1488"/>
        <w:gridCol w:w="1483"/>
        <w:gridCol w:w="1421"/>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考核等级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C</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D</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个人层面可行权</w:t>
            </w:r>
            <w:r>
              <w:rPr>
                <w:b/>
                <w:bCs/>
                <w:color w:val="000000"/>
                <w:spacing w:val="0"/>
                <w:w w:val="100"/>
                <w:position w:val="0"/>
              </w:rPr>
              <w:t>/</w:t>
            </w:r>
            <w:r>
              <w:rPr>
                <w:rFonts w:ascii="SimSun" w:eastAsia="SimSun" w:hAnsi="SimSun" w:cs="SimSun"/>
                <w:b/>
                <w:bCs/>
                <w:color w:val="000000"/>
                <w:spacing w:val="0"/>
                <w:w w:val="100"/>
                <w:position w:val="0"/>
              </w:rPr>
              <w:t>解除限售比例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3"/>
        <w:keepNext w:val="0"/>
        <w:keepLines w:val="0"/>
        <w:widowControl w:val="0"/>
        <w:shd w:val="clear" w:color="auto" w:fill="auto"/>
        <w:bidi w:val="0"/>
        <w:spacing w:before="0" w:line="317" w:lineRule="exact"/>
        <w:ind w:left="0" w:right="0" w:firstLine="360"/>
        <w:jc w:val="both"/>
      </w:pPr>
      <w:r>
        <w:rPr>
          <w:color w:val="000000"/>
          <w:spacing w:val="0"/>
          <w:w w:val="100"/>
          <w:position w:val="0"/>
        </w:rPr>
        <w:t>各行权期内，在公司满足相应业绩考核目标的前提之下，激励对象当期实际可行权的股票期权数量</w:t>
      </w:r>
      <w:r>
        <w:rPr>
          <w:rFonts w:ascii="Times New Roman" w:eastAsia="Times New Roman" w:hAnsi="Times New Roman" w:cs="Times New Roman"/>
          <w:color w:val="000000"/>
          <w:spacing w:val="0"/>
          <w:w w:val="100"/>
          <w:position w:val="0"/>
        </w:rPr>
        <w:t>=</w:t>
      </w:r>
      <w:r>
        <w:rPr>
          <w:color w:val="000000"/>
          <w:spacing w:val="0"/>
          <w:w w:val="100"/>
          <w:position w:val="0"/>
        </w:rPr>
        <w:t>个人当期计划行权 的股票期权数量</w:t>
      </w:r>
      <w:r>
        <w:rPr>
          <w:rFonts w:ascii="Times New Roman" w:eastAsia="Times New Roman" w:hAnsi="Times New Roman" w:cs="Times New Roman"/>
          <w:color w:val="000000"/>
          <w:spacing w:val="0"/>
          <w:w w:val="100"/>
          <w:position w:val="0"/>
        </w:rPr>
        <w:t>x</w:t>
      </w:r>
      <w:r>
        <w:rPr>
          <w:color w:val="000000"/>
          <w:spacing w:val="0"/>
          <w:w w:val="100"/>
          <w:position w:val="0"/>
        </w:rPr>
        <w:t>个人层面可行权比例。对应当期未能行权的股票期权，由公司注销。</w:t>
      </w:r>
    </w:p>
    <w:p>
      <w:pPr>
        <w:pStyle w:val="Style2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各解除限售期内，在公司满足相应业绩考核目标的前提之下，激励对象当期实际可解除限售的限制性股票数量</w:t>
      </w:r>
      <w:r>
        <w:rPr>
          <w:rFonts w:ascii="Times New Roman" w:eastAsia="Times New Roman" w:hAnsi="Times New Roman" w:cs="Times New Roman"/>
          <w:color w:val="000000"/>
          <w:spacing w:val="0"/>
          <w:w w:val="100"/>
          <w:position w:val="0"/>
        </w:rPr>
        <w:t>=</w:t>
      </w:r>
      <w:r>
        <w:rPr>
          <w:color w:val="000000"/>
          <w:spacing w:val="0"/>
          <w:w w:val="100"/>
          <w:position w:val="0"/>
        </w:rPr>
        <w:t>个人当 期计划解除限售的限制性股票数量</w:t>
      </w:r>
      <w:r>
        <w:rPr>
          <w:rFonts w:ascii="Times New Roman" w:eastAsia="Times New Roman" w:hAnsi="Times New Roman" w:cs="Times New Roman"/>
          <w:color w:val="000000"/>
          <w:spacing w:val="0"/>
          <w:w w:val="100"/>
          <w:position w:val="0"/>
        </w:rPr>
        <w:t>x</w:t>
      </w:r>
      <w:r>
        <w:rPr>
          <w:color w:val="000000"/>
          <w:spacing w:val="0"/>
          <w:w w:val="100"/>
          <w:position w:val="0"/>
        </w:rPr>
        <w:t>个人层面可解除限售比例。激励对象因个人绩效考核对应当期未能解除限售的限制性股 票由公司回购注销，回购价格为授予价格加上银行同期存款利息。</w:t>
      </w:r>
    </w:p>
    <w:p>
      <w:pPr>
        <w:pStyle w:val="Style34"/>
        <w:keepNext/>
        <w:keepLines/>
        <w:widowControl w:val="0"/>
        <w:shd w:val="clear" w:color="auto" w:fill="auto"/>
        <w:bidi w:val="0"/>
        <w:spacing w:before="0" w:after="380" w:line="240" w:lineRule="auto"/>
        <w:ind w:left="0" w:right="0" w:firstLine="0"/>
        <w:jc w:val="both"/>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35"/>
      <w:bookmarkEnd w:id="1636"/>
      <w:bookmarkEnd w:id="1637"/>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Black-Sceholes</w:t>
            </w:r>
            <w:r>
              <w:rPr>
                <w:rFonts w:ascii="SimSun" w:eastAsia="SimSun" w:hAnsi="SimSun" w:cs="SimSun"/>
                <w:color w:val="000000"/>
                <w:spacing w:val="0"/>
                <w:w w:val="100"/>
                <w:position w:val="0"/>
              </w:rPr>
              <w:t>期权定价模型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各考核期业绩条件估计，并根据最新取得的可行权职工人数变动等后续 信息作出最佳估计数，修正预计可行权的权益工具数量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w:t>
        <w:tab/>
        <w:t>以现金结算的股份支付情况</w:t>
      </w:r>
      <w:bookmarkEnd w:id="1638"/>
      <w:bookmarkEnd w:id="1639"/>
      <w:bookmarkEnd w:id="1641"/>
    </w:p>
    <w:p>
      <w:pPr>
        <w:pStyle w:val="Style23"/>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4</w:t>
      </w:r>
      <w:bookmarkEnd w:id="1644"/>
      <w:r>
        <w:rPr>
          <w:color w:val="000000"/>
          <w:spacing w:val="0"/>
          <w:w w:val="100"/>
          <w:position w:val="0"/>
        </w:rPr>
        <w:t>、</w:t>
        <w:tab/>
        <w:t>股份支付的修改、终止情况</w:t>
      </w:r>
      <w:bookmarkEnd w:id="1642"/>
      <w:bookmarkEnd w:id="1643"/>
      <w:bookmarkEnd w:id="1645"/>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sz w:val="24"/>
          <w:szCs w:val="24"/>
        </w:rPr>
        <w:t>十四、承诺及或有事项</w:t>
      </w:r>
      <w:bookmarkEnd w:id="1646"/>
      <w:bookmarkEnd w:id="1647"/>
      <w:bookmarkEnd w:id="1648"/>
    </w:p>
    <w:p>
      <w:pPr>
        <w:pStyle w:val="Style34"/>
        <w:keepNext/>
        <w:keepLines/>
        <w:widowControl w:val="0"/>
        <w:shd w:val="clear" w:color="auto" w:fill="auto"/>
        <w:tabs>
          <w:tab w:pos="368" w:val="left"/>
        </w:tabs>
        <w:bidi w:val="0"/>
        <w:spacing w:before="0" w:after="26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bookmarkEnd w:id="1651"/>
      <w:r>
        <w:rPr>
          <w:color w:val="000000"/>
          <w:spacing w:val="0"/>
          <w:w w:val="100"/>
          <w:position w:val="0"/>
        </w:rPr>
        <w:t>、</w:t>
        <w:tab/>
        <w:t>重要承诺事项</w:t>
      </w:r>
      <w:bookmarkEnd w:id="1649"/>
      <w:bookmarkEnd w:id="1650"/>
      <w:bookmarkEnd w:id="1652"/>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bookmarkEnd w:id="1655"/>
      <w:r>
        <w:rPr>
          <w:color w:val="000000"/>
          <w:spacing w:val="0"/>
          <w:w w:val="100"/>
          <w:position w:val="0"/>
        </w:rPr>
        <w:t>、</w:t>
        <w:tab/>
        <w:t>或有事项</w:t>
      </w:r>
      <w:bookmarkEnd w:id="1653"/>
      <w:bookmarkEnd w:id="1654"/>
      <w:bookmarkEnd w:id="1656"/>
    </w:p>
    <w:p>
      <w:pPr>
        <w:pStyle w:val="Style34"/>
        <w:keepNext/>
        <w:keepLines/>
        <w:widowControl w:val="0"/>
        <w:shd w:val="clear" w:color="auto" w:fill="auto"/>
        <w:bidi w:val="0"/>
        <w:spacing w:before="0" w:after="260" w:line="240" w:lineRule="auto"/>
        <w:ind w:left="0" w:right="0" w:firstLine="0"/>
        <w:jc w:val="left"/>
      </w:pPr>
      <w:bookmarkStart w:id="1653" w:name="bookmark1653"/>
      <w:bookmarkStart w:id="1654" w:name="bookmark1654"/>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3"/>
      <w:bookmarkEnd w:id="1654"/>
      <w:bookmarkEnd w:id="1657"/>
    </w:p>
    <w:p>
      <w:pPr>
        <w:pStyle w:val="Style23"/>
        <w:keepNext w:val="0"/>
        <w:keepLines w:val="0"/>
        <w:widowControl w:val="0"/>
        <w:shd w:val="clear" w:color="auto" w:fill="auto"/>
        <w:tabs>
          <w:tab w:pos="774" w:val="left"/>
        </w:tabs>
        <w:bidi w:val="0"/>
        <w:spacing w:before="0" w:after="0" w:line="315" w:lineRule="exact"/>
        <w:ind w:left="0" w:right="0" w:firstLine="440"/>
        <w:jc w:val="both"/>
      </w:pPr>
      <w:bookmarkStart w:id="1658" w:name="bookmark1658"/>
      <w:r>
        <w:rPr>
          <w:rFonts w:ascii="Times New Roman" w:eastAsia="Times New Roman" w:hAnsi="Times New Roman" w:cs="Times New Roman"/>
          <w:color w:val="000000"/>
          <w:spacing w:val="0"/>
          <w:w w:val="100"/>
          <w:position w:val="0"/>
        </w:rPr>
        <w:t>1</w:t>
      </w:r>
      <w:bookmarkEnd w:id="1658"/>
      <w:r>
        <w:rPr>
          <w:color w:val="000000"/>
          <w:spacing w:val="0"/>
          <w:w w:val="100"/>
          <w:position w:val="0"/>
        </w:rPr>
        <w:t>、</w:t>
        <w:tab/>
        <w:t>哆可梦诉深圳腾讯等</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月，公司控股子公司成都哆可梦网络科技有限公司（以下简称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哆可梦</w:t>
      </w:r>
      <w:r>
        <w:rPr>
          <w:rFonts w:ascii="Times New Roman" w:eastAsia="Times New Roman" w:hAnsi="Times New Roman" w:cs="Times New Roman"/>
          <w:color w:val="000000"/>
          <w:spacing w:val="0"/>
          <w:w w:val="100"/>
          <w:position w:val="0"/>
        </w:rPr>
        <w:t>”</w:t>
      </w:r>
      <w:r>
        <w:rPr>
          <w:color w:val="000000"/>
          <w:spacing w:val="0"/>
          <w:w w:val="100"/>
          <w:position w:val="0"/>
        </w:rPr>
        <w:t>）因深圳市腾讯计算机系统有限公司、 安福县玩趣软件开发服务中心、广州玩得晦网络科技有限公司、北京开天创世科技有限公司与北京睿知轩文化传播有限公司 侵犯注册号为</w:t>
      </w:r>
      <w:r>
        <w:rPr>
          <w:rFonts w:ascii="Times New Roman" w:eastAsia="Times New Roman" w:hAnsi="Times New Roman" w:cs="Times New Roman"/>
          <w:color w:val="000000"/>
          <w:spacing w:val="0"/>
          <w:w w:val="100"/>
          <w:position w:val="0"/>
        </w:rPr>
        <w:t>10962183</w:t>
      </w:r>
      <w:r>
        <w:rPr>
          <w:color w:val="000000"/>
          <w:spacing w:val="0"/>
          <w:w w:val="100"/>
          <w:position w:val="0"/>
        </w:rPr>
        <w:t>号《屠龙》游戏商标权，将上述单位诉至广州市天河区人民法院，诉请上述单位停止侵权行为并赔偿 损失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002.6</w:t>
      </w:r>
      <w:r>
        <w:rPr>
          <w:rFonts w:ascii="Times New Roman" w:eastAsia="Times New Roman" w:hAnsi="Times New Roman" w:cs="Times New Roman"/>
          <w:color w:val="000000"/>
          <w:spacing w:val="0"/>
          <w:w w:val="100"/>
          <w:position w:val="0"/>
        </w:rPr>
        <w:t>0</w:t>
      </w:r>
      <w:r>
        <w:rPr>
          <w:color w:val="000000"/>
          <w:spacing w:val="0"/>
          <w:w w:val="100"/>
          <w:position w:val="0"/>
        </w:rPr>
        <w:t>万元。截至本报告批准报出日，该案尚未判决。</w:t>
      </w:r>
    </w:p>
    <w:p>
      <w:pPr>
        <w:pStyle w:val="Style23"/>
        <w:keepNext w:val="0"/>
        <w:keepLines w:val="0"/>
        <w:widowControl w:val="0"/>
        <w:shd w:val="clear" w:color="auto" w:fill="auto"/>
        <w:tabs>
          <w:tab w:pos="794" w:val="left"/>
        </w:tabs>
        <w:bidi w:val="0"/>
        <w:spacing w:before="0" w:after="0" w:line="315" w:lineRule="exact"/>
        <w:ind w:left="0" w:right="0" w:firstLine="440"/>
        <w:jc w:val="left"/>
      </w:pPr>
      <w:bookmarkStart w:id="1659" w:name="bookmark1659"/>
      <w:r>
        <w:rPr>
          <w:rFonts w:ascii="Times New Roman" w:eastAsia="Times New Roman" w:hAnsi="Times New Roman" w:cs="Times New Roman"/>
          <w:color w:val="000000"/>
          <w:spacing w:val="0"/>
          <w:w w:val="100"/>
          <w:position w:val="0"/>
        </w:rPr>
        <w:t>2</w:t>
      </w:r>
      <w:bookmarkEnd w:id="1659"/>
      <w:r>
        <w:rPr>
          <w:color w:val="000000"/>
          <w:spacing w:val="0"/>
          <w:w w:val="100"/>
          <w:position w:val="0"/>
        </w:rPr>
        <w:t>、</w:t>
        <w:tab/>
        <w:t>哆可梦诉深圳腾讯等</w:t>
      </w:r>
    </w:p>
    <w:p>
      <w:pPr>
        <w:pStyle w:val="Style23"/>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月，哆可梦因深圳市腾讯计算机系统有限公司、安福县创乐软件开发服务中心、吉安奇玩信息科技有限公司、 广州玩得晦网络科技有限公司、北京开天创世科技有限公司与北京睿知轩文化传播有限公司侵犯注册号为</w:t>
      </w:r>
      <w:r>
        <w:rPr>
          <w:rFonts w:ascii="Times New Roman" w:eastAsia="Times New Roman" w:hAnsi="Times New Roman" w:cs="Times New Roman"/>
          <w:color w:val="000000"/>
          <w:spacing w:val="0"/>
          <w:w w:val="100"/>
          <w:position w:val="0"/>
        </w:rPr>
        <w:t>10962183</w:t>
      </w:r>
      <w:r>
        <w:rPr>
          <w:color w:val="000000"/>
          <w:spacing w:val="0"/>
          <w:w w:val="100"/>
          <w:position w:val="0"/>
        </w:rPr>
        <w:t>号《屠龙》 游戏商标权，将上述单位诉至广州市天河区人民法院，诉请上述单位停止侵权行为并赔偿损失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002.6</w:t>
      </w:r>
      <w:r>
        <w:rPr>
          <w:rFonts w:ascii="Times New Roman" w:eastAsia="Times New Roman" w:hAnsi="Times New Roman" w:cs="Times New Roman"/>
          <w:color w:val="000000"/>
          <w:spacing w:val="0"/>
          <w:w w:val="100"/>
          <w:position w:val="0"/>
        </w:rPr>
        <w:t>0</w:t>
      </w:r>
      <w:r>
        <w:rPr>
          <w:color w:val="000000"/>
          <w:spacing w:val="0"/>
          <w:w w:val="100"/>
          <w:position w:val="0"/>
        </w:rPr>
        <w:t>万元。截至本报告批 准报出日，该案尚未判决。</w:t>
      </w:r>
    </w:p>
    <w:p>
      <w:pPr>
        <w:pStyle w:val="Style23"/>
        <w:keepNext w:val="0"/>
        <w:keepLines w:val="0"/>
        <w:widowControl w:val="0"/>
        <w:shd w:val="clear" w:color="auto" w:fill="auto"/>
        <w:tabs>
          <w:tab w:pos="794" w:val="left"/>
        </w:tabs>
        <w:bidi w:val="0"/>
        <w:spacing w:before="0" w:after="0" w:line="315" w:lineRule="exact"/>
        <w:ind w:left="0" w:right="0" w:firstLine="440"/>
        <w:jc w:val="both"/>
      </w:pPr>
      <w:bookmarkStart w:id="1660" w:name="bookmark1660"/>
      <w:r>
        <w:rPr>
          <w:rFonts w:ascii="Times New Roman" w:eastAsia="Times New Roman" w:hAnsi="Times New Roman" w:cs="Times New Roman"/>
          <w:color w:val="000000"/>
          <w:spacing w:val="0"/>
          <w:w w:val="100"/>
          <w:position w:val="0"/>
        </w:rPr>
        <w:t>3</w:t>
      </w:r>
      <w:bookmarkEnd w:id="1660"/>
      <w:r>
        <w:rPr>
          <w:color w:val="000000"/>
          <w:spacing w:val="0"/>
          <w:w w:val="100"/>
          <w:position w:val="0"/>
        </w:rPr>
        <w:t>、</w:t>
        <w:tab/>
        <w:t>哆可梦诉深圳掌中聚乐</w:t>
      </w:r>
    </w:p>
    <w:p>
      <w:pPr>
        <w:pStyle w:val="Style23"/>
        <w:keepNext w:val="0"/>
        <w:keepLines w:val="0"/>
        <w:widowControl w:val="0"/>
        <w:shd w:val="clear" w:color="auto" w:fill="auto"/>
        <w:bidi w:val="0"/>
        <w:spacing w:before="0" w:after="26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月，哆可梦因深圳市掌中聚乐信息科技有限公司、北京瓦力网络科技有限公司、小米科技有限责任公司、广州 玩得晦网络科技有限公司、北京开天创世科技有限公司、北京睿知轩文化传播有限公司侵犯注册号为</w:t>
      </w:r>
      <w:r>
        <w:rPr>
          <w:rFonts w:ascii="Times New Roman" w:eastAsia="Times New Roman" w:hAnsi="Times New Roman" w:cs="Times New Roman"/>
          <w:color w:val="000000"/>
          <w:spacing w:val="0"/>
          <w:w w:val="100"/>
          <w:position w:val="0"/>
        </w:rPr>
        <w:t>10962183</w:t>
      </w:r>
      <w:r>
        <w:rPr>
          <w:color w:val="000000"/>
          <w:spacing w:val="0"/>
          <w:w w:val="100"/>
          <w:position w:val="0"/>
        </w:rPr>
        <w:t>号《屠龙》游 戏商标权，将上述单位诉至广州市天河区人民法院，诉请上述单位停止侵权行为并赔偿损失</w:t>
      </w:r>
      <w:r>
        <w:rPr>
          <w:rFonts w:ascii="Times New Roman" w:eastAsia="Times New Roman" w:hAnsi="Times New Roman" w:cs="Times New Roman"/>
          <w:color w:val="000000"/>
          <w:spacing w:val="0"/>
          <w:w w:val="100"/>
          <w:position w:val="0"/>
        </w:rPr>
        <w:t>500.70</w:t>
      </w:r>
      <w:r>
        <w:rPr>
          <w:color w:val="000000"/>
          <w:spacing w:val="0"/>
          <w:w w:val="100"/>
          <w:position w:val="0"/>
        </w:rPr>
        <w:t>万元。截至本报告批准报 出日，该案尚未判决。</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1" w:name="bookmark1661"/>
      <w:r>
        <w:rPr>
          <w:rFonts w:ascii="Times New Roman" w:eastAsia="Times New Roman" w:hAnsi="Times New Roman" w:cs="Times New Roman"/>
          <w:color w:val="000000"/>
          <w:spacing w:val="0"/>
          <w:w w:val="100"/>
          <w:position w:val="0"/>
        </w:rPr>
        <w:t>4</w:t>
      </w:r>
      <w:bookmarkEnd w:id="1661"/>
      <w:r>
        <w:rPr>
          <w:color w:val="000000"/>
          <w:spacing w:val="0"/>
          <w:w w:val="100"/>
          <w:position w:val="0"/>
        </w:rPr>
        <w:t>、</w:t>
        <w:tab/>
        <w:t>哆可梦诉完美世界等</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月，哆可梦因完美世界（重庆）互动科技有限公司、广州爱九游信息技术有限公司侵害商标权及不正当竞争纠 纷，诉至广州市天河区人民法院，要求停止侵权行为、并赔偿损失</w:t>
      </w:r>
      <w:r>
        <w:rPr>
          <w:rFonts w:ascii="Times New Roman" w:eastAsia="Times New Roman" w:hAnsi="Times New Roman" w:cs="Times New Roman"/>
          <w:color w:val="000000"/>
          <w:spacing w:val="0"/>
          <w:w w:val="100"/>
          <w:position w:val="0"/>
        </w:rPr>
        <w:t>500.00</w:t>
      </w:r>
      <w:r>
        <w:rPr>
          <w:color w:val="000000"/>
          <w:spacing w:val="0"/>
          <w:w w:val="100"/>
          <w:position w:val="0"/>
        </w:rPr>
        <w:t>万元及承担诉讼维权产生的公证费</w:t>
      </w:r>
      <w:r>
        <w:rPr>
          <w:rFonts w:ascii="Times New Roman" w:eastAsia="Times New Roman" w:hAnsi="Times New Roman" w:cs="Times New Roman"/>
          <w:color w:val="000000"/>
          <w:spacing w:val="0"/>
          <w:w w:val="100"/>
          <w:position w:val="0"/>
        </w:rPr>
        <w:t>0.30</w:t>
      </w:r>
      <w:r>
        <w:rPr>
          <w:color w:val="000000"/>
          <w:spacing w:val="0"/>
          <w:w w:val="100"/>
          <w:position w:val="0"/>
        </w:rPr>
        <w:t>万元，涉案 金额共</w:t>
      </w:r>
      <w:r>
        <w:rPr>
          <w:rFonts w:ascii="Times New Roman" w:eastAsia="Times New Roman" w:hAnsi="Times New Roman" w:cs="Times New Roman"/>
          <w:color w:val="000000"/>
          <w:spacing w:val="0"/>
          <w:w w:val="100"/>
          <w:position w:val="0"/>
        </w:rPr>
        <w:t>500.3</w:t>
      </w:r>
      <w:r>
        <w:rPr>
          <w:rFonts w:ascii="Times New Roman" w:eastAsia="Times New Roman" w:hAnsi="Times New Roman" w:cs="Times New Roman"/>
          <w:color w:val="000000"/>
          <w:spacing w:val="0"/>
          <w:w w:val="100"/>
          <w:position w:val="0"/>
        </w:rPr>
        <w:t>0</w:t>
      </w:r>
      <w:r>
        <w:rPr>
          <w:color w:val="000000"/>
          <w:spacing w:val="0"/>
          <w:w w:val="100"/>
          <w:position w:val="0"/>
        </w:rPr>
        <w:t>万元。截至本财务报告批准报出日，对方单位向法院提交管辖权异议，该案尚未判决。</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2" w:name="bookmark1662"/>
      <w:r>
        <w:rPr>
          <w:rFonts w:ascii="Times New Roman" w:eastAsia="Times New Roman" w:hAnsi="Times New Roman" w:cs="Times New Roman"/>
          <w:color w:val="000000"/>
          <w:spacing w:val="0"/>
          <w:w w:val="100"/>
          <w:position w:val="0"/>
        </w:rPr>
        <w:t>5</w:t>
      </w:r>
      <w:bookmarkEnd w:id="1662"/>
      <w:r>
        <w:rPr>
          <w:color w:val="000000"/>
          <w:spacing w:val="0"/>
          <w:w w:val="100"/>
          <w:position w:val="0"/>
        </w:rPr>
        <w:t>、</w:t>
        <w:tab/>
        <w:t>上海旭梅起诉广州热血</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公司控股孙公司上海上海旭梅科技有限公司（以下简称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上海旭梅</w:t>
      </w:r>
      <w:r>
        <w:rPr>
          <w:rFonts w:ascii="Times New Roman" w:eastAsia="Times New Roman" w:hAnsi="Times New Roman" w:cs="Times New Roman"/>
          <w:color w:val="000000"/>
          <w:spacing w:val="0"/>
          <w:w w:val="100"/>
          <w:position w:val="0"/>
        </w:rPr>
        <w:t>”</w:t>
      </w:r>
      <w:r>
        <w:rPr>
          <w:color w:val="000000"/>
          <w:spacing w:val="0"/>
          <w:w w:val="100"/>
          <w:position w:val="0"/>
        </w:rPr>
        <w:t>）因广州热血信息技术有限公司（以下简称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广州热 血</w:t>
      </w:r>
      <w:r>
        <w:rPr>
          <w:rFonts w:ascii="Times New Roman" w:eastAsia="Times New Roman" w:hAnsi="Times New Roman" w:cs="Times New Roman"/>
          <w:color w:val="000000"/>
          <w:spacing w:val="0"/>
          <w:w w:val="100"/>
          <w:position w:val="0"/>
        </w:rPr>
        <w:t>”</w:t>
      </w:r>
      <w:r>
        <w:rPr>
          <w:color w:val="000000"/>
          <w:spacing w:val="0"/>
          <w:w w:val="100"/>
          <w:position w:val="0"/>
        </w:rPr>
        <w:t>）拖欠绝世武林游戏分成款的原因，将广州热血诉至广州仲裁委员会，诉请广州热血支付</w:t>
      </w:r>
      <w:r>
        <w:rPr>
          <w:rFonts w:ascii="Times New Roman" w:eastAsia="Times New Roman" w:hAnsi="Times New Roman" w:cs="Times New Roman"/>
          <w:color w:val="000000"/>
          <w:spacing w:val="0"/>
          <w:w w:val="100"/>
          <w:position w:val="0"/>
        </w:rPr>
        <w:t>457.58</w:t>
      </w:r>
      <w:r>
        <w:rPr>
          <w:color w:val="000000"/>
          <w:spacing w:val="0"/>
          <w:w w:val="100"/>
          <w:position w:val="0"/>
        </w:rPr>
        <w:t>万元游戏分成款以及承 担诉讼引起的律师费</w:t>
      </w:r>
      <w:r>
        <w:rPr>
          <w:rFonts w:ascii="Times New Roman" w:eastAsia="Times New Roman" w:hAnsi="Times New Roman" w:cs="Times New Roman"/>
          <w:color w:val="000000"/>
          <w:spacing w:val="0"/>
          <w:w w:val="100"/>
          <w:position w:val="0"/>
        </w:rPr>
        <w:t>5.00</w:t>
      </w:r>
      <w:r>
        <w:rPr>
          <w:color w:val="000000"/>
          <w:spacing w:val="0"/>
          <w:w w:val="100"/>
          <w:position w:val="0"/>
        </w:rPr>
        <w:t>万元并承担诉讼受理费、执行费用、保全费用、诉讼保全担保函费用。广州热血以仲裁协议无效为 由诉至广州市中级人民法院，但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日广州市中级人民法院作出裁定驳回广州热血的诉讼请求。广州仲裁委员会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日开庭，上海旭梅于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日提交补充证据、变更仲裁请求申请书。截至本报告批准报出日，该案尚未判 决。上海旭梅账面已记录相应的应收账款，并计提了坏账。</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3" w:name="bookmark1663"/>
      <w:r>
        <w:rPr>
          <w:rFonts w:ascii="Times New Roman" w:eastAsia="Times New Roman" w:hAnsi="Times New Roman" w:cs="Times New Roman"/>
          <w:color w:val="000000"/>
          <w:spacing w:val="0"/>
          <w:w w:val="100"/>
          <w:position w:val="0"/>
        </w:rPr>
        <w:t>6</w:t>
      </w:r>
      <w:bookmarkEnd w:id="1663"/>
      <w:r>
        <w:rPr>
          <w:color w:val="000000"/>
          <w:spacing w:val="0"/>
          <w:w w:val="100"/>
          <w:position w:val="0"/>
        </w:rPr>
        <w:t>、</w:t>
        <w:tab/>
        <w:t>哆可梦诉广州幻动</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月，哆可梦因广州市幻动网络科技有限责任公司、武汉世纪德安网络科技有限公司、广州星嘉信息科技有限公 司、上海浪漫鱼信息技术有限公司、互爱互动（北京）科技有限公司，广州仙豆网络科技有限公司侵犯注册号为</w:t>
      </w:r>
      <w:r>
        <w:rPr>
          <w:rFonts w:ascii="Times New Roman" w:eastAsia="Times New Roman" w:hAnsi="Times New Roman" w:cs="Times New Roman"/>
          <w:color w:val="000000"/>
          <w:spacing w:val="0"/>
          <w:w w:val="100"/>
          <w:position w:val="0"/>
        </w:rPr>
        <w:t xml:space="preserve">22566841 </w:t>
      </w:r>
      <w:r>
        <w:rPr>
          <w:color w:val="000000"/>
          <w:spacing w:val="0"/>
          <w:w w:val="100"/>
          <w:position w:val="0"/>
        </w:rPr>
        <w:t>号、</w:t>
      </w:r>
      <w:r>
        <w:rPr>
          <w:rFonts w:ascii="Times New Roman" w:eastAsia="Times New Roman" w:hAnsi="Times New Roman" w:cs="Times New Roman"/>
          <w:color w:val="000000"/>
          <w:spacing w:val="0"/>
          <w:w w:val="100"/>
          <w:position w:val="0"/>
        </w:rPr>
        <w:t>22567291</w:t>
      </w:r>
      <w:r>
        <w:rPr>
          <w:color w:val="000000"/>
          <w:spacing w:val="0"/>
          <w:w w:val="100"/>
          <w:position w:val="0"/>
        </w:rPr>
        <w:t xml:space="preserve">号《刀剑情缘》游戏商标权，将上述单位诉至广州市天河区人民法院，诉请上述单位停止侵权行为并赔偿损失 </w:t>
      </w:r>
      <w:r>
        <w:rPr>
          <w:rFonts w:ascii="Times New Roman" w:eastAsia="Times New Roman" w:hAnsi="Times New Roman" w:cs="Times New Roman"/>
          <w:color w:val="000000"/>
          <w:spacing w:val="0"/>
          <w:w w:val="100"/>
          <w:position w:val="0"/>
        </w:rPr>
        <w:t>201.10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月广州市天河区人民法院判令上述单位向哆可梦偿经济损失及合理开支</w:t>
      </w:r>
      <w:r>
        <w:rPr>
          <w:rFonts w:ascii="Times New Roman" w:eastAsia="Times New Roman" w:hAnsi="Times New Roman" w:cs="Times New Roman"/>
          <w:color w:val="000000"/>
          <w:spacing w:val="0"/>
          <w:w w:val="100"/>
          <w:position w:val="0"/>
        </w:rPr>
        <w:t>20.00</w:t>
      </w:r>
      <w:r>
        <w:rPr>
          <w:color w:val="000000"/>
          <w:spacing w:val="0"/>
          <w:w w:val="100"/>
          <w:position w:val="0"/>
        </w:rPr>
        <w:t>万元。广州市幻动网络科 技有限责任公司提起上诉，截至本报告批准报出日，该案尚未二审判决。</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4" w:name="bookmark1664"/>
      <w:r>
        <w:rPr>
          <w:rFonts w:ascii="Times New Roman" w:eastAsia="Times New Roman" w:hAnsi="Times New Roman" w:cs="Times New Roman"/>
          <w:color w:val="000000"/>
          <w:spacing w:val="0"/>
          <w:w w:val="100"/>
          <w:position w:val="0"/>
        </w:rPr>
        <w:t>7</w:t>
      </w:r>
      <w:bookmarkEnd w:id="1664"/>
      <w:r>
        <w:rPr>
          <w:color w:val="000000"/>
          <w:spacing w:val="0"/>
          <w:w w:val="100"/>
          <w:position w:val="0"/>
        </w:rPr>
        <w:t>、</w:t>
        <w:tab/>
        <w:t>哆可梦与游湛网络诉霍尔果斯奇遇等</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月，哆可梦及下属全资子公司上海游湛网络科技有限公司（以下简称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游湛网络</w:t>
      </w:r>
      <w:r>
        <w:rPr>
          <w:rFonts w:ascii="Times New Roman" w:eastAsia="Times New Roman" w:hAnsi="Times New Roman" w:cs="Times New Roman"/>
          <w:color w:val="000000"/>
          <w:spacing w:val="0"/>
          <w:w w:val="100"/>
          <w:position w:val="0"/>
        </w:rPr>
        <w:t>”</w:t>
      </w:r>
      <w:r>
        <w:rPr>
          <w:color w:val="000000"/>
          <w:spacing w:val="0"/>
          <w:w w:val="100"/>
          <w:position w:val="0"/>
        </w:rPr>
        <w:t>）因霍尔果斯奇遇天下网络科 技有限公司、海南奇遇天下网络科技有限公司、广州元游信息技术有限公司侵犯其《不修仙迹》商标专用权，将上述单位诉 至广州市天河区人民法院，诉请上述单位停止侵权行为并赔偿</w:t>
      </w:r>
      <w:r>
        <w:rPr>
          <w:rFonts w:ascii="Times New Roman" w:eastAsia="Times New Roman" w:hAnsi="Times New Roman" w:cs="Times New Roman"/>
          <w:color w:val="000000"/>
          <w:spacing w:val="0"/>
          <w:w w:val="100"/>
          <w:position w:val="0"/>
        </w:rPr>
        <w:t>200.16</w:t>
      </w:r>
      <w:r>
        <w:rPr>
          <w:color w:val="000000"/>
          <w:spacing w:val="0"/>
          <w:w w:val="100"/>
          <w:position w:val="0"/>
        </w:rPr>
        <w:t>万元经济损失及合理费用。后追加被告天舟文化股份有 限公司、广州游爱网络技术有限公司、上海游爱之星信息科技有限公司，已于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日在广州市天河区法院开庭。截 至本报告批准报出日，该案尚未一审判决。</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5" w:name="bookmark1665"/>
      <w:r>
        <w:rPr>
          <w:rFonts w:ascii="Times New Roman" w:eastAsia="Times New Roman" w:hAnsi="Times New Roman" w:cs="Times New Roman"/>
          <w:color w:val="000000"/>
          <w:spacing w:val="0"/>
          <w:w w:val="100"/>
          <w:position w:val="0"/>
        </w:rPr>
        <w:t>8</w:t>
      </w:r>
      <w:bookmarkEnd w:id="1665"/>
      <w:r>
        <w:rPr>
          <w:color w:val="000000"/>
          <w:spacing w:val="0"/>
          <w:w w:val="100"/>
          <w:position w:val="0"/>
        </w:rPr>
        <w:t>、</w:t>
        <w:tab/>
        <w:t>广州天拓诉哆可梦</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月，广州天擎天拓网络技术有限公司（以下简称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广州天拓</w:t>
      </w:r>
      <w:r>
        <w:rPr>
          <w:rFonts w:ascii="Times New Roman" w:eastAsia="Times New Roman" w:hAnsi="Times New Roman" w:cs="Times New Roman"/>
          <w:color w:val="000000"/>
          <w:spacing w:val="0"/>
          <w:w w:val="100"/>
          <w:position w:val="0"/>
        </w:rPr>
        <w:t>”</w:t>
      </w:r>
      <w:r>
        <w:rPr>
          <w:color w:val="000000"/>
          <w:spacing w:val="0"/>
          <w:w w:val="100"/>
          <w:position w:val="0"/>
        </w:rPr>
        <w:t>）因哆可梦拖欠信息服务费，将哆可梦诉至广州 市天河区中级人民法院，诉请哆可梦支付信息服务费</w:t>
      </w:r>
      <w:r>
        <w:rPr>
          <w:rFonts w:ascii="Times New Roman" w:eastAsia="Times New Roman" w:hAnsi="Times New Roman" w:cs="Times New Roman"/>
          <w:color w:val="000000"/>
          <w:spacing w:val="0"/>
          <w:w w:val="100"/>
          <w:position w:val="0"/>
        </w:rPr>
        <w:t>1,521.00</w:t>
      </w:r>
      <w:r>
        <w:rPr>
          <w:color w:val="000000"/>
          <w:spacing w:val="0"/>
          <w:w w:val="100"/>
          <w:position w:val="0"/>
        </w:rPr>
        <w:t>万元，同时申请法院冻结了哆可梦银行账户资金</w:t>
      </w:r>
      <w:r>
        <w:rPr>
          <w:rFonts w:ascii="Times New Roman" w:eastAsia="Times New Roman" w:hAnsi="Times New Roman" w:cs="Times New Roman"/>
          <w:color w:val="000000"/>
          <w:spacing w:val="0"/>
          <w:w w:val="100"/>
          <w:position w:val="0"/>
        </w:rPr>
        <w:t>15,60.03</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日收到广州市天河区法院的传票要求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日到庭应诉。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日经法院调解，广州天拓与哆可梦达 成和解，哆可梦需向广州天拓支付信息服务费</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,759.00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4-8</w:t>
      </w:r>
      <w:r>
        <w:rPr>
          <w:color w:val="000000"/>
          <w:spacing w:val="0"/>
          <w:w w:val="100"/>
          <w:position w:val="0"/>
        </w:rPr>
        <w:t>月，哆可梦支付广州天拓</w:t>
      </w:r>
      <w:r>
        <w:rPr>
          <w:rFonts w:ascii="Times New Roman" w:eastAsia="Times New Roman" w:hAnsi="Times New Roman" w:cs="Times New Roman"/>
          <w:color w:val="000000"/>
          <w:spacing w:val="0"/>
          <w:w w:val="100"/>
          <w:position w:val="0"/>
        </w:rPr>
        <w:t>158.74</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因哆可梦未按执行通知书指定的期间履行生效法律文书确定的给付义务，广州天拓向法院申请强制执行</w:t>
      </w:r>
      <w:r>
        <w:rPr>
          <w:rFonts w:ascii="Times New Roman" w:eastAsia="Times New Roman" w:hAnsi="Times New Roman" w:cs="Times New Roman"/>
          <w:color w:val="000000"/>
          <w:spacing w:val="0"/>
          <w:w w:val="100"/>
          <w:position w:val="0"/>
        </w:rPr>
        <w:t>164.74</w:t>
      </w:r>
      <w:r>
        <w:rPr>
          <w:color w:val="000000"/>
          <w:spacing w:val="0"/>
          <w:w w:val="100"/>
          <w:position w:val="0"/>
        </w:rPr>
        <w:t>万元。哆可梦 及单位法定代表人被限制高消费，公司账面已记录相应的应付账款</w:t>
      </w:r>
      <w:r>
        <w:rPr>
          <w:rFonts w:ascii="Times New Roman" w:eastAsia="Times New Roman" w:hAnsi="Times New Roman" w:cs="Times New Roman"/>
          <w:color w:val="000000"/>
          <w:spacing w:val="0"/>
          <w:w w:val="100"/>
          <w:position w:val="0"/>
        </w:rPr>
        <w:t>1,435.6</w:t>
      </w:r>
      <w:r>
        <w:rPr>
          <w:rFonts w:ascii="Times New Roman" w:eastAsia="Times New Roman" w:hAnsi="Times New Roman" w:cs="Times New Roman"/>
          <w:color w:val="000000"/>
          <w:spacing w:val="0"/>
          <w:w w:val="100"/>
          <w:position w:val="0"/>
        </w:rPr>
        <w:t>0</w:t>
      </w:r>
      <w:r>
        <w:rPr>
          <w:color w:val="000000"/>
          <w:spacing w:val="0"/>
          <w:w w:val="100"/>
          <w:position w:val="0"/>
        </w:rPr>
        <w:t>万元，无需计提预计负债。</w:t>
      </w:r>
    </w:p>
    <w:p>
      <w:pPr>
        <w:pStyle w:val="Style23"/>
        <w:keepNext w:val="0"/>
        <w:keepLines w:val="0"/>
        <w:widowControl w:val="0"/>
        <w:shd w:val="clear" w:color="auto" w:fill="auto"/>
        <w:tabs>
          <w:tab w:pos="734" w:val="left"/>
        </w:tabs>
        <w:bidi w:val="0"/>
        <w:spacing w:before="0" w:after="0" w:line="312" w:lineRule="exact"/>
        <w:ind w:left="0" w:right="0" w:firstLine="440"/>
        <w:jc w:val="both"/>
      </w:pPr>
      <w:bookmarkStart w:id="1666" w:name="bookmark1666"/>
      <w:r>
        <w:rPr>
          <w:rFonts w:ascii="Times New Roman" w:eastAsia="Times New Roman" w:hAnsi="Times New Roman" w:cs="Times New Roman"/>
          <w:color w:val="000000"/>
          <w:spacing w:val="0"/>
          <w:w w:val="100"/>
          <w:position w:val="0"/>
        </w:rPr>
        <w:t>9</w:t>
      </w:r>
      <w:bookmarkEnd w:id="1666"/>
      <w:r>
        <w:rPr>
          <w:color w:val="000000"/>
          <w:spacing w:val="0"/>
          <w:w w:val="100"/>
          <w:position w:val="0"/>
        </w:rPr>
        <w:t>、</w:t>
        <w:tab/>
        <w:t>广州君海起诉哆可梦、旭梅及季娱</w:t>
      </w:r>
    </w:p>
    <w:p>
      <w:pPr>
        <w:pStyle w:val="Style23"/>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月，广州君海网络科技有限公司（以下简称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广州君海</w:t>
      </w:r>
      <w:r>
        <w:rPr>
          <w:rFonts w:ascii="Times New Roman" w:eastAsia="Times New Roman" w:hAnsi="Times New Roman" w:cs="Times New Roman"/>
          <w:color w:val="000000"/>
          <w:spacing w:val="0"/>
          <w:w w:val="100"/>
          <w:position w:val="0"/>
        </w:rPr>
        <w:t>”</w:t>
      </w:r>
      <w:r>
        <w:rPr>
          <w:color w:val="000000"/>
          <w:spacing w:val="0"/>
          <w:w w:val="100"/>
          <w:position w:val="0"/>
        </w:rPr>
        <w:t>）因上海旭梅和哆可梦、季娱网络拖欠太古封魔录游 戏分成款的原因，将上海旭梅与哆可梦、季娱网络诉至广州知识产权法院，诉请上海旭梅和哆可梦支付分成款</w:t>
      </w:r>
      <w:r>
        <w:rPr>
          <w:rFonts w:ascii="Times New Roman" w:eastAsia="Times New Roman" w:hAnsi="Times New Roman" w:cs="Times New Roman"/>
          <w:color w:val="000000"/>
          <w:spacing w:val="0"/>
          <w:w w:val="100"/>
          <w:position w:val="0"/>
        </w:rPr>
        <w:t>1,196.9</w:t>
      </w:r>
      <w:r>
        <w:rPr>
          <w:rFonts w:ascii="Times New Roman" w:eastAsia="Times New Roman" w:hAnsi="Times New Roman" w:cs="Times New Roman"/>
          <w:color w:val="000000"/>
          <w:spacing w:val="0"/>
          <w:w w:val="100"/>
          <w:position w:val="0"/>
        </w:rPr>
        <w:t>0</w:t>
      </w:r>
      <w:r>
        <w:rPr>
          <w:color w:val="000000"/>
          <w:spacing w:val="0"/>
          <w:w w:val="100"/>
          <w:position w:val="0"/>
        </w:rPr>
        <w:t>万元， 诉请季娱网络支付分成款</w:t>
      </w:r>
      <w:r>
        <w:rPr>
          <w:rFonts w:ascii="Times New Roman" w:eastAsia="Times New Roman" w:hAnsi="Times New Roman" w:cs="Times New Roman"/>
          <w:color w:val="000000"/>
          <w:spacing w:val="0"/>
          <w:w w:val="100"/>
          <w:position w:val="0"/>
        </w:rPr>
        <w:t>343.44</w:t>
      </w:r>
      <w:r>
        <w:rPr>
          <w:color w:val="000000"/>
          <w:spacing w:val="0"/>
          <w:w w:val="100"/>
          <w:position w:val="0"/>
        </w:rPr>
        <w:t>万元。上海旭梅与哆可梦、季娱网络于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日收到应诉通知书及财产保全通知书， 广州君海申请冻结了上海旭梅银行账户</w:t>
      </w:r>
      <w:r>
        <w:rPr>
          <w:rFonts w:ascii="Times New Roman" w:eastAsia="Times New Roman" w:hAnsi="Times New Roman" w:cs="Times New Roman"/>
          <w:color w:val="000000"/>
          <w:spacing w:val="0"/>
          <w:w w:val="100"/>
          <w:position w:val="0"/>
        </w:rPr>
        <w:t>1,196.9</w:t>
      </w:r>
      <w:r>
        <w:rPr>
          <w:rFonts w:ascii="Times New Roman" w:eastAsia="Times New Roman" w:hAnsi="Times New Roman" w:cs="Times New Roman"/>
          <w:color w:val="000000"/>
          <w:spacing w:val="0"/>
          <w:w w:val="100"/>
          <w:position w:val="0"/>
        </w:rPr>
        <w:t>0</w:t>
      </w:r>
      <w:r>
        <w:rPr>
          <w:color w:val="000000"/>
          <w:spacing w:val="0"/>
          <w:w w:val="100"/>
          <w:position w:val="0"/>
        </w:rPr>
        <w:t>万元、季娱网络银行账户</w:t>
      </w:r>
      <w:r>
        <w:rPr>
          <w:rFonts w:ascii="Times New Roman" w:eastAsia="Times New Roman" w:hAnsi="Times New Roman" w:cs="Times New Roman"/>
          <w:color w:val="000000"/>
          <w:spacing w:val="0"/>
          <w:w w:val="100"/>
          <w:position w:val="0"/>
        </w:rPr>
        <w:t>343.44</w:t>
      </w:r>
      <w:r>
        <w:rPr>
          <w:color w:val="000000"/>
          <w:spacing w:val="0"/>
          <w:w w:val="100"/>
          <w:position w:val="0"/>
        </w:rPr>
        <w:t>万元。旭梅实际被冻结金额</w:t>
      </w:r>
      <w:r>
        <w:rPr>
          <w:rFonts w:ascii="Times New Roman" w:eastAsia="Times New Roman" w:hAnsi="Times New Roman" w:cs="Times New Roman"/>
          <w:color w:val="000000"/>
          <w:spacing w:val="0"/>
          <w:w w:val="100"/>
          <w:position w:val="0"/>
        </w:rPr>
        <w:t>1,196.90</w:t>
      </w:r>
      <w:r>
        <w:rPr>
          <w:color w:val="000000"/>
          <w:spacing w:val="0"/>
          <w:w w:val="100"/>
          <w:position w:val="0"/>
        </w:rPr>
        <w:t>万元，季 娱实际被冻结金额</w:t>
      </w:r>
      <w:r>
        <w:rPr>
          <w:rFonts w:ascii="Times New Roman" w:eastAsia="Times New Roman" w:hAnsi="Times New Roman" w:cs="Times New Roman"/>
          <w:color w:val="000000"/>
          <w:spacing w:val="0"/>
          <w:w w:val="100"/>
          <w:position w:val="0"/>
        </w:rPr>
        <w:t>10.96</w:t>
      </w:r>
      <w:r>
        <w:rPr>
          <w:color w:val="000000"/>
          <w:spacing w:val="0"/>
          <w:w w:val="100"/>
          <w:position w:val="0"/>
        </w:rPr>
        <w:t>万元，后变更诉讼请求，请求上海旭梅与哆可梦支付分成款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,466.26</w:t>
      </w:r>
      <w:r>
        <w:rPr>
          <w:color w:val="000000"/>
          <w:spacing w:val="0"/>
          <w:w w:val="100"/>
          <w:position w:val="0"/>
        </w:rPr>
        <w:t>万元、季娱网络支付分成款</w:t>
      </w:r>
      <w:r>
        <w:rPr>
          <w:rFonts w:ascii="Times New Roman" w:eastAsia="Times New Roman" w:hAnsi="Times New Roman" w:cs="Times New Roman"/>
          <w:color w:val="000000"/>
          <w:spacing w:val="0"/>
          <w:w w:val="100"/>
          <w:position w:val="0"/>
        </w:rPr>
        <w:t xml:space="preserve">397.46 </w:t>
      </w:r>
      <w:r>
        <w:rPr>
          <w:color w:val="000000"/>
          <w:spacing w:val="0"/>
          <w:w w:val="100"/>
          <w:position w:val="0"/>
        </w:rPr>
        <w:t>万元，广州知识产权法院于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月作出一审判决，判决上海旭梅需支付分成款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,466.26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违约金</w:t>
      </w:r>
      <w:r>
        <w:rPr>
          <w:rFonts w:ascii="Times New Roman" w:eastAsia="Times New Roman" w:hAnsi="Times New Roman" w:cs="Times New Roman"/>
          <w:color w:val="000000"/>
          <w:spacing w:val="0"/>
          <w:w w:val="100"/>
          <w:position w:val="0"/>
        </w:rPr>
        <w:t>164.57</w:t>
      </w:r>
      <w:r>
        <w:rPr>
          <w:color w:val="000000"/>
          <w:spacing w:val="0"/>
          <w:w w:val="100"/>
          <w:position w:val="0"/>
        </w:rPr>
        <w:t>万元，判决季娱 网络支付分成款</w:t>
      </w:r>
      <w:r>
        <w:rPr>
          <w:rFonts w:ascii="Times New Roman" w:eastAsia="Times New Roman" w:hAnsi="Times New Roman" w:cs="Times New Roman"/>
          <w:color w:val="000000"/>
          <w:spacing w:val="0"/>
          <w:w w:val="100"/>
          <w:position w:val="0"/>
        </w:rPr>
        <w:t>397.46</w:t>
      </w:r>
      <w:r>
        <w:rPr>
          <w:color w:val="000000"/>
          <w:spacing w:val="0"/>
          <w:w w:val="100"/>
          <w:position w:val="0"/>
        </w:rPr>
        <w:t>万元，违约金</w:t>
      </w:r>
      <w:r>
        <w:rPr>
          <w:rFonts w:ascii="Times New Roman" w:eastAsia="Times New Roman" w:hAnsi="Times New Roman" w:cs="Times New Roman"/>
          <w:color w:val="000000"/>
          <w:spacing w:val="0"/>
          <w:w w:val="100"/>
          <w:position w:val="0"/>
        </w:rPr>
        <w:t>28.33</w:t>
      </w:r>
      <w:r>
        <w:rPr>
          <w:color w:val="000000"/>
          <w:spacing w:val="0"/>
          <w:w w:val="100"/>
          <w:position w:val="0"/>
        </w:rPr>
        <w:t>万元，公司不服一审判决以提起二审上诉。</w:t>
      </w:r>
    </w:p>
    <w:p>
      <w:pPr>
        <w:pStyle w:val="Style23"/>
        <w:keepNext w:val="0"/>
        <w:keepLines w:val="0"/>
        <w:widowControl w:val="0"/>
        <w:shd w:val="clear" w:color="auto" w:fill="auto"/>
        <w:tabs>
          <w:tab w:pos="806" w:val="left"/>
        </w:tabs>
        <w:bidi w:val="0"/>
        <w:spacing w:before="0" w:after="0"/>
        <w:ind w:left="0" w:right="0" w:firstLine="440"/>
        <w:jc w:val="both"/>
      </w:pPr>
      <w:bookmarkStart w:id="1667" w:name="bookmark1667"/>
      <w:r>
        <w:rPr>
          <w:rFonts w:ascii="Times New Roman" w:eastAsia="Times New Roman" w:hAnsi="Times New Roman" w:cs="Times New Roman"/>
          <w:color w:val="000000"/>
          <w:spacing w:val="0"/>
          <w:w w:val="100"/>
          <w:position w:val="0"/>
        </w:rPr>
        <w:t>1</w:t>
      </w:r>
      <w:bookmarkEnd w:id="1667"/>
      <w:r>
        <w:rPr>
          <w:rFonts w:ascii="Times New Roman" w:eastAsia="Times New Roman" w:hAnsi="Times New Roman" w:cs="Times New Roman"/>
          <w:color w:val="000000"/>
          <w:spacing w:val="0"/>
          <w:w w:val="100"/>
          <w:position w:val="0"/>
        </w:rPr>
        <w:t>0</w:t>
      </w:r>
      <w:r>
        <w:rPr>
          <w:color w:val="000000"/>
          <w:spacing w:val="0"/>
          <w:w w:val="100"/>
          <w:position w:val="0"/>
        </w:rPr>
        <w:t>、</w:t>
        <w:tab/>
        <w:t>完美世界诉哆可梦</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月，完美世界（重庆）互动科技有限公司因《斗罗大陆神界传说》诉讼纠纷，要求哆可梦支付律师费及律师 差旅费</w:t>
      </w:r>
      <w:r>
        <w:rPr>
          <w:rFonts w:ascii="Times New Roman" w:eastAsia="Times New Roman" w:hAnsi="Times New Roman" w:cs="Times New Roman"/>
          <w:color w:val="000000"/>
          <w:spacing w:val="0"/>
          <w:w w:val="100"/>
          <w:position w:val="0"/>
        </w:rPr>
        <w:t>140.99</w:t>
      </w:r>
      <w:r>
        <w:rPr>
          <w:color w:val="000000"/>
          <w:spacing w:val="0"/>
          <w:w w:val="100"/>
          <w:position w:val="0"/>
        </w:rPr>
        <w:t>万元，哆可梦已收到法院民事传票，于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日开庭，截至本报告批准报出日，该案尚未判决。</w:t>
      </w:r>
    </w:p>
    <w:p>
      <w:pPr>
        <w:pStyle w:val="Style23"/>
        <w:keepNext w:val="0"/>
        <w:keepLines w:val="0"/>
        <w:widowControl w:val="0"/>
        <w:shd w:val="clear" w:color="auto" w:fill="auto"/>
        <w:tabs>
          <w:tab w:pos="806" w:val="left"/>
        </w:tabs>
        <w:bidi w:val="0"/>
        <w:spacing w:before="0" w:after="0" w:line="312" w:lineRule="exact"/>
        <w:ind w:left="0" w:right="0" w:firstLine="440"/>
        <w:jc w:val="both"/>
      </w:pPr>
      <w:bookmarkStart w:id="1668" w:name="bookmark1668"/>
      <w:r>
        <w:rPr>
          <w:rFonts w:ascii="Times New Roman" w:eastAsia="Times New Roman" w:hAnsi="Times New Roman" w:cs="Times New Roman"/>
          <w:color w:val="000000"/>
          <w:spacing w:val="0"/>
          <w:w w:val="100"/>
          <w:position w:val="0"/>
        </w:rPr>
        <w:t>1</w:t>
      </w:r>
      <w:bookmarkEnd w:id="1668"/>
      <w:r>
        <w:rPr>
          <w:rFonts w:ascii="Times New Roman" w:eastAsia="Times New Roman" w:hAnsi="Times New Roman" w:cs="Times New Roman"/>
          <w:color w:val="000000"/>
          <w:spacing w:val="0"/>
          <w:w w:val="100"/>
          <w:position w:val="0"/>
        </w:rPr>
        <w:t>1</w:t>
      </w:r>
      <w:r>
        <w:rPr>
          <w:color w:val="000000"/>
          <w:spacing w:val="0"/>
          <w:w w:val="100"/>
          <w:position w:val="0"/>
        </w:rPr>
        <w:t>、</w:t>
        <w:tab/>
        <w:t>霍尔果斯盛传天成诉华向文化</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月，霍尔果斯盛传天成数字传媒有限公司因哆可梦与公司控股孙公司上海华向文化传播有限公司（以下简称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华向文化</w:t>
      </w:r>
      <w:r>
        <w:rPr>
          <w:rFonts w:ascii="Times New Roman" w:eastAsia="Times New Roman" w:hAnsi="Times New Roman" w:cs="Times New Roman"/>
          <w:color w:val="000000"/>
          <w:spacing w:val="0"/>
          <w:w w:val="100"/>
          <w:position w:val="0"/>
        </w:rPr>
        <w:t>”</w:t>
      </w:r>
      <w:r>
        <w:rPr>
          <w:color w:val="000000"/>
          <w:spacing w:val="0"/>
          <w:w w:val="100"/>
          <w:position w:val="0"/>
        </w:rPr>
        <w:t xml:space="preserve">）拖欠信息服务费，将哆可梦与华向文化诉至四川省成都市高新技术产业开发区人民法院，诉请华向文化支付信 </w:t>
      </w:r>
      <w:r>
        <w:rPr>
          <w:color w:val="000000"/>
          <w:spacing w:val="0"/>
          <w:w w:val="100"/>
          <w:position w:val="0"/>
        </w:rPr>
        <w:t>息服务费</w:t>
      </w:r>
      <w:r>
        <w:rPr>
          <w:rFonts w:ascii="Times New Roman" w:eastAsia="Times New Roman" w:hAnsi="Times New Roman" w:cs="Times New Roman"/>
          <w:color w:val="000000"/>
          <w:spacing w:val="0"/>
          <w:w w:val="100"/>
          <w:position w:val="0"/>
        </w:rPr>
        <w:t>260.4</w:t>
      </w:r>
      <w:r>
        <w:rPr>
          <w:rFonts w:ascii="Times New Roman" w:eastAsia="Times New Roman" w:hAnsi="Times New Roman" w:cs="Times New Roman"/>
          <w:color w:val="000000"/>
          <w:spacing w:val="0"/>
          <w:w w:val="100"/>
          <w:position w:val="0"/>
        </w:rPr>
        <w:t>1</w:t>
      </w:r>
      <w:r>
        <w:rPr>
          <w:color w:val="000000"/>
          <w:spacing w:val="0"/>
          <w:w w:val="100"/>
          <w:position w:val="0"/>
        </w:rPr>
        <w:t>万元，哆可梦承担连带赔偿责任。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月，四川省成都市高新技术产业开发区人民法院判令华向文化支 付霍尔果斯盛传天成数字传媒有限公司信息服务费</w:t>
      </w:r>
      <w:r>
        <w:rPr>
          <w:rFonts w:ascii="Times New Roman" w:eastAsia="Times New Roman" w:hAnsi="Times New Roman" w:cs="Times New Roman"/>
          <w:color w:val="000000"/>
          <w:spacing w:val="0"/>
          <w:w w:val="100"/>
          <w:position w:val="0"/>
        </w:rPr>
        <w:t>260.41</w:t>
      </w:r>
      <w:r>
        <w:rPr>
          <w:color w:val="000000"/>
          <w:spacing w:val="0"/>
          <w:w w:val="100"/>
          <w:position w:val="0"/>
        </w:rPr>
        <w:t>万元。霍尔果斯盛传天成数字传媒有限公司申请冻结了华向文化银 行账户</w:t>
      </w:r>
      <w:r>
        <w:rPr>
          <w:rFonts w:ascii="Times New Roman" w:eastAsia="Times New Roman" w:hAnsi="Times New Roman" w:cs="Times New Roman"/>
          <w:color w:val="000000"/>
          <w:spacing w:val="0"/>
          <w:w w:val="100"/>
          <w:position w:val="0"/>
        </w:rPr>
        <w:t>269,26</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日，华向文化实际被冻结金额</w:t>
      </w:r>
      <w:r>
        <w:rPr>
          <w:rFonts w:ascii="Times New Roman" w:eastAsia="Times New Roman" w:hAnsi="Times New Roman" w:cs="Times New Roman"/>
          <w:color w:val="000000"/>
          <w:spacing w:val="0"/>
          <w:w w:val="100"/>
          <w:position w:val="0"/>
        </w:rPr>
        <w:t>89.59</w:t>
      </w:r>
      <w:r>
        <w:rPr>
          <w:color w:val="000000"/>
          <w:spacing w:val="0"/>
          <w:w w:val="100"/>
          <w:position w:val="0"/>
        </w:rPr>
        <w:t>万元。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月，华向文化已提请上诉，截至本 报告批准报出日，该案尚未二审判决。华向文化账面已记录应付账款</w:t>
      </w:r>
      <w:r>
        <w:rPr>
          <w:rFonts w:ascii="Times New Roman" w:eastAsia="Times New Roman" w:hAnsi="Times New Roman" w:cs="Times New Roman"/>
          <w:color w:val="000000"/>
          <w:spacing w:val="0"/>
          <w:w w:val="100"/>
          <w:position w:val="0"/>
        </w:rPr>
        <w:t>260.4</w:t>
      </w:r>
      <w:r>
        <w:rPr>
          <w:rFonts w:ascii="Times New Roman" w:eastAsia="Times New Roman" w:hAnsi="Times New Roman" w:cs="Times New Roman"/>
          <w:color w:val="000000"/>
          <w:spacing w:val="0"/>
          <w:w w:val="100"/>
          <w:position w:val="0"/>
        </w:rPr>
        <w:t>1</w:t>
      </w:r>
      <w:r>
        <w:rPr>
          <w:color w:val="000000"/>
          <w:spacing w:val="0"/>
          <w:w w:val="100"/>
          <w:position w:val="0"/>
        </w:rPr>
        <w:t>万元，无需计提预计负债。</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69" w:name="bookmark1669"/>
      <w:r>
        <w:rPr>
          <w:rFonts w:ascii="Times New Roman" w:eastAsia="Times New Roman" w:hAnsi="Times New Roman" w:cs="Times New Roman"/>
          <w:color w:val="000000"/>
          <w:spacing w:val="0"/>
          <w:w w:val="100"/>
          <w:position w:val="0"/>
        </w:rPr>
        <w:t>1</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w:t>
        <w:tab/>
        <w:t>侠客行诉游湛网络</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月，侠客行（上海）广告有限公司因游湛网络拖欠信息服务费，将游湛网络诉至上海市嘉定区人民法院，诉请 游湛网络支付信息服务费</w:t>
      </w:r>
      <w:r>
        <w:rPr>
          <w:rFonts w:ascii="Times New Roman" w:eastAsia="Times New Roman" w:hAnsi="Times New Roman" w:cs="Times New Roman"/>
          <w:color w:val="000000"/>
          <w:spacing w:val="0"/>
          <w:w w:val="100"/>
          <w:position w:val="0"/>
        </w:rPr>
        <w:t>157.4</w:t>
      </w:r>
      <w:r>
        <w:rPr>
          <w:rFonts w:ascii="Times New Roman" w:eastAsia="Times New Roman" w:hAnsi="Times New Roman" w:cs="Times New Roman"/>
          <w:color w:val="000000"/>
          <w:spacing w:val="0"/>
          <w:w w:val="100"/>
          <w:position w:val="0"/>
        </w:rPr>
        <w:t>1</w:t>
      </w:r>
      <w:r>
        <w:rPr>
          <w:color w:val="000000"/>
          <w:spacing w:val="0"/>
          <w:w w:val="100"/>
          <w:position w:val="0"/>
        </w:rPr>
        <w:t>万元，截至本报告批准报出日，该案尚未判决。游湛网络账面已记录相应的应付账款，无需 计提预计负债。</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70" w:name="bookmark1670"/>
      <w:r>
        <w:rPr>
          <w:rFonts w:ascii="Times New Roman" w:eastAsia="Times New Roman" w:hAnsi="Times New Roman" w:cs="Times New Roman"/>
          <w:color w:val="000000"/>
          <w:spacing w:val="0"/>
          <w:w w:val="100"/>
          <w:position w:val="0"/>
        </w:rPr>
        <w:t>1</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w:t>
        <w:tab/>
        <w:t>拉萨美娱诉游湛网络</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月，拉萨美娱传媒有限公司因游湛网络拖欠信息服务费，将游湛网络诉至成都高新技术产业开发区人民法院， 请求游湛网络支付信息服务费</w:t>
      </w:r>
      <w:r>
        <w:rPr>
          <w:rFonts w:ascii="Times New Roman" w:eastAsia="Times New Roman" w:hAnsi="Times New Roman" w:cs="Times New Roman"/>
          <w:color w:val="000000"/>
          <w:spacing w:val="0"/>
          <w:w w:val="100"/>
          <w:position w:val="0"/>
        </w:rPr>
        <w:t>122.48</w:t>
      </w:r>
      <w:r>
        <w:rPr>
          <w:color w:val="000000"/>
          <w:spacing w:val="0"/>
          <w:w w:val="100"/>
          <w:position w:val="0"/>
        </w:rPr>
        <w:t>万元。截至本报告批准报出日，该案尚未判决。游湛网络账面已记录相应的应付账款， 无需计提预计负债。</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71" w:name="bookmark1671"/>
      <w:r>
        <w:rPr>
          <w:rFonts w:ascii="Times New Roman" w:eastAsia="Times New Roman" w:hAnsi="Times New Roman" w:cs="Times New Roman"/>
          <w:color w:val="000000"/>
          <w:spacing w:val="0"/>
          <w:w w:val="100"/>
          <w:position w:val="0"/>
        </w:rPr>
        <w:t>1</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w:t>
        <w:tab/>
        <w:t>新美星空诉华向文化与游湛网络</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月，新美星空（北京）数字科技有限公司因华向文化与游湛网络拖欠信息服务费，将华向文化与游湛网络诉至 上海市嘉定区人民法院，请求华向文化支付信息服务费</w:t>
      </w:r>
      <w:r>
        <w:rPr>
          <w:rFonts w:ascii="Times New Roman" w:eastAsia="Times New Roman" w:hAnsi="Times New Roman" w:cs="Times New Roman"/>
          <w:color w:val="000000"/>
          <w:spacing w:val="0"/>
          <w:w w:val="100"/>
          <w:position w:val="0"/>
        </w:rPr>
        <w:t>43.56</w:t>
      </w:r>
      <w:r>
        <w:rPr>
          <w:color w:val="000000"/>
          <w:spacing w:val="0"/>
          <w:w w:val="100"/>
          <w:position w:val="0"/>
        </w:rPr>
        <w:t>万元，请求游湛网络支付信息服务费</w:t>
      </w:r>
      <w:r>
        <w:rPr>
          <w:rFonts w:ascii="Times New Roman" w:eastAsia="Times New Roman" w:hAnsi="Times New Roman" w:cs="Times New Roman"/>
          <w:color w:val="000000"/>
          <w:spacing w:val="0"/>
          <w:w w:val="100"/>
          <w:position w:val="0"/>
        </w:rPr>
        <w:t>103,10</w:t>
      </w:r>
      <w:r>
        <w:rPr>
          <w:color w:val="000000"/>
          <w:spacing w:val="0"/>
          <w:w w:val="100"/>
          <w:position w:val="0"/>
        </w:rPr>
        <w:t>万元。截至本报告批 准报出日，该案尚未判决。华向文化与游湛网络账面已记录相应的应付账款，无需计提预计负债。</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日成都哆可梦网络科技有限公司银行账户被申请冻结</w:t>
      </w:r>
      <w:r>
        <w:rPr>
          <w:rFonts w:ascii="Times New Roman" w:eastAsia="Times New Roman" w:hAnsi="Times New Roman" w:cs="Times New Roman"/>
          <w:color w:val="000000"/>
          <w:spacing w:val="0"/>
          <w:w w:val="100"/>
          <w:position w:val="0"/>
        </w:rPr>
        <w:t>93,318,629.55</w:t>
      </w:r>
      <w:r>
        <w:rPr>
          <w:color w:val="000000"/>
          <w:spacing w:val="0"/>
          <w:w w:val="100"/>
          <w:position w:val="0"/>
        </w:rPr>
        <w:t>元，实际被冻结</w:t>
      </w:r>
      <w:r>
        <w:rPr>
          <w:rFonts w:ascii="Times New Roman" w:eastAsia="Times New Roman" w:hAnsi="Times New Roman" w:cs="Times New Roman"/>
          <w:color w:val="000000"/>
          <w:spacing w:val="0"/>
          <w:w w:val="100"/>
          <w:position w:val="0"/>
        </w:rPr>
        <w:t>4,398,617.69</w:t>
      </w:r>
      <w:r>
        <w:rPr>
          <w:color w:val="000000"/>
          <w:spacing w:val="0"/>
          <w:w w:val="100"/>
          <w:position w:val="0"/>
        </w:rPr>
        <w:t>元； 上海华向文化传播有限公司因与霍尔果斯盛传天成数字传媒有限公司纠纷银行账户被申请冻结金额</w:t>
      </w:r>
      <w:r>
        <w:rPr>
          <w:rFonts w:ascii="Times New Roman" w:eastAsia="Times New Roman" w:hAnsi="Times New Roman" w:cs="Times New Roman"/>
          <w:color w:val="000000"/>
          <w:spacing w:val="0"/>
          <w:w w:val="100"/>
          <w:position w:val="0"/>
        </w:rPr>
        <w:t>5,385,242.34</w:t>
      </w:r>
      <w:r>
        <w:rPr>
          <w:color w:val="000000"/>
          <w:spacing w:val="0"/>
          <w:w w:val="100"/>
          <w:position w:val="0"/>
        </w:rPr>
        <w:t>元，实际冻 结金额</w:t>
      </w:r>
      <w:r>
        <w:rPr>
          <w:rFonts w:ascii="Times New Roman" w:eastAsia="Times New Roman" w:hAnsi="Times New Roman" w:cs="Times New Roman"/>
          <w:color w:val="000000"/>
          <w:spacing w:val="0"/>
          <w:w w:val="100"/>
          <w:position w:val="0"/>
        </w:rPr>
        <w:t>895,916.41</w:t>
      </w:r>
      <w:r>
        <w:rPr>
          <w:color w:val="000000"/>
          <w:spacing w:val="0"/>
          <w:w w:val="100"/>
          <w:position w:val="0"/>
        </w:rPr>
        <w:t xml:space="preserve">元；上海上海旭梅科技有限公司因与广州君海网络科技有限公司纠纷银行账户被申请冻结金额 </w:t>
      </w:r>
      <w:r>
        <w:rPr>
          <w:rFonts w:ascii="Times New Roman" w:eastAsia="Times New Roman" w:hAnsi="Times New Roman" w:cs="Times New Roman"/>
          <w:color w:val="000000"/>
          <w:spacing w:val="0"/>
          <w:w w:val="100"/>
          <w:position w:val="0"/>
        </w:rPr>
        <w:t>11,969,036.12</w:t>
      </w:r>
      <w:r>
        <w:rPr>
          <w:color w:val="000000"/>
          <w:spacing w:val="0"/>
          <w:w w:val="100"/>
          <w:position w:val="0"/>
        </w:rPr>
        <w:t>元，实际冻结金额</w:t>
      </w:r>
      <w:r>
        <w:rPr>
          <w:rFonts w:ascii="Times New Roman" w:eastAsia="Times New Roman" w:hAnsi="Times New Roman" w:cs="Times New Roman"/>
          <w:color w:val="000000"/>
          <w:spacing w:val="0"/>
          <w:w w:val="100"/>
          <w:position w:val="0"/>
        </w:rPr>
        <w:t>11,969,036.12</w:t>
      </w:r>
      <w:r>
        <w:rPr>
          <w:color w:val="000000"/>
          <w:spacing w:val="0"/>
          <w:w w:val="100"/>
          <w:position w:val="0"/>
        </w:rPr>
        <w:t>元，上海季娱网络科技有限公司因与广州君海网络科技有限公司纠纷银行账户 被申请冻结金额</w:t>
      </w:r>
      <w:r>
        <w:rPr>
          <w:rFonts w:ascii="Times New Roman" w:eastAsia="Times New Roman" w:hAnsi="Times New Roman" w:cs="Times New Roman"/>
          <w:color w:val="000000"/>
          <w:spacing w:val="0"/>
          <w:w w:val="100"/>
          <w:position w:val="0"/>
        </w:rPr>
        <w:t>3,434,416.53</w:t>
      </w:r>
      <w:r>
        <w:rPr>
          <w:color w:val="000000"/>
          <w:spacing w:val="0"/>
          <w:w w:val="100"/>
          <w:position w:val="0"/>
        </w:rPr>
        <w:t>元，实际冻结金额</w:t>
      </w:r>
      <w:r>
        <w:rPr>
          <w:rFonts w:ascii="Times New Roman" w:eastAsia="Times New Roman" w:hAnsi="Times New Roman" w:cs="Times New Roman"/>
          <w:color w:val="000000"/>
          <w:spacing w:val="0"/>
          <w:w w:val="100"/>
          <w:position w:val="0"/>
        </w:rPr>
        <w:t>109,615.98</w:t>
      </w:r>
      <w:r>
        <w:rPr>
          <w:color w:val="000000"/>
          <w:spacing w:val="0"/>
          <w:w w:val="100"/>
          <w:position w:val="0"/>
        </w:rPr>
        <w:t>元。</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72" w:name="bookmark1672"/>
      <w:r>
        <w:rPr>
          <w:rFonts w:ascii="Times New Roman" w:eastAsia="Times New Roman" w:hAnsi="Times New Roman" w:cs="Times New Roman"/>
          <w:color w:val="000000"/>
          <w:spacing w:val="0"/>
          <w:w w:val="100"/>
          <w:position w:val="0"/>
        </w:rPr>
        <w:t>1</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w:t>
        <w:tab/>
        <w:t>喀什中汇起诉中兵红箭</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月，因证券虚假陈述责任纠纷，公司全资子公司喀什中汇联银创业投资有限公司（以下简称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喀什中汇联银</w:t>
      </w:r>
      <w:r>
        <w:rPr>
          <w:rFonts w:ascii="Times New Roman" w:eastAsia="Times New Roman" w:hAnsi="Times New Roman" w:cs="Times New Roman"/>
          <w:color w:val="000000"/>
          <w:spacing w:val="0"/>
          <w:w w:val="100"/>
          <w:position w:val="0"/>
        </w:rPr>
        <w:t>”</w:t>
      </w:r>
      <w:r>
        <w:rPr>
          <w:color w:val="000000"/>
          <w:spacing w:val="0"/>
          <w:w w:val="100"/>
          <w:position w:val="0"/>
        </w:rPr>
        <w:t>） 向湖南省长沙市中级人民法院起诉中兵红箭股份有限公司（以下简称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中兵红箭</w:t>
      </w:r>
      <w:r>
        <w:rPr>
          <w:rFonts w:ascii="Times New Roman" w:eastAsia="Times New Roman" w:hAnsi="Times New Roman" w:cs="Times New Roman"/>
          <w:color w:val="000000"/>
          <w:spacing w:val="0"/>
          <w:w w:val="100"/>
          <w:position w:val="0"/>
        </w:rPr>
        <w:t>”</w:t>
      </w:r>
      <w:r>
        <w:rPr>
          <w:color w:val="000000"/>
          <w:spacing w:val="0"/>
          <w:w w:val="100"/>
          <w:position w:val="0"/>
        </w:rPr>
        <w:t>），要求中兵红箭赔偿喀什中汇联银的投资 损失，并承担本案全部诉讼费用，涉诉金额总计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,408.65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日，湖南省长沙市中级人民法院出具了（</w:t>
      </w:r>
      <w:r>
        <w:rPr>
          <w:rFonts w:ascii="Times New Roman" w:eastAsia="Times New Roman" w:hAnsi="Times New Roman" w:cs="Times New Roman"/>
          <w:color w:val="000000"/>
          <w:spacing w:val="0"/>
          <w:w w:val="100"/>
          <w:position w:val="0"/>
        </w:rPr>
        <w:t>2020</w:t>
      </w:r>
      <w:r>
        <w:rPr>
          <w:color w:val="000000"/>
          <w:spacing w:val="0"/>
          <w:w w:val="100"/>
          <w:position w:val="0"/>
        </w:rPr>
        <w:t>） 湘</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1781</w:t>
      </w:r>
      <w:r>
        <w:rPr>
          <w:color w:val="000000"/>
          <w:spacing w:val="0"/>
          <w:w w:val="100"/>
          <w:position w:val="0"/>
        </w:rPr>
        <w:t>号的一审判决，判令中兵红箭向原告喀什中汇联银支付投资差额损失、佣金、印花税、利息共计</w:t>
      </w:r>
      <w:r>
        <w:rPr>
          <w:rFonts w:ascii="Times New Roman" w:eastAsia="Times New Roman" w:hAnsi="Times New Roman" w:cs="Times New Roman"/>
          <w:color w:val="000000"/>
          <w:spacing w:val="0"/>
          <w:w w:val="100"/>
          <w:position w:val="0"/>
        </w:rPr>
        <w:t>1,473.86</w:t>
      </w:r>
      <w:r>
        <w:rPr>
          <w:color w:val="000000"/>
          <w:spacing w:val="0"/>
          <w:w w:val="100"/>
          <w:position w:val="0"/>
        </w:rPr>
        <w:t>万元， 本案案件受理费</w:t>
      </w:r>
      <w:r>
        <w:rPr>
          <w:rFonts w:ascii="Times New Roman" w:eastAsia="Times New Roman" w:hAnsi="Times New Roman" w:cs="Times New Roman"/>
          <w:color w:val="000000"/>
          <w:spacing w:val="0"/>
          <w:w w:val="100"/>
          <w:position w:val="0"/>
        </w:rPr>
        <w:t>16.14</w:t>
      </w:r>
      <w:r>
        <w:rPr>
          <w:color w:val="000000"/>
          <w:spacing w:val="0"/>
          <w:w w:val="100"/>
          <w:position w:val="0"/>
        </w:rPr>
        <w:t>万元，由喀什中汇联银承担</w:t>
      </w:r>
      <w:r>
        <w:rPr>
          <w:rFonts w:ascii="Times New Roman" w:eastAsia="Times New Roman" w:hAnsi="Times New Roman" w:cs="Times New Roman"/>
          <w:color w:val="000000"/>
          <w:spacing w:val="0"/>
          <w:w w:val="100"/>
          <w:position w:val="0"/>
        </w:rPr>
        <w:t>6.20</w:t>
      </w:r>
      <w:r>
        <w:rPr>
          <w:color w:val="000000"/>
          <w:spacing w:val="0"/>
          <w:w w:val="100"/>
          <w:position w:val="0"/>
        </w:rPr>
        <w:t>万元，由被告中兵红箭承担</w:t>
      </w:r>
      <w:r>
        <w:rPr>
          <w:rFonts w:ascii="Times New Roman" w:eastAsia="Times New Roman" w:hAnsi="Times New Roman" w:cs="Times New Roman"/>
          <w:color w:val="000000"/>
          <w:spacing w:val="0"/>
          <w:w w:val="100"/>
          <w:position w:val="0"/>
        </w:rPr>
        <w:t>9.94</w:t>
      </w:r>
      <w:r>
        <w:rPr>
          <w:color w:val="000000"/>
          <w:spacing w:val="0"/>
          <w:w w:val="100"/>
          <w:position w:val="0"/>
        </w:rPr>
        <w:t>万元。</w:t>
      </w:r>
    </w:p>
    <w:p>
      <w:pPr>
        <w:pStyle w:val="Style2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一审判决后，喀什中汇联银及中兵红箭均不服一审民事判决，喀什中汇联银于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日向湖南省高级人民法院提 起上诉。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日，喀什中汇联银对中兵红箭的上诉进行答辩，</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日，湖南省高级人民法院判决撤销湖南省 长沙市中级人民法院（</w:t>
      </w:r>
      <w:r>
        <w:rPr>
          <w:rFonts w:ascii="Times New Roman" w:eastAsia="Times New Roman" w:hAnsi="Times New Roman" w:cs="Times New Roman"/>
          <w:color w:val="000000"/>
          <w:spacing w:val="0"/>
          <w:w w:val="100"/>
          <w:position w:val="0"/>
        </w:rPr>
        <w:t>2020</w:t>
      </w:r>
      <w:r>
        <w:rPr>
          <w:color w:val="000000"/>
          <w:spacing w:val="0"/>
          <w:w w:val="100"/>
          <w:position w:val="0"/>
        </w:rPr>
        <w:t>）湘</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1781</w:t>
      </w:r>
      <w:r>
        <w:rPr>
          <w:color w:val="000000"/>
          <w:spacing w:val="0"/>
          <w:w w:val="100"/>
          <w:position w:val="0"/>
        </w:rPr>
        <w:t>号民事判决，驳回喀什中汇联银的诉讼请求，一审及二审的案件受理费合计</w:t>
      </w:r>
      <w:r>
        <w:rPr>
          <w:rFonts w:ascii="Times New Roman" w:eastAsia="Times New Roman" w:hAnsi="Times New Roman" w:cs="Times New Roman"/>
          <w:color w:val="000000"/>
          <w:spacing w:val="0"/>
          <w:w w:val="100"/>
          <w:position w:val="0"/>
        </w:rPr>
        <w:t xml:space="preserve">32.28 </w:t>
      </w:r>
      <w:r>
        <w:rPr>
          <w:color w:val="000000"/>
          <w:spacing w:val="0"/>
          <w:w w:val="100"/>
          <w:position w:val="0"/>
        </w:rPr>
        <w:t>万元，由喀什中汇联银负担。</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73" w:name="bookmark1673"/>
      <w:r>
        <w:rPr>
          <w:rFonts w:ascii="Times New Roman" w:eastAsia="Times New Roman" w:hAnsi="Times New Roman" w:cs="Times New Roman"/>
          <w:color w:val="000000"/>
          <w:spacing w:val="0"/>
          <w:w w:val="100"/>
          <w:position w:val="0"/>
        </w:rPr>
        <w:t>1</w:t>
      </w:r>
      <w:bookmarkEnd w:id="1673"/>
      <w:r>
        <w:rPr>
          <w:rFonts w:ascii="Times New Roman" w:eastAsia="Times New Roman" w:hAnsi="Times New Roman" w:cs="Times New Roman"/>
          <w:color w:val="000000"/>
          <w:spacing w:val="0"/>
          <w:w w:val="100"/>
          <w:position w:val="0"/>
        </w:rPr>
        <w:t>6</w:t>
      </w:r>
      <w:r>
        <w:rPr>
          <w:color w:val="000000"/>
          <w:spacing w:val="0"/>
          <w:w w:val="100"/>
          <w:position w:val="0"/>
        </w:rPr>
        <w:t>、</w:t>
        <w:tab/>
        <w:t>喀什中汇联银起诉张桂健、星灵互动</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月，喀什中汇联银因与张桂健、星灵互动（深圳）科技有限公司（以下简称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星灵互动</w:t>
      </w:r>
      <w:r>
        <w:rPr>
          <w:rFonts w:ascii="Times New Roman" w:eastAsia="Times New Roman" w:hAnsi="Times New Roman" w:cs="Times New Roman"/>
          <w:color w:val="000000"/>
          <w:spacing w:val="0"/>
          <w:w w:val="100"/>
          <w:position w:val="0"/>
        </w:rPr>
        <w:t>”</w:t>
      </w:r>
      <w:r>
        <w:rPr>
          <w:color w:val="000000"/>
          <w:spacing w:val="0"/>
          <w:w w:val="100"/>
          <w:position w:val="0"/>
        </w:rPr>
        <w:t>）的股权转让合同纠纷， 将张桂建与星灵互动诉至向广东省深圳市福田区人民法院，诉请张桂健支付股权回购价款以及投资收益，并承担本案全部诉 讼费用，涉讼金额总计</w:t>
      </w:r>
      <w:r>
        <w:rPr>
          <w:rFonts w:ascii="Times New Roman" w:eastAsia="Times New Roman" w:hAnsi="Times New Roman" w:cs="Times New Roman"/>
          <w:color w:val="000000"/>
          <w:spacing w:val="0"/>
          <w:w w:val="100"/>
          <w:position w:val="0"/>
        </w:rPr>
        <w:t>500.00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日，广东省深圳市福田区人民法院出具了（</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0304</w:t>
      </w:r>
      <w:r>
        <w:rPr>
          <w:color w:val="000000"/>
          <w:spacing w:val="0"/>
          <w:w w:val="100"/>
          <w:position w:val="0"/>
        </w:rPr>
        <w:t>民初</w:t>
      </w:r>
      <w:r>
        <w:rPr>
          <w:rFonts w:ascii="Times New Roman" w:eastAsia="Times New Roman" w:hAnsi="Times New Roman" w:cs="Times New Roman"/>
          <w:color w:val="000000"/>
          <w:spacing w:val="0"/>
          <w:w w:val="100"/>
          <w:position w:val="0"/>
        </w:rPr>
        <w:t>22102</w:t>
      </w:r>
      <w:r>
        <w:rPr>
          <w:color w:val="000000"/>
          <w:spacing w:val="0"/>
          <w:w w:val="100"/>
          <w:position w:val="0"/>
        </w:rPr>
        <w:t>号的 一审判决，判令张桂健向原告喀什中汇联银支付股权回购款</w:t>
      </w:r>
      <w:r>
        <w:rPr>
          <w:rFonts w:ascii="Times New Roman" w:eastAsia="Times New Roman" w:hAnsi="Times New Roman" w:cs="Times New Roman"/>
          <w:color w:val="000000"/>
          <w:spacing w:val="0"/>
          <w:w w:val="100"/>
          <w:position w:val="0"/>
        </w:rPr>
        <w:t>500.00</w:t>
      </w:r>
      <w:r>
        <w:rPr>
          <w:color w:val="000000"/>
          <w:spacing w:val="0"/>
          <w:w w:val="100"/>
          <w:position w:val="0"/>
        </w:rPr>
        <w:t>万元及投资收益，本案案件受理费</w:t>
      </w:r>
      <w:r>
        <w:rPr>
          <w:rFonts w:ascii="Times New Roman" w:eastAsia="Times New Roman" w:hAnsi="Times New Roman" w:cs="Times New Roman"/>
          <w:color w:val="000000"/>
          <w:spacing w:val="0"/>
          <w:w w:val="100"/>
          <w:position w:val="0"/>
        </w:rPr>
        <w:t>5.58</w:t>
      </w:r>
      <w:r>
        <w:rPr>
          <w:color w:val="000000"/>
          <w:spacing w:val="0"/>
          <w:w w:val="100"/>
          <w:position w:val="0"/>
        </w:rPr>
        <w:t>万元（喀什中汇联 银已支付）由张桂建与星灵互动承担。</w:t>
      </w:r>
    </w:p>
    <w:p>
      <w:pPr>
        <w:pStyle w:val="Style23"/>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月，张桂健已提起上诉，截至本报告批准报出日，该案尚未开庭审理。</w:t>
      </w:r>
    </w:p>
    <w:p>
      <w:pPr>
        <w:pStyle w:val="Style23"/>
        <w:keepNext w:val="0"/>
        <w:keepLines w:val="0"/>
        <w:widowControl w:val="0"/>
        <w:shd w:val="clear" w:color="auto" w:fill="auto"/>
        <w:tabs>
          <w:tab w:pos="806" w:val="left"/>
        </w:tabs>
        <w:bidi w:val="0"/>
        <w:spacing w:before="0" w:after="0" w:line="315" w:lineRule="exact"/>
        <w:ind w:left="0" w:right="0" w:firstLine="440"/>
        <w:jc w:val="both"/>
      </w:pPr>
      <w:bookmarkStart w:id="1674" w:name="bookmark1674"/>
      <w:r>
        <w:rPr>
          <w:rFonts w:ascii="Times New Roman" w:eastAsia="Times New Roman" w:hAnsi="Times New Roman" w:cs="Times New Roman"/>
          <w:color w:val="000000"/>
          <w:spacing w:val="0"/>
          <w:w w:val="100"/>
          <w:position w:val="0"/>
        </w:rPr>
        <w:t>1</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w:t>
        <w:tab/>
        <w:t>票据追索权纠纷</w:t>
      </w:r>
    </w:p>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月，公司因票据追索权纠纷向厦门市思明区人民法院提起诉讼，请求安庆市银通电力工程有限公司、安庆共信电气 有限公司支付票据款</w:t>
      </w:r>
      <w:r>
        <w:rPr>
          <w:rFonts w:ascii="Times New Roman" w:eastAsia="Times New Roman" w:hAnsi="Times New Roman" w:cs="Times New Roman"/>
          <w:color w:val="000000"/>
          <w:spacing w:val="0"/>
          <w:w w:val="100"/>
          <w:position w:val="0"/>
        </w:rPr>
        <w:t>50.74</w:t>
      </w:r>
      <w:r>
        <w:rPr>
          <w:color w:val="000000"/>
          <w:spacing w:val="0"/>
          <w:w w:val="100"/>
          <w:position w:val="0"/>
        </w:rPr>
        <w:t>万元及利息，该案件已在厦门市思明区人民法院进行立案。截至本报告批准报出日，该案尚未判 决。</w:t>
      </w:r>
    </w:p>
    <w:p>
      <w:pPr>
        <w:pStyle w:val="Style34"/>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75"/>
      <w:bookmarkEnd w:id="1676"/>
      <w:bookmarkEnd w:id="167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color w:val="000000"/>
          <w:spacing w:val="0"/>
          <w:w w:val="100"/>
          <w:position w:val="0"/>
          <w:sz w:val="24"/>
          <w:szCs w:val="24"/>
        </w:rPr>
        <w:t>十五、资产负债表日后事项</w:t>
      </w:r>
      <w:bookmarkEnd w:id="1678"/>
      <w:bookmarkEnd w:id="1679"/>
      <w:bookmarkEnd w:id="1680"/>
    </w:p>
    <w:p>
      <w:pPr>
        <w:pStyle w:val="Style34"/>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681"/>
      <w:bookmarkEnd w:id="1682"/>
      <w:bookmarkEnd w:id="168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684"/>
      <w:bookmarkEnd w:id="1685"/>
      <w:bookmarkEnd w:id="168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3</w:t>
      </w:r>
      <w:bookmarkEnd w:id="1689"/>
      <w:r>
        <w:rPr>
          <w:color w:val="000000"/>
          <w:spacing w:val="0"/>
          <w:w w:val="100"/>
          <w:position w:val="0"/>
        </w:rPr>
        <w:t>、其他资产负债表日后事项说明</w:t>
      </w:r>
      <w:bookmarkEnd w:id="1687"/>
      <w:bookmarkEnd w:id="1688"/>
      <w:bookmarkEnd w:id="169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sz w:val="24"/>
          <w:szCs w:val="24"/>
        </w:rPr>
        <w:t>十六、其他重要事项</w:t>
      </w:r>
      <w:bookmarkEnd w:id="1691"/>
      <w:bookmarkEnd w:id="1692"/>
      <w:bookmarkEnd w:id="1693"/>
    </w:p>
    <w:p>
      <w:pPr>
        <w:pStyle w:val="Style34"/>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694"/>
      <w:bookmarkEnd w:id="1695"/>
      <w:bookmarkEnd w:id="1696"/>
    </w:p>
    <w:p>
      <w:pPr>
        <w:pStyle w:val="Style34"/>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94"/>
      <w:bookmarkEnd w:id="1695"/>
      <w:bookmarkEnd w:id="169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3178"/>
        <w:gridCol w:w="2410"/>
        <w:gridCol w:w="14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会计差错更正的内容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受影响的各个比较期间报表项 目名称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累积影响数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预付游戏推广费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第七届董事会第十九次会议、第七届监 事会第十二次会议审议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预付账款、应付账款、未分配 利润、营业成本、销售费用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328,987,841.18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应付游戏分成款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第七届董事会第十九次会议、第七届监 事会第十二次会议审议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应付账款、未分配利润、营业 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12,713,502.44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第七届董事会第十九次会议、第七届监 事会第十二次会议审议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资产减值损失、商誉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312,258,998.72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购买子公司少数股东股权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第七届董事会第十九次会议、第七届监 事会第十二次会议审议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其他应收款、资本公积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111,000,000.00</w:t>
            </w:r>
          </w:p>
        </w:tc>
      </w:tr>
    </w:tbl>
    <w:p>
      <w:pPr>
        <w:pStyle w:val="Style34"/>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698"/>
      <w:bookmarkEnd w:id="1699"/>
      <w:bookmarkEnd w:id="1700"/>
    </w:p>
    <w:p>
      <w:pPr>
        <w:pStyle w:val="Style34"/>
        <w:keepNext/>
        <w:keepLines/>
        <w:widowControl w:val="0"/>
        <w:shd w:val="clear" w:color="auto" w:fill="auto"/>
        <w:tabs>
          <w:tab w:pos="493" w:val="left"/>
        </w:tabs>
        <w:bidi w:val="0"/>
        <w:spacing w:before="0" w:after="240" w:line="240" w:lineRule="auto"/>
        <w:ind w:left="0" w:right="0" w:firstLine="0"/>
        <w:jc w:val="left"/>
      </w:pPr>
      <w:bookmarkStart w:id="1698" w:name="bookmark1698"/>
      <w:bookmarkStart w:id="1699" w:name="bookmark1699"/>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98"/>
      <w:bookmarkEnd w:id="1699"/>
      <w:bookmarkEnd w:id="1702"/>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根据本公司的内部组织结构、管理要求及内部报告制度，本公司的经营业务划分为三个经营分部，本公司的管理层定期 评价这些分部的经营成果，以决定向其分配资源及评价其业绩。在经营分部的基础上本公司确定了三个报告分部，分别为电 气业务分部、新能源业务分部、游戏业务分部。这些报告分部是以行业分部为基础确定的。</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03"/>
      <w:bookmarkEnd w:id="1704"/>
      <w:bookmarkEnd w:id="17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电气业务分部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新能源业务分部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游戏业务分部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155,641,318.86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35,234,154.76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135,722,633.74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-3,308,472.07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323,289,635.29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111,512,010.99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27,387,746.35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80,140,345.25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-3,308,472.07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215,731,630.52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2,935,597,619.86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46,303,849.76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413,231,788.66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-2,439,425,030.58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955,708,227.70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四、负债总额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2,564,465,171.71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27,324,619.36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322,058,994.30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-2,092,146,446.32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821,702,339.05</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color w:val="000000"/>
          <w:spacing w:val="0"/>
          <w:w w:val="100"/>
          <w:position w:val="0"/>
          <w:sz w:val="24"/>
          <w:szCs w:val="24"/>
        </w:rPr>
        <w:t>十七、母公司财务报表主要项目注释</w:t>
      </w:r>
      <w:bookmarkEnd w:id="1707"/>
      <w:bookmarkEnd w:id="1708"/>
      <w:bookmarkEnd w:id="1709"/>
    </w:p>
    <w:p>
      <w:pPr>
        <w:pStyle w:val="Style34"/>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0"/>
      <w:bookmarkEnd w:id="1711"/>
      <w:bookmarkEnd w:id="1712"/>
    </w:p>
    <w:p>
      <w:pPr>
        <w:pStyle w:val="Style34"/>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10"/>
      <w:bookmarkEnd w:id="1711"/>
      <w:bookmarkEnd w:id="171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94,586,3</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13,298,3</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81,288,06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108,832,8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13,807,11</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95,025,752.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合并范围内关联方 之间的往来款项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2,163,82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2,163,827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3,345,810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3,345,810.8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92,422,5</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13,298,3</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79,124,23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105,487,0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13,807,11</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91,679,941.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94,586,3</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13,298,3</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81,288,06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108,832,8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13,807,11</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95,025,752.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w:t>
      </w:r>
    </w:p>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6"/>
        <w:gridCol w:w="1805"/>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合并范围内关联方之间的往来款项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2,163,827.82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2,163,827.82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合并范围内关联方之间的往来款项合并范围内关联方之间的往来款项。</w:t>
      </w:r>
    </w:p>
    <w:p>
      <w:pPr>
        <w:pStyle w:val="Style44"/>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13,298,313.58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39,516,889.03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574,417.18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16,774,466.65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856,842.92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15,971,225.56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1,049,308.56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20,159,970.10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10,817,744.92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10,858,913.07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1,980,686.37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1,217,432.13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753,433.65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8,083,624.90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8,083,624.90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92,422,551.34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13,298,313.58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账龄组合</w:t>
      </w:r>
      <w:r>
        <w:rPr>
          <w:rFonts w:ascii="Times New Roman" w:eastAsia="Times New Roman" w:hAnsi="Times New Roman" w:cs="Times New Roman"/>
          <w:color w:val="000000"/>
          <w:spacing w:val="0"/>
          <w:w w:val="100"/>
          <w:position w:val="0"/>
        </w:rPr>
        <w:t>-</w:t>
      </w:r>
      <w:r>
        <w:rPr>
          <w:color w:val="000000"/>
          <w:spacing w:val="0"/>
          <w:w w:val="100"/>
          <w:position w:val="0"/>
        </w:rPr>
        <w:t>电气事业及其他</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41,680,716.85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16,774,466.65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15,971,225.56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20,159,970.10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10,858,913.07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1,217,432.13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8,083,624.90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pPr>
            <w:r>
              <w:rPr>
                <w:color w:val="000000"/>
                <w:spacing w:val="0"/>
                <w:w w:val="100"/>
                <w:position w:val="0"/>
              </w:rPr>
              <w:t>94,586,379.16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14"/>
      <w:bookmarkEnd w:id="1715"/>
      <w:bookmarkEnd w:id="1716"/>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87"/>
        <w:gridCol w:w="1133"/>
        <w:gridCol w:w="994"/>
        <w:gridCol w:w="994"/>
        <w:gridCol w:w="422"/>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13,807,113.01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291,264.99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13,298,313.58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13,807,113.01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-217,534.44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291,264.99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13,298,313.58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17"/>
      <w:bookmarkEnd w:id="1718"/>
      <w:bookmarkEnd w:id="1720"/>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291,264.99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191,444.00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对方公司注销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合同终止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239,289.00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21"/>
      <w:bookmarkEnd w:id="1722"/>
      <w:bookmarkEnd w:id="1724"/>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002"/>
        <w:gridCol w:w="2784"/>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14,928,149.49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1,474,500.97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4,286,124.00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63,101.47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3,585,730.00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52,790.09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3,555,762.08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52,348.89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3,549,930.91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181,331.14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29,905,696.48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5"/>
      <w:bookmarkEnd w:id="1726"/>
      <w:bookmarkEnd w:id="1727"/>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681,615,063.55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678,075,439.91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681,615,063.55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678,116,341.83</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28"/>
      <w:bookmarkEnd w:id="1729"/>
      <w:bookmarkEnd w:id="1730"/>
    </w:p>
    <w:p>
      <w:pPr>
        <w:pStyle w:val="Style3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28"/>
      <w:bookmarkEnd w:id="1729"/>
      <w:bookmarkEnd w:id="173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40,901.92</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2"/>
      <w:bookmarkEnd w:id="1733"/>
      <w:bookmarkEnd w:id="173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5"/>
      <w:bookmarkEnd w:id="1736"/>
      <w:bookmarkEnd w:id="1737"/>
    </w:p>
    <w:p>
      <w:pPr>
        <w:pStyle w:val="Style34"/>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35"/>
      <w:bookmarkEnd w:id="1736"/>
      <w:bookmarkEnd w:id="173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4,701,274.00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565,863.33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单位往来款（惠程合并范围外）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3,354,649.10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1,136,996.52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822,699.32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685,103.07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442,025.09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151,653.37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339,669.10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社保公积金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1,635,350.53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356,455.22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惠程合并范围内往来款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542,101,432.66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545,596,504.68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股权转让诚意金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2,270,510.09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应收汪劲松应退回的季娱股权收购款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686,161,989.21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680,122,617.01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9"/>
      <w:bookmarkEnd w:id="1740"/>
      <w:bookmarkEnd w:id="1741"/>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2,047,177.10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2,047,177.10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2,649,854.41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2,649,854.41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150,105.85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4,546,925.66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4,546,925.66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pPr>
            <w:r>
              <w:rPr>
                <w:color w:val="000000"/>
                <w:spacing w:val="0"/>
                <w:w w:val="100"/>
                <w:position w:val="0"/>
              </w:rPr>
              <w:t>552,561,127.53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131,510,598.13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162,255.43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1,928,008.12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319,379.52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1,566,949.08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pPr>
            <w:r>
              <w:rPr>
                <w:color w:val="000000"/>
                <w:spacing w:val="0"/>
                <w:w w:val="100"/>
                <w:position w:val="0"/>
              </w:rPr>
              <w:t>686,161,989.21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3</w:t>
      </w:r>
      <w:bookmarkEnd w:id="1744"/>
      <w:r>
        <w:rPr>
          <w:color w:val="000000"/>
          <w:spacing w:val="0"/>
          <w:w w:val="100"/>
          <w:position w:val="0"/>
        </w:rPr>
        <w:t>）本期计提、收回或转回的坏账准备情况</w:t>
      </w:r>
      <w:bookmarkEnd w:id="1742"/>
      <w:bookmarkEnd w:id="1743"/>
      <w:bookmarkEnd w:id="174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86"/>
        <w:gridCol w:w="1699"/>
        <w:gridCol w:w="1138"/>
        <w:gridCol w:w="989"/>
        <w:gridCol w:w="994"/>
        <w:gridCol w:w="710"/>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2,047,177.10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2,649,854.41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4,546,925.66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r>
              <w:rPr>
                <w:color w:val="000000"/>
                <w:spacing w:val="0"/>
                <w:w w:val="100"/>
                <w:position w:val="0"/>
              </w:rPr>
              <w:t>-</w:t>
            </w:r>
            <w:r>
              <w:rPr>
                <w:rFonts w:ascii="SimSun" w:eastAsia="SimSun" w:hAnsi="SimSun" w:cs="SimSun"/>
                <w:color w:val="000000"/>
                <w:spacing w:val="0"/>
                <w:w w:val="100"/>
                <w:position w:val="0"/>
              </w:rPr>
              <w:t>第三阶段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2,047,177.10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2,649,854.41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4,546,925.66</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4</w:t>
      </w:r>
      <w:bookmarkEnd w:id="1748"/>
      <w:r>
        <w:rPr>
          <w:color w:val="000000"/>
          <w:spacing w:val="0"/>
          <w:w w:val="100"/>
          <w:position w:val="0"/>
        </w:rPr>
        <w:t>）本期实际核销的其他应收款情况</w:t>
      </w:r>
      <w:bookmarkEnd w:id="1746"/>
      <w:bookmarkEnd w:id="1747"/>
      <w:bookmarkEnd w:id="174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150,105.85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因对方单位已注销，经公司审批流程批准，核销相关货款。</w:t>
      </w:r>
    </w:p>
    <w:p>
      <w:pPr>
        <w:pStyle w:val="Style34"/>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color w:val="000000"/>
          <w:spacing w:val="0"/>
          <w:w w:val="100"/>
          <w:position w:val="0"/>
        </w:rPr>
        <w:t>）按欠款方归集的期末余额前五名的其他应收款情况</w:t>
      </w:r>
      <w:bookmarkEnd w:id="1750"/>
      <w:bookmarkEnd w:id="1751"/>
      <w:bookmarkEnd w:id="175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289,157,975.92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134,648,488.44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季娱股权收购款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24,008,080.04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598,814,544.40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、长期股权投资</w:t>
      </w:r>
      <w:bookmarkEnd w:id="1754"/>
      <w:bookmarkEnd w:id="1755"/>
      <w:bookmarkEnd w:id="17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1,647,570,475.00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264,109,525.00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1,643,060,471.00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259,599,521.00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对联营、合营企 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8,202,694.69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8,202,694.69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13,161,055.18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13,161,055.18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1,655,773,169.69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272,312,219.69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1,656,221,526.18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272,760,576.18</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8"/>
      <w:bookmarkEnd w:id="1759"/>
      <w:bookmarkEnd w:id="17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7"/>
        <w:gridCol w:w="1133"/>
        <w:gridCol w:w="1138"/>
        <w:gridCol w:w="706"/>
        <w:gridCol w:w="427"/>
        <w:gridCol w:w="1277"/>
        <w:gridCol w:w="135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计提减</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中汇联银投资管理（北京）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7"/>
        <w:gridCol w:w="1133"/>
        <w:gridCol w:w="1138"/>
        <w:gridCol w:w="706"/>
        <w:gridCol w:w="427"/>
        <w:gridCol w:w="1277"/>
        <w:gridCol w:w="135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链接世界株式会社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15,489,996.00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中汇联鑫股权投资管理（深</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r>
              <w:rPr>
                <w:rFonts w:ascii="SimSun" w:eastAsia="SimSun" w:hAnsi="SimSun" w:cs="SimSun"/>
                <w:color w:val="000000"/>
                <w:spacing w:val="0"/>
                <w:w w:val="100"/>
                <w:position w:val="0"/>
              </w:rPr>
              <w:t>D</w:t>
            </w:r>
            <w:r>
              <w:rPr>
                <w:rFonts w:ascii="SimSun" w:eastAsia="SimSun" w:hAnsi="SimSun" w:cs="SimSun"/>
                <w:color w:val="000000"/>
                <w:spacing w:val="0"/>
                <w:w w:val="100"/>
                <w:position w:val="0"/>
              </w:rPr>
              <w:t>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成都哆可梦网络科技有限公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上海季娱网络科技有限公司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铁匣电力设备（深圳）有限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深圳市一零电力设备有限责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深圳市零玖电力设备有限责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重庆惠程未来智能电气有限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深圳市惠程智能电力有限公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香港惠程有限公司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1,709,525.00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1,709,525.00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喀什中汇联银创业投资有限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259,599,521.00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15,489,996.00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264,109,525.00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1,383,460,950.00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61"/>
      <w:bookmarkEnd w:id="1762"/>
      <w:bookmarkEnd w:id="17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138"/>
        <w:gridCol w:w="1277"/>
        <w:gridCol w:w="1133"/>
        <w:gridCol w:w="989"/>
        <w:gridCol w:w="710"/>
        <w:gridCol w:w="427"/>
        <w:gridCol w:w="850"/>
        <w:gridCol w:w="427"/>
        <w:gridCol w:w="317"/>
        <w:gridCol w:w="1099"/>
        <w:gridCol w:w="50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权益法下确</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认的投资损</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其他综</w:t>
            </w:r>
          </w:p>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合收益</w:t>
            </w:r>
          </w:p>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宣告发放</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现金股利</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宁波永</w:t>
            </w:r>
          </w:p>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耀惠程 电力科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3,492,875.31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513,330.09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4,006,205.40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北京真</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机智能</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科技有</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9,668,179.87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9,324,332.43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-343,847.44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1138"/>
        <w:gridCol w:w="1277"/>
        <w:gridCol w:w="1133"/>
        <w:gridCol w:w="989"/>
        <w:gridCol w:w="710"/>
        <w:gridCol w:w="427"/>
        <w:gridCol w:w="850"/>
        <w:gridCol w:w="427"/>
        <w:gridCol w:w="317"/>
        <w:gridCol w:w="1099"/>
        <w:gridCol w:w="509"/>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重庆思</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极星能</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科技有</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-303,510.71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4,196,489.29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13,161,055.18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9,324,332.43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8,202,694.69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13,161,055.18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9,324,332.43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-134,028.06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8,202,694.69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4</w:t>
      </w:r>
      <w:bookmarkEnd w:id="1766"/>
      <w:r>
        <w:rPr>
          <w:color w:val="000000"/>
          <w:spacing w:val="0"/>
          <w:w w:val="100"/>
          <w:position w:val="0"/>
        </w:rPr>
        <w:t>、营业收入和营业成本</w:t>
      </w:r>
      <w:bookmarkEnd w:id="1764"/>
      <w:bookmarkEnd w:id="1765"/>
      <w:bookmarkEnd w:id="17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153,844,392.64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109,897,739.55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225,458,253.69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164,924,899.04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2,085,712.94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4,959,550.00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1,524,518.19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155,930,105.58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109,940,773.21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230,417,803.69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166,449,417.23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3648"/>
        <w:gridCol w:w="36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电气业务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153,844,392.64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153,844,392.64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153,844,392.64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153,844,392.64</w:t>
            </w:r>
          </w:p>
        </w:tc>
      </w:tr>
    </w:tbl>
    <w:p>
      <w:pPr>
        <w:pStyle w:val="Style23"/>
        <w:keepNext w:val="0"/>
        <w:keepLines w:val="0"/>
        <w:widowControl w:val="0"/>
        <w:shd w:val="clear" w:color="auto" w:fill="auto"/>
        <w:bidi w:val="0"/>
        <w:spacing w:before="0" w:line="310"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公司与客户的销售合同一般是在取得客户提供的验收合格证明时确认销售收入，除非合同明确约定有可以取代验收合格证明 的其他条款，则根据合同约定条款确认销售收入。</w:t>
      </w:r>
    </w:p>
    <w:p>
      <w:pPr>
        <w:pStyle w:val="Style23"/>
        <w:keepNext w:val="0"/>
        <w:keepLines w:val="0"/>
        <w:widowControl w:val="0"/>
        <w:shd w:val="clear" w:color="auto" w:fill="auto"/>
        <w:bidi w:val="0"/>
        <w:spacing w:before="0" w:line="310"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33,210,540.58</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31,890,540.58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1,320,000.00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5</w:t>
      </w:r>
      <w:bookmarkEnd w:id="1770"/>
      <w:r>
        <w:rPr>
          <w:color w:val="000000"/>
          <w:spacing w:val="0"/>
          <w:w w:val="100"/>
          <w:position w:val="0"/>
        </w:rPr>
        <w:t>、投资收益</w:t>
      </w:r>
      <w:bookmarkEnd w:id="1768"/>
      <w:bookmarkEnd w:id="1769"/>
      <w:bookmarkEnd w:id="177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124,376,666.66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-67,722.53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-4,082,868.34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54,519.48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-384,875.76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-4,005,201.83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123,978,587.85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72" w:name="bookmark1772"/>
      <w:bookmarkStart w:id="1773" w:name="bookmark1773"/>
      <w:bookmarkStart w:id="1774" w:name="bookmark1774"/>
      <w:r>
        <w:rPr>
          <w:color w:val="000000"/>
          <w:spacing w:val="0"/>
          <w:w w:val="100"/>
          <w:position w:val="0"/>
          <w:sz w:val="24"/>
          <w:szCs w:val="24"/>
        </w:rPr>
        <w:t>十八、补充资料</w:t>
      </w:r>
      <w:bookmarkEnd w:id="1772"/>
      <w:bookmarkEnd w:id="1773"/>
      <w:bookmarkEnd w:id="1774"/>
    </w:p>
    <w:p>
      <w:pPr>
        <w:pStyle w:val="Style34"/>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5"/>
      <w:bookmarkEnd w:id="1776"/>
      <w:bookmarkEnd w:id="177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554"/>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1,670,872.93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主要系报告期内处置部分固定资产所致</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6,893,231.85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主要系符合地方政府招商引资等地方性 扶持政策而获得的补助、增值税进项税 加计扣除及个税返还所致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采用公允价值模式进行后续计量的投资性房地 产公允价值变动产生的损益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主要系报告期内公司所持投资性房地产 估值降低所致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-6,261,757.72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-6,359,495.76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-108,515.32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-17,313,241.86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19"/>
        <w:gridCol w:w="1133"/>
        <w:gridCol w:w="603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涉及金额</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北京中汇联银、中汇联鑫、喀 什中汇联银的股权投资收益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-2,021,259.42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5" w:lineRule="exact"/>
              <w:ind w:left="0" w:right="0" w:firstLine="0"/>
              <w:jc w:val="both"/>
            </w:pPr>
            <w:r>
              <w:rPr>
                <w:rFonts w:ascii="SimSun" w:eastAsia="SimSun" w:hAnsi="SimSun" w:cs="SimSun"/>
                <w:color w:val="000000"/>
                <w:spacing w:val="0"/>
                <w:w w:val="100"/>
                <w:position w:val="0"/>
              </w:rPr>
              <w:t>北京中汇联银、中汇联鑫、喀什中汇联银作为公司设立的专门投资业务平台， 主要从事投资类业务，证券、股权、理财投资系三家子公司经常性发生的业 务，具有持续性；符合经常性损益与主营业务相关且持续稳定的特性。</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8"/>
      <w:bookmarkEnd w:id="1779"/>
      <w:bookmarkEnd w:id="1780"/>
    </w:p>
    <w:tbl>
      <w:tblPr>
        <w:tblOverlap w:val="never"/>
        <w:jc w:val="center"/>
        <w:tblLayout w:type="fixed"/>
      </w:tblPr>
      <w:tblGrid>
        <w:gridCol w:w="4262"/>
        <w:gridCol w:w="1133"/>
        <w:gridCol w:w="2270"/>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加权平均净</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bl>
    <w:tbl>
      <w:tblPr>
        <w:tblOverlap w:val="never"/>
        <w:jc w:val="center"/>
        <w:tblLayout w:type="fixed"/>
      </w:tblPr>
      <w:tblGrid>
        <w:gridCol w:w="4262"/>
        <w:gridCol w:w="1133"/>
        <w:gridCol w:w="2270"/>
        <w:gridCol w:w="192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widowControl w:val="0"/>
        <w:spacing w:after="239" w:line="1" w:lineRule="exact"/>
      </w:pPr>
    </w:p>
    <w:p>
      <w:pPr>
        <w:pStyle w:val="Style61"/>
        <w:keepNext w:val="0"/>
        <w:keepLines w:val="0"/>
        <w:widowControl w:val="0"/>
        <w:shd w:val="clear" w:color="auto" w:fill="auto"/>
        <w:bidi w:val="0"/>
        <w:spacing w:before="0" w:line="331" w:lineRule="exact"/>
        <w:ind w:left="0" w:right="0" w:firstLine="0"/>
        <w:jc w:val="both"/>
      </w:pPr>
      <w:bookmarkStart w:id="1781" w:name="bookmark1781"/>
      <w:r>
        <w:rPr>
          <w:rFonts w:ascii="Times New Roman" w:eastAsia="Times New Roman" w:hAnsi="Times New Roman" w:cs="Times New Roman"/>
          <w:b/>
          <w:bCs/>
          <w:color w:val="000000"/>
          <w:spacing w:val="0"/>
          <w:w w:val="100"/>
          <w:position w:val="0"/>
        </w:rPr>
        <w:t>3</w:t>
      </w:r>
      <w:bookmarkEnd w:id="1781"/>
      <w:r>
        <w:rPr>
          <w:b/>
          <w:bCs/>
          <w:color w:val="000000"/>
          <w:spacing w:val="0"/>
          <w:w w:val="100"/>
          <w:position w:val="0"/>
        </w:rPr>
        <w:t>、境内外会计准则下会计数据差异</w:t>
      </w:r>
    </w:p>
    <w:p>
      <w:pPr>
        <w:pStyle w:val="Style61"/>
        <w:keepNext w:val="0"/>
        <w:keepLines w:val="0"/>
        <w:widowControl w:val="0"/>
        <w:shd w:val="clear" w:color="auto" w:fill="auto"/>
        <w:tabs>
          <w:tab w:pos="493" w:val="left"/>
        </w:tabs>
        <w:bidi w:val="0"/>
        <w:spacing w:before="0" w:after="360" w:line="331" w:lineRule="exact"/>
        <w:ind w:left="0" w:right="0" w:firstLine="0"/>
        <w:jc w:val="both"/>
      </w:pPr>
      <w:bookmarkStart w:id="1782" w:name="bookmark1782"/>
      <w:r>
        <w:rPr>
          <w:b/>
          <w:bCs/>
          <w:color w:val="000000"/>
          <w:spacing w:val="0"/>
          <w:w w:val="100"/>
          <w:position w:val="0"/>
        </w:rPr>
        <w:t>（</w:t>
      </w:r>
      <w:bookmarkEnd w:id="178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23"/>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tabs>
          <w:tab w:pos="493" w:val="left"/>
        </w:tabs>
        <w:bidi w:val="0"/>
        <w:spacing w:before="0" w:after="360" w:line="331" w:lineRule="exact"/>
        <w:ind w:left="0" w:right="0" w:firstLine="0"/>
        <w:jc w:val="both"/>
      </w:pPr>
      <w:bookmarkStart w:id="1783" w:name="bookmark1783"/>
      <w:r>
        <w:rPr>
          <w:b/>
          <w:bCs/>
          <w:color w:val="000000"/>
          <w:spacing w:val="0"/>
          <w:w w:val="100"/>
          <w:position w:val="0"/>
        </w:rPr>
        <w:t>（</w:t>
      </w:r>
      <w:bookmarkEnd w:id="178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23"/>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bidi w:val="0"/>
        <w:spacing w:before="0" w:after="1400" w:line="331" w:lineRule="exact"/>
        <w:ind w:left="0" w:right="0" w:firstLine="0"/>
        <w:jc w:val="both"/>
      </w:pPr>
      <w:bookmarkStart w:id="1784" w:name="bookmark1784"/>
      <w:r>
        <w:rPr>
          <w:b/>
          <w:bCs/>
          <w:color w:val="000000"/>
          <w:spacing w:val="0"/>
          <w:w w:val="100"/>
          <w:position w:val="0"/>
        </w:rPr>
        <w:t>（</w:t>
      </w:r>
      <w:bookmarkEnd w:id="1784"/>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61"/>
        <w:keepNext w:val="0"/>
        <w:keepLines w:val="0"/>
        <w:widowControl w:val="0"/>
        <w:shd w:val="clear" w:color="auto" w:fill="auto"/>
        <w:bidi w:val="0"/>
        <w:spacing w:before="0" w:after="160" w:line="331" w:lineRule="exact"/>
        <w:ind w:left="0" w:right="0" w:firstLine="0"/>
        <w:jc w:val="right"/>
      </w:pPr>
      <w:r>
        <w:rPr>
          <w:color w:val="000000"/>
          <w:spacing w:val="0"/>
          <w:w w:val="100"/>
          <w:position w:val="0"/>
        </w:rPr>
        <w:t>深圳市惠程信息科技股份有限公司</w:t>
      </w:r>
    </w:p>
    <w:p>
      <w:pPr>
        <w:pStyle w:val="Style61"/>
        <w:keepNext w:val="0"/>
        <w:keepLines w:val="0"/>
        <w:widowControl w:val="0"/>
        <w:shd w:val="clear" w:color="auto" w:fill="auto"/>
        <w:bidi w:val="0"/>
        <w:spacing w:before="0" w:after="160" w:line="331" w:lineRule="exact"/>
        <w:ind w:left="0" w:right="0" w:firstLine="0"/>
        <w:jc w:val="right"/>
      </w:pPr>
      <w:r>
        <w:rPr>
          <w:color w:val="000000"/>
          <w:spacing w:val="0"/>
          <w:w w:val="100"/>
          <w:position w:val="0"/>
        </w:rPr>
        <w:t>董事长：陈国庆</w:t>
      </w:r>
    </w:p>
    <w:p>
      <w:pPr>
        <w:pStyle w:val="Style61"/>
        <w:keepNext w:val="0"/>
        <w:keepLines w:val="0"/>
        <w:widowControl w:val="0"/>
        <w:shd w:val="clear" w:color="auto" w:fill="auto"/>
        <w:bidi w:val="0"/>
        <w:spacing w:before="0" w:line="331" w:lineRule="exact"/>
        <w:ind w:left="0" w:right="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二二年四月二十八日</w:t>
      </w:r>
    </w:p>
    <w:sectPr>
      <w:footnotePr>
        <w:pos w:val="pageBottom"/>
        <w:numFmt w:val="decimal"/>
        <w:numRestart w:val="continuous"/>
      </w:footnotePr>
      <w:pgSz w:w="11900" w:h="16840"/>
      <w:pgMar w:top="1369" w:right="1065" w:bottom="1441" w:left="10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sz w:val="56"/>
      <w:szCs w:val="56"/>
      <w:u w:val="none"/>
      <w:shd w:val="clear" w:color="auto" w:fill="auto"/>
    </w:rPr>
  </w:style>
  <w:style w:type="character" w:customStyle="1" w:styleId="CharStyle6">
    <w:name w:val="Heading #2_"/>
    <w:basedOn w:val="DefaultParagraphFont"/>
    <w:link w:val="Style5"/>
    <w:rPr>
      <w:rFonts w:ascii="Arial" w:eastAsia="Arial" w:hAnsi="Arial" w:cs="Arial"/>
      <w:b w:val="0"/>
      <w:bCs w:val="0"/>
      <w:i w:val="0"/>
      <w:iCs w:val="0"/>
      <w:smallCaps w:val="0"/>
      <w:strike w:val="0"/>
      <w:color w:val="8A8A8A"/>
      <w:sz w:val="34"/>
      <w:szCs w:val="34"/>
      <w:u w:val="none"/>
      <w:shd w:val="clear" w:color="auto" w:fill="auto"/>
    </w:rPr>
  </w:style>
  <w:style w:type="character" w:customStyle="1" w:styleId="CharStyle8">
    <w:name w:val="Body text (3)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Body text (4)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Heading #3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Heading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8)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Body text (9)_"/>
    <w:basedOn w:val="DefaultParagraphFont"/>
    <w:link w:val="Style49"/>
    <w:rPr>
      <w:rFonts w:ascii="Arial" w:eastAsia="Arial" w:hAnsi="Arial" w:cs="Arial"/>
      <w:b/>
      <w:bCs/>
      <w:i w:val="0"/>
      <w:iCs w:val="0"/>
      <w:smallCaps w:val="0"/>
      <w:strike w:val="0"/>
      <w:color w:val="8A8A8A"/>
      <w:sz w:val="12"/>
      <w:szCs w:val="12"/>
      <w:u w:val="none"/>
      <w:shd w:val="clear" w:color="auto" w:fill="auto"/>
    </w:rPr>
  </w:style>
  <w:style w:type="character" w:customStyle="1" w:styleId="CharStyle62">
    <w:name w:val="Body text (10)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sz w:val="56"/>
      <w:szCs w:val="56"/>
      <w:u w:val="none"/>
      <w:shd w:val="clear" w:color="auto" w:fill="auto"/>
    </w:rPr>
  </w:style>
  <w:style w:type="paragraph" w:customStyle="1" w:styleId="Style5">
    <w:name w:val="Heading #2"/>
    <w:basedOn w:val="Normal"/>
    <w:link w:val="CharStyle6"/>
    <w:pPr>
      <w:widowControl w:val="0"/>
      <w:shd w:val="clear" w:color="auto" w:fill="auto"/>
      <w:spacing w:after="1540" w:line="180" w:lineRule="auto"/>
      <w:ind w:left="4300"/>
      <w:outlineLvl w:val="1"/>
    </w:pPr>
    <w:rPr>
      <w:rFonts w:ascii="Arial" w:eastAsia="Arial" w:hAnsi="Arial" w:cs="Arial"/>
      <w:b w:val="0"/>
      <w:bCs w:val="0"/>
      <w:i w:val="0"/>
      <w:iCs w:val="0"/>
      <w:smallCaps w:val="0"/>
      <w:strike w:val="0"/>
      <w:color w:val="8A8A8A"/>
      <w:sz w:val="34"/>
      <w:szCs w:val="34"/>
      <w:u w:val="none"/>
      <w:shd w:val="clear" w:color="auto" w:fill="auto"/>
    </w:rPr>
  </w:style>
  <w:style w:type="paragraph" w:customStyle="1" w:styleId="Style7">
    <w:name w:val="Body text (3)"/>
    <w:basedOn w:val="Normal"/>
    <w:link w:val="CharStyle8"/>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Body text (4)"/>
    <w:basedOn w:val="Normal"/>
    <w:link w:val="CharStyle10"/>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5)"/>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Heading #3"/>
    <w:basedOn w:val="Normal"/>
    <w:link w:val="CharStyle16"/>
    <w:pPr>
      <w:widowControl w:val="0"/>
      <w:shd w:val="clear" w:color="auto" w:fill="auto"/>
      <w:spacing w:before="260" w:after="67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7">
    <w:name w:val="Body text (2)"/>
    <w:basedOn w:val="Normal"/>
    <w:link w:val="CharStyle18"/>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23">
    <w:name w:val="Body text"/>
    <w:basedOn w:val="Normal"/>
    <w:link w:val="CharStyle24"/>
    <w:qFormat/>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Other"/>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8">
    <w:name w:val="Heading #4"/>
    <w:basedOn w:val="Normal"/>
    <w:link w:val="CharStyle29"/>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Heading #5"/>
    <w:basedOn w:val="Normal"/>
    <w:link w:val="CharStyle3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8)"/>
    <w:basedOn w:val="Normal"/>
    <w:link w:val="CharStyle45"/>
    <w:pPr>
      <w:widowControl w:val="0"/>
      <w:shd w:val="clear" w:color="auto" w:fill="auto"/>
      <w:spacing w:after="140" w:line="307"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Body text (9)"/>
    <w:basedOn w:val="Normal"/>
    <w:link w:val="CharStyle50"/>
    <w:pPr>
      <w:widowControl w:val="0"/>
      <w:shd w:val="clear" w:color="auto" w:fill="auto"/>
      <w:spacing w:before="130" w:after="40" w:line="403" w:lineRule="exact"/>
      <w:jc w:val="center"/>
    </w:pPr>
    <w:rPr>
      <w:rFonts w:ascii="Arial" w:eastAsia="Arial" w:hAnsi="Arial" w:cs="Arial"/>
      <w:b/>
      <w:bCs/>
      <w:i w:val="0"/>
      <w:iCs w:val="0"/>
      <w:smallCaps w:val="0"/>
      <w:strike w:val="0"/>
      <w:color w:val="8A8A8A"/>
      <w:sz w:val="12"/>
      <w:szCs w:val="12"/>
      <w:u w:val="none"/>
      <w:shd w:val="clear" w:color="auto" w:fill="auto"/>
    </w:rPr>
  </w:style>
  <w:style w:type="paragraph" w:customStyle="1" w:styleId="Style61">
    <w:name w:val="Body text (10)"/>
    <w:basedOn w:val="Normal"/>
    <w:link w:val="CharStyle62"/>
    <w:pPr>
      <w:widowControl w:val="0"/>
      <w:shd w:val="clear" w:color="auto" w:fill="auto"/>
      <w:spacing w:after="280" w:line="311"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深圳市惠程信息科技股份有限公司2021年年度报告全文</dc:title>
  <dc:subject/>
  <dc:creator>深圳市惠程信息科技股份有限公司</dc:creator>
  <cp:keywords/>
</cp:coreProperties>
</file>